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2E6CE3">
      <w:pPr>
        <w:pStyle w:val="50"/>
        <w:ind w:firstLine="480"/>
        <w:rPr>
          <w:color w:val="auto"/>
        </w:rPr>
      </w:pPr>
    </w:p>
    <w:p w14:paraId="4F408C0C">
      <w:pPr>
        <w:pStyle w:val="50"/>
        <w:ind w:firstLine="480"/>
        <w:rPr>
          <w:color w:val="auto"/>
        </w:rPr>
      </w:pPr>
    </w:p>
    <w:p w14:paraId="4E150CCD">
      <w:pPr>
        <w:pStyle w:val="50"/>
        <w:ind w:firstLine="480"/>
        <w:rPr>
          <w:color w:val="auto"/>
        </w:rPr>
      </w:pPr>
    </w:p>
    <w:p w14:paraId="187A377E">
      <w:pPr>
        <w:pStyle w:val="50"/>
        <w:ind w:firstLine="480"/>
        <w:rPr>
          <w:color w:val="auto"/>
        </w:rPr>
      </w:pPr>
    </w:p>
    <w:p w14:paraId="1CDA7638">
      <w:pPr>
        <w:pStyle w:val="50"/>
        <w:ind w:firstLine="480"/>
        <w:rPr>
          <w:color w:val="auto"/>
        </w:rPr>
      </w:pPr>
    </w:p>
    <w:p w14:paraId="50354F47">
      <w:pPr>
        <w:spacing w:line="240" w:lineRule="auto"/>
        <w:jc w:val="center"/>
        <w:rPr>
          <w:color w:val="auto"/>
          <w:sz w:val="72"/>
          <w:szCs w:val="72"/>
        </w:rPr>
      </w:pPr>
      <w:r>
        <w:rPr>
          <w:color w:val="auto"/>
          <w:sz w:val="72"/>
          <w:szCs w:val="72"/>
        </w:rPr>
        <w:t>建设项目环境影响报告表</w:t>
      </w:r>
    </w:p>
    <w:p w14:paraId="4FD27299">
      <w:pPr>
        <w:spacing w:line="240" w:lineRule="auto"/>
        <w:jc w:val="center"/>
        <w:rPr>
          <w:color w:val="auto"/>
          <w:sz w:val="48"/>
          <w:szCs w:val="48"/>
        </w:rPr>
      </w:pPr>
      <w:r>
        <w:rPr>
          <w:color w:val="auto"/>
          <w:sz w:val="48"/>
          <w:szCs w:val="48"/>
        </w:rPr>
        <w:t>（污染影响类）</w:t>
      </w:r>
    </w:p>
    <w:p w14:paraId="55EE63E7">
      <w:pPr>
        <w:rPr>
          <w:color w:val="auto"/>
        </w:rPr>
      </w:pPr>
    </w:p>
    <w:p w14:paraId="01DB0C81">
      <w:pPr>
        <w:rPr>
          <w:color w:val="auto"/>
        </w:rPr>
      </w:pPr>
    </w:p>
    <w:p w14:paraId="2B589800">
      <w:pPr>
        <w:rPr>
          <w:color w:val="auto"/>
        </w:rPr>
      </w:pPr>
    </w:p>
    <w:p w14:paraId="1B4027B8">
      <w:pPr>
        <w:rPr>
          <w:color w:val="auto"/>
        </w:rPr>
      </w:pPr>
    </w:p>
    <w:p w14:paraId="1D70BFFD">
      <w:pPr>
        <w:rPr>
          <w:color w:val="auto"/>
        </w:rPr>
      </w:pPr>
    </w:p>
    <w:p w14:paraId="23A540E0">
      <w:pPr>
        <w:rPr>
          <w:color w:val="auto"/>
        </w:rPr>
      </w:pPr>
    </w:p>
    <w:p w14:paraId="32557B4B">
      <w:pPr>
        <w:pStyle w:val="9"/>
        <w:rPr>
          <w:color w:val="auto"/>
        </w:rPr>
      </w:pPr>
    </w:p>
    <w:p w14:paraId="79D353F6">
      <w:pPr>
        <w:pStyle w:val="9"/>
        <w:rPr>
          <w:color w:val="auto"/>
        </w:rPr>
      </w:pPr>
    </w:p>
    <w:p w14:paraId="1E62FADA">
      <w:pPr>
        <w:rPr>
          <w:color w:val="auto"/>
        </w:rPr>
      </w:pPr>
    </w:p>
    <w:p w14:paraId="426CDF97">
      <w:pPr>
        <w:rPr>
          <w:color w:val="auto"/>
        </w:rPr>
      </w:pPr>
    </w:p>
    <w:p w14:paraId="3ED2326C">
      <w:pPr>
        <w:rPr>
          <w:color w:val="auto"/>
        </w:rPr>
      </w:pPr>
    </w:p>
    <w:p w14:paraId="7C365D7C">
      <w:pPr>
        <w:rPr>
          <w:color w:val="auto"/>
        </w:rPr>
      </w:pPr>
    </w:p>
    <w:tbl>
      <w:tblPr>
        <w:tblStyle w:val="18"/>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924"/>
      </w:tblGrid>
      <w:tr w14:paraId="49470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8" w:hRule="atLeast"/>
          <w:jc w:val="center"/>
        </w:trPr>
        <w:tc>
          <w:tcPr>
            <w:tcW w:w="8924" w:type="dxa"/>
            <w:vAlign w:val="center"/>
          </w:tcPr>
          <w:p w14:paraId="1B79B2BE">
            <w:pPr>
              <w:spacing w:line="324" w:lineRule="auto"/>
              <w:rPr>
                <w:rFonts w:eastAsia="仿宋"/>
                <w:bCs/>
                <w:color w:val="auto"/>
                <w:sz w:val="36"/>
                <w:szCs w:val="36"/>
              </w:rPr>
            </w:pPr>
            <w:r>
              <w:rPr>
                <w:rFonts w:eastAsia="仿宋"/>
                <w:bCs/>
                <w:color w:val="auto"/>
                <w:sz w:val="36"/>
                <w:szCs w:val="36"/>
              </w:rPr>
              <w:t>项  目  名  称:</w:t>
            </w:r>
            <w:r>
              <w:rPr>
                <w:rFonts w:eastAsia="仿宋"/>
                <w:bCs/>
                <w:color w:val="auto"/>
                <w:sz w:val="36"/>
                <w:szCs w:val="36"/>
                <w:u w:val="single"/>
              </w:rPr>
              <w:t xml:space="preserve">    </w:t>
            </w:r>
            <w:r>
              <w:rPr>
                <w:rFonts w:hint="eastAsia" w:eastAsia="仿宋"/>
                <w:bCs/>
                <w:color w:val="auto"/>
                <w:sz w:val="36"/>
                <w:szCs w:val="36"/>
                <w:u w:val="single"/>
              </w:rPr>
              <w:t xml:space="preserve"> 年产32000吨无氧铜杆项目  </w:t>
            </w:r>
            <w:r>
              <w:rPr>
                <w:rFonts w:eastAsia="仿宋"/>
                <w:bCs/>
                <w:color w:val="auto"/>
                <w:sz w:val="36"/>
                <w:szCs w:val="36"/>
                <w:u w:val="single"/>
              </w:rPr>
              <w:t xml:space="preserve">    </w:t>
            </w:r>
          </w:p>
        </w:tc>
      </w:tr>
      <w:tr w14:paraId="7FC4CA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924" w:type="dxa"/>
            <w:vAlign w:val="center"/>
          </w:tcPr>
          <w:p w14:paraId="482408D7">
            <w:pPr>
              <w:spacing w:line="324" w:lineRule="auto"/>
              <w:rPr>
                <w:rFonts w:eastAsia="仿宋"/>
                <w:bCs/>
                <w:color w:val="auto"/>
                <w:sz w:val="36"/>
                <w:szCs w:val="36"/>
              </w:rPr>
            </w:pPr>
            <w:r>
              <w:rPr>
                <w:rFonts w:eastAsia="仿宋"/>
                <w:bCs/>
                <w:color w:val="auto"/>
                <w:sz w:val="36"/>
                <w:szCs w:val="36"/>
              </w:rPr>
              <w:t>建设单位(盖</w:t>
            </w:r>
            <w:r>
              <w:rPr>
                <w:rFonts w:hint="eastAsia" w:ascii="宋体" w:hAnsi="宋体" w:cs="宋体"/>
                <w:bCs/>
                <w:color w:val="auto"/>
                <w:sz w:val="18"/>
                <w:szCs w:val="18"/>
              </w:rPr>
              <w:t xml:space="preserve"> </w:t>
            </w:r>
            <w:r>
              <w:rPr>
                <w:rFonts w:eastAsia="仿宋"/>
                <w:bCs/>
                <w:color w:val="auto"/>
                <w:sz w:val="36"/>
                <w:szCs w:val="36"/>
              </w:rPr>
              <w:t>章):</w:t>
            </w:r>
            <w:r>
              <w:rPr>
                <w:rFonts w:eastAsia="仿宋"/>
                <w:bCs/>
                <w:color w:val="auto"/>
                <w:sz w:val="36"/>
                <w:szCs w:val="36"/>
                <w:u w:val="single"/>
              </w:rPr>
              <w:t xml:space="preserve">  </w:t>
            </w:r>
            <w:r>
              <w:rPr>
                <w:rFonts w:hint="eastAsia" w:eastAsia="仿宋"/>
                <w:bCs/>
                <w:color w:val="auto"/>
                <w:sz w:val="36"/>
                <w:szCs w:val="36"/>
                <w:u w:val="single"/>
              </w:rPr>
              <w:t xml:space="preserve">  江苏恒轩新材料科技有限公司</w:t>
            </w:r>
            <w:r>
              <w:rPr>
                <w:rFonts w:eastAsia="仿宋"/>
                <w:bCs/>
                <w:color w:val="auto"/>
                <w:sz w:val="36"/>
                <w:szCs w:val="36"/>
                <w:u w:val="single"/>
              </w:rPr>
              <w:t xml:space="preserve">      </w:t>
            </w:r>
          </w:p>
        </w:tc>
      </w:tr>
      <w:tr w14:paraId="3D2AA0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924" w:type="dxa"/>
            <w:vAlign w:val="center"/>
          </w:tcPr>
          <w:p w14:paraId="60B2240E">
            <w:pPr>
              <w:spacing w:line="324" w:lineRule="auto"/>
              <w:rPr>
                <w:rFonts w:eastAsia="仿宋"/>
                <w:bCs/>
                <w:color w:val="auto"/>
                <w:sz w:val="36"/>
                <w:szCs w:val="36"/>
              </w:rPr>
            </w:pPr>
            <w:r>
              <w:rPr>
                <w:rFonts w:eastAsia="仿宋"/>
                <w:bCs/>
                <w:color w:val="auto"/>
                <w:sz w:val="36"/>
                <w:szCs w:val="36"/>
              </w:rPr>
              <w:t>编  制  日  期:</w:t>
            </w:r>
            <w:r>
              <w:rPr>
                <w:rFonts w:eastAsia="仿宋"/>
                <w:bCs/>
                <w:color w:val="auto"/>
                <w:sz w:val="36"/>
                <w:szCs w:val="36"/>
                <w:u w:val="single"/>
              </w:rPr>
              <w:t xml:space="preserve">          </w:t>
            </w:r>
            <w:r>
              <w:rPr>
                <w:rFonts w:hint="eastAsia" w:eastAsia="仿宋"/>
                <w:bCs/>
                <w:color w:val="auto"/>
                <w:sz w:val="36"/>
                <w:szCs w:val="36"/>
                <w:u w:val="single"/>
              </w:rPr>
              <w:t xml:space="preserve">  </w:t>
            </w:r>
            <w:r>
              <w:rPr>
                <w:rFonts w:eastAsia="仿宋"/>
                <w:bCs/>
                <w:color w:val="auto"/>
                <w:sz w:val="36"/>
                <w:szCs w:val="36"/>
                <w:u w:val="single"/>
              </w:rPr>
              <w:t>2025年</w:t>
            </w:r>
            <w:r>
              <w:rPr>
                <w:rFonts w:hint="eastAsia" w:eastAsia="仿宋"/>
                <w:bCs/>
                <w:color w:val="auto"/>
                <w:sz w:val="36"/>
                <w:szCs w:val="36"/>
                <w:u w:val="single"/>
                <w:lang w:val="en-US" w:eastAsia="zh-CN"/>
              </w:rPr>
              <w:t>11</w:t>
            </w:r>
            <w:r>
              <w:rPr>
                <w:rFonts w:eastAsia="仿宋"/>
                <w:bCs/>
                <w:color w:val="auto"/>
                <w:sz w:val="36"/>
                <w:szCs w:val="36"/>
                <w:u w:val="single"/>
              </w:rPr>
              <w:t xml:space="preserve">月          </w:t>
            </w:r>
            <w:r>
              <w:rPr>
                <w:rFonts w:hint="eastAsia" w:eastAsia="仿宋"/>
                <w:bCs/>
                <w:color w:val="auto"/>
                <w:sz w:val="36"/>
                <w:szCs w:val="36"/>
                <w:u w:val="single"/>
              </w:rPr>
              <w:t xml:space="preserve">  </w:t>
            </w:r>
            <w:r>
              <w:rPr>
                <w:rFonts w:eastAsia="仿宋"/>
                <w:bCs/>
                <w:color w:val="auto"/>
                <w:sz w:val="36"/>
                <w:szCs w:val="36"/>
                <w:u w:val="single"/>
              </w:rPr>
              <w:t xml:space="preserve">       </w:t>
            </w:r>
          </w:p>
        </w:tc>
      </w:tr>
    </w:tbl>
    <w:p w14:paraId="1CDBECE2">
      <w:pPr>
        <w:rPr>
          <w:color w:val="auto"/>
        </w:rPr>
      </w:pPr>
      <w:bookmarkStart w:id="0" w:name="_Hlk57884087"/>
    </w:p>
    <w:p w14:paraId="475154AE">
      <w:pPr>
        <w:rPr>
          <w:color w:val="auto"/>
        </w:rPr>
      </w:pPr>
    </w:p>
    <w:p w14:paraId="4112EF64">
      <w:pPr>
        <w:pStyle w:val="9"/>
        <w:rPr>
          <w:color w:val="auto"/>
        </w:rPr>
      </w:pPr>
    </w:p>
    <w:p w14:paraId="4C3A5D26">
      <w:pPr>
        <w:pStyle w:val="9"/>
        <w:rPr>
          <w:color w:val="auto"/>
        </w:rPr>
      </w:pPr>
    </w:p>
    <w:p w14:paraId="721C9589">
      <w:pPr>
        <w:pStyle w:val="9"/>
        <w:rPr>
          <w:color w:val="auto"/>
        </w:rPr>
      </w:pPr>
    </w:p>
    <w:p w14:paraId="407AC5B6">
      <w:pPr>
        <w:rPr>
          <w:color w:val="auto"/>
        </w:rPr>
      </w:pPr>
    </w:p>
    <w:p w14:paraId="4D21C4FD">
      <w:pPr>
        <w:rPr>
          <w:color w:val="auto"/>
        </w:rPr>
      </w:pPr>
    </w:p>
    <w:p w14:paraId="2368957D">
      <w:pPr>
        <w:rPr>
          <w:color w:val="auto"/>
        </w:rPr>
      </w:pPr>
    </w:p>
    <w:bookmarkEnd w:id="0"/>
    <w:p w14:paraId="1476F75B">
      <w:pPr>
        <w:spacing w:line="360" w:lineRule="auto"/>
        <w:jc w:val="center"/>
        <w:rPr>
          <w:rFonts w:eastAsiaTheme="minorEastAsia"/>
          <w:color w:val="auto"/>
          <w:sz w:val="36"/>
          <w:szCs w:val="36"/>
        </w:rPr>
      </w:pPr>
      <w:r>
        <w:rPr>
          <w:rFonts w:eastAsiaTheme="minorEastAsia"/>
          <w:color w:val="auto"/>
          <w:sz w:val="36"/>
          <w:szCs w:val="36"/>
        </w:rPr>
        <w:t>中华人民共和国生态环境部制</w:t>
      </w:r>
    </w:p>
    <w:p w14:paraId="0FF6C932">
      <w:pPr>
        <w:spacing w:line="360" w:lineRule="auto"/>
        <w:jc w:val="center"/>
        <w:rPr>
          <w:b/>
          <w:bCs/>
          <w:color w:val="auto"/>
          <w:sz w:val="36"/>
          <w:szCs w:val="36"/>
        </w:rPr>
        <w:sectPr>
          <w:footerReference r:id="rId5" w:type="default"/>
          <w:pgSz w:w="11906" w:h="16838"/>
          <w:pgMar w:top="1701" w:right="1417" w:bottom="1701" w:left="1417" w:header="851" w:footer="851" w:gutter="0"/>
          <w:pgNumType w:start="1"/>
          <w:cols w:space="720" w:num="1"/>
          <w:docGrid w:linePitch="312" w:charSpace="0"/>
        </w:sectPr>
      </w:pPr>
    </w:p>
    <w:p w14:paraId="7C516C8A">
      <w:pPr>
        <w:spacing w:line="360" w:lineRule="auto"/>
        <w:jc w:val="center"/>
        <w:rPr>
          <w:b/>
          <w:bCs/>
          <w:color w:val="auto"/>
          <w:sz w:val="36"/>
          <w:szCs w:val="36"/>
        </w:rPr>
      </w:pPr>
      <w:r>
        <w:rPr>
          <w:b/>
          <w:bCs/>
          <w:color w:val="auto"/>
          <w:sz w:val="36"/>
          <w:szCs w:val="36"/>
        </w:rPr>
        <w:t>目 录</w:t>
      </w:r>
    </w:p>
    <w:p w14:paraId="1F653442">
      <w:pPr>
        <w:pStyle w:val="14"/>
        <w:tabs>
          <w:tab w:val="right" w:leader="dot" w:pos="8844"/>
        </w:tabs>
        <w:rPr>
          <w:color w:val="auto"/>
        </w:rPr>
      </w:pPr>
      <w:r>
        <w:rPr>
          <w:color w:val="auto"/>
          <w:sz w:val="24"/>
          <w:szCs w:val="24"/>
        </w:rPr>
        <w:fldChar w:fldCharType="begin"/>
      </w:r>
      <w:r>
        <w:rPr>
          <w:color w:val="auto"/>
          <w:sz w:val="24"/>
          <w:szCs w:val="24"/>
        </w:rPr>
        <w:instrText xml:space="preserve">TOC \o "1-2" \h \u </w:instrText>
      </w:r>
      <w:r>
        <w:rPr>
          <w:color w:val="auto"/>
          <w:sz w:val="24"/>
          <w:szCs w:val="24"/>
        </w:rPr>
        <w:fldChar w:fldCharType="separate"/>
      </w:r>
      <w:r>
        <w:rPr>
          <w:color w:val="auto"/>
        </w:rPr>
        <w:fldChar w:fldCharType="begin"/>
      </w:r>
      <w:r>
        <w:rPr>
          <w:color w:val="auto"/>
        </w:rPr>
        <w:instrText xml:space="preserve"> HYPERLINK \l "_Toc24828" </w:instrText>
      </w:r>
      <w:r>
        <w:rPr>
          <w:color w:val="auto"/>
        </w:rPr>
        <w:fldChar w:fldCharType="separate"/>
      </w:r>
      <w:r>
        <w:rPr>
          <w:color w:val="auto"/>
        </w:rPr>
        <w:t>一、建设项目基本情况</w:t>
      </w:r>
      <w:r>
        <w:rPr>
          <w:color w:val="auto"/>
        </w:rPr>
        <w:tab/>
      </w:r>
      <w:r>
        <w:rPr>
          <w:color w:val="auto"/>
        </w:rPr>
        <w:fldChar w:fldCharType="begin"/>
      </w:r>
      <w:r>
        <w:rPr>
          <w:color w:val="auto"/>
        </w:rPr>
        <w:instrText xml:space="preserve"> PAGEREF _Toc24828 \h </w:instrText>
      </w:r>
      <w:r>
        <w:rPr>
          <w:color w:val="auto"/>
        </w:rPr>
        <w:fldChar w:fldCharType="separate"/>
      </w:r>
      <w:r>
        <w:rPr>
          <w:color w:val="auto"/>
        </w:rPr>
        <w:t>1</w:t>
      </w:r>
      <w:r>
        <w:rPr>
          <w:color w:val="auto"/>
        </w:rPr>
        <w:fldChar w:fldCharType="end"/>
      </w:r>
      <w:r>
        <w:rPr>
          <w:color w:val="auto"/>
        </w:rPr>
        <w:fldChar w:fldCharType="end"/>
      </w:r>
    </w:p>
    <w:p w14:paraId="6AC9B5BB">
      <w:pPr>
        <w:pStyle w:val="14"/>
        <w:tabs>
          <w:tab w:val="right" w:leader="dot" w:pos="8844"/>
        </w:tabs>
        <w:rPr>
          <w:color w:val="auto"/>
        </w:rPr>
      </w:pPr>
      <w:r>
        <w:rPr>
          <w:color w:val="auto"/>
        </w:rPr>
        <w:fldChar w:fldCharType="begin"/>
      </w:r>
      <w:r>
        <w:rPr>
          <w:color w:val="auto"/>
        </w:rPr>
        <w:instrText xml:space="preserve"> HYPERLINK \l "_Toc24866" </w:instrText>
      </w:r>
      <w:r>
        <w:rPr>
          <w:color w:val="auto"/>
        </w:rPr>
        <w:fldChar w:fldCharType="separate"/>
      </w:r>
      <w:r>
        <w:rPr>
          <w:color w:val="auto"/>
        </w:rPr>
        <w:t>二、建设项目工程分析</w:t>
      </w:r>
      <w:r>
        <w:rPr>
          <w:color w:val="auto"/>
        </w:rPr>
        <w:tab/>
      </w:r>
      <w:r>
        <w:rPr>
          <w:color w:val="auto"/>
        </w:rPr>
        <w:fldChar w:fldCharType="begin"/>
      </w:r>
      <w:r>
        <w:rPr>
          <w:color w:val="auto"/>
        </w:rPr>
        <w:instrText xml:space="preserve"> PAGEREF _Toc24866 \h </w:instrText>
      </w:r>
      <w:r>
        <w:rPr>
          <w:color w:val="auto"/>
        </w:rPr>
        <w:fldChar w:fldCharType="separate"/>
      </w:r>
      <w:r>
        <w:rPr>
          <w:color w:val="auto"/>
        </w:rPr>
        <w:t>17</w:t>
      </w:r>
      <w:r>
        <w:rPr>
          <w:color w:val="auto"/>
        </w:rPr>
        <w:fldChar w:fldCharType="end"/>
      </w:r>
      <w:r>
        <w:rPr>
          <w:color w:val="auto"/>
        </w:rPr>
        <w:fldChar w:fldCharType="end"/>
      </w:r>
    </w:p>
    <w:p w14:paraId="26922920">
      <w:pPr>
        <w:pStyle w:val="14"/>
        <w:tabs>
          <w:tab w:val="right" w:leader="dot" w:pos="8844"/>
        </w:tabs>
        <w:rPr>
          <w:color w:val="auto"/>
        </w:rPr>
      </w:pPr>
      <w:r>
        <w:rPr>
          <w:color w:val="auto"/>
        </w:rPr>
        <w:fldChar w:fldCharType="begin"/>
      </w:r>
      <w:r>
        <w:rPr>
          <w:color w:val="auto"/>
        </w:rPr>
        <w:instrText xml:space="preserve"> HYPERLINK \l "_Toc16146" </w:instrText>
      </w:r>
      <w:r>
        <w:rPr>
          <w:color w:val="auto"/>
        </w:rPr>
        <w:fldChar w:fldCharType="separate"/>
      </w:r>
      <w:r>
        <w:rPr>
          <w:color w:val="auto"/>
        </w:rPr>
        <w:t>三、区域环境质量现状、环境保护目标及评价标准</w:t>
      </w:r>
      <w:r>
        <w:rPr>
          <w:color w:val="auto"/>
        </w:rPr>
        <w:tab/>
      </w:r>
      <w:r>
        <w:rPr>
          <w:color w:val="auto"/>
        </w:rPr>
        <w:fldChar w:fldCharType="begin"/>
      </w:r>
      <w:r>
        <w:rPr>
          <w:color w:val="auto"/>
        </w:rPr>
        <w:instrText xml:space="preserve"> PAGEREF _Toc16146 \h </w:instrText>
      </w:r>
      <w:r>
        <w:rPr>
          <w:color w:val="auto"/>
        </w:rPr>
        <w:fldChar w:fldCharType="separate"/>
      </w:r>
      <w:r>
        <w:rPr>
          <w:color w:val="auto"/>
        </w:rPr>
        <w:t>37</w:t>
      </w:r>
      <w:r>
        <w:rPr>
          <w:color w:val="auto"/>
        </w:rPr>
        <w:fldChar w:fldCharType="end"/>
      </w:r>
      <w:r>
        <w:rPr>
          <w:color w:val="auto"/>
        </w:rPr>
        <w:fldChar w:fldCharType="end"/>
      </w:r>
    </w:p>
    <w:p w14:paraId="6B7E4DAB">
      <w:pPr>
        <w:pStyle w:val="14"/>
        <w:tabs>
          <w:tab w:val="right" w:leader="dot" w:pos="8844"/>
        </w:tabs>
        <w:rPr>
          <w:color w:val="auto"/>
        </w:rPr>
      </w:pPr>
      <w:r>
        <w:rPr>
          <w:color w:val="auto"/>
        </w:rPr>
        <w:fldChar w:fldCharType="begin"/>
      </w:r>
      <w:r>
        <w:rPr>
          <w:color w:val="auto"/>
        </w:rPr>
        <w:instrText xml:space="preserve"> HYPERLINK \l "_Toc30086" </w:instrText>
      </w:r>
      <w:r>
        <w:rPr>
          <w:color w:val="auto"/>
        </w:rPr>
        <w:fldChar w:fldCharType="separate"/>
      </w:r>
      <w:r>
        <w:rPr>
          <w:color w:val="auto"/>
        </w:rPr>
        <w:t>四、主要环境影响和保护措施</w:t>
      </w:r>
      <w:r>
        <w:rPr>
          <w:color w:val="auto"/>
        </w:rPr>
        <w:tab/>
      </w:r>
      <w:r>
        <w:rPr>
          <w:color w:val="auto"/>
        </w:rPr>
        <w:fldChar w:fldCharType="begin"/>
      </w:r>
      <w:r>
        <w:rPr>
          <w:color w:val="auto"/>
        </w:rPr>
        <w:instrText xml:space="preserve"> PAGEREF _Toc30086 \h </w:instrText>
      </w:r>
      <w:r>
        <w:rPr>
          <w:color w:val="auto"/>
        </w:rPr>
        <w:fldChar w:fldCharType="separate"/>
      </w:r>
      <w:r>
        <w:rPr>
          <w:color w:val="auto"/>
        </w:rPr>
        <w:t>43</w:t>
      </w:r>
      <w:r>
        <w:rPr>
          <w:color w:val="auto"/>
        </w:rPr>
        <w:fldChar w:fldCharType="end"/>
      </w:r>
      <w:r>
        <w:rPr>
          <w:color w:val="auto"/>
        </w:rPr>
        <w:fldChar w:fldCharType="end"/>
      </w:r>
    </w:p>
    <w:p w14:paraId="35667FF0">
      <w:pPr>
        <w:pStyle w:val="14"/>
        <w:tabs>
          <w:tab w:val="right" w:leader="dot" w:pos="8844"/>
        </w:tabs>
        <w:rPr>
          <w:color w:val="auto"/>
        </w:rPr>
      </w:pPr>
      <w:r>
        <w:rPr>
          <w:color w:val="auto"/>
        </w:rPr>
        <w:fldChar w:fldCharType="begin"/>
      </w:r>
      <w:r>
        <w:rPr>
          <w:color w:val="auto"/>
        </w:rPr>
        <w:instrText xml:space="preserve"> HYPERLINK \l "_Toc24336" </w:instrText>
      </w:r>
      <w:r>
        <w:rPr>
          <w:color w:val="auto"/>
        </w:rPr>
        <w:fldChar w:fldCharType="separate"/>
      </w:r>
      <w:r>
        <w:rPr>
          <w:color w:val="auto"/>
        </w:rPr>
        <w:t>五、环境保护措施监督检查清单</w:t>
      </w:r>
      <w:r>
        <w:rPr>
          <w:color w:val="auto"/>
        </w:rPr>
        <w:tab/>
      </w:r>
      <w:r>
        <w:rPr>
          <w:color w:val="auto"/>
        </w:rPr>
        <w:fldChar w:fldCharType="begin"/>
      </w:r>
      <w:r>
        <w:rPr>
          <w:color w:val="auto"/>
        </w:rPr>
        <w:instrText xml:space="preserve"> PAGEREF _Toc24336 \h </w:instrText>
      </w:r>
      <w:r>
        <w:rPr>
          <w:color w:val="auto"/>
        </w:rPr>
        <w:fldChar w:fldCharType="separate"/>
      </w:r>
      <w:r>
        <w:rPr>
          <w:color w:val="auto"/>
        </w:rPr>
        <w:t>65</w:t>
      </w:r>
      <w:r>
        <w:rPr>
          <w:color w:val="auto"/>
        </w:rPr>
        <w:fldChar w:fldCharType="end"/>
      </w:r>
      <w:r>
        <w:rPr>
          <w:color w:val="auto"/>
        </w:rPr>
        <w:fldChar w:fldCharType="end"/>
      </w:r>
    </w:p>
    <w:p w14:paraId="0AE9682C">
      <w:pPr>
        <w:pStyle w:val="14"/>
        <w:tabs>
          <w:tab w:val="right" w:leader="dot" w:pos="8844"/>
        </w:tabs>
        <w:rPr>
          <w:color w:val="auto"/>
        </w:rPr>
      </w:pPr>
      <w:r>
        <w:rPr>
          <w:color w:val="auto"/>
        </w:rPr>
        <w:fldChar w:fldCharType="begin"/>
      </w:r>
      <w:r>
        <w:rPr>
          <w:color w:val="auto"/>
        </w:rPr>
        <w:instrText xml:space="preserve"> HYPERLINK \l "_Toc17075" </w:instrText>
      </w:r>
      <w:r>
        <w:rPr>
          <w:color w:val="auto"/>
        </w:rPr>
        <w:fldChar w:fldCharType="separate"/>
      </w:r>
      <w:r>
        <w:rPr>
          <w:color w:val="auto"/>
        </w:rPr>
        <w:t>六、结论</w:t>
      </w:r>
      <w:r>
        <w:rPr>
          <w:color w:val="auto"/>
        </w:rPr>
        <w:tab/>
      </w:r>
      <w:r>
        <w:rPr>
          <w:color w:val="auto"/>
        </w:rPr>
        <w:fldChar w:fldCharType="begin"/>
      </w:r>
      <w:r>
        <w:rPr>
          <w:color w:val="auto"/>
        </w:rPr>
        <w:instrText xml:space="preserve"> PAGEREF _Toc17075 \h </w:instrText>
      </w:r>
      <w:r>
        <w:rPr>
          <w:color w:val="auto"/>
        </w:rPr>
        <w:fldChar w:fldCharType="separate"/>
      </w:r>
      <w:r>
        <w:rPr>
          <w:color w:val="auto"/>
        </w:rPr>
        <w:t>67</w:t>
      </w:r>
      <w:r>
        <w:rPr>
          <w:color w:val="auto"/>
        </w:rPr>
        <w:fldChar w:fldCharType="end"/>
      </w:r>
      <w:r>
        <w:rPr>
          <w:color w:val="auto"/>
        </w:rPr>
        <w:fldChar w:fldCharType="end"/>
      </w:r>
    </w:p>
    <w:p w14:paraId="17A05397">
      <w:pPr>
        <w:pStyle w:val="14"/>
        <w:tabs>
          <w:tab w:val="right" w:leader="dot" w:pos="8844"/>
        </w:tabs>
        <w:rPr>
          <w:color w:val="auto"/>
        </w:rPr>
      </w:pPr>
      <w:r>
        <w:rPr>
          <w:color w:val="auto"/>
        </w:rPr>
        <w:fldChar w:fldCharType="begin"/>
      </w:r>
      <w:r>
        <w:rPr>
          <w:color w:val="auto"/>
        </w:rPr>
        <w:instrText xml:space="preserve"> HYPERLINK \l "_Toc8760" </w:instrText>
      </w:r>
      <w:r>
        <w:rPr>
          <w:color w:val="auto"/>
        </w:rPr>
        <w:fldChar w:fldCharType="separate"/>
      </w:r>
      <w:r>
        <w:rPr>
          <w:color w:val="auto"/>
        </w:rPr>
        <w:t>建设项目污染物排放量汇总表</w:t>
      </w:r>
      <w:r>
        <w:rPr>
          <w:color w:val="auto"/>
        </w:rPr>
        <w:tab/>
      </w:r>
      <w:r>
        <w:rPr>
          <w:color w:val="auto"/>
        </w:rPr>
        <w:fldChar w:fldCharType="begin"/>
      </w:r>
      <w:r>
        <w:rPr>
          <w:color w:val="auto"/>
        </w:rPr>
        <w:instrText xml:space="preserve"> PAGEREF _Toc8760 \h </w:instrText>
      </w:r>
      <w:r>
        <w:rPr>
          <w:color w:val="auto"/>
        </w:rPr>
        <w:fldChar w:fldCharType="separate"/>
      </w:r>
      <w:r>
        <w:rPr>
          <w:color w:val="auto"/>
        </w:rPr>
        <w:t>68</w:t>
      </w:r>
      <w:r>
        <w:rPr>
          <w:color w:val="auto"/>
        </w:rPr>
        <w:fldChar w:fldCharType="end"/>
      </w:r>
      <w:r>
        <w:rPr>
          <w:color w:val="auto"/>
        </w:rPr>
        <w:fldChar w:fldCharType="end"/>
      </w:r>
    </w:p>
    <w:p w14:paraId="3DA8E860">
      <w:pPr>
        <w:pStyle w:val="9"/>
        <w:spacing w:before="0" w:after="0" w:line="360" w:lineRule="auto"/>
        <w:ind w:right="0"/>
        <w:jc w:val="left"/>
        <w:rPr>
          <w:bCs/>
          <w:color w:val="auto"/>
          <w:sz w:val="24"/>
          <w:szCs w:val="24"/>
        </w:rPr>
      </w:pPr>
      <w:r>
        <w:rPr>
          <w:color w:val="auto"/>
        </w:rPr>
        <w:fldChar w:fldCharType="end"/>
      </w:r>
      <w:r>
        <w:rPr>
          <w:bCs/>
          <w:color w:val="auto"/>
          <w:sz w:val="24"/>
          <w:szCs w:val="24"/>
        </w:rPr>
        <w:t>附件1   备案证</w:t>
      </w:r>
    </w:p>
    <w:p w14:paraId="68D9EB55">
      <w:pPr>
        <w:pStyle w:val="9"/>
        <w:spacing w:before="0" w:after="0" w:line="360" w:lineRule="auto"/>
        <w:ind w:right="0"/>
        <w:jc w:val="left"/>
        <w:rPr>
          <w:rFonts w:hint="eastAsia"/>
          <w:bCs/>
          <w:color w:val="auto"/>
          <w:sz w:val="24"/>
          <w:szCs w:val="24"/>
          <w:lang w:val="en-US" w:eastAsia="zh-CN"/>
        </w:rPr>
      </w:pPr>
      <w:r>
        <w:rPr>
          <w:bCs/>
          <w:color w:val="auto"/>
          <w:sz w:val="24"/>
          <w:szCs w:val="24"/>
        </w:rPr>
        <w:t>附件</w:t>
      </w:r>
      <w:r>
        <w:rPr>
          <w:rFonts w:hint="eastAsia"/>
          <w:bCs/>
          <w:color w:val="auto"/>
          <w:sz w:val="24"/>
          <w:szCs w:val="24"/>
        </w:rPr>
        <w:t>2</w:t>
      </w:r>
      <w:r>
        <w:rPr>
          <w:bCs/>
          <w:color w:val="auto"/>
          <w:sz w:val="24"/>
          <w:szCs w:val="24"/>
        </w:rPr>
        <w:t xml:space="preserve">   </w:t>
      </w:r>
      <w:r>
        <w:rPr>
          <w:rFonts w:hint="eastAsia"/>
          <w:bCs/>
          <w:color w:val="auto"/>
          <w:sz w:val="24"/>
          <w:szCs w:val="24"/>
          <w:lang w:val="en-US" w:eastAsia="zh-CN"/>
        </w:rPr>
        <w:t>委托书</w:t>
      </w:r>
    </w:p>
    <w:p w14:paraId="6A29A946">
      <w:pPr>
        <w:pStyle w:val="9"/>
        <w:spacing w:before="0" w:after="0" w:line="360" w:lineRule="auto"/>
        <w:ind w:right="0"/>
        <w:jc w:val="left"/>
        <w:rPr>
          <w:bCs/>
          <w:color w:val="auto"/>
          <w:sz w:val="24"/>
          <w:szCs w:val="24"/>
        </w:rPr>
      </w:pPr>
      <w:r>
        <w:rPr>
          <w:bCs/>
          <w:color w:val="auto"/>
          <w:sz w:val="24"/>
          <w:szCs w:val="24"/>
        </w:rPr>
        <w:t>附件</w:t>
      </w:r>
      <w:r>
        <w:rPr>
          <w:rFonts w:hint="eastAsia"/>
          <w:bCs/>
          <w:color w:val="auto"/>
          <w:sz w:val="24"/>
          <w:szCs w:val="24"/>
        </w:rPr>
        <w:t>3</w:t>
      </w:r>
      <w:r>
        <w:rPr>
          <w:bCs/>
          <w:color w:val="auto"/>
          <w:sz w:val="24"/>
          <w:szCs w:val="24"/>
        </w:rPr>
        <w:t xml:space="preserve">   技术服务合同</w:t>
      </w:r>
    </w:p>
    <w:p w14:paraId="7F3E8D32">
      <w:pPr>
        <w:pStyle w:val="9"/>
        <w:spacing w:before="0" w:after="0" w:line="360" w:lineRule="auto"/>
        <w:ind w:right="0"/>
        <w:jc w:val="left"/>
        <w:rPr>
          <w:bCs/>
          <w:color w:val="auto"/>
          <w:sz w:val="24"/>
          <w:szCs w:val="24"/>
        </w:rPr>
      </w:pPr>
      <w:r>
        <w:rPr>
          <w:bCs/>
          <w:color w:val="auto"/>
          <w:sz w:val="24"/>
          <w:szCs w:val="24"/>
        </w:rPr>
        <w:t>附件</w:t>
      </w:r>
      <w:r>
        <w:rPr>
          <w:rFonts w:hint="eastAsia"/>
          <w:bCs/>
          <w:color w:val="auto"/>
          <w:sz w:val="24"/>
          <w:szCs w:val="24"/>
          <w:lang w:val="en-US" w:eastAsia="zh-CN"/>
        </w:rPr>
        <w:t>4</w:t>
      </w:r>
      <w:r>
        <w:rPr>
          <w:bCs/>
          <w:color w:val="auto"/>
          <w:sz w:val="24"/>
          <w:szCs w:val="24"/>
        </w:rPr>
        <w:t xml:space="preserve">   信用承诺书</w:t>
      </w:r>
    </w:p>
    <w:p w14:paraId="065FEF16">
      <w:pPr>
        <w:pStyle w:val="9"/>
        <w:spacing w:before="0" w:after="0" w:line="360" w:lineRule="auto"/>
        <w:ind w:right="0"/>
        <w:jc w:val="left"/>
        <w:rPr>
          <w:bCs/>
          <w:color w:val="auto"/>
          <w:sz w:val="24"/>
          <w:szCs w:val="24"/>
        </w:rPr>
      </w:pPr>
      <w:r>
        <w:rPr>
          <w:bCs/>
          <w:color w:val="auto"/>
          <w:sz w:val="24"/>
          <w:szCs w:val="24"/>
        </w:rPr>
        <w:t>附件</w:t>
      </w:r>
      <w:r>
        <w:rPr>
          <w:rFonts w:hint="eastAsia"/>
          <w:bCs/>
          <w:color w:val="auto"/>
          <w:sz w:val="24"/>
          <w:szCs w:val="24"/>
          <w:lang w:val="en-US" w:eastAsia="zh-CN"/>
        </w:rPr>
        <w:t>5</w:t>
      </w:r>
      <w:r>
        <w:rPr>
          <w:rFonts w:hint="eastAsia"/>
          <w:bCs/>
          <w:color w:val="auto"/>
          <w:sz w:val="24"/>
          <w:szCs w:val="24"/>
        </w:rPr>
        <w:t xml:space="preserve"> </w:t>
      </w:r>
      <w:r>
        <w:rPr>
          <w:bCs/>
          <w:color w:val="auto"/>
          <w:sz w:val="24"/>
          <w:szCs w:val="24"/>
        </w:rPr>
        <w:t xml:space="preserve">  建设单位营业执照、法人身份证</w:t>
      </w:r>
    </w:p>
    <w:p w14:paraId="52ACD5AC">
      <w:pPr>
        <w:pStyle w:val="9"/>
        <w:spacing w:before="0" w:after="0" w:line="360" w:lineRule="auto"/>
        <w:ind w:right="0"/>
        <w:jc w:val="left"/>
        <w:rPr>
          <w:bCs/>
          <w:color w:val="auto"/>
          <w:sz w:val="24"/>
          <w:szCs w:val="24"/>
        </w:rPr>
      </w:pPr>
      <w:r>
        <w:rPr>
          <w:bCs/>
          <w:color w:val="auto"/>
          <w:sz w:val="24"/>
          <w:szCs w:val="24"/>
        </w:rPr>
        <w:t>附件</w:t>
      </w:r>
      <w:r>
        <w:rPr>
          <w:rFonts w:hint="eastAsia"/>
          <w:bCs/>
          <w:color w:val="auto"/>
          <w:sz w:val="24"/>
          <w:szCs w:val="24"/>
          <w:lang w:val="en-US" w:eastAsia="zh-CN"/>
        </w:rPr>
        <w:t>6</w:t>
      </w:r>
      <w:r>
        <w:rPr>
          <w:bCs/>
          <w:color w:val="auto"/>
          <w:sz w:val="24"/>
          <w:szCs w:val="24"/>
        </w:rPr>
        <w:t xml:space="preserve">   园区规划环评报告书审查意见</w:t>
      </w:r>
    </w:p>
    <w:p w14:paraId="68AF017E">
      <w:pPr>
        <w:pStyle w:val="9"/>
        <w:spacing w:before="0" w:after="0" w:line="360" w:lineRule="auto"/>
        <w:ind w:right="0"/>
        <w:jc w:val="left"/>
        <w:rPr>
          <w:bCs/>
          <w:color w:val="auto"/>
          <w:sz w:val="24"/>
          <w:szCs w:val="24"/>
        </w:rPr>
      </w:pPr>
      <w:r>
        <w:rPr>
          <w:rFonts w:hint="eastAsia"/>
          <w:bCs/>
          <w:color w:val="auto"/>
          <w:sz w:val="24"/>
          <w:szCs w:val="24"/>
        </w:rPr>
        <w:t>附件</w:t>
      </w:r>
      <w:r>
        <w:rPr>
          <w:rFonts w:hint="eastAsia"/>
          <w:bCs/>
          <w:color w:val="auto"/>
          <w:sz w:val="24"/>
          <w:szCs w:val="24"/>
          <w:lang w:val="en-US" w:eastAsia="zh-CN"/>
        </w:rPr>
        <w:t>7</w:t>
      </w:r>
      <w:r>
        <w:rPr>
          <w:rFonts w:hint="eastAsia"/>
          <w:bCs/>
          <w:color w:val="auto"/>
          <w:sz w:val="24"/>
          <w:szCs w:val="24"/>
        </w:rPr>
        <w:t xml:space="preserve">   项目生态环境分区管控服务系统分析报告</w:t>
      </w:r>
    </w:p>
    <w:p w14:paraId="296F0FD5">
      <w:pPr>
        <w:pStyle w:val="9"/>
        <w:spacing w:before="0" w:after="0" w:line="360" w:lineRule="auto"/>
        <w:ind w:right="0"/>
        <w:jc w:val="left"/>
        <w:rPr>
          <w:bCs/>
          <w:color w:val="auto"/>
          <w:sz w:val="24"/>
          <w:szCs w:val="24"/>
        </w:rPr>
      </w:pPr>
      <w:r>
        <w:rPr>
          <w:bCs/>
          <w:color w:val="auto"/>
          <w:sz w:val="24"/>
          <w:szCs w:val="24"/>
        </w:rPr>
        <w:t>附件</w:t>
      </w:r>
      <w:r>
        <w:rPr>
          <w:rFonts w:hint="eastAsia"/>
          <w:bCs/>
          <w:color w:val="auto"/>
          <w:sz w:val="24"/>
          <w:szCs w:val="24"/>
          <w:lang w:val="en-US" w:eastAsia="zh-CN"/>
        </w:rPr>
        <w:t>8</w:t>
      </w:r>
      <w:r>
        <w:rPr>
          <w:bCs/>
          <w:color w:val="auto"/>
          <w:sz w:val="24"/>
          <w:szCs w:val="24"/>
        </w:rPr>
        <w:t xml:space="preserve">  </w:t>
      </w:r>
      <w:r>
        <w:rPr>
          <w:rFonts w:hint="eastAsia"/>
          <w:bCs/>
          <w:color w:val="auto"/>
          <w:sz w:val="24"/>
          <w:szCs w:val="24"/>
        </w:rPr>
        <w:t xml:space="preserve"> 江苏省工业和信息化厅厅长信箱对“关于连铸连轧是否属于铸造的咨询”的回复截图</w:t>
      </w:r>
    </w:p>
    <w:p w14:paraId="70C60B13">
      <w:pPr>
        <w:pStyle w:val="9"/>
        <w:spacing w:before="0" w:after="0" w:line="360" w:lineRule="auto"/>
        <w:ind w:right="0"/>
        <w:jc w:val="left"/>
        <w:rPr>
          <w:bCs/>
          <w:color w:val="auto"/>
          <w:sz w:val="24"/>
          <w:szCs w:val="24"/>
        </w:rPr>
      </w:pPr>
      <w:r>
        <w:rPr>
          <w:rFonts w:hint="eastAsia"/>
          <w:bCs/>
          <w:color w:val="auto"/>
          <w:sz w:val="24"/>
          <w:szCs w:val="24"/>
        </w:rPr>
        <w:t>附件</w:t>
      </w:r>
      <w:r>
        <w:rPr>
          <w:rFonts w:hint="eastAsia"/>
          <w:bCs/>
          <w:color w:val="auto"/>
          <w:sz w:val="24"/>
          <w:szCs w:val="24"/>
          <w:lang w:val="en-US" w:eastAsia="zh-CN"/>
        </w:rPr>
        <w:t>9</w:t>
      </w:r>
      <w:r>
        <w:rPr>
          <w:rFonts w:hint="eastAsia"/>
          <w:bCs/>
          <w:color w:val="auto"/>
          <w:sz w:val="24"/>
          <w:szCs w:val="24"/>
        </w:rPr>
        <w:t xml:space="preserve"> </w:t>
      </w:r>
      <w:r>
        <w:rPr>
          <w:rFonts w:hint="eastAsia"/>
          <w:bCs/>
          <w:color w:val="auto"/>
          <w:sz w:val="24"/>
          <w:szCs w:val="24"/>
          <w:lang w:val="en-US" w:eastAsia="zh-CN"/>
        </w:rPr>
        <w:t xml:space="preserve"> </w:t>
      </w:r>
      <w:r>
        <w:rPr>
          <w:rFonts w:hint="eastAsia"/>
          <w:bCs/>
          <w:color w:val="auto"/>
          <w:sz w:val="24"/>
          <w:szCs w:val="24"/>
        </w:rPr>
        <w:t xml:space="preserve"> </w:t>
      </w:r>
      <w:r>
        <w:rPr>
          <w:bCs/>
          <w:color w:val="auto"/>
          <w:sz w:val="24"/>
          <w:szCs w:val="24"/>
        </w:rPr>
        <w:t>石墨鳞片MSDS报告</w:t>
      </w:r>
    </w:p>
    <w:p w14:paraId="0FBC4577">
      <w:pPr>
        <w:pStyle w:val="9"/>
        <w:spacing w:before="0" w:after="0" w:line="360" w:lineRule="auto"/>
        <w:ind w:right="0"/>
        <w:jc w:val="left"/>
        <w:rPr>
          <w:bCs/>
          <w:color w:val="auto"/>
          <w:sz w:val="24"/>
          <w:szCs w:val="24"/>
        </w:rPr>
      </w:pPr>
      <w:r>
        <w:rPr>
          <w:bCs/>
          <w:color w:val="auto"/>
          <w:sz w:val="24"/>
          <w:szCs w:val="24"/>
        </w:rPr>
        <w:t>附件</w:t>
      </w:r>
      <w:r>
        <w:rPr>
          <w:rFonts w:hint="eastAsia"/>
          <w:bCs/>
          <w:color w:val="auto"/>
          <w:sz w:val="24"/>
          <w:szCs w:val="24"/>
          <w:lang w:val="en-US" w:eastAsia="zh-CN"/>
        </w:rPr>
        <w:t>10</w:t>
      </w:r>
      <w:r>
        <w:rPr>
          <w:bCs/>
          <w:color w:val="auto"/>
          <w:sz w:val="24"/>
          <w:szCs w:val="24"/>
        </w:rPr>
        <w:t xml:space="preserve"> </w:t>
      </w:r>
      <w:r>
        <w:rPr>
          <w:rFonts w:hint="eastAsia"/>
          <w:bCs/>
          <w:color w:val="auto"/>
          <w:sz w:val="24"/>
          <w:szCs w:val="24"/>
          <w:lang w:val="en-US" w:eastAsia="zh-CN"/>
        </w:rPr>
        <w:t xml:space="preserve"> </w:t>
      </w:r>
      <w:r>
        <w:rPr>
          <w:bCs/>
          <w:color w:val="auto"/>
          <w:sz w:val="24"/>
          <w:szCs w:val="24"/>
        </w:rPr>
        <w:t xml:space="preserve"> 《关于对江苏恒轩新材料科技有限公司年产10万吨低氧铜杆项目环境影响报告表的批复》（宿环建管表</w:t>
      </w:r>
      <w:r>
        <w:rPr>
          <w:rFonts w:eastAsiaTheme="minorEastAsia"/>
          <w:color w:val="auto"/>
          <w:kern w:val="2"/>
          <w:sz w:val="24"/>
          <w:szCs w:val="21"/>
        </w:rPr>
        <w:t>〔2024〕20104号</w:t>
      </w:r>
      <w:r>
        <w:rPr>
          <w:bCs/>
          <w:color w:val="auto"/>
          <w:sz w:val="24"/>
          <w:szCs w:val="24"/>
        </w:rPr>
        <w:t>）</w:t>
      </w:r>
    </w:p>
    <w:p w14:paraId="1750E444">
      <w:pPr>
        <w:pStyle w:val="9"/>
        <w:spacing w:before="0" w:after="0" w:line="360" w:lineRule="auto"/>
        <w:ind w:right="0"/>
        <w:jc w:val="left"/>
        <w:rPr>
          <w:bCs/>
          <w:color w:val="auto"/>
          <w:sz w:val="24"/>
          <w:szCs w:val="24"/>
        </w:rPr>
      </w:pPr>
      <w:r>
        <w:rPr>
          <w:rFonts w:hint="eastAsia"/>
          <w:bCs/>
          <w:color w:val="auto"/>
          <w:sz w:val="24"/>
          <w:szCs w:val="24"/>
        </w:rPr>
        <w:t>附件</w:t>
      </w:r>
      <w:r>
        <w:rPr>
          <w:rFonts w:hint="eastAsia"/>
          <w:bCs/>
          <w:color w:val="auto"/>
          <w:sz w:val="24"/>
          <w:szCs w:val="24"/>
          <w:lang w:val="en-US" w:eastAsia="zh-CN"/>
        </w:rPr>
        <w:t>11</w:t>
      </w:r>
      <w:r>
        <w:rPr>
          <w:rFonts w:hint="eastAsia"/>
          <w:bCs/>
          <w:color w:val="auto"/>
          <w:sz w:val="24"/>
          <w:szCs w:val="24"/>
        </w:rPr>
        <w:t xml:space="preserve">  </w:t>
      </w:r>
      <w:r>
        <w:rPr>
          <w:bCs/>
          <w:color w:val="auto"/>
          <w:sz w:val="24"/>
          <w:szCs w:val="24"/>
        </w:rPr>
        <w:t>年产10万吨低氧铜杆项目</w:t>
      </w:r>
      <w:r>
        <w:rPr>
          <w:rFonts w:hint="eastAsia"/>
          <w:bCs/>
          <w:color w:val="auto"/>
          <w:sz w:val="24"/>
          <w:szCs w:val="24"/>
        </w:rPr>
        <w:t>竣工环境保护验收意见</w:t>
      </w:r>
    </w:p>
    <w:p w14:paraId="2A262989">
      <w:pPr>
        <w:pStyle w:val="9"/>
        <w:spacing w:before="0" w:after="0" w:line="360" w:lineRule="auto"/>
        <w:ind w:right="0"/>
        <w:jc w:val="left"/>
        <w:rPr>
          <w:bCs/>
          <w:color w:val="auto"/>
          <w:sz w:val="24"/>
          <w:szCs w:val="24"/>
        </w:rPr>
      </w:pPr>
      <w:r>
        <w:rPr>
          <w:bCs/>
          <w:color w:val="auto"/>
          <w:sz w:val="24"/>
          <w:szCs w:val="24"/>
        </w:rPr>
        <w:t>附件</w:t>
      </w:r>
      <w:r>
        <w:rPr>
          <w:rFonts w:hint="eastAsia"/>
          <w:bCs/>
          <w:color w:val="auto"/>
          <w:sz w:val="24"/>
          <w:szCs w:val="24"/>
        </w:rPr>
        <w:t>1</w:t>
      </w:r>
      <w:r>
        <w:rPr>
          <w:rFonts w:hint="eastAsia"/>
          <w:bCs/>
          <w:color w:val="auto"/>
          <w:sz w:val="24"/>
          <w:szCs w:val="24"/>
          <w:lang w:val="en-US" w:eastAsia="zh-CN"/>
        </w:rPr>
        <w:t>2</w:t>
      </w:r>
      <w:r>
        <w:rPr>
          <w:bCs/>
          <w:color w:val="auto"/>
          <w:sz w:val="24"/>
          <w:szCs w:val="24"/>
        </w:rPr>
        <w:t xml:space="preserve">  《关于对江苏恒轩新材料科技有限公司年产</w:t>
      </w:r>
      <w:r>
        <w:rPr>
          <w:rFonts w:hint="eastAsia"/>
          <w:bCs/>
          <w:color w:val="auto"/>
          <w:sz w:val="24"/>
          <w:szCs w:val="24"/>
        </w:rPr>
        <w:t>1.6万</w:t>
      </w:r>
      <w:r>
        <w:rPr>
          <w:bCs/>
          <w:color w:val="auto"/>
          <w:sz w:val="24"/>
          <w:szCs w:val="24"/>
        </w:rPr>
        <w:t>吨</w:t>
      </w:r>
      <w:r>
        <w:rPr>
          <w:rFonts w:hint="eastAsia"/>
          <w:bCs/>
          <w:color w:val="auto"/>
          <w:sz w:val="24"/>
          <w:szCs w:val="24"/>
        </w:rPr>
        <w:t>无</w:t>
      </w:r>
      <w:r>
        <w:rPr>
          <w:bCs/>
          <w:color w:val="auto"/>
          <w:sz w:val="24"/>
          <w:szCs w:val="24"/>
        </w:rPr>
        <w:t>氧铜杆项目环境影响报告表的批复》（宿环建管表</w:t>
      </w:r>
      <w:r>
        <w:rPr>
          <w:rFonts w:eastAsiaTheme="minorEastAsia"/>
          <w:color w:val="auto"/>
          <w:kern w:val="2"/>
          <w:sz w:val="24"/>
          <w:szCs w:val="21"/>
        </w:rPr>
        <w:t>〔</w:t>
      </w:r>
      <w:r>
        <w:rPr>
          <w:rFonts w:hint="eastAsia" w:eastAsiaTheme="minorEastAsia"/>
          <w:color w:val="auto"/>
          <w:kern w:val="2"/>
          <w:sz w:val="24"/>
          <w:szCs w:val="21"/>
        </w:rPr>
        <w:t>2025</w:t>
      </w:r>
      <w:r>
        <w:rPr>
          <w:rFonts w:eastAsiaTheme="minorEastAsia"/>
          <w:color w:val="auto"/>
          <w:kern w:val="2"/>
          <w:sz w:val="24"/>
          <w:szCs w:val="21"/>
        </w:rPr>
        <w:t>〕20</w:t>
      </w:r>
      <w:r>
        <w:rPr>
          <w:rFonts w:hint="eastAsia" w:eastAsiaTheme="minorEastAsia"/>
          <w:color w:val="auto"/>
          <w:kern w:val="2"/>
          <w:sz w:val="24"/>
          <w:szCs w:val="21"/>
        </w:rPr>
        <w:t>011</w:t>
      </w:r>
      <w:r>
        <w:rPr>
          <w:rFonts w:eastAsiaTheme="minorEastAsia"/>
          <w:color w:val="auto"/>
          <w:kern w:val="2"/>
          <w:sz w:val="24"/>
          <w:szCs w:val="21"/>
        </w:rPr>
        <w:t>号</w:t>
      </w:r>
      <w:r>
        <w:rPr>
          <w:bCs/>
          <w:color w:val="auto"/>
          <w:sz w:val="24"/>
          <w:szCs w:val="24"/>
        </w:rPr>
        <w:t>）</w:t>
      </w:r>
    </w:p>
    <w:p w14:paraId="267AF3AF">
      <w:pPr>
        <w:pStyle w:val="9"/>
        <w:spacing w:before="0" w:after="0" w:line="360" w:lineRule="auto"/>
        <w:ind w:right="0"/>
        <w:jc w:val="left"/>
        <w:rPr>
          <w:bCs/>
          <w:color w:val="auto"/>
          <w:sz w:val="24"/>
          <w:szCs w:val="24"/>
        </w:rPr>
      </w:pPr>
      <w:r>
        <w:rPr>
          <w:rFonts w:hint="eastAsia"/>
          <w:bCs/>
          <w:color w:val="auto"/>
          <w:sz w:val="24"/>
          <w:szCs w:val="24"/>
        </w:rPr>
        <w:t>附件1</w:t>
      </w:r>
      <w:r>
        <w:rPr>
          <w:rFonts w:hint="eastAsia"/>
          <w:bCs/>
          <w:color w:val="auto"/>
          <w:sz w:val="24"/>
          <w:szCs w:val="24"/>
          <w:lang w:val="en-US" w:eastAsia="zh-CN"/>
        </w:rPr>
        <w:t>3</w:t>
      </w:r>
      <w:r>
        <w:rPr>
          <w:rFonts w:hint="eastAsia"/>
          <w:bCs/>
          <w:color w:val="auto"/>
          <w:sz w:val="24"/>
          <w:szCs w:val="24"/>
        </w:rPr>
        <w:t xml:space="preserve">  </w:t>
      </w:r>
      <w:r>
        <w:rPr>
          <w:bCs/>
          <w:color w:val="auto"/>
          <w:sz w:val="24"/>
          <w:szCs w:val="24"/>
        </w:rPr>
        <w:t>年产</w:t>
      </w:r>
      <w:r>
        <w:rPr>
          <w:rFonts w:hint="eastAsia"/>
          <w:bCs/>
          <w:color w:val="auto"/>
          <w:sz w:val="24"/>
          <w:szCs w:val="24"/>
        </w:rPr>
        <w:t>1.6万</w:t>
      </w:r>
      <w:r>
        <w:rPr>
          <w:bCs/>
          <w:color w:val="auto"/>
          <w:sz w:val="24"/>
          <w:szCs w:val="24"/>
        </w:rPr>
        <w:t>吨</w:t>
      </w:r>
      <w:r>
        <w:rPr>
          <w:rFonts w:hint="eastAsia"/>
          <w:bCs/>
          <w:color w:val="auto"/>
          <w:sz w:val="24"/>
          <w:szCs w:val="24"/>
        </w:rPr>
        <w:t>无</w:t>
      </w:r>
      <w:r>
        <w:rPr>
          <w:bCs/>
          <w:color w:val="auto"/>
          <w:sz w:val="24"/>
          <w:szCs w:val="24"/>
        </w:rPr>
        <w:t>氧铜杆项目</w:t>
      </w:r>
      <w:r>
        <w:rPr>
          <w:rFonts w:hint="eastAsia"/>
          <w:bCs/>
          <w:color w:val="auto"/>
          <w:sz w:val="24"/>
          <w:szCs w:val="24"/>
        </w:rPr>
        <w:t>竣工环境保护验收意见</w:t>
      </w:r>
    </w:p>
    <w:p w14:paraId="40D08695">
      <w:pPr>
        <w:pStyle w:val="9"/>
        <w:spacing w:before="0" w:after="0" w:line="360" w:lineRule="auto"/>
        <w:ind w:right="0"/>
        <w:jc w:val="left"/>
        <w:rPr>
          <w:bCs/>
          <w:color w:val="auto"/>
          <w:sz w:val="24"/>
          <w:szCs w:val="24"/>
        </w:rPr>
      </w:pPr>
      <w:r>
        <w:rPr>
          <w:bCs/>
          <w:color w:val="auto"/>
          <w:sz w:val="24"/>
          <w:szCs w:val="24"/>
        </w:rPr>
        <w:t>附件</w:t>
      </w:r>
      <w:r>
        <w:rPr>
          <w:rFonts w:hint="eastAsia"/>
          <w:bCs/>
          <w:color w:val="auto"/>
          <w:sz w:val="24"/>
          <w:szCs w:val="24"/>
        </w:rPr>
        <w:t>1</w:t>
      </w:r>
      <w:r>
        <w:rPr>
          <w:rFonts w:hint="eastAsia"/>
          <w:bCs/>
          <w:color w:val="auto"/>
          <w:sz w:val="24"/>
          <w:szCs w:val="24"/>
          <w:lang w:val="en-US" w:eastAsia="zh-CN"/>
        </w:rPr>
        <w:t>4</w:t>
      </w:r>
      <w:r>
        <w:rPr>
          <w:bCs/>
          <w:color w:val="auto"/>
          <w:sz w:val="24"/>
          <w:szCs w:val="24"/>
        </w:rPr>
        <w:t xml:space="preserve">  </w:t>
      </w:r>
      <w:r>
        <w:rPr>
          <w:rFonts w:hint="eastAsia"/>
          <w:bCs/>
          <w:color w:val="auto"/>
          <w:sz w:val="24"/>
          <w:szCs w:val="24"/>
        </w:rPr>
        <w:t>排污许可证</w:t>
      </w:r>
    </w:p>
    <w:p w14:paraId="0DC0C845">
      <w:pPr>
        <w:pStyle w:val="9"/>
        <w:spacing w:before="0" w:after="0" w:line="360" w:lineRule="auto"/>
        <w:ind w:right="0"/>
        <w:jc w:val="left"/>
        <w:rPr>
          <w:bCs/>
          <w:color w:val="auto"/>
          <w:sz w:val="24"/>
          <w:szCs w:val="24"/>
        </w:rPr>
      </w:pPr>
      <w:r>
        <w:rPr>
          <w:rFonts w:hint="eastAsia"/>
          <w:bCs/>
          <w:color w:val="auto"/>
          <w:sz w:val="24"/>
          <w:szCs w:val="24"/>
        </w:rPr>
        <w:t>附件1</w:t>
      </w:r>
      <w:r>
        <w:rPr>
          <w:rFonts w:hint="eastAsia"/>
          <w:bCs/>
          <w:color w:val="auto"/>
          <w:sz w:val="24"/>
          <w:szCs w:val="24"/>
          <w:lang w:val="en-US" w:eastAsia="zh-CN"/>
        </w:rPr>
        <w:t>5</w:t>
      </w:r>
      <w:r>
        <w:rPr>
          <w:rFonts w:hint="eastAsia"/>
          <w:bCs/>
          <w:color w:val="auto"/>
          <w:sz w:val="24"/>
          <w:szCs w:val="24"/>
        </w:rPr>
        <w:t xml:space="preserve">  应急预案备案表</w:t>
      </w:r>
    </w:p>
    <w:p w14:paraId="52A25E1C">
      <w:pPr>
        <w:pStyle w:val="9"/>
        <w:spacing w:before="0" w:after="0" w:line="360" w:lineRule="auto"/>
        <w:ind w:right="0"/>
        <w:jc w:val="left"/>
        <w:rPr>
          <w:bCs/>
          <w:color w:val="auto"/>
          <w:sz w:val="24"/>
          <w:szCs w:val="24"/>
        </w:rPr>
      </w:pPr>
      <w:r>
        <w:rPr>
          <w:rFonts w:hint="eastAsia"/>
          <w:bCs/>
          <w:color w:val="auto"/>
          <w:sz w:val="24"/>
          <w:szCs w:val="24"/>
        </w:rPr>
        <w:t>附件1</w:t>
      </w:r>
      <w:r>
        <w:rPr>
          <w:rFonts w:hint="eastAsia"/>
          <w:bCs/>
          <w:color w:val="auto"/>
          <w:sz w:val="24"/>
          <w:szCs w:val="24"/>
          <w:lang w:val="en-US" w:eastAsia="zh-CN"/>
        </w:rPr>
        <w:t>6</w:t>
      </w:r>
      <w:r>
        <w:rPr>
          <w:rFonts w:hint="eastAsia"/>
          <w:bCs/>
          <w:color w:val="auto"/>
          <w:sz w:val="24"/>
          <w:szCs w:val="24"/>
        </w:rPr>
        <w:t xml:space="preserve">  应急管理一张图</w:t>
      </w:r>
    </w:p>
    <w:p w14:paraId="5781ACD9">
      <w:pPr>
        <w:pStyle w:val="9"/>
        <w:spacing w:before="0" w:after="0" w:line="360" w:lineRule="auto"/>
        <w:ind w:right="0"/>
        <w:jc w:val="left"/>
        <w:rPr>
          <w:bCs/>
          <w:color w:val="auto"/>
          <w:sz w:val="24"/>
          <w:szCs w:val="24"/>
        </w:rPr>
      </w:pPr>
      <w:r>
        <w:rPr>
          <w:rFonts w:hint="eastAsia"/>
          <w:bCs/>
          <w:color w:val="auto"/>
          <w:sz w:val="24"/>
          <w:szCs w:val="24"/>
        </w:rPr>
        <w:t>附件1</w:t>
      </w:r>
      <w:r>
        <w:rPr>
          <w:rFonts w:hint="eastAsia"/>
          <w:bCs/>
          <w:color w:val="auto"/>
          <w:sz w:val="24"/>
          <w:szCs w:val="24"/>
          <w:lang w:val="en-US" w:eastAsia="zh-CN"/>
        </w:rPr>
        <w:t>7</w:t>
      </w:r>
      <w:r>
        <w:rPr>
          <w:rFonts w:hint="eastAsia"/>
          <w:bCs/>
          <w:color w:val="auto"/>
          <w:sz w:val="24"/>
          <w:szCs w:val="24"/>
        </w:rPr>
        <w:t xml:space="preserve">  </w:t>
      </w:r>
      <w:r>
        <w:rPr>
          <w:bCs/>
          <w:color w:val="auto"/>
          <w:sz w:val="24"/>
          <w:szCs w:val="24"/>
        </w:rPr>
        <w:t>现场踏勘记录表</w:t>
      </w:r>
    </w:p>
    <w:p w14:paraId="3BEAF799">
      <w:pPr>
        <w:pStyle w:val="9"/>
        <w:spacing w:before="0" w:after="0" w:line="360" w:lineRule="auto"/>
        <w:ind w:right="0"/>
        <w:jc w:val="left"/>
        <w:rPr>
          <w:rFonts w:hint="eastAsia"/>
          <w:bCs/>
          <w:color w:val="auto"/>
          <w:sz w:val="24"/>
          <w:szCs w:val="24"/>
          <w:lang w:val="en-US" w:eastAsia="zh-CN"/>
        </w:rPr>
      </w:pPr>
      <w:r>
        <w:rPr>
          <w:rFonts w:hint="eastAsia"/>
          <w:bCs/>
          <w:color w:val="auto"/>
          <w:sz w:val="24"/>
          <w:szCs w:val="24"/>
          <w:lang w:val="en-US" w:eastAsia="zh-CN"/>
        </w:rPr>
        <w:t>附件18  总量使用凭证</w:t>
      </w:r>
    </w:p>
    <w:p w14:paraId="7507F998">
      <w:pPr>
        <w:pStyle w:val="9"/>
        <w:spacing w:before="0" w:after="0" w:line="360" w:lineRule="auto"/>
        <w:ind w:right="0"/>
        <w:jc w:val="left"/>
        <w:rPr>
          <w:rFonts w:hint="default"/>
          <w:bCs/>
          <w:color w:val="auto"/>
          <w:sz w:val="24"/>
          <w:szCs w:val="24"/>
          <w:lang w:val="en-US" w:eastAsia="zh-CN"/>
        </w:rPr>
      </w:pPr>
    </w:p>
    <w:p w14:paraId="00CA1F98">
      <w:pPr>
        <w:pStyle w:val="9"/>
        <w:spacing w:before="0" w:after="0" w:line="360" w:lineRule="auto"/>
        <w:ind w:right="0"/>
        <w:jc w:val="left"/>
        <w:rPr>
          <w:bCs/>
          <w:color w:val="auto"/>
          <w:sz w:val="24"/>
          <w:szCs w:val="24"/>
        </w:rPr>
      </w:pPr>
      <w:r>
        <w:rPr>
          <w:bCs/>
          <w:color w:val="auto"/>
          <w:sz w:val="24"/>
          <w:szCs w:val="24"/>
        </w:rPr>
        <w:t>附图1   项目地理位置图</w:t>
      </w:r>
    </w:p>
    <w:p w14:paraId="79B60BBA">
      <w:pPr>
        <w:pStyle w:val="9"/>
        <w:spacing w:before="0" w:after="0" w:line="360" w:lineRule="auto"/>
        <w:ind w:right="0"/>
        <w:jc w:val="left"/>
        <w:rPr>
          <w:bCs/>
          <w:color w:val="auto"/>
          <w:sz w:val="24"/>
          <w:szCs w:val="24"/>
        </w:rPr>
      </w:pPr>
      <w:r>
        <w:rPr>
          <w:bCs/>
          <w:color w:val="auto"/>
          <w:sz w:val="24"/>
          <w:szCs w:val="24"/>
        </w:rPr>
        <w:t>附图2   项目</w:t>
      </w:r>
      <w:r>
        <w:rPr>
          <w:rFonts w:hint="eastAsia"/>
          <w:bCs/>
          <w:color w:val="auto"/>
          <w:sz w:val="24"/>
          <w:szCs w:val="24"/>
        </w:rPr>
        <w:t>周边</w:t>
      </w:r>
      <w:r>
        <w:rPr>
          <w:bCs/>
          <w:color w:val="auto"/>
          <w:sz w:val="24"/>
          <w:szCs w:val="24"/>
        </w:rPr>
        <w:t>概况图</w:t>
      </w:r>
    </w:p>
    <w:p w14:paraId="5413AEBD">
      <w:pPr>
        <w:pStyle w:val="9"/>
        <w:spacing w:before="0" w:after="0" w:line="360" w:lineRule="auto"/>
        <w:ind w:right="0"/>
        <w:jc w:val="left"/>
        <w:rPr>
          <w:bCs/>
          <w:color w:val="auto"/>
          <w:sz w:val="24"/>
          <w:szCs w:val="24"/>
        </w:rPr>
      </w:pPr>
      <w:r>
        <w:rPr>
          <w:bCs/>
          <w:color w:val="auto"/>
          <w:sz w:val="24"/>
          <w:szCs w:val="24"/>
        </w:rPr>
        <w:t>附图3   项目所在地总体规划图</w:t>
      </w:r>
    </w:p>
    <w:p w14:paraId="294E9419">
      <w:pPr>
        <w:pStyle w:val="9"/>
        <w:spacing w:before="0" w:after="0" w:line="360" w:lineRule="auto"/>
        <w:ind w:right="0"/>
        <w:jc w:val="left"/>
        <w:rPr>
          <w:bCs/>
          <w:color w:val="auto"/>
          <w:sz w:val="24"/>
          <w:szCs w:val="24"/>
        </w:rPr>
      </w:pPr>
      <w:r>
        <w:rPr>
          <w:bCs/>
          <w:color w:val="auto"/>
          <w:sz w:val="24"/>
          <w:szCs w:val="24"/>
        </w:rPr>
        <w:t>附图4   项目厂区平面布置图</w:t>
      </w:r>
    </w:p>
    <w:p w14:paraId="51473453">
      <w:pPr>
        <w:pStyle w:val="9"/>
        <w:spacing w:before="0" w:after="0" w:line="360" w:lineRule="auto"/>
        <w:ind w:right="0"/>
        <w:jc w:val="left"/>
        <w:rPr>
          <w:bCs/>
          <w:color w:val="auto"/>
          <w:sz w:val="24"/>
          <w:szCs w:val="24"/>
        </w:rPr>
      </w:pPr>
      <w:r>
        <w:rPr>
          <w:bCs/>
          <w:color w:val="auto"/>
          <w:sz w:val="24"/>
          <w:szCs w:val="24"/>
        </w:rPr>
        <w:t>附图5   项目在泗阳县水系图中的位置图</w:t>
      </w:r>
    </w:p>
    <w:p w14:paraId="0EE08975">
      <w:pPr>
        <w:pStyle w:val="9"/>
        <w:spacing w:before="0" w:after="0" w:line="360" w:lineRule="auto"/>
        <w:ind w:right="0"/>
        <w:jc w:val="left"/>
        <w:rPr>
          <w:bCs/>
          <w:color w:val="auto"/>
          <w:sz w:val="24"/>
          <w:szCs w:val="24"/>
        </w:rPr>
      </w:pPr>
      <w:r>
        <w:rPr>
          <w:bCs/>
          <w:color w:val="auto"/>
          <w:sz w:val="24"/>
          <w:szCs w:val="24"/>
        </w:rPr>
        <w:t>附图6   项目在江苏省生态空间保护区域分布图中的位置图</w:t>
      </w:r>
    </w:p>
    <w:p w14:paraId="1B901954">
      <w:pPr>
        <w:pStyle w:val="50"/>
        <w:ind w:firstLine="480"/>
        <w:rPr>
          <w:color w:val="auto"/>
        </w:rPr>
      </w:pPr>
      <w:bookmarkStart w:id="1" w:name="_Toc14278"/>
      <w:bookmarkStart w:id="2" w:name="_Toc24828"/>
    </w:p>
    <w:p w14:paraId="3E1369DF">
      <w:pPr>
        <w:pStyle w:val="50"/>
        <w:ind w:firstLine="480"/>
        <w:rPr>
          <w:color w:val="auto"/>
        </w:rPr>
        <w:sectPr>
          <w:footerReference r:id="rId6" w:type="default"/>
          <w:pgSz w:w="11906" w:h="16838"/>
          <w:pgMar w:top="1701" w:right="1417" w:bottom="1701" w:left="1417" w:header="851" w:footer="851" w:gutter="0"/>
          <w:pgNumType w:start="1"/>
          <w:cols w:space="720" w:num="1"/>
          <w:docGrid w:linePitch="312" w:charSpace="0"/>
        </w:sectPr>
      </w:pPr>
    </w:p>
    <w:p w14:paraId="6DE8E7E1">
      <w:pPr>
        <w:pStyle w:val="2"/>
        <w:spacing w:line="240" w:lineRule="auto"/>
        <w:rPr>
          <w:color w:val="auto"/>
        </w:rPr>
      </w:pPr>
      <w:r>
        <w:rPr>
          <w:color w:val="auto"/>
        </w:rPr>
        <w:t>一、建设项目基本情况</w:t>
      </w:r>
      <w:bookmarkEnd w:id="1"/>
      <w:bookmarkEnd w:id="2"/>
    </w:p>
    <w:tbl>
      <w:tblPr>
        <w:tblStyle w:val="17"/>
        <w:tblW w:w="952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177"/>
        <w:gridCol w:w="3393"/>
        <w:gridCol w:w="1272"/>
        <w:gridCol w:w="3682"/>
      </w:tblGrid>
      <w:tr w14:paraId="29C064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177" w:type="dxa"/>
            <w:tcMar>
              <w:top w:w="16" w:type="dxa"/>
              <w:left w:w="16" w:type="dxa"/>
              <w:right w:w="16" w:type="dxa"/>
            </w:tcMar>
            <w:vAlign w:val="center"/>
          </w:tcPr>
          <w:p w14:paraId="50B394AB">
            <w:pPr>
              <w:spacing w:line="380" w:lineRule="exact"/>
              <w:jc w:val="center"/>
              <w:rPr>
                <w:rFonts w:eastAsiaTheme="minorEastAsia"/>
                <w:color w:val="auto"/>
                <w:sz w:val="24"/>
              </w:rPr>
            </w:pPr>
            <w:r>
              <w:rPr>
                <w:rFonts w:eastAsiaTheme="minorEastAsia"/>
                <w:color w:val="auto"/>
                <w:sz w:val="24"/>
              </w:rPr>
              <w:t>建设项目</w:t>
            </w:r>
          </w:p>
          <w:p w14:paraId="221F53A2">
            <w:pPr>
              <w:spacing w:line="380" w:lineRule="exact"/>
              <w:jc w:val="center"/>
              <w:rPr>
                <w:rFonts w:eastAsiaTheme="minorEastAsia"/>
                <w:color w:val="auto"/>
                <w:sz w:val="24"/>
              </w:rPr>
            </w:pPr>
            <w:r>
              <w:rPr>
                <w:rFonts w:eastAsiaTheme="minorEastAsia"/>
                <w:color w:val="auto"/>
                <w:sz w:val="24"/>
              </w:rPr>
              <w:t>名称</w:t>
            </w:r>
          </w:p>
        </w:tc>
        <w:tc>
          <w:tcPr>
            <w:tcW w:w="8347" w:type="dxa"/>
            <w:gridSpan w:val="3"/>
            <w:vAlign w:val="center"/>
          </w:tcPr>
          <w:p w14:paraId="70BC91B2">
            <w:pPr>
              <w:spacing w:line="380" w:lineRule="exact"/>
              <w:jc w:val="center"/>
              <w:rPr>
                <w:rFonts w:eastAsiaTheme="minorEastAsia"/>
                <w:color w:val="auto"/>
                <w:sz w:val="24"/>
              </w:rPr>
            </w:pPr>
            <w:r>
              <w:rPr>
                <w:rFonts w:hint="eastAsia" w:eastAsiaTheme="minorEastAsia"/>
                <w:color w:val="auto"/>
                <w:sz w:val="24"/>
              </w:rPr>
              <w:t>年产32000吨无氧铜杆项目</w:t>
            </w:r>
          </w:p>
        </w:tc>
      </w:tr>
      <w:tr w14:paraId="02E6FF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177" w:type="dxa"/>
            <w:tcMar>
              <w:top w:w="16" w:type="dxa"/>
              <w:left w:w="16" w:type="dxa"/>
              <w:right w:w="16" w:type="dxa"/>
            </w:tcMar>
            <w:vAlign w:val="center"/>
          </w:tcPr>
          <w:p w14:paraId="4DD70CD7">
            <w:pPr>
              <w:spacing w:line="380" w:lineRule="exact"/>
              <w:jc w:val="center"/>
              <w:rPr>
                <w:rFonts w:eastAsiaTheme="minorEastAsia"/>
                <w:color w:val="auto"/>
                <w:sz w:val="24"/>
              </w:rPr>
            </w:pPr>
            <w:r>
              <w:rPr>
                <w:rFonts w:eastAsiaTheme="minorEastAsia"/>
                <w:color w:val="auto"/>
                <w:sz w:val="24"/>
              </w:rPr>
              <w:t>项目代码</w:t>
            </w:r>
          </w:p>
        </w:tc>
        <w:tc>
          <w:tcPr>
            <w:tcW w:w="8347" w:type="dxa"/>
            <w:gridSpan w:val="3"/>
            <w:vAlign w:val="center"/>
          </w:tcPr>
          <w:p w14:paraId="391B2183">
            <w:pPr>
              <w:spacing w:line="380" w:lineRule="exact"/>
              <w:jc w:val="center"/>
              <w:rPr>
                <w:rFonts w:eastAsiaTheme="minorEastAsia"/>
                <w:color w:val="auto"/>
                <w:sz w:val="24"/>
              </w:rPr>
            </w:pPr>
            <w:r>
              <w:rPr>
                <w:rFonts w:hint="eastAsia" w:eastAsiaTheme="minorEastAsia"/>
                <w:color w:val="auto"/>
                <w:sz w:val="24"/>
              </w:rPr>
              <w:t>2504-321323-89-01-930020</w:t>
            </w:r>
          </w:p>
        </w:tc>
      </w:tr>
      <w:tr w14:paraId="13E542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31" w:hRule="atLeast"/>
          <w:jc w:val="center"/>
        </w:trPr>
        <w:tc>
          <w:tcPr>
            <w:tcW w:w="1177" w:type="dxa"/>
            <w:tcMar>
              <w:top w:w="16" w:type="dxa"/>
              <w:left w:w="16" w:type="dxa"/>
              <w:right w:w="16" w:type="dxa"/>
            </w:tcMar>
            <w:vAlign w:val="center"/>
          </w:tcPr>
          <w:p w14:paraId="67BF7010">
            <w:pPr>
              <w:spacing w:line="380" w:lineRule="exact"/>
              <w:jc w:val="center"/>
              <w:rPr>
                <w:rFonts w:eastAsiaTheme="minorEastAsia"/>
                <w:color w:val="auto"/>
                <w:sz w:val="24"/>
              </w:rPr>
            </w:pPr>
            <w:r>
              <w:rPr>
                <w:rFonts w:eastAsiaTheme="minorEastAsia"/>
                <w:color w:val="auto"/>
                <w:sz w:val="24"/>
              </w:rPr>
              <w:t>建设单位</w:t>
            </w:r>
          </w:p>
          <w:p w14:paraId="246C4BD7">
            <w:pPr>
              <w:spacing w:line="380" w:lineRule="exact"/>
              <w:jc w:val="center"/>
              <w:rPr>
                <w:rFonts w:eastAsiaTheme="minorEastAsia"/>
                <w:color w:val="auto"/>
                <w:sz w:val="24"/>
              </w:rPr>
            </w:pPr>
            <w:r>
              <w:rPr>
                <w:rFonts w:eastAsiaTheme="minorEastAsia"/>
                <w:color w:val="auto"/>
                <w:sz w:val="24"/>
              </w:rPr>
              <w:t>联系人</w:t>
            </w:r>
          </w:p>
        </w:tc>
        <w:tc>
          <w:tcPr>
            <w:tcW w:w="3393" w:type="dxa"/>
            <w:vAlign w:val="center"/>
          </w:tcPr>
          <w:p w14:paraId="7F750D19">
            <w:pPr>
              <w:spacing w:line="380" w:lineRule="exact"/>
              <w:jc w:val="center"/>
              <w:rPr>
                <w:rFonts w:eastAsiaTheme="minorEastAsia"/>
                <w:color w:val="auto"/>
                <w:sz w:val="24"/>
              </w:rPr>
            </w:pPr>
            <w:r>
              <w:rPr>
                <w:rFonts w:hint="eastAsia" w:eastAsiaTheme="minorEastAsia"/>
                <w:color w:val="auto"/>
                <w:sz w:val="24"/>
              </w:rPr>
              <w:t>纪志奇</w:t>
            </w:r>
          </w:p>
        </w:tc>
        <w:tc>
          <w:tcPr>
            <w:tcW w:w="1272" w:type="dxa"/>
            <w:vAlign w:val="center"/>
          </w:tcPr>
          <w:p w14:paraId="5BC3A859">
            <w:pPr>
              <w:spacing w:line="380" w:lineRule="exact"/>
              <w:jc w:val="center"/>
              <w:rPr>
                <w:rFonts w:eastAsiaTheme="minorEastAsia"/>
                <w:color w:val="auto"/>
                <w:sz w:val="24"/>
              </w:rPr>
            </w:pPr>
            <w:r>
              <w:rPr>
                <w:rFonts w:eastAsiaTheme="minorEastAsia"/>
                <w:color w:val="auto"/>
                <w:sz w:val="24"/>
              </w:rPr>
              <w:t>联系方式</w:t>
            </w:r>
          </w:p>
        </w:tc>
        <w:tc>
          <w:tcPr>
            <w:tcW w:w="3682" w:type="dxa"/>
            <w:vAlign w:val="center"/>
          </w:tcPr>
          <w:p w14:paraId="3CAEA0FB">
            <w:pPr>
              <w:spacing w:line="380" w:lineRule="exact"/>
              <w:jc w:val="center"/>
              <w:rPr>
                <w:rFonts w:eastAsiaTheme="minorEastAsia"/>
                <w:color w:val="auto"/>
                <w:sz w:val="24"/>
              </w:rPr>
            </w:pPr>
            <w:r>
              <w:rPr>
                <w:rFonts w:eastAsiaTheme="minorEastAsia"/>
                <w:color w:val="auto"/>
                <w:sz w:val="24"/>
              </w:rPr>
              <w:t>18533617555</w:t>
            </w:r>
          </w:p>
        </w:tc>
      </w:tr>
      <w:tr w14:paraId="254787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177" w:type="dxa"/>
            <w:tcMar>
              <w:top w:w="16" w:type="dxa"/>
              <w:left w:w="16" w:type="dxa"/>
              <w:right w:w="16" w:type="dxa"/>
            </w:tcMar>
            <w:vAlign w:val="center"/>
          </w:tcPr>
          <w:p w14:paraId="11510FEA">
            <w:pPr>
              <w:spacing w:line="380" w:lineRule="exact"/>
              <w:jc w:val="center"/>
              <w:rPr>
                <w:rFonts w:eastAsiaTheme="minorEastAsia"/>
                <w:color w:val="auto"/>
                <w:sz w:val="24"/>
              </w:rPr>
            </w:pPr>
            <w:r>
              <w:rPr>
                <w:rFonts w:eastAsiaTheme="minorEastAsia"/>
                <w:color w:val="auto"/>
                <w:sz w:val="24"/>
              </w:rPr>
              <w:t>建设地点</w:t>
            </w:r>
          </w:p>
        </w:tc>
        <w:tc>
          <w:tcPr>
            <w:tcW w:w="8347" w:type="dxa"/>
            <w:gridSpan w:val="3"/>
            <w:vAlign w:val="center"/>
          </w:tcPr>
          <w:p w14:paraId="0FCFAD4A">
            <w:pPr>
              <w:spacing w:line="380" w:lineRule="exact"/>
              <w:jc w:val="center"/>
              <w:rPr>
                <w:rFonts w:eastAsiaTheme="minorEastAsia"/>
                <w:color w:val="auto"/>
                <w:sz w:val="24"/>
              </w:rPr>
            </w:pPr>
            <w:r>
              <w:rPr>
                <w:rFonts w:hint="eastAsia" w:eastAsiaTheme="minorEastAsia"/>
                <w:color w:val="auto"/>
                <w:sz w:val="24"/>
                <w:lang w:val="en-US" w:eastAsia="zh-CN"/>
              </w:rPr>
              <w:t>宿迁市</w:t>
            </w:r>
            <w:r>
              <w:rPr>
                <w:rFonts w:hint="eastAsia" w:eastAsiaTheme="minorEastAsia"/>
                <w:color w:val="auto"/>
                <w:sz w:val="24"/>
              </w:rPr>
              <w:t>泗阳县王集镇发展大道东路8号</w:t>
            </w:r>
          </w:p>
        </w:tc>
      </w:tr>
      <w:tr w14:paraId="0F1CBC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177" w:type="dxa"/>
            <w:tcMar>
              <w:top w:w="16" w:type="dxa"/>
              <w:left w:w="16" w:type="dxa"/>
              <w:right w:w="16" w:type="dxa"/>
            </w:tcMar>
            <w:vAlign w:val="center"/>
          </w:tcPr>
          <w:p w14:paraId="24941BDB">
            <w:pPr>
              <w:spacing w:line="380" w:lineRule="exact"/>
              <w:jc w:val="center"/>
              <w:rPr>
                <w:rFonts w:eastAsiaTheme="minorEastAsia"/>
                <w:color w:val="auto"/>
                <w:sz w:val="24"/>
              </w:rPr>
            </w:pPr>
            <w:r>
              <w:rPr>
                <w:rFonts w:eastAsiaTheme="minorEastAsia"/>
                <w:color w:val="auto"/>
                <w:sz w:val="24"/>
              </w:rPr>
              <w:t>地理坐标</w:t>
            </w:r>
          </w:p>
        </w:tc>
        <w:tc>
          <w:tcPr>
            <w:tcW w:w="8347" w:type="dxa"/>
            <w:gridSpan w:val="3"/>
            <w:vAlign w:val="center"/>
          </w:tcPr>
          <w:p w14:paraId="11337E21">
            <w:pPr>
              <w:spacing w:line="380" w:lineRule="exact"/>
              <w:jc w:val="center"/>
              <w:rPr>
                <w:rFonts w:eastAsiaTheme="minorEastAsia"/>
                <w:color w:val="auto"/>
                <w:sz w:val="24"/>
              </w:rPr>
            </w:pPr>
            <w:r>
              <w:rPr>
                <w:rFonts w:eastAsiaTheme="minorEastAsia"/>
                <w:color w:val="auto"/>
                <w:sz w:val="24"/>
              </w:rPr>
              <w:t xml:space="preserve">（东经 118 度 </w:t>
            </w:r>
            <w:r>
              <w:rPr>
                <w:rFonts w:hint="eastAsia" w:eastAsiaTheme="minorEastAsia"/>
                <w:color w:val="auto"/>
                <w:sz w:val="24"/>
              </w:rPr>
              <w:t>44</w:t>
            </w:r>
            <w:r>
              <w:rPr>
                <w:rFonts w:eastAsiaTheme="minorEastAsia"/>
                <w:color w:val="auto"/>
                <w:sz w:val="24"/>
              </w:rPr>
              <w:t xml:space="preserve"> 分 </w:t>
            </w:r>
            <w:r>
              <w:rPr>
                <w:rFonts w:hint="eastAsia" w:eastAsiaTheme="minorEastAsia"/>
                <w:color w:val="auto"/>
                <w:sz w:val="24"/>
              </w:rPr>
              <w:t>23.5212</w:t>
            </w:r>
            <w:r>
              <w:rPr>
                <w:rFonts w:eastAsiaTheme="minorEastAsia"/>
                <w:color w:val="auto"/>
                <w:sz w:val="24"/>
              </w:rPr>
              <w:t xml:space="preserve"> 秒，北纬 33 度 </w:t>
            </w:r>
            <w:r>
              <w:rPr>
                <w:rFonts w:hint="eastAsia" w:eastAsiaTheme="minorEastAsia"/>
                <w:color w:val="auto"/>
                <w:sz w:val="24"/>
              </w:rPr>
              <w:t>50</w:t>
            </w:r>
            <w:r>
              <w:rPr>
                <w:rFonts w:eastAsiaTheme="minorEastAsia"/>
                <w:color w:val="auto"/>
                <w:sz w:val="24"/>
              </w:rPr>
              <w:t xml:space="preserve"> 分 </w:t>
            </w:r>
            <w:r>
              <w:rPr>
                <w:rFonts w:hint="eastAsia" w:eastAsiaTheme="minorEastAsia"/>
                <w:color w:val="auto"/>
                <w:sz w:val="24"/>
              </w:rPr>
              <w:t xml:space="preserve">46.7304 </w:t>
            </w:r>
            <w:r>
              <w:rPr>
                <w:rFonts w:eastAsiaTheme="minorEastAsia"/>
                <w:color w:val="auto"/>
                <w:sz w:val="24"/>
              </w:rPr>
              <w:t>秒）</w:t>
            </w:r>
          </w:p>
        </w:tc>
      </w:tr>
      <w:tr w14:paraId="747153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76" w:hRule="atLeast"/>
          <w:jc w:val="center"/>
        </w:trPr>
        <w:tc>
          <w:tcPr>
            <w:tcW w:w="1177" w:type="dxa"/>
            <w:tcMar>
              <w:top w:w="16" w:type="dxa"/>
              <w:left w:w="16" w:type="dxa"/>
              <w:right w:w="16" w:type="dxa"/>
            </w:tcMar>
            <w:vAlign w:val="center"/>
          </w:tcPr>
          <w:p w14:paraId="24C786B9">
            <w:pPr>
              <w:spacing w:line="380" w:lineRule="exact"/>
              <w:jc w:val="center"/>
              <w:rPr>
                <w:rFonts w:eastAsiaTheme="minorEastAsia"/>
                <w:color w:val="auto"/>
                <w:sz w:val="24"/>
              </w:rPr>
            </w:pPr>
            <w:r>
              <w:rPr>
                <w:rFonts w:eastAsiaTheme="minorEastAsia"/>
                <w:color w:val="auto"/>
                <w:sz w:val="24"/>
              </w:rPr>
              <w:t>国民经济</w:t>
            </w:r>
          </w:p>
          <w:p w14:paraId="2985CB53">
            <w:pPr>
              <w:spacing w:line="380" w:lineRule="exact"/>
              <w:jc w:val="center"/>
              <w:rPr>
                <w:rFonts w:eastAsiaTheme="minorEastAsia"/>
                <w:color w:val="auto"/>
                <w:sz w:val="24"/>
              </w:rPr>
            </w:pPr>
            <w:r>
              <w:rPr>
                <w:rFonts w:eastAsiaTheme="minorEastAsia"/>
                <w:color w:val="auto"/>
                <w:sz w:val="24"/>
              </w:rPr>
              <w:t>行业类别</w:t>
            </w:r>
          </w:p>
        </w:tc>
        <w:tc>
          <w:tcPr>
            <w:tcW w:w="3393" w:type="dxa"/>
            <w:vAlign w:val="center"/>
          </w:tcPr>
          <w:p w14:paraId="7F79BC57">
            <w:pPr>
              <w:spacing w:line="380" w:lineRule="exact"/>
              <w:jc w:val="left"/>
              <w:rPr>
                <w:rFonts w:eastAsiaTheme="minorEastAsia"/>
                <w:color w:val="auto"/>
                <w:sz w:val="24"/>
              </w:rPr>
            </w:pPr>
            <w:r>
              <w:rPr>
                <w:rFonts w:eastAsiaTheme="minorEastAsia"/>
                <w:color w:val="auto"/>
                <w:sz w:val="24"/>
              </w:rPr>
              <w:t>C3251 铜压延加工</w:t>
            </w:r>
          </w:p>
        </w:tc>
        <w:tc>
          <w:tcPr>
            <w:tcW w:w="1272" w:type="dxa"/>
            <w:vAlign w:val="center"/>
          </w:tcPr>
          <w:p w14:paraId="25A74BCC">
            <w:pPr>
              <w:spacing w:line="380" w:lineRule="exact"/>
              <w:jc w:val="center"/>
              <w:rPr>
                <w:rFonts w:eastAsiaTheme="minorEastAsia"/>
                <w:color w:val="auto"/>
                <w:sz w:val="24"/>
              </w:rPr>
            </w:pPr>
            <w:bookmarkStart w:id="3" w:name="_Hlk49843745"/>
            <w:r>
              <w:rPr>
                <w:rFonts w:eastAsiaTheme="minorEastAsia"/>
                <w:color w:val="auto"/>
                <w:sz w:val="24"/>
              </w:rPr>
              <w:t>建设项目</w:t>
            </w:r>
          </w:p>
          <w:p w14:paraId="239C992F">
            <w:pPr>
              <w:spacing w:line="380" w:lineRule="exact"/>
              <w:jc w:val="center"/>
              <w:rPr>
                <w:rFonts w:eastAsiaTheme="minorEastAsia"/>
                <w:color w:val="auto"/>
                <w:sz w:val="24"/>
              </w:rPr>
            </w:pPr>
            <w:r>
              <w:rPr>
                <w:rFonts w:eastAsiaTheme="minorEastAsia"/>
                <w:color w:val="auto"/>
                <w:sz w:val="24"/>
              </w:rPr>
              <w:t>行业类别</w:t>
            </w:r>
            <w:bookmarkEnd w:id="3"/>
          </w:p>
        </w:tc>
        <w:tc>
          <w:tcPr>
            <w:tcW w:w="3682" w:type="dxa"/>
            <w:vAlign w:val="center"/>
          </w:tcPr>
          <w:p w14:paraId="122571C8">
            <w:pPr>
              <w:spacing w:line="380" w:lineRule="exact"/>
              <w:jc w:val="left"/>
              <w:rPr>
                <w:rFonts w:eastAsiaTheme="minorEastAsia"/>
                <w:color w:val="auto"/>
                <w:sz w:val="24"/>
              </w:rPr>
            </w:pPr>
            <w:r>
              <w:rPr>
                <w:rFonts w:eastAsiaTheme="minorEastAsia"/>
                <w:color w:val="auto"/>
                <w:sz w:val="24"/>
              </w:rPr>
              <w:t>二十九、有色金属冶炼和压延加工业32，65有色金属压延加工325</w:t>
            </w:r>
          </w:p>
        </w:tc>
      </w:tr>
      <w:tr w14:paraId="1E9115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177" w:type="dxa"/>
            <w:tcMar>
              <w:top w:w="16" w:type="dxa"/>
              <w:left w:w="16" w:type="dxa"/>
              <w:right w:w="16" w:type="dxa"/>
            </w:tcMar>
            <w:vAlign w:val="center"/>
          </w:tcPr>
          <w:p w14:paraId="23EE482F">
            <w:pPr>
              <w:spacing w:line="380" w:lineRule="exact"/>
              <w:jc w:val="center"/>
              <w:rPr>
                <w:rFonts w:eastAsiaTheme="minorEastAsia"/>
                <w:color w:val="auto"/>
                <w:sz w:val="24"/>
              </w:rPr>
            </w:pPr>
            <w:r>
              <w:rPr>
                <w:rFonts w:eastAsiaTheme="minorEastAsia"/>
                <w:color w:val="auto"/>
                <w:sz w:val="24"/>
              </w:rPr>
              <w:t>建设性质</w:t>
            </w:r>
          </w:p>
        </w:tc>
        <w:tc>
          <w:tcPr>
            <w:tcW w:w="3393" w:type="dxa"/>
            <w:vAlign w:val="center"/>
          </w:tcPr>
          <w:p w14:paraId="120F26A5">
            <w:pPr>
              <w:spacing w:line="380" w:lineRule="exact"/>
              <w:jc w:val="left"/>
              <w:rPr>
                <w:rFonts w:eastAsiaTheme="minorEastAsia"/>
                <w:color w:val="auto"/>
                <w:sz w:val="24"/>
              </w:rPr>
            </w:pPr>
            <w:r>
              <w:rPr>
                <w:rFonts w:eastAsiaTheme="minorEastAsia"/>
                <w:color w:val="auto"/>
                <w:sz w:val="24"/>
              </w:rPr>
              <w:sym w:font="Wingdings 2" w:char="00A3"/>
            </w:r>
            <w:r>
              <w:rPr>
                <w:rFonts w:eastAsiaTheme="minorEastAsia"/>
                <w:color w:val="auto"/>
                <w:sz w:val="24"/>
              </w:rPr>
              <w:t>新建（迁建）</w:t>
            </w:r>
          </w:p>
          <w:p w14:paraId="5764A475">
            <w:pPr>
              <w:spacing w:line="380" w:lineRule="exact"/>
              <w:jc w:val="left"/>
              <w:rPr>
                <w:rFonts w:eastAsiaTheme="minorEastAsia"/>
                <w:color w:val="auto"/>
                <w:sz w:val="24"/>
              </w:rPr>
            </w:pPr>
            <w:r>
              <w:rPr>
                <w:rFonts w:eastAsiaTheme="minorEastAsia"/>
                <w:color w:val="auto"/>
                <w:sz w:val="24"/>
              </w:rPr>
              <w:sym w:font="Wingdings 2" w:char="00A3"/>
            </w:r>
            <w:r>
              <w:rPr>
                <w:rFonts w:eastAsiaTheme="minorEastAsia"/>
                <w:color w:val="auto"/>
                <w:sz w:val="24"/>
              </w:rPr>
              <w:t>改建</w:t>
            </w:r>
          </w:p>
          <w:p w14:paraId="5A530C93">
            <w:pPr>
              <w:spacing w:line="380" w:lineRule="exact"/>
              <w:jc w:val="left"/>
              <w:rPr>
                <w:rFonts w:eastAsiaTheme="minorEastAsia"/>
                <w:color w:val="auto"/>
                <w:sz w:val="24"/>
              </w:rPr>
            </w:pPr>
            <w:r>
              <w:rPr>
                <w:rFonts w:eastAsiaTheme="minorEastAsia"/>
                <w:color w:val="auto"/>
                <w:sz w:val="24"/>
              </w:rPr>
              <w:sym w:font="Wingdings 2" w:char="0052"/>
            </w:r>
            <w:r>
              <w:rPr>
                <w:rFonts w:eastAsiaTheme="minorEastAsia"/>
                <w:color w:val="auto"/>
                <w:sz w:val="24"/>
              </w:rPr>
              <w:t>扩建</w:t>
            </w:r>
          </w:p>
          <w:p w14:paraId="2497D817">
            <w:pPr>
              <w:spacing w:line="380" w:lineRule="exact"/>
              <w:jc w:val="left"/>
              <w:rPr>
                <w:rFonts w:eastAsiaTheme="minorEastAsia"/>
                <w:color w:val="auto"/>
                <w:sz w:val="24"/>
              </w:rPr>
            </w:pPr>
            <w:r>
              <w:rPr>
                <w:rFonts w:eastAsiaTheme="minorEastAsia"/>
                <w:color w:val="auto"/>
                <w:sz w:val="24"/>
              </w:rPr>
              <w:sym w:font="Wingdings 2" w:char="00A3"/>
            </w:r>
            <w:r>
              <w:rPr>
                <w:rFonts w:eastAsiaTheme="minorEastAsia"/>
                <w:color w:val="auto"/>
                <w:sz w:val="24"/>
              </w:rPr>
              <w:t>技术改造</w:t>
            </w:r>
          </w:p>
        </w:tc>
        <w:tc>
          <w:tcPr>
            <w:tcW w:w="1272" w:type="dxa"/>
            <w:vAlign w:val="center"/>
          </w:tcPr>
          <w:p w14:paraId="13FF918D">
            <w:pPr>
              <w:spacing w:line="380" w:lineRule="exact"/>
              <w:jc w:val="center"/>
              <w:rPr>
                <w:rFonts w:eastAsiaTheme="minorEastAsia"/>
                <w:color w:val="auto"/>
                <w:sz w:val="24"/>
              </w:rPr>
            </w:pPr>
            <w:r>
              <w:rPr>
                <w:rFonts w:eastAsiaTheme="minorEastAsia"/>
                <w:color w:val="auto"/>
                <w:sz w:val="24"/>
              </w:rPr>
              <w:t>建设项目</w:t>
            </w:r>
          </w:p>
          <w:p w14:paraId="336FA2F9">
            <w:pPr>
              <w:spacing w:line="380" w:lineRule="exact"/>
              <w:jc w:val="center"/>
              <w:rPr>
                <w:rFonts w:eastAsiaTheme="minorEastAsia"/>
                <w:color w:val="auto"/>
                <w:sz w:val="24"/>
              </w:rPr>
            </w:pPr>
            <w:r>
              <w:rPr>
                <w:rFonts w:eastAsiaTheme="minorEastAsia"/>
                <w:color w:val="auto"/>
                <w:sz w:val="24"/>
              </w:rPr>
              <w:t>申报情形</w:t>
            </w:r>
          </w:p>
        </w:tc>
        <w:tc>
          <w:tcPr>
            <w:tcW w:w="3682" w:type="dxa"/>
            <w:vAlign w:val="center"/>
          </w:tcPr>
          <w:p w14:paraId="0C0FBD3D">
            <w:pPr>
              <w:spacing w:line="380" w:lineRule="exact"/>
              <w:jc w:val="left"/>
              <w:rPr>
                <w:rFonts w:eastAsiaTheme="minorEastAsia"/>
                <w:color w:val="auto"/>
                <w:sz w:val="24"/>
              </w:rPr>
            </w:pPr>
            <w:r>
              <w:rPr>
                <w:rFonts w:eastAsiaTheme="minorEastAsia"/>
                <w:color w:val="auto"/>
                <w:sz w:val="24"/>
              </w:rPr>
              <w:sym w:font="Wingdings 2" w:char="0052"/>
            </w:r>
            <w:r>
              <w:rPr>
                <w:rFonts w:eastAsiaTheme="minorEastAsia"/>
                <w:color w:val="auto"/>
                <w:sz w:val="24"/>
              </w:rPr>
              <w:t>首次申报项目</w:t>
            </w:r>
          </w:p>
          <w:p w14:paraId="30CE6B3E">
            <w:pPr>
              <w:spacing w:line="380" w:lineRule="exact"/>
              <w:jc w:val="left"/>
              <w:rPr>
                <w:rFonts w:eastAsiaTheme="minorEastAsia"/>
                <w:color w:val="auto"/>
                <w:sz w:val="24"/>
              </w:rPr>
            </w:pPr>
            <w:r>
              <w:rPr>
                <w:rFonts w:eastAsiaTheme="minorEastAsia"/>
                <w:color w:val="auto"/>
                <w:sz w:val="24"/>
              </w:rPr>
              <w:sym w:font="Wingdings 2" w:char="00A3"/>
            </w:r>
            <w:r>
              <w:rPr>
                <w:rFonts w:eastAsiaTheme="minorEastAsia"/>
                <w:color w:val="auto"/>
                <w:sz w:val="24"/>
              </w:rPr>
              <w:t>不予批准后再次申报项目</w:t>
            </w:r>
          </w:p>
          <w:p w14:paraId="557DA0EC">
            <w:pPr>
              <w:spacing w:line="380" w:lineRule="exact"/>
              <w:jc w:val="left"/>
              <w:rPr>
                <w:rFonts w:eastAsiaTheme="minorEastAsia"/>
                <w:color w:val="auto"/>
                <w:sz w:val="24"/>
              </w:rPr>
            </w:pPr>
            <w:r>
              <w:rPr>
                <w:rFonts w:eastAsiaTheme="minorEastAsia"/>
                <w:color w:val="auto"/>
                <w:sz w:val="24"/>
              </w:rPr>
              <w:sym w:font="Wingdings 2" w:char="00A3"/>
            </w:r>
            <w:r>
              <w:rPr>
                <w:rFonts w:eastAsiaTheme="minorEastAsia"/>
                <w:color w:val="auto"/>
                <w:sz w:val="24"/>
              </w:rPr>
              <w:t>超五年重新审核项目</w:t>
            </w:r>
          </w:p>
          <w:p w14:paraId="3ED07DCF">
            <w:pPr>
              <w:spacing w:line="380" w:lineRule="exact"/>
              <w:jc w:val="left"/>
              <w:rPr>
                <w:rFonts w:eastAsiaTheme="minorEastAsia"/>
                <w:color w:val="auto"/>
                <w:sz w:val="24"/>
              </w:rPr>
            </w:pPr>
            <w:r>
              <w:rPr>
                <w:rFonts w:eastAsiaTheme="minorEastAsia"/>
                <w:color w:val="auto"/>
                <w:sz w:val="24"/>
              </w:rPr>
              <w:sym w:font="Wingdings 2" w:char="00A3"/>
            </w:r>
            <w:r>
              <w:rPr>
                <w:rFonts w:eastAsiaTheme="minorEastAsia"/>
                <w:color w:val="auto"/>
                <w:sz w:val="24"/>
              </w:rPr>
              <w:t>重大变动重新报批项目</w:t>
            </w:r>
          </w:p>
        </w:tc>
      </w:tr>
      <w:tr w14:paraId="4B93C1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92" w:hRule="atLeast"/>
          <w:jc w:val="center"/>
        </w:trPr>
        <w:tc>
          <w:tcPr>
            <w:tcW w:w="1177" w:type="dxa"/>
            <w:tcMar>
              <w:top w:w="16" w:type="dxa"/>
              <w:left w:w="16" w:type="dxa"/>
              <w:right w:w="16" w:type="dxa"/>
            </w:tcMar>
            <w:vAlign w:val="center"/>
          </w:tcPr>
          <w:p w14:paraId="4918136A">
            <w:pPr>
              <w:spacing w:line="380" w:lineRule="exact"/>
              <w:jc w:val="center"/>
              <w:rPr>
                <w:rFonts w:eastAsiaTheme="minorEastAsia"/>
                <w:color w:val="auto"/>
                <w:sz w:val="24"/>
              </w:rPr>
            </w:pPr>
            <w:r>
              <w:rPr>
                <w:rFonts w:eastAsiaTheme="minorEastAsia"/>
                <w:color w:val="auto"/>
                <w:sz w:val="24"/>
              </w:rPr>
              <w:t>项目审批（核准/备案）部门（选填）</w:t>
            </w:r>
          </w:p>
        </w:tc>
        <w:tc>
          <w:tcPr>
            <w:tcW w:w="3393" w:type="dxa"/>
            <w:vAlign w:val="center"/>
          </w:tcPr>
          <w:p w14:paraId="7B610F26">
            <w:pPr>
              <w:spacing w:line="380" w:lineRule="exact"/>
              <w:jc w:val="center"/>
              <w:rPr>
                <w:rFonts w:eastAsiaTheme="minorEastAsia"/>
                <w:color w:val="auto"/>
                <w:sz w:val="24"/>
              </w:rPr>
            </w:pPr>
            <w:r>
              <w:rPr>
                <w:rFonts w:hint="eastAsia" w:eastAsiaTheme="minorEastAsia"/>
                <w:color w:val="auto"/>
                <w:sz w:val="24"/>
              </w:rPr>
              <w:t>宿迁泗阳县数据局</w:t>
            </w:r>
          </w:p>
        </w:tc>
        <w:tc>
          <w:tcPr>
            <w:tcW w:w="1272" w:type="dxa"/>
            <w:vAlign w:val="center"/>
          </w:tcPr>
          <w:p w14:paraId="7DDEA071">
            <w:pPr>
              <w:spacing w:line="380" w:lineRule="exact"/>
              <w:jc w:val="center"/>
              <w:rPr>
                <w:rFonts w:eastAsiaTheme="minorEastAsia"/>
                <w:color w:val="auto"/>
                <w:sz w:val="24"/>
              </w:rPr>
            </w:pPr>
            <w:r>
              <w:rPr>
                <w:rFonts w:eastAsiaTheme="minorEastAsia"/>
                <w:color w:val="auto"/>
                <w:sz w:val="24"/>
              </w:rPr>
              <w:t>项目审批（核准/</w:t>
            </w:r>
          </w:p>
          <w:p w14:paraId="50B02EE7">
            <w:pPr>
              <w:spacing w:line="380" w:lineRule="exact"/>
              <w:jc w:val="center"/>
              <w:rPr>
                <w:rFonts w:eastAsiaTheme="minorEastAsia"/>
                <w:color w:val="auto"/>
                <w:sz w:val="24"/>
              </w:rPr>
            </w:pPr>
            <w:r>
              <w:rPr>
                <w:rFonts w:eastAsiaTheme="minorEastAsia"/>
                <w:color w:val="auto"/>
                <w:sz w:val="24"/>
              </w:rPr>
              <w:t>备案）文号（选填）</w:t>
            </w:r>
          </w:p>
        </w:tc>
        <w:tc>
          <w:tcPr>
            <w:tcW w:w="3682" w:type="dxa"/>
            <w:vAlign w:val="center"/>
          </w:tcPr>
          <w:p w14:paraId="6E9F1E3C">
            <w:pPr>
              <w:spacing w:line="380" w:lineRule="exact"/>
              <w:jc w:val="center"/>
              <w:rPr>
                <w:rFonts w:eastAsiaTheme="minorEastAsia"/>
                <w:color w:val="auto"/>
                <w:sz w:val="24"/>
              </w:rPr>
            </w:pPr>
            <w:r>
              <w:rPr>
                <w:rFonts w:hint="eastAsia" w:eastAsiaTheme="minorEastAsia"/>
                <w:color w:val="auto"/>
                <w:sz w:val="24"/>
              </w:rPr>
              <w:t>泗阳数据备〔2025〕319号</w:t>
            </w:r>
          </w:p>
        </w:tc>
      </w:tr>
      <w:tr w14:paraId="2D75EE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177" w:type="dxa"/>
            <w:tcMar>
              <w:top w:w="16" w:type="dxa"/>
              <w:left w:w="16" w:type="dxa"/>
              <w:right w:w="16" w:type="dxa"/>
            </w:tcMar>
            <w:vAlign w:val="center"/>
          </w:tcPr>
          <w:p w14:paraId="1DD7256F">
            <w:pPr>
              <w:spacing w:line="380" w:lineRule="exact"/>
              <w:jc w:val="center"/>
              <w:rPr>
                <w:rFonts w:eastAsiaTheme="minorEastAsia"/>
                <w:color w:val="auto"/>
                <w:sz w:val="24"/>
              </w:rPr>
            </w:pPr>
            <w:r>
              <w:rPr>
                <w:rFonts w:eastAsiaTheme="minorEastAsia"/>
                <w:color w:val="auto"/>
                <w:sz w:val="24"/>
              </w:rPr>
              <w:t>总投资</w:t>
            </w:r>
          </w:p>
          <w:p w14:paraId="381977E2">
            <w:pPr>
              <w:spacing w:line="380" w:lineRule="exact"/>
              <w:jc w:val="center"/>
              <w:rPr>
                <w:rFonts w:eastAsiaTheme="minorEastAsia"/>
                <w:color w:val="auto"/>
                <w:sz w:val="24"/>
              </w:rPr>
            </w:pPr>
            <w:r>
              <w:rPr>
                <w:rFonts w:eastAsiaTheme="minorEastAsia"/>
                <w:color w:val="auto"/>
                <w:sz w:val="24"/>
              </w:rPr>
              <w:t>（万元）</w:t>
            </w:r>
          </w:p>
        </w:tc>
        <w:tc>
          <w:tcPr>
            <w:tcW w:w="3393" w:type="dxa"/>
            <w:vAlign w:val="center"/>
          </w:tcPr>
          <w:p w14:paraId="1BAFF056">
            <w:pPr>
              <w:spacing w:line="380" w:lineRule="exact"/>
              <w:jc w:val="center"/>
              <w:rPr>
                <w:rFonts w:eastAsiaTheme="minorEastAsia"/>
                <w:color w:val="auto"/>
                <w:sz w:val="24"/>
              </w:rPr>
            </w:pPr>
            <w:r>
              <w:rPr>
                <w:rFonts w:hint="eastAsia" w:eastAsiaTheme="minorEastAsia"/>
                <w:color w:val="auto"/>
                <w:sz w:val="24"/>
              </w:rPr>
              <w:t>20000</w:t>
            </w:r>
          </w:p>
        </w:tc>
        <w:tc>
          <w:tcPr>
            <w:tcW w:w="1272" w:type="dxa"/>
            <w:tcMar>
              <w:top w:w="16" w:type="dxa"/>
              <w:left w:w="16" w:type="dxa"/>
              <w:right w:w="16" w:type="dxa"/>
            </w:tcMar>
            <w:vAlign w:val="center"/>
          </w:tcPr>
          <w:p w14:paraId="2A593431">
            <w:pPr>
              <w:spacing w:line="380" w:lineRule="exact"/>
              <w:jc w:val="center"/>
              <w:rPr>
                <w:rFonts w:eastAsiaTheme="minorEastAsia"/>
                <w:color w:val="auto"/>
                <w:sz w:val="24"/>
              </w:rPr>
            </w:pPr>
            <w:r>
              <w:rPr>
                <w:rFonts w:eastAsiaTheme="minorEastAsia"/>
                <w:color w:val="auto"/>
                <w:sz w:val="24"/>
              </w:rPr>
              <w:t>环保投资（万元）</w:t>
            </w:r>
          </w:p>
        </w:tc>
        <w:tc>
          <w:tcPr>
            <w:tcW w:w="3682" w:type="dxa"/>
            <w:vAlign w:val="center"/>
          </w:tcPr>
          <w:p w14:paraId="4BE2C9BA">
            <w:pPr>
              <w:spacing w:line="380" w:lineRule="exact"/>
              <w:jc w:val="center"/>
              <w:rPr>
                <w:rFonts w:eastAsiaTheme="minorEastAsia"/>
                <w:color w:val="auto"/>
                <w:sz w:val="24"/>
              </w:rPr>
            </w:pPr>
            <w:r>
              <w:rPr>
                <w:rFonts w:hint="eastAsia" w:eastAsiaTheme="minorEastAsia"/>
                <w:color w:val="auto"/>
                <w:sz w:val="24"/>
              </w:rPr>
              <w:t>40</w:t>
            </w:r>
          </w:p>
        </w:tc>
      </w:tr>
      <w:tr w14:paraId="7D1F96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177" w:type="dxa"/>
            <w:tcMar>
              <w:top w:w="16" w:type="dxa"/>
              <w:left w:w="16" w:type="dxa"/>
              <w:right w:w="16" w:type="dxa"/>
            </w:tcMar>
            <w:vAlign w:val="center"/>
          </w:tcPr>
          <w:p w14:paraId="4A94CD23">
            <w:pPr>
              <w:spacing w:line="380" w:lineRule="exact"/>
              <w:jc w:val="center"/>
              <w:rPr>
                <w:rFonts w:eastAsiaTheme="minorEastAsia"/>
                <w:color w:val="auto"/>
                <w:sz w:val="24"/>
              </w:rPr>
            </w:pPr>
            <w:r>
              <w:rPr>
                <w:rFonts w:eastAsiaTheme="minorEastAsia"/>
                <w:color w:val="auto"/>
                <w:sz w:val="24"/>
              </w:rPr>
              <w:t>环保投资占比（%）</w:t>
            </w:r>
          </w:p>
        </w:tc>
        <w:tc>
          <w:tcPr>
            <w:tcW w:w="3393" w:type="dxa"/>
            <w:vAlign w:val="center"/>
          </w:tcPr>
          <w:p w14:paraId="776E829E">
            <w:pPr>
              <w:spacing w:line="380" w:lineRule="exact"/>
              <w:jc w:val="center"/>
              <w:rPr>
                <w:rFonts w:eastAsiaTheme="minorEastAsia"/>
                <w:color w:val="auto"/>
                <w:sz w:val="24"/>
              </w:rPr>
            </w:pPr>
            <w:r>
              <w:rPr>
                <w:rFonts w:hint="eastAsia" w:eastAsiaTheme="minorEastAsia"/>
                <w:color w:val="auto"/>
                <w:sz w:val="24"/>
              </w:rPr>
              <w:t>0.2</w:t>
            </w:r>
          </w:p>
        </w:tc>
        <w:tc>
          <w:tcPr>
            <w:tcW w:w="1272" w:type="dxa"/>
            <w:tcMar>
              <w:top w:w="16" w:type="dxa"/>
              <w:left w:w="16" w:type="dxa"/>
              <w:right w:w="16" w:type="dxa"/>
            </w:tcMar>
            <w:vAlign w:val="center"/>
          </w:tcPr>
          <w:p w14:paraId="15BB89C3">
            <w:pPr>
              <w:spacing w:line="380" w:lineRule="exact"/>
              <w:jc w:val="center"/>
              <w:rPr>
                <w:rFonts w:eastAsiaTheme="minorEastAsia"/>
                <w:color w:val="auto"/>
                <w:sz w:val="24"/>
              </w:rPr>
            </w:pPr>
            <w:r>
              <w:rPr>
                <w:rFonts w:eastAsiaTheme="minorEastAsia"/>
                <w:color w:val="auto"/>
                <w:sz w:val="24"/>
              </w:rPr>
              <w:t>施工工期</w:t>
            </w:r>
          </w:p>
        </w:tc>
        <w:tc>
          <w:tcPr>
            <w:tcW w:w="3682" w:type="dxa"/>
            <w:vAlign w:val="center"/>
          </w:tcPr>
          <w:p w14:paraId="20D23A92">
            <w:pPr>
              <w:spacing w:line="380" w:lineRule="exact"/>
              <w:jc w:val="center"/>
              <w:rPr>
                <w:rFonts w:eastAsiaTheme="minorEastAsia"/>
                <w:color w:val="auto"/>
                <w:sz w:val="24"/>
              </w:rPr>
            </w:pPr>
            <w:r>
              <w:rPr>
                <w:rFonts w:hint="eastAsia" w:eastAsiaTheme="minorEastAsia"/>
                <w:color w:val="auto"/>
                <w:sz w:val="24"/>
              </w:rPr>
              <w:t>3个月</w:t>
            </w:r>
          </w:p>
        </w:tc>
      </w:tr>
      <w:tr w14:paraId="569F6B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177" w:type="dxa"/>
            <w:tcMar>
              <w:top w:w="16" w:type="dxa"/>
              <w:left w:w="16" w:type="dxa"/>
              <w:right w:w="16" w:type="dxa"/>
            </w:tcMar>
            <w:vAlign w:val="center"/>
          </w:tcPr>
          <w:p w14:paraId="124D4156">
            <w:pPr>
              <w:spacing w:line="380" w:lineRule="exact"/>
              <w:jc w:val="center"/>
              <w:rPr>
                <w:rFonts w:eastAsiaTheme="minorEastAsia"/>
                <w:color w:val="auto"/>
                <w:sz w:val="24"/>
              </w:rPr>
            </w:pPr>
            <w:r>
              <w:rPr>
                <w:rFonts w:eastAsiaTheme="minorEastAsia"/>
                <w:color w:val="auto"/>
                <w:sz w:val="24"/>
              </w:rPr>
              <w:t>是否开工建设</w:t>
            </w:r>
          </w:p>
        </w:tc>
        <w:tc>
          <w:tcPr>
            <w:tcW w:w="3393" w:type="dxa"/>
            <w:vAlign w:val="center"/>
          </w:tcPr>
          <w:p w14:paraId="5B669CBC">
            <w:pPr>
              <w:spacing w:line="380" w:lineRule="exact"/>
              <w:jc w:val="left"/>
              <w:rPr>
                <w:rFonts w:eastAsiaTheme="minorEastAsia"/>
                <w:color w:val="auto"/>
                <w:sz w:val="24"/>
              </w:rPr>
            </w:pPr>
            <w:r>
              <w:rPr>
                <w:rFonts w:eastAsiaTheme="minorEastAsia"/>
                <w:color w:val="auto"/>
                <w:sz w:val="24"/>
              </w:rPr>
              <w:sym w:font="Wingdings 2" w:char="0052"/>
            </w:r>
            <w:r>
              <w:rPr>
                <w:rFonts w:eastAsiaTheme="minorEastAsia"/>
                <w:color w:val="auto"/>
                <w:sz w:val="24"/>
              </w:rPr>
              <w:t>否</w:t>
            </w:r>
          </w:p>
          <w:p w14:paraId="0561D03C">
            <w:pPr>
              <w:spacing w:line="380" w:lineRule="exact"/>
              <w:rPr>
                <w:rFonts w:eastAsiaTheme="minorEastAsia"/>
                <w:color w:val="auto"/>
                <w:sz w:val="24"/>
                <w:u w:val="single"/>
              </w:rPr>
            </w:pPr>
            <w:r>
              <w:rPr>
                <w:rFonts w:eastAsiaTheme="minorEastAsia"/>
                <w:color w:val="auto"/>
                <w:sz w:val="24"/>
              </w:rPr>
              <w:sym w:font="Wingdings 2" w:char="00A3"/>
            </w:r>
            <w:r>
              <w:rPr>
                <w:rFonts w:eastAsiaTheme="minorEastAsia"/>
                <w:color w:val="auto"/>
                <w:sz w:val="24"/>
              </w:rPr>
              <w:t>是：</w:t>
            </w:r>
            <w:r>
              <w:rPr>
                <w:rFonts w:hint="eastAsia" w:eastAsiaTheme="minorEastAsia"/>
                <w:color w:val="auto"/>
                <w:sz w:val="24"/>
                <w:u w:val="single"/>
              </w:rPr>
              <w:t xml:space="preserve">          </w:t>
            </w:r>
          </w:p>
        </w:tc>
        <w:tc>
          <w:tcPr>
            <w:tcW w:w="1272" w:type="dxa"/>
            <w:tcMar>
              <w:top w:w="16" w:type="dxa"/>
              <w:left w:w="16" w:type="dxa"/>
              <w:right w:w="16" w:type="dxa"/>
            </w:tcMar>
            <w:vAlign w:val="center"/>
          </w:tcPr>
          <w:p w14:paraId="0EA82728">
            <w:pPr>
              <w:spacing w:line="380" w:lineRule="exact"/>
              <w:jc w:val="center"/>
              <w:rPr>
                <w:rFonts w:eastAsiaTheme="minorEastAsia"/>
                <w:color w:val="auto"/>
                <w:sz w:val="24"/>
              </w:rPr>
            </w:pPr>
            <w:r>
              <w:rPr>
                <w:rFonts w:eastAsiaTheme="minorEastAsia"/>
                <w:color w:val="auto"/>
                <w:sz w:val="24"/>
              </w:rPr>
              <w:t>用地（用海）</w:t>
            </w:r>
          </w:p>
          <w:p w14:paraId="6C6FEB48">
            <w:pPr>
              <w:spacing w:line="380" w:lineRule="exact"/>
              <w:jc w:val="center"/>
              <w:rPr>
                <w:rFonts w:eastAsiaTheme="minorEastAsia"/>
                <w:color w:val="auto"/>
                <w:sz w:val="24"/>
              </w:rPr>
            </w:pPr>
            <w:r>
              <w:rPr>
                <w:rFonts w:eastAsiaTheme="minorEastAsia"/>
                <w:color w:val="auto"/>
                <w:sz w:val="24"/>
              </w:rPr>
              <w:t>面积（m</w:t>
            </w:r>
            <w:r>
              <w:rPr>
                <w:rFonts w:eastAsiaTheme="minorEastAsia"/>
                <w:color w:val="auto"/>
                <w:sz w:val="24"/>
                <w:vertAlign w:val="superscript"/>
              </w:rPr>
              <w:t>2</w:t>
            </w:r>
            <w:r>
              <w:rPr>
                <w:rFonts w:eastAsiaTheme="minorEastAsia"/>
                <w:color w:val="auto"/>
                <w:sz w:val="24"/>
              </w:rPr>
              <w:t>）</w:t>
            </w:r>
          </w:p>
        </w:tc>
        <w:tc>
          <w:tcPr>
            <w:tcW w:w="3682" w:type="dxa"/>
            <w:vAlign w:val="center"/>
          </w:tcPr>
          <w:p w14:paraId="2AD84474">
            <w:pPr>
              <w:spacing w:line="380" w:lineRule="exact"/>
              <w:jc w:val="center"/>
              <w:rPr>
                <w:rFonts w:eastAsiaTheme="minorEastAsia"/>
                <w:color w:val="auto"/>
              </w:rPr>
            </w:pPr>
            <w:r>
              <w:rPr>
                <w:rFonts w:hint="eastAsia" w:eastAsiaTheme="minorEastAsia"/>
                <w:color w:val="auto"/>
                <w:sz w:val="24"/>
              </w:rPr>
              <w:t>61755.05</w:t>
            </w:r>
          </w:p>
        </w:tc>
      </w:tr>
      <w:tr w14:paraId="499B5B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77" w:type="dxa"/>
            <w:vAlign w:val="center"/>
          </w:tcPr>
          <w:p w14:paraId="08F3E315">
            <w:pPr>
              <w:spacing w:line="380" w:lineRule="atLeast"/>
              <w:jc w:val="center"/>
              <w:rPr>
                <w:rFonts w:eastAsiaTheme="minorEastAsia"/>
                <w:color w:val="auto"/>
                <w:sz w:val="24"/>
              </w:rPr>
            </w:pPr>
            <w:r>
              <w:rPr>
                <w:rFonts w:eastAsiaTheme="minorEastAsia"/>
                <w:color w:val="auto"/>
                <w:sz w:val="24"/>
              </w:rPr>
              <w:t>专项评价设置情况</w:t>
            </w:r>
          </w:p>
        </w:tc>
        <w:tc>
          <w:tcPr>
            <w:tcW w:w="8347" w:type="dxa"/>
            <w:gridSpan w:val="3"/>
            <w:vAlign w:val="center"/>
          </w:tcPr>
          <w:p w14:paraId="4C10A03D">
            <w:pPr>
              <w:spacing w:line="380" w:lineRule="atLeast"/>
              <w:jc w:val="center"/>
              <w:rPr>
                <w:color w:val="auto"/>
              </w:rPr>
            </w:pPr>
            <w:r>
              <w:rPr>
                <w:rFonts w:eastAsiaTheme="minorEastAsia"/>
                <w:color w:val="auto"/>
                <w:sz w:val="24"/>
              </w:rPr>
              <w:t>无</w:t>
            </w:r>
          </w:p>
        </w:tc>
      </w:tr>
      <w:tr w14:paraId="6E6B9D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177" w:type="dxa"/>
            <w:vAlign w:val="center"/>
          </w:tcPr>
          <w:p w14:paraId="38D3DEB3">
            <w:pPr>
              <w:spacing w:line="400" w:lineRule="exact"/>
              <w:jc w:val="center"/>
              <w:rPr>
                <w:rFonts w:eastAsiaTheme="minorEastAsia"/>
                <w:color w:val="auto"/>
                <w:sz w:val="24"/>
              </w:rPr>
            </w:pPr>
            <w:r>
              <w:rPr>
                <w:rFonts w:eastAsiaTheme="minorEastAsia"/>
                <w:color w:val="auto"/>
                <w:sz w:val="24"/>
              </w:rPr>
              <w:t>规划</w:t>
            </w:r>
          </w:p>
          <w:p w14:paraId="3390AB1C">
            <w:pPr>
              <w:spacing w:line="400" w:lineRule="exact"/>
              <w:jc w:val="center"/>
              <w:rPr>
                <w:rFonts w:eastAsiaTheme="minorEastAsia"/>
                <w:color w:val="auto"/>
                <w:sz w:val="24"/>
              </w:rPr>
            </w:pPr>
            <w:r>
              <w:rPr>
                <w:rFonts w:eastAsiaTheme="minorEastAsia"/>
                <w:color w:val="auto"/>
                <w:sz w:val="24"/>
              </w:rPr>
              <w:t>情况</w:t>
            </w:r>
          </w:p>
        </w:tc>
        <w:tc>
          <w:tcPr>
            <w:tcW w:w="8347" w:type="dxa"/>
            <w:gridSpan w:val="3"/>
            <w:vAlign w:val="center"/>
          </w:tcPr>
          <w:p w14:paraId="640BC7D3">
            <w:pPr>
              <w:pStyle w:val="50"/>
              <w:ind w:firstLine="0" w:firstLineChars="0"/>
              <w:rPr>
                <w:color w:val="auto"/>
              </w:rPr>
            </w:pPr>
            <w:r>
              <w:rPr>
                <w:b/>
                <w:bCs/>
                <w:color w:val="auto"/>
              </w:rPr>
              <w:t>规划名称</w:t>
            </w:r>
            <w:r>
              <w:rPr>
                <w:color w:val="auto"/>
              </w:rPr>
              <w:t>：</w:t>
            </w:r>
            <w:r>
              <w:rPr>
                <w:rFonts w:hint="eastAsia"/>
                <w:color w:val="auto"/>
              </w:rPr>
              <w:t>《泗阳县王集新城经济开发区规划》</w:t>
            </w:r>
          </w:p>
          <w:p w14:paraId="68331C9A">
            <w:pPr>
              <w:pStyle w:val="50"/>
              <w:ind w:firstLine="0" w:firstLineChars="0"/>
              <w:rPr>
                <w:color w:val="auto"/>
              </w:rPr>
            </w:pPr>
            <w:r>
              <w:rPr>
                <w:b/>
                <w:bCs/>
                <w:color w:val="auto"/>
              </w:rPr>
              <w:t>审批机关</w:t>
            </w:r>
            <w:r>
              <w:rPr>
                <w:color w:val="auto"/>
              </w:rPr>
              <w:t>：</w:t>
            </w:r>
            <w:r>
              <w:rPr>
                <w:rFonts w:hint="eastAsia"/>
                <w:color w:val="auto"/>
              </w:rPr>
              <w:t>宿迁市泗阳县人民政府</w:t>
            </w:r>
          </w:p>
        </w:tc>
      </w:tr>
      <w:tr w14:paraId="6E3BFD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77" w:type="dxa"/>
            <w:vAlign w:val="center"/>
          </w:tcPr>
          <w:p w14:paraId="3F382E45">
            <w:pPr>
              <w:spacing w:line="400" w:lineRule="exact"/>
              <w:jc w:val="center"/>
              <w:rPr>
                <w:rFonts w:eastAsiaTheme="minorEastAsia"/>
                <w:color w:val="auto"/>
                <w:sz w:val="24"/>
              </w:rPr>
            </w:pPr>
            <w:r>
              <w:rPr>
                <w:rFonts w:eastAsiaTheme="minorEastAsia"/>
                <w:color w:val="auto"/>
                <w:sz w:val="24"/>
              </w:rPr>
              <w:t>规划环境影响评价情况</w:t>
            </w:r>
          </w:p>
        </w:tc>
        <w:tc>
          <w:tcPr>
            <w:tcW w:w="8347" w:type="dxa"/>
            <w:gridSpan w:val="3"/>
            <w:vAlign w:val="center"/>
          </w:tcPr>
          <w:p w14:paraId="15154633">
            <w:pPr>
              <w:pStyle w:val="50"/>
              <w:ind w:firstLine="0" w:firstLineChars="0"/>
              <w:rPr>
                <w:color w:val="auto"/>
              </w:rPr>
            </w:pPr>
            <w:r>
              <w:rPr>
                <w:rFonts w:hint="eastAsia"/>
                <w:b/>
                <w:bCs/>
                <w:color w:val="auto"/>
              </w:rPr>
              <w:t>规</w:t>
            </w:r>
            <w:r>
              <w:rPr>
                <w:b/>
                <w:bCs/>
                <w:color w:val="auto"/>
              </w:rPr>
              <w:t>划环境影响评价名称</w:t>
            </w:r>
            <w:r>
              <w:rPr>
                <w:color w:val="auto"/>
              </w:rPr>
              <w:t>：</w:t>
            </w:r>
            <w:r>
              <w:rPr>
                <w:rFonts w:hint="eastAsia"/>
                <w:color w:val="auto"/>
              </w:rPr>
              <w:t>《泗阳县王集新城经济开发区规划环境影响报告书》</w:t>
            </w:r>
            <w:r>
              <w:rPr>
                <w:b/>
                <w:bCs/>
                <w:color w:val="auto"/>
              </w:rPr>
              <w:t>审查机关</w:t>
            </w:r>
            <w:r>
              <w:rPr>
                <w:color w:val="auto"/>
              </w:rPr>
              <w:t>：宿迁市生态环境局</w:t>
            </w:r>
          </w:p>
          <w:p w14:paraId="0925A51D">
            <w:pPr>
              <w:pStyle w:val="50"/>
              <w:ind w:firstLine="0" w:firstLineChars="0"/>
              <w:rPr>
                <w:color w:val="auto"/>
              </w:rPr>
            </w:pPr>
            <w:r>
              <w:rPr>
                <w:b/>
                <w:bCs/>
                <w:color w:val="auto"/>
              </w:rPr>
              <w:t>审查文件名称及文号</w:t>
            </w:r>
            <w:r>
              <w:rPr>
                <w:color w:val="auto"/>
              </w:rPr>
              <w:t>：</w:t>
            </w:r>
            <w:r>
              <w:rPr>
                <w:rFonts w:hint="eastAsia"/>
                <w:color w:val="auto"/>
              </w:rPr>
              <w:t>《关于对泗阳县王集新城经济开发区规划环境影响报告书的审查意见》（宿环建管〔2020〕2007号）</w:t>
            </w:r>
          </w:p>
        </w:tc>
      </w:tr>
      <w:tr w14:paraId="6E017F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77" w:type="dxa"/>
            <w:vAlign w:val="center"/>
          </w:tcPr>
          <w:p w14:paraId="17893A39">
            <w:pPr>
              <w:jc w:val="center"/>
              <w:rPr>
                <w:color w:val="auto"/>
              </w:rPr>
            </w:pPr>
            <w:r>
              <w:rPr>
                <w:rFonts w:eastAsiaTheme="minorEastAsia"/>
                <w:color w:val="auto"/>
                <w:sz w:val="24"/>
              </w:rPr>
              <w:t>规划及规划环境影响评价符合性分析</w:t>
            </w:r>
          </w:p>
        </w:tc>
        <w:tc>
          <w:tcPr>
            <w:tcW w:w="8347" w:type="dxa"/>
            <w:gridSpan w:val="3"/>
            <w:vAlign w:val="center"/>
          </w:tcPr>
          <w:p w14:paraId="675C2EE4">
            <w:pPr>
              <w:pStyle w:val="50"/>
              <w:ind w:firstLine="482"/>
              <w:rPr>
                <w:b/>
                <w:bCs/>
                <w:color w:val="auto"/>
              </w:rPr>
            </w:pPr>
            <w:r>
              <w:rPr>
                <w:b/>
                <w:bCs/>
                <w:color w:val="auto"/>
              </w:rPr>
              <w:t>1、</w:t>
            </w:r>
            <w:r>
              <w:rPr>
                <w:rFonts w:hint="eastAsia"/>
                <w:b/>
                <w:bCs/>
                <w:color w:val="auto"/>
              </w:rPr>
              <w:t>与泗阳县王集新城经济开发区规划相符性分析</w:t>
            </w:r>
          </w:p>
          <w:p w14:paraId="66B258AF">
            <w:pPr>
              <w:pStyle w:val="50"/>
              <w:ind w:firstLine="480"/>
              <w:rPr>
                <w:rFonts w:cs="宋体"/>
                <w:color w:val="auto"/>
                <w:lang w:bidi="ar"/>
              </w:rPr>
            </w:pPr>
            <w:r>
              <w:rPr>
                <w:rFonts w:hint="eastAsia" w:cs="宋体"/>
                <w:color w:val="auto"/>
                <w:lang w:bidi="ar"/>
              </w:rPr>
              <w:t>泗阳县王集新城经济开发区规划范围为：西至西安路，北至太原路，南至徐武路，东至规划的S267，总用地面积为478.66公顷；功能产业定位为：木材加工、机械电子、纺织服装产业、绿色食品加工以及新兴产业。</w:t>
            </w:r>
          </w:p>
          <w:p w14:paraId="6ED66FBB">
            <w:pPr>
              <w:pStyle w:val="50"/>
              <w:ind w:firstLine="482"/>
              <w:rPr>
                <w:color w:val="auto"/>
              </w:rPr>
            </w:pPr>
            <w:r>
              <w:rPr>
                <w:b/>
                <w:bCs/>
                <w:color w:val="auto"/>
              </w:rPr>
              <w:t>选址分析</w:t>
            </w:r>
            <w:r>
              <w:rPr>
                <w:color w:val="auto"/>
              </w:rPr>
              <w:t>：本</w:t>
            </w:r>
            <w:r>
              <w:rPr>
                <w:rFonts w:hint="eastAsia"/>
                <w:color w:val="auto"/>
              </w:rPr>
              <w:t>扩建</w:t>
            </w:r>
            <w:r>
              <w:rPr>
                <w:color w:val="auto"/>
              </w:rPr>
              <w:t>项目位于</w:t>
            </w:r>
            <w:r>
              <w:rPr>
                <w:rFonts w:hint="eastAsia"/>
                <w:color w:val="auto"/>
              </w:rPr>
              <w:t>宿迁市</w:t>
            </w:r>
            <w:r>
              <w:rPr>
                <w:color w:val="auto"/>
              </w:rPr>
              <w:t>泗阳县王集镇发展大道东路8号，对照</w:t>
            </w:r>
            <w:r>
              <w:rPr>
                <w:rFonts w:hint="eastAsia" w:cs="宋体"/>
                <w:color w:val="auto"/>
                <w:lang w:bidi="ar"/>
              </w:rPr>
              <w:t>王集新城经济开发区土地利用规划图</w:t>
            </w:r>
            <w:r>
              <w:rPr>
                <w:color w:val="auto"/>
              </w:rPr>
              <w:t>，位于</w:t>
            </w:r>
            <w:r>
              <w:rPr>
                <w:rFonts w:hint="eastAsia" w:cs="宋体"/>
                <w:color w:val="auto"/>
                <w:lang w:bidi="ar"/>
              </w:rPr>
              <w:t>王集新城经济开发区范围内，属于工业用地</w:t>
            </w:r>
            <w:r>
              <w:rPr>
                <w:color w:val="auto"/>
              </w:rPr>
              <w:t>，故符合园区用地规划。项目在</w:t>
            </w:r>
            <w:r>
              <w:rPr>
                <w:rFonts w:hint="eastAsia"/>
                <w:color w:val="auto"/>
              </w:rPr>
              <w:t>泗阳县王集新城经济开发区</w:t>
            </w:r>
            <w:r>
              <w:rPr>
                <w:color w:val="auto"/>
              </w:rPr>
              <w:t>发展规划图中的位置见附图3。</w:t>
            </w:r>
          </w:p>
          <w:p w14:paraId="5F318840">
            <w:pPr>
              <w:pStyle w:val="50"/>
              <w:ind w:firstLine="482"/>
              <w:rPr>
                <w:rFonts w:eastAsiaTheme="minorEastAsia"/>
                <w:color w:val="auto"/>
              </w:rPr>
            </w:pPr>
            <w:r>
              <w:rPr>
                <w:b/>
                <w:bCs/>
                <w:color w:val="auto"/>
              </w:rPr>
              <w:t>产业定位分析</w:t>
            </w:r>
            <w:r>
              <w:rPr>
                <w:color w:val="auto"/>
              </w:rPr>
              <w:t>：本</w:t>
            </w:r>
            <w:r>
              <w:rPr>
                <w:rFonts w:hint="eastAsia"/>
                <w:color w:val="auto"/>
              </w:rPr>
              <w:t>扩建</w:t>
            </w:r>
            <w:r>
              <w:rPr>
                <w:color w:val="auto"/>
              </w:rPr>
              <w:t>项目</w:t>
            </w:r>
            <w:r>
              <w:rPr>
                <w:rFonts w:hint="eastAsia"/>
                <w:color w:val="auto"/>
              </w:rPr>
              <w:t>为铜压延加工项目，生产产品为无氧铜杆。本扩建项目不属于园区定位产业，但也不在园区限制准入行业清单和禁止准入负面清单中。本扩建项目可以作为机械制造等相关行业的上下游产业，同园区主导产业有一定关联性，且项目已获得宿迁泗阳县数据局出具的备案证（备案证号为泗阳数据备〔2025〕319号）。因此，</w:t>
            </w:r>
            <w:r>
              <w:rPr>
                <w:color w:val="auto"/>
              </w:rPr>
              <w:t>本扩建项目与泗阳县王集新城经济开发区</w:t>
            </w:r>
            <w:r>
              <w:rPr>
                <w:rFonts w:hint="eastAsia" w:eastAsiaTheme="minorEastAsia"/>
                <w:color w:val="auto"/>
              </w:rPr>
              <w:t>的</w:t>
            </w:r>
            <w:r>
              <w:rPr>
                <w:color w:val="auto"/>
              </w:rPr>
              <w:t>规划</w:t>
            </w:r>
            <w:r>
              <w:rPr>
                <w:rFonts w:hint="eastAsia"/>
                <w:color w:val="auto"/>
              </w:rPr>
              <w:t>内容基本</w:t>
            </w:r>
            <w:r>
              <w:rPr>
                <w:color w:val="auto"/>
              </w:rPr>
              <w:t>相符。</w:t>
            </w:r>
            <w:r>
              <w:rPr>
                <w:rFonts w:eastAsiaTheme="minorEastAsia"/>
                <w:color w:val="auto"/>
              </w:rPr>
              <w:t>具体分析见</w:t>
            </w:r>
            <w:r>
              <w:rPr>
                <w:rFonts w:eastAsiaTheme="minorEastAsia"/>
                <w:color w:val="auto"/>
              </w:rPr>
              <w:fldChar w:fldCharType="begin"/>
            </w:r>
            <w:r>
              <w:rPr>
                <w:rFonts w:eastAsiaTheme="minorEastAsia"/>
                <w:color w:val="auto"/>
              </w:rPr>
              <w:instrText xml:space="preserve"> REF _Ref21408 \h </w:instrText>
            </w:r>
            <w:r>
              <w:rPr>
                <w:rFonts w:eastAsiaTheme="minorEastAsia"/>
                <w:color w:val="auto"/>
              </w:rPr>
              <w:fldChar w:fldCharType="separate"/>
            </w:r>
            <w:r>
              <w:rPr>
                <w:color w:val="auto"/>
              </w:rPr>
              <w:t>表1- 1</w:t>
            </w:r>
            <w:r>
              <w:rPr>
                <w:rFonts w:eastAsiaTheme="minorEastAsia"/>
                <w:color w:val="auto"/>
              </w:rPr>
              <w:fldChar w:fldCharType="end"/>
            </w:r>
            <w:r>
              <w:rPr>
                <w:rFonts w:hint="eastAsia" w:eastAsiaTheme="minorEastAsia"/>
                <w:color w:val="auto"/>
              </w:rPr>
              <w:t>、</w:t>
            </w:r>
            <w:r>
              <w:rPr>
                <w:rFonts w:hint="eastAsia" w:eastAsiaTheme="minorEastAsia"/>
                <w:color w:val="auto"/>
              </w:rPr>
              <w:fldChar w:fldCharType="begin"/>
            </w:r>
            <w:r>
              <w:rPr>
                <w:rFonts w:hint="eastAsia" w:eastAsiaTheme="minorEastAsia"/>
                <w:color w:val="auto"/>
              </w:rPr>
              <w:instrText xml:space="preserve"> REF _Ref28114 \h </w:instrText>
            </w:r>
            <w:r>
              <w:rPr>
                <w:rFonts w:hint="eastAsia" w:eastAsiaTheme="minorEastAsia"/>
                <w:color w:val="auto"/>
              </w:rPr>
              <w:fldChar w:fldCharType="separate"/>
            </w:r>
            <w:r>
              <w:rPr>
                <w:color w:val="auto"/>
              </w:rPr>
              <w:t>表1- 6</w:t>
            </w:r>
            <w:r>
              <w:rPr>
                <w:rFonts w:hint="eastAsia" w:eastAsiaTheme="minorEastAsia"/>
                <w:color w:val="auto"/>
              </w:rPr>
              <w:fldChar w:fldCharType="end"/>
            </w:r>
            <w:r>
              <w:rPr>
                <w:rFonts w:eastAsiaTheme="minorEastAsia"/>
                <w:color w:val="auto"/>
              </w:rPr>
              <w:t>。</w:t>
            </w:r>
          </w:p>
          <w:p w14:paraId="66415214">
            <w:pPr>
              <w:pStyle w:val="50"/>
              <w:ind w:firstLine="482" w:firstLineChars="0"/>
              <w:rPr>
                <w:b/>
                <w:bCs/>
                <w:color w:val="auto"/>
              </w:rPr>
            </w:pPr>
            <w:r>
              <w:rPr>
                <w:b/>
                <w:bCs/>
                <w:color w:val="auto"/>
              </w:rPr>
              <w:t>2、与</w:t>
            </w:r>
            <w:r>
              <w:rPr>
                <w:rFonts w:eastAsiaTheme="minorEastAsia"/>
                <w:b/>
                <w:bCs/>
                <w:color w:val="auto"/>
              </w:rPr>
              <w:t>《</w:t>
            </w:r>
            <w:r>
              <w:rPr>
                <w:rFonts w:hint="eastAsia" w:eastAsiaTheme="minorEastAsia"/>
                <w:b/>
                <w:bCs/>
                <w:color w:val="auto"/>
              </w:rPr>
              <w:t>关于对泗阳县王集新城经济开发区规划</w:t>
            </w:r>
            <w:r>
              <w:rPr>
                <w:rFonts w:eastAsiaTheme="minorEastAsia"/>
                <w:b/>
                <w:bCs/>
                <w:color w:val="auto"/>
              </w:rPr>
              <w:t>环境影响报告书的审查意见》（宿环建管〔202</w:t>
            </w:r>
            <w:r>
              <w:rPr>
                <w:rFonts w:hint="eastAsia" w:eastAsiaTheme="minorEastAsia"/>
                <w:b/>
                <w:bCs/>
                <w:color w:val="auto"/>
              </w:rPr>
              <w:t>0</w:t>
            </w:r>
            <w:r>
              <w:rPr>
                <w:rFonts w:eastAsiaTheme="minorEastAsia"/>
                <w:b/>
                <w:bCs/>
                <w:color w:val="auto"/>
              </w:rPr>
              <w:t>〕</w:t>
            </w:r>
            <w:r>
              <w:rPr>
                <w:rFonts w:hint="eastAsia" w:eastAsiaTheme="minorEastAsia"/>
                <w:b/>
                <w:bCs/>
                <w:color w:val="auto"/>
              </w:rPr>
              <w:t>2007</w:t>
            </w:r>
            <w:r>
              <w:rPr>
                <w:rFonts w:eastAsiaTheme="minorEastAsia"/>
                <w:b/>
                <w:bCs/>
                <w:color w:val="auto"/>
              </w:rPr>
              <w:t>号）</w:t>
            </w:r>
            <w:r>
              <w:rPr>
                <w:b/>
                <w:bCs/>
                <w:color w:val="auto"/>
              </w:rPr>
              <w:t>相符性分析</w:t>
            </w:r>
          </w:p>
          <w:p w14:paraId="12C42B7C">
            <w:pPr>
              <w:pStyle w:val="50"/>
              <w:ind w:firstLine="480"/>
              <w:rPr>
                <w:color w:val="auto"/>
              </w:rPr>
            </w:pPr>
            <w:r>
              <w:rPr>
                <w:rFonts w:hint="eastAsia"/>
                <w:color w:val="auto"/>
              </w:rPr>
              <w:t>根据《关于对泗阳县王集新城经济开发区规划环境影响报告书的审查意见》（宿环建管〔2020〕2007号），</w:t>
            </w:r>
            <w:r>
              <w:rPr>
                <w:color w:val="auto"/>
              </w:rPr>
              <w:t>本</w:t>
            </w:r>
            <w:r>
              <w:rPr>
                <w:rFonts w:hint="eastAsia"/>
                <w:color w:val="auto"/>
              </w:rPr>
              <w:t>扩建</w:t>
            </w:r>
            <w:r>
              <w:rPr>
                <w:color w:val="auto"/>
              </w:rPr>
              <w:t>项目相符性分析</w:t>
            </w:r>
            <w:r>
              <w:rPr>
                <w:rFonts w:hint="eastAsia"/>
                <w:color w:val="auto"/>
              </w:rPr>
              <w:t>详</w:t>
            </w:r>
            <w:r>
              <w:rPr>
                <w:color w:val="auto"/>
              </w:rPr>
              <w:t>见</w:t>
            </w:r>
            <w:r>
              <w:rPr>
                <w:color w:val="auto"/>
              </w:rPr>
              <w:fldChar w:fldCharType="begin"/>
            </w:r>
            <w:r>
              <w:rPr>
                <w:color w:val="auto"/>
              </w:rPr>
              <w:instrText xml:space="preserve"> REF _Ref21408 \h </w:instrText>
            </w:r>
            <w:r>
              <w:rPr>
                <w:color w:val="auto"/>
              </w:rPr>
              <w:fldChar w:fldCharType="separate"/>
            </w:r>
            <w:r>
              <w:rPr>
                <w:color w:val="auto"/>
              </w:rPr>
              <w:t>表1- 1</w:t>
            </w:r>
            <w:r>
              <w:rPr>
                <w:color w:val="auto"/>
              </w:rPr>
              <w:fldChar w:fldCharType="end"/>
            </w:r>
            <w:r>
              <w:rPr>
                <w:color w:val="auto"/>
              </w:rPr>
              <w:t>。</w:t>
            </w:r>
          </w:p>
          <w:p w14:paraId="7CABE242">
            <w:pPr>
              <w:pStyle w:val="7"/>
              <w:rPr>
                <w:color w:val="auto"/>
              </w:rPr>
            </w:pPr>
            <w:bookmarkStart w:id="4" w:name="_Ref21995"/>
            <w:bookmarkStart w:id="5" w:name="_Ref21408"/>
            <w:r>
              <w:rPr>
                <w:color w:val="auto"/>
              </w:rPr>
              <w:t xml:space="preserve">表1- </w:t>
            </w:r>
            <w:r>
              <w:rPr>
                <w:color w:val="auto"/>
              </w:rPr>
              <w:fldChar w:fldCharType="begin"/>
            </w:r>
            <w:r>
              <w:rPr>
                <w:color w:val="auto"/>
              </w:rPr>
              <w:instrText xml:space="preserve"> SEQ 表1- \* ARABIC </w:instrText>
            </w:r>
            <w:r>
              <w:rPr>
                <w:color w:val="auto"/>
              </w:rPr>
              <w:fldChar w:fldCharType="separate"/>
            </w:r>
            <w:r>
              <w:rPr>
                <w:color w:val="auto"/>
              </w:rPr>
              <w:t>1</w:t>
            </w:r>
            <w:r>
              <w:rPr>
                <w:color w:val="auto"/>
              </w:rPr>
              <w:fldChar w:fldCharType="end"/>
            </w:r>
            <w:bookmarkEnd w:id="4"/>
            <w:bookmarkEnd w:id="5"/>
            <w:r>
              <w:rPr>
                <w:color w:val="auto"/>
              </w:rPr>
              <w:t xml:space="preserve"> 项目与“</w:t>
            </w:r>
            <w:r>
              <w:rPr>
                <w:rFonts w:hint="eastAsia"/>
                <w:color w:val="auto"/>
              </w:rPr>
              <w:t>宿环建管〔2020〕2007号</w:t>
            </w:r>
            <w:r>
              <w:rPr>
                <w:color w:val="auto"/>
              </w:rPr>
              <w:t>”相符性分析</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48"/>
              <w:gridCol w:w="3589"/>
              <w:gridCol w:w="684"/>
            </w:tblGrid>
            <w:tr w14:paraId="33E8E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2369" w:type="pct"/>
                  <w:vAlign w:val="center"/>
                </w:tcPr>
                <w:p w14:paraId="2311AD16">
                  <w:pPr>
                    <w:pStyle w:val="52"/>
                    <w:rPr>
                      <w:color w:val="auto"/>
                    </w:rPr>
                  </w:pPr>
                  <w:r>
                    <w:rPr>
                      <w:rFonts w:hint="eastAsia"/>
                      <w:color w:val="auto"/>
                    </w:rPr>
                    <w:t>宿环建管〔2020〕2007号要求</w:t>
                  </w:r>
                </w:p>
              </w:tc>
              <w:tc>
                <w:tcPr>
                  <w:tcW w:w="2209" w:type="pct"/>
                  <w:vAlign w:val="center"/>
                </w:tcPr>
                <w:p w14:paraId="1E61780C">
                  <w:pPr>
                    <w:pStyle w:val="52"/>
                    <w:rPr>
                      <w:color w:val="auto"/>
                    </w:rPr>
                  </w:pPr>
                  <w:r>
                    <w:rPr>
                      <w:color w:val="auto"/>
                    </w:rPr>
                    <w:t>本扩建</w:t>
                  </w:r>
                  <w:r>
                    <w:rPr>
                      <w:rFonts w:hint="eastAsia"/>
                      <w:color w:val="auto"/>
                    </w:rPr>
                    <w:t>项目情况</w:t>
                  </w:r>
                </w:p>
              </w:tc>
              <w:tc>
                <w:tcPr>
                  <w:tcW w:w="421" w:type="pct"/>
                  <w:vAlign w:val="center"/>
                </w:tcPr>
                <w:p w14:paraId="42C22ED9">
                  <w:pPr>
                    <w:pStyle w:val="52"/>
                    <w:rPr>
                      <w:color w:val="auto"/>
                    </w:rPr>
                  </w:pPr>
                  <w:r>
                    <w:rPr>
                      <w:color w:val="auto"/>
                    </w:rPr>
                    <w:t>相符性</w:t>
                  </w:r>
                </w:p>
              </w:tc>
            </w:tr>
            <w:tr w14:paraId="2D157A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69" w:type="pct"/>
                  <w:vAlign w:val="center"/>
                </w:tcPr>
                <w:p w14:paraId="08E85AD7">
                  <w:pPr>
                    <w:pStyle w:val="54"/>
                    <w:jc w:val="both"/>
                    <w:rPr>
                      <w:color w:val="auto"/>
                    </w:rPr>
                  </w:pPr>
                  <w:r>
                    <w:rPr>
                      <w:color w:val="auto"/>
                    </w:rPr>
                    <w:t>严格入区项目的环境准入管理。园区建设应严格执行国家环保法律法规及产业政策、规划产业定位、最新环保准入条件以及《报告书》提出的产业发展要求，严守审批原则，严格环境准入，落实“三个不批”和“三挂钩”和“三线一单”要求，加强建设项目的环境管理。具体项目的引进必须严格按有关权限、程序及要求办理环保审批手续。</w:t>
                  </w:r>
                </w:p>
              </w:tc>
              <w:tc>
                <w:tcPr>
                  <w:tcW w:w="2209" w:type="pct"/>
                  <w:vAlign w:val="center"/>
                </w:tcPr>
                <w:p w14:paraId="729E8F8D">
                  <w:pPr>
                    <w:pStyle w:val="54"/>
                    <w:jc w:val="both"/>
                    <w:rPr>
                      <w:color w:val="auto"/>
                    </w:rPr>
                  </w:pPr>
                  <w:r>
                    <w:rPr>
                      <w:rFonts w:hint="eastAsia"/>
                      <w:color w:val="auto"/>
                    </w:rPr>
                    <w:t>本扩建项目将严格执行国家环保法律法规及产业政策、规划产业定位、最新环保准入条件以及《报告书》提出的产业发展要求，严格按照有关权限、程序及要求办理环保审批手续。</w:t>
                  </w:r>
                </w:p>
              </w:tc>
              <w:tc>
                <w:tcPr>
                  <w:tcW w:w="421" w:type="pct"/>
                  <w:vAlign w:val="center"/>
                </w:tcPr>
                <w:p w14:paraId="7ACA0AAE">
                  <w:pPr>
                    <w:pStyle w:val="54"/>
                    <w:rPr>
                      <w:color w:val="auto"/>
                    </w:rPr>
                  </w:pPr>
                  <w:r>
                    <w:rPr>
                      <w:rFonts w:hint="eastAsia"/>
                      <w:color w:val="auto"/>
                    </w:rPr>
                    <w:t>相符</w:t>
                  </w:r>
                </w:p>
              </w:tc>
            </w:tr>
            <w:tr w14:paraId="08DC4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69" w:type="pct"/>
                  <w:vAlign w:val="center"/>
                </w:tcPr>
                <w:p w14:paraId="06C72986">
                  <w:pPr>
                    <w:pStyle w:val="54"/>
                    <w:jc w:val="both"/>
                    <w:rPr>
                      <w:rFonts w:hint="eastAsia"/>
                      <w:color w:val="auto"/>
                    </w:rPr>
                  </w:pPr>
                  <w:r>
                    <w:rPr>
                      <w:rFonts w:hint="eastAsia"/>
                      <w:color w:val="auto"/>
                    </w:rPr>
                    <w:t>加强区域空间管控。按照《报告书》提出的空间管控要求，加快区内各类绿地、广场及绿化防护带建设。区内绿地、广场和水域总面积约65.94公顷。对区内防护绿地应严格实施禁止开发的空间管控措施。园区在开发过程中应严格履行环</w:t>
                  </w:r>
                </w:p>
                <w:p w14:paraId="69EBA403">
                  <w:pPr>
                    <w:pStyle w:val="52"/>
                    <w:rPr>
                      <w:rFonts w:hint="eastAsia"/>
                      <w:b w:val="0"/>
                      <w:bCs w:val="0"/>
                      <w:color w:val="auto"/>
                    </w:rPr>
                  </w:pPr>
                  <w:r>
                    <w:rPr>
                      <w:rFonts w:hint="eastAsia"/>
                      <w:b w:val="0"/>
                      <w:bCs w:val="0"/>
                      <w:color w:val="auto"/>
                    </w:rPr>
                    <w:t>境等手续，严格禁止建设项目占用园区生态空间。</w:t>
                  </w:r>
                </w:p>
              </w:tc>
              <w:tc>
                <w:tcPr>
                  <w:tcW w:w="2209" w:type="pct"/>
                  <w:vAlign w:val="center"/>
                </w:tcPr>
                <w:p w14:paraId="153E5621">
                  <w:pPr>
                    <w:pStyle w:val="54"/>
                    <w:jc w:val="both"/>
                    <w:rPr>
                      <w:color w:val="auto"/>
                    </w:rPr>
                  </w:pPr>
                  <w:r>
                    <w:rPr>
                      <w:color w:val="auto"/>
                    </w:rPr>
                    <w:t>本</w:t>
                  </w:r>
                  <w:r>
                    <w:rPr>
                      <w:rFonts w:hint="eastAsia"/>
                      <w:color w:val="auto"/>
                    </w:rPr>
                    <w:t>扩建</w:t>
                  </w:r>
                  <w:r>
                    <w:rPr>
                      <w:color w:val="auto"/>
                    </w:rPr>
                    <w:t>项目位于</w:t>
                  </w:r>
                  <w:r>
                    <w:rPr>
                      <w:rFonts w:hint="eastAsia"/>
                      <w:color w:val="auto"/>
                    </w:rPr>
                    <w:t>宿迁市</w:t>
                  </w:r>
                  <w:r>
                    <w:rPr>
                      <w:color w:val="auto"/>
                    </w:rPr>
                    <w:t>泗阳县王集镇发展大道东路8号，位于</w:t>
                  </w:r>
                  <w:r>
                    <w:rPr>
                      <w:rFonts w:hint="eastAsia"/>
                      <w:color w:val="auto"/>
                    </w:rPr>
                    <w:t>王集新城经济开发区范围内，属于工业用地，未占用园区生态空间。</w:t>
                  </w:r>
                </w:p>
              </w:tc>
              <w:tc>
                <w:tcPr>
                  <w:tcW w:w="421" w:type="pct"/>
                  <w:tcBorders/>
                  <w:vAlign w:val="center"/>
                </w:tcPr>
                <w:p w14:paraId="2FA10F71">
                  <w:pPr>
                    <w:pStyle w:val="54"/>
                    <w:rPr>
                      <w:color w:val="auto"/>
                    </w:rPr>
                  </w:pPr>
                  <w:r>
                    <w:rPr>
                      <w:rFonts w:hint="eastAsia"/>
                      <w:color w:val="auto"/>
                    </w:rPr>
                    <w:t>相符</w:t>
                  </w:r>
                </w:p>
              </w:tc>
            </w:tr>
            <w:tr w14:paraId="7D1F9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69" w:type="pct"/>
                  <w:vAlign w:val="center"/>
                </w:tcPr>
                <w:p w14:paraId="181FC5DF">
                  <w:pPr>
                    <w:pStyle w:val="54"/>
                    <w:jc w:val="both"/>
                    <w:rPr>
                      <w:color w:val="auto"/>
                    </w:rPr>
                  </w:pPr>
                  <w:r>
                    <w:rPr>
                      <w:color w:val="auto"/>
                    </w:rPr>
                    <w:t>严守环境质量底线，落实污染物总量管控要求。园区污染物排放总量不得突破《报告书》提出的总量控制指标值，新增常规污染物排放总量指标纳入泗阳县总量指标内，非常规污染物排放总量控制指标可根据环境要求和入区企业实际情况由负责建设项目审批的生态环境主管部门核批。</w:t>
                  </w:r>
                </w:p>
              </w:tc>
              <w:tc>
                <w:tcPr>
                  <w:tcW w:w="2209" w:type="pct"/>
                  <w:vAlign w:val="center"/>
                </w:tcPr>
                <w:p w14:paraId="5B58DA30">
                  <w:pPr>
                    <w:pStyle w:val="54"/>
                    <w:jc w:val="both"/>
                    <w:rPr>
                      <w:color w:val="auto"/>
                    </w:rPr>
                  </w:pPr>
                  <w:r>
                    <w:rPr>
                      <w:rFonts w:hint="eastAsia"/>
                      <w:color w:val="auto"/>
                    </w:rPr>
                    <w:t>本扩建项目大气污染物排放量：颗粒物1.137t/a、NMHC0.000</w:t>
                  </w:r>
                  <w:r>
                    <w:rPr>
                      <w:rFonts w:hint="eastAsia"/>
                      <w:color w:val="auto"/>
                      <w:lang w:val="en-US" w:eastAsia="zh-CN"/>
                    </w:rPr>
                    <w:t>2</w:t>
                  </w:r>
                  <w:r>
                    <w:rPr>
                      <w:rFonts w:hint="eastAsia"/>
                      <w:color w:val="auto"/>
                    </w:rPr>
                    <w:t>t/a；废水接管量：废水量2160t/a、COD0.6480t/a、氨氮0.0648t/a、TP0.0076t/a、TN0.0864t/a，进入环境量：废水量2160t/a、COD0.1080t/a、氨氮0.0108t/a、TP0.0011t/a、TN0.0324t/a。本扩建项目将严格落实总量控制制度，颗粒物0.568t/a排放总量从年产1.6万吨无氧铜杆项目批复总量中平衡，颗粒物0.569t/a、NMHC0.0002t/a从泗阳县总量库中平衡。</w:t>
                  </w:r>
                </w:p>
              </w:tc>
              <w:tc>
                <w:tcPr>
                  <w:tcW w:w="421" w:type="pct"/>
                  <w:vAlign w:val="center"/>
                </w:tcPr>
                <w:p w14:paraId="61AE73E8">
                  <w:pPr>
                    <w:pStyle w:val="54"/>
                    <w:rPr>
                      <w:color w:val="auto"/>
                    </w:rPr>
                  </w:pPr>
                  <w:r>
                    <w:rPr>
                      <w:rFonts w:hint="eastAsia"/>
                      <w:color w:val="auto"/>
                    </w:rPr>
                    <w:t>相符</w:t>
                  </w:r>
                </w:p>
              </w:tc>
            </w:tr>
            <w:tr w14:paraId="69B78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69" w:type="pct"/>
                  <w:vAlign w:val="center"/>
                </w:tcPr>
                <w:p w14:paraId="0BFA5C2A">
                  <w:pPr>
                    <w:pStyle w:val="54"/>
                    <w:jc w:val="both"/>
                    <w:rPr>
                      <w:color w:val="auto"/>
                    </w:rPr>
                  </w:pPr>
                  <w:r>
                    <w:rPr>
                      <w:color w:val="auto"/>
                    </w:rPr>
                    <w:t>完善环境基础设施建设。加强临近居住区的工业片区监管，设置绿化隔离带，区内尽量布局无废气排放的企业于边界和保留小区附近，严禁废气排放量大的企业入驻，对新入区企业进行严格环境监管：园区现有企业锅炉须尽快完成提标改造，加强园区内企业挥发性有机物和粉尘等废气污染物的处理处置；完善园区配套环保基础设施建设，加快推进园区污水收集管网建设；按照区内农村居民点拆迁安置计划，将区内现有分散农村居民点逐步搬迁出园区。危险废物必须送有资质和处理能力的单位安全处置。</w:t>
                  </w:r>
                </w:p>
              </w:tc>
              <w:tc>
                <w:tcPr>
                  <w:tcW w:w="2209" w:type="pct"/>
                  <w:vAlign w:val="center"/>
                </w:tcPr>
                <w:p w14:paraId="1FBCC737">
                  <w:pPr>
                    <w:pStyle w:val="54"/>
                    <w:jc w:val="both"/>
                    <w:rPr>
                      <w:color w:val="auto"/>
                    </w:rPr>
                  </w:pPr>
                  <w:r>
                    <w:rPr>
                      <w:color w:val="auto"/>
                    </w:rPr>
                    <w:t>①本扩建项目</w:t>
                  </w:r>
                  <w:r>
                    <w:rPr>
                      <w:rFonts w:hint="eastAsia"/>
                      <w:color w:val="auto"/>
                    </w:rPr>
                    <w:t>金属熔化烟尘（颗粒物）经集气罩收集后由布袋除尘器处理后通过1根15m排气筒（DA003）排放，危废贮存废气（NMHC）经负压风管收集后由二级活性炭吸附装置处理后通过1根15m排气筒（DA002）排放。经采取以上措施废气污染物能达标排放</w:t>
                  </w:r>
                  <w:r>
                    <w:rPr>
                      <w:color w:val="auto"/>
                    </w:rPr>
                    <w:t>。</w:t>
                  </w:r>
                </w:p>
                <w:p w14:paraId="41A03FAC">
                  <w:pPr>
                    <w:pStyle w:val="54"/>
                    <w:jc w:val="both"/>
                    <w:rPr>
                      <w:color w:val="auto"/>
                    </w:rPr>
                  </w:pPr>
                  <w:r>
                    <w:rPr>
                      <w:rFonts w:hint="eastAsia"/>
                      <w:color w:val="auto"/>
                    </w:rPr>
                    <w:t>②本扩建项目废液压油、废包装桶暂存危废库，定期委托有资质单位处置</w:t>
                  </w:r>
                  <w:r>
                    <w:rPr>
                      <w:color w:val="auto"/>
                    </w:rPr>
                    <w:t>。</w:t>
                  </w:r>
                </w:p>
              </w:tc>
              <w:tc>
                <w:tcPr>
                  <w:tcW w:w="421" w:type="pct"/>
                  <w:vAlign w:val="center"/>
                </w:tcPr>
                <w:p w14:paraId="297CB6B2">
                  <w:pPr>
                    <w:pStyle w:val="54"/>
                    <w:rPr>
                      <w:color w:val="auto"/>
                    </w:rPr>
                  </w:pPr>
                  <w:r>
                    <w:rPr>
                      <w:rFonts w:hint="eastAsia"/>
                      <w:color w:val="auto"/>
                    </w:rPr>
                    <w:t>相符</w:t>
                  </w:r>
                </w:p>
              </w:tc>
            </w:tr>
            <w:tr w14:paraId="51CFF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69" w:type="pct"/>
                  <w:vAlign w:val="center"/>
                </w:tcPr>
                <w:p w14:paraId="7EFABAC8">
                  <w:pPr>
                    <w:pStyle w:val="54"/>
                    <w:jc w:val="both"/>
                    <w:rPr>
                      <w:color w:val="auto"/>
                    </w:rPr>
                  </w:pPr>
                  <w:r>
                    <w:rPr>
                      <w:color w:val="auto"/>
                    </w:rPr>
                    <w:t>落实环境风险防范措施和事故应急预案。必须高度重视并切实加强园区环境安全管理工作，园区及入区项目均应制定并落实各类事故风险防范措施及应急预案。区内各企业须按规范要求建设贮存、使用易燃易爆危险品的生产装置，杜绝泄漏物料进入环境</w:t>
                  </w:r>
                  <w:r>
                    <w:rPr>
                      <w:rFonts w:hint="eastAsia"/>
                      <w:color w:val="auto"/>
                    </w:rPr>
                    <w:t>；</w:t>
                  </w:r>
                  <w:r>
                    <w:rPr>
                      <w:color w:val="auto"/>
                    </w:rPr>
                    <w:t>储备必须的设备物资，并定期组织实战演练，最大限度地防止和减轻事故的危害，确保园区环境安全。排放工业废水的企业应设置足够容量的事故污水池，严禁污水超标排放。</w:t>
                  </w:r>
                </w:p>
              </w:tc>
              <w:tc>
                <w:tcPr>
                  <w:tcW w:w="2209" w:type="pct"/>
                  <w:vAlign w:val="center"/>
                </w:tcPr>
                <w:p w14:paraId="3C82A279">
                  <w:pPr>
                    <w:pStyle w:val="54"/>
                    <w:jc w:val="both"/>
                    <w:rPr>
                      <w:color w:val="auto"/>
                    </w:rPr>
                  </w:pPr>
                  <w:r>
                    <w:rPr>
                      <w:color w:val="auto"/>
                    </w:rPr>
                    <w:t>①</w:t>
                  </w:r>
                  <w:r>
                    <w:rPr>
                      <w:rFonts w:hint="eastAsia"/>
                      <w:color w:val="auto"/>
                    </w:rPr>
                    <w:t>本扩建项目建成后将制定并落实环境风险防范措施，</w:t>
                  </w:r>
                  <w:r>
                    <w:rPr>
                      <w:color w:val="auto"/>
                    </w:rPr>
                    <w:t>储备必须的设备物资，并定期组织实战演练，最大限度地防止和减轻事故的危害</w:t>
                  </w:r>
                  <w:r>
                    <w:rPr>
                      <w:rFonts w:hint="eastAsia"/>
                      <w:color w:val="auto"/>
                    </w:rPr>
                    <w:t>。</w:t>
                  </w:r>
                </w:p>
                <w:p w14:paraId="1D1B18A2">
                  <w:pPr>
                    <w:pStyle w:val="54"/>
                    <w:jc w:val="both"/>
                    <w:rPr>
                      <w:color w:val="auto"/>
                    </w:rPr>
                  </w:pPr>
                  <w:r>
                    <w:rPr>
                      <w:rFonts w:hint="eastAsia"/>
                      <w:color w:val="auto"/>
                    </w:rPr>
                    <w:t>②本扩建</w:t>
                  </w:r>
                  <w:r>
                    <w:rPr>
                      <w:color w:val="auto"/>
                    </w:rPr>
                    <w:t>项目</w:t>
                  </w:r>
                  <w:r>
                    <w:rPr>
                      <w:rFonts w:hint="eastAsia"/>
                      <w:color w:val="auto"/>
                    </w:rPr>
                    <w:t>厂区地面进行分区防渗处理，可以杜绝泄漏物料进入环境。</w:t>
                  </w:r>
                </w:p>
                <w:p w14:paraId="1A89A1AC">
                  <w:pPr>
                    <w:pStyle w:val="54"/>
                    <w:jc w:val="both"/>
                    <w:rPr>
                      <w:color w:val="auto"/>
                    </w:rPr>
                  </w:pPr>
                  <w:r>
                    <w:rPr>
                      <w:rFonts w:hint="eastAsia"/>
                      <w:color w:val="auto"/>
                    </w:rPr>
                    <w:t>③本扩建项目仅外排职工生活污水，生活污水经化粪池预处理达标后接管至王集镇污水处理厂集中处理。</w:t>
                  </w:r>
                </w:p>
              </w:tc>
              <w:tc>
                <w:tcPr>
                  <w:tcW w:w="421" w:type="pct"/>
                  <w:vAlign w:val="center"/>
                </w:tcPr>
                <w:p w14:paraId="71177750">
                  <w:pPr>
                    <w:jc w:val="center"/>
                    <w:rPr>
                      <w:color w:val="auto"/>
                    </w:rPr>
                  </w:pPr>
                  <w:r>
                    <w:rPr>
                      <w:rFonts w:hint="eastAsia"/>
                      <w:color w:val="auto"/>
                    </w:rPr>
                    <w:t>相符</w:t>
                  </w:r>
                </w:p>
              </w:tc>
            </w:tr>
          </w:tbl>
          <w:p w14:paraId="585C7065">
            <w:pPr>
              <w:pStyle w:val="50"/>
              <w:ind w:firstLine="480"/>
              <w:rPr>
                <w:color w:val="auto"/>
              </w:rPr>
            </w:pPr>
            <w:r>
              <w:rPr>
                <w:rFonts w:hint="eastAsia"/>
                <w:color w:val="auto"/>
              </w:rPr>
              <w:t>由</w:t>
            </w:r>
            <w:r>
              <w:rPr>
                <w:color w:val="auto"/>
              </w:rPr>
              <w:fldChar w:fldCharType="begin"/>
            </w:r>
            <w:r>
              <w:rPr>
                <w:color w:val="auto"/>
              </w:rPr>
              <w:instrText xml:space="preserve"> REF _Ref21408 \h </w:instrText>
            </w:r>
            <w:r>
              <w:rPr>
                <w:color w:val="auto"/>
              </w:rPr>
              <w:fldChar w:fldCharType="separate"/>
            </w:r>
            <w:r>
              <w:rPr>
                <w:color w:val="auto"/>
              </w:rPr>
              <w:t>表1- 1</w:t>
            </w:r>
            <w:r>
              <w:rPr>
                <w:color w:val="auto"/>
              </w:rPr>
              <w:fldChar w:fldCharType="end"/>
            </w:r>
            <w:r>
              <w:rPr>
                <w:color w:val="auto"/>
              </w:rPr>
              <w:t>分析可知，本</w:t>
            </w:r>
            <w:r>
              <w:rPr>
                <w:rFonts w:hint="eastAsia"/>
                <w:color w:val="auto"/>
              </w:rPr>
              <w:t>扩建</w:t>
            </w:r>
            <w:r>
              <w:rPr>
                <w:color w:val="auto"/>
              </w:rPr>
              <w:t>项目</w:t>
            </w:r>
            <w:r>
              <w:rPr>
                <w:rFonts w:hint="eastAsia"/>
                <w:color w:val="auto"/>
              </w:rPr>
              <w:t>的建设符合《关于对泗阳县王集新城经济开发区规划环境影响报告书的审查意见》（宿环建管〔2020〕2007号）中</w:t>
            </w:r>
            <w:r>
              <w:rPr>
                <w:color w:val="auto"/>
              </w:rPr>
              <w:t>的相关要求。</w:t>
            </w:r>
          </w:p>
        </w:tc>
      </w:tr>
      <w:tr w14:paraId="64DBEA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77" w:type="dxa"/>
            <w:tcBorders>
              <w:left w:val="single" w:color="auto" w:sz="4" w:space="0"/>
              <w:bottom w:val="single" w:color="auto" w:sz="4" w:space="0"/>
            </w:tcBorders>
            <w:vAlign w:val="center"/>
          </w:tcPr>
          <w:p w14:paraId="0EE4DFD4">
            <w:pPr>
              <w:jc w:val="center"/>
              <w:rPr>
                <w:rFonts w:eastAsiaTheme="minorEastAsia"/>
                <w:color w:val="auto"/>
              </w:rPr>
            </w:pPr>
            <w:r>
              <w:rPr>
                <w:rFonts w:eastAsiaTheme="minorEastAsia"/>
                <w:color w:val="auto"/>
                <w:sz w:val="24"/>
              </w:rPr>
              <w:t>其他符合性分析</w:t>
            </w:r>
          </w:p>
        </w:tc>
        <w:tc>
          <w:tcPr>
            <w:tcW w:w="8347" w:type="dxa"/>
            <w:gridSpan w:val="3"/>
            <w:tcBorders>
              <w:bottom w:val="single" w:color="auto" w:sz="4" w:space="0"/>
              <w:right w:val="single" w:color="auto" w:sz="4" w:space="0"/>
            </w:tcBorders>
            <w:vAlign w:val="center"/>
          </w:tcPr>
          <w:p w14:paraId="30F82EAF">
            <w:pPr>
              <w:pStyle w:val="50"/>
              <w:ind w:firstLine="482"/>
              <w:rPr>
                <w:b/>
                <w:bCs/>
                <w:color w:val="auto"/>
              </w:rPr>
            </w:pPr>
            <w:r>
              <w:rPr>
                <w:b/>
                <w:bCs/>
                <w:color w:val="auto"/>
              </w:rPr>
              <w:t>1、产业政策相符性分析</w:t>
            </w:r>
          </w:p>
          <w:p w14:paraId="11E8F9EA">
            <w:pPr>
              <w:pStyle w:val="50"/>
              <w:ind w:firstLine="480"/>
              <w:rPr>
                <w:color w:val="auto"/>
              </w:rPr>
            </w:pPr>
            <w:r>
              <w:rPr>
                <w:color w:val="auto"/>
              </w:rPr>
              <w:t>本</w:t>
            </w:r>
            <w:r>
              <w:rPr>
                <w:rFonts w:hint="eastAsia"/>
                <w:color w:val="auto"/>
              </w:rPr>
              <w:t>扩建</w:t>
            </w:r>
            <w:r>
              <w:rPr>
                <w:color w:val="auto"/>
              </w:rPr>
              <w:t>项目</w:t>
            </w:r>
            <w:r>
              <w:rPr>
                <w:rFonts w:hint="eastAsia"/>
                <w:color w:val="auto"/>
              </w:rPr>
              <w:t>为铜压延加工项目，</w:t>
            </w:r>
            <w:r>
              <w:rPr>
                <w:color w:val="auto"/>
              </w:rPr>
              <w:t>采用上引法生产无氧铜杆，高纯度铜原料</w:t>
            </w:r>
            <w:r>
              <w:rPr>
                <w:rFonts w:hint="eastAsia"/>
                <w:color w:val="auto"/>
              </w:rPr>
              <w:t>使用工频熔化炉</w:t>
            </w:r>
            <w:r>
              <w:rPr>
                <w:color w:val="auto"/>
              </w:rPr>
              <w:t>经熔化后牵引出得到产品，不涉及铜冶炼，生产工艺流程为熔化→保温→连铸→收线。根据</w:t>
            </w:r>
            <w:r>
              <w:rPr>
                <w:rFonts w:hint="eastAsia"/>
                <w:color w:val="auto"/>
              </w:rPr>
              <w:t>2021年4月13日</w:t>
            </w:r>
            <w:r>
              <w:rPr>
                <w:color w:val="auto"/>
              </w:rPr>
              <w:t>江苏省工业和信息化厅厅长信箱对“关于连铸连轧是否属于铸造的咨询”回复，可</w:t>
            </w:r>
            <w:r>
              <w:rPr>
                <w:rFonts w:hint="eastAsia"/>
                <w:color w:val="auto"/>
              </w:rPr>
              <w:t>得</w:t>
            </w:r>
            <w:r>
              <w:rPr>
                <w:color w:val="auto"/>
              </w:rPr>
              <w:t>连铸</w:t>
            </w:r>
            <w:r>
              <w:rPr>
                <w:rFonts w:hint="eastAsia"/>
                <w:color w:val="auto"/>
              </w:rPr>
              <w:t>不</w:t>
            </w:r>
            <w:r>
              <w:rPr>
                <w:color w:val="auto"/>
              </w:rPr>
              <w:t>属于铸造</w:t>
            </w:r>
            <w:r>
              <w:rPr>
                <w:rFonts w:hint="eastAsia"/>
                <w:color w:val="auto"/>
              </w:rPr>
              <w:t>，具体内容详见附件</w:t>
            </w:r>
            <w:r>
              <w:rPr>
                <w:rFonts w:hint="eastAsia"/>
                <w:color w:val="auto"/>
                <w:lang w:val="en-US" w:eastAsia="zh-CN"/>
              </w:rPr>
              <w:t>7</w:t>
            </w:r>
            <w:r>
              <w:rPr>
                <w:rFonts w:hint="eastAsia"/>
                <w:color w:val="auto"/>
              </w:rPr>
              <w:t>；</w:t>
            </w:r>
            <w:r>
              <w:rPr>
                <w:color w:val="auto"/>
              </w:rPr>
              <w:t>同时根据《重污染天气应急减排措施 技术指南 有色金属压延行业》和《重污染天气应急减排措施 技术指南 铸造行业》，通过</w:t>
            </w:r>
            <w:r>
              <w:rPr>
                <w:rFonts w:hint="eastAsia"/>
                <w:color w:val="auto"/>
              </w:rPr>
              <w:t>对比指南中的适用范围和</w:t>
            </w:r>
            <w:r>
              <w:rPr>
                <w:color w:val="auto"/>
              </w:rPr>
              <w:t>生产工艺，可</w:t>
            </w:r>
            <w:r>
              <w:rPr>
                <w:rFonts w:hint="eastAsia"/>
                <w:color w:val="auto"/>
              </w:rPr>
              <w:t>得</w:t>
            </w:r>
            <w:r>
              <w:rPr>
                <w:color w:val="auto"/>
              </w:rPr>
              <w:t>本扩建项目属于有色金属压延行业、不属于铸造行业。因此，本扩建项目属于C3251铜压延加工行业。</w:t>
            </w:r>
          </w:p>
          <w:p w14:paraId="24B51E41">
            <w:pPr>
              <w:pStyle w:val="50"/>
              <w:ind w:firstLine="480"/>
              <w:rPr>
                <w:color w:val="auto"/>
              </w:rPr>
            </w:pPr>
            <w:r>
              <w:rPr>
                <w:color w:val="auto"/>
              </w:rPr>
              <w:t>对照《产业结构调整指导目录（2024年本）》，本扩建项目不属于鼓励、限制和淘汰类项目</w:t>
            </w:r>
            <w:r>
              <w:rPr>
                <w:rFonts w:hint="eastAsia"/>
                <w:color w:val="auto"/>
              </w:rPr>
              <w:t>，</w:t>
            </w:r>
            <w:r>
              <w:rPr>
                <w:color w:val="auto"/>
              </w:rPr>
              <w:t>生产工艺不涉及淘汰类</w:t>
            </w:r>
            <w:r>
              <w:rPr>
                <w:rFonts w:hint="eastAsia"/>
                <w:color w:val="auto"/>
              </w:rPr>
              <w:t>中的</w:t>
            </w:r>
            <w:r>
              <w:rPr>
                <w:color w:val="auto"/>
              </w:rPr>
              <w:t>“铜线杆（黑杆）生产工艺”，生产产品不属于落后产品</w:t>
            </w:r>
            <w:r>
              <w:rPr>
                <w:rFonts w:hint="eastAsia"/>
                <w:color w:val="auto"/>
              </w:rPr>
              <w:t>中的</w:t>
            </w:r>
            <w:r>
              <w:rPr>
                <w:color w:val="auto"/>
              </w:rPr>
              <w:t>“铜线杆（黑杆）”</w:t>
            </w:r>
            <w:r>
              <w:rPr>
                <w:rFonts w:hint="eastAsia"/>
                <w:color w:val="auto"/>
              </w:rPr>
              <w:t>，生产设备不涉及落后设备中的“无芯工频感应电炉”</w:t>
            </w:r>
            <w:r>
              <w:rPr>
                <w:color w:val="auto"/>
              </w:rPr>
              <w:t>。此外，项目</w:t>
            </w:r>
            <w:r>
              <w:rPr>
                <w:rFonts w:hint="eastAsia"/>
                <w:color w:val="auto"/>
              </w:rPr>
              <w:t>已获得宿迁泗阳县数据局出具的备案证，备案证号为泗阳数据备〔2025〕319号</w:t>
            </w:r>
            <w:r>
              <w:rPr>
                <w:color w:val="auto"/>
              </w:rPr>
              <w:t>。因此</w:t>
            </w:r>
            <w:r>
              <w:rPr>
                <w:rFonts w:hint="eastAsia"/>
                <w:color w:val="auto"/>
              </w:rPr>
              <w:t>，</w:t>
            </w:r>
            <w:r>
              <w:rPr>
                <w:color w:val="auto"/>
              </w:rPr>
              <w:t>本扩建项目的建设符合国家及地方的产业政策。</w:t>
            </w:r>
          </w:p>
          <w:p w14:paraId="138FAD69">
            <w:pPr>
              <w:pStyle w:val="50"/>
              <w:ind w:firstLine="482"/>
              <w:rPr>
                <w:b/>
                <w:bCs/>
                <w:color w:val="auto"/>
              </w:rPr>
            </w:pPr>
            <w:r>
              <w:rPr>
                <w:b/>
                <w:bCs/>
                <w:color w:val="auto"/>
              </w:rPr>
              <w:t>2、“三线一单”相符性分析</w:t>
            </w:r>
          </w:p>
          <w:p w14:paraId="1BD2CB98">
            <w:pPr>
              <w:pStyle w:val="50"/>
              <w:ind w:firstLine="482"/>
              <w:rPr>
                <w:b/>
                <w:bCs/>
                <w:color w:val="auto"/>
              </w:rPr>
            </w:pPr>
            <w:r>
              <w:rPr>
                <w:b/>
                <w:bCs/>
                <w:color w:val="auto"/>
              </w:rPr>
              <w:t>（1）与生态红线相关要求的符合性分析</w:t>
            </w:r>
          </w:p>
          <w:p w14:paraId="3C4C8C7B">
            <w:pPr>
              <w:pStyle w:val="50"/>
              <w:ind w:firstLine="480"/>
              <w:rPr>
                <w:color w:val="auto"/>
              </w:rPr>
            </w:pPr>
            <w:r>
              <w:rPr>
                <w:color w:val="auto"/>
              </w:rPr>
              <w:t>根据《省政府关于印发江苏省国家级生态保护红线规划的通知》（苏政发〔2018〕74号），距离本</w:t>
            </w:r>
            <w:r>
              <w:rPr>
                <w:rFonts w:hint="eastAsia"/>
                <w:color w:val="auto"/>
              </w:rPr>
              <w:t>扩建</w:t>
            </w:r>
            <w:r>
              <w:rPr>
                <w:color w:val="auto"/>
              </w:rPr>
              <w:t>项目最近的生态空间管控区域为泗阳黄河故道省级湿地公园，位于项目</w:t>
            </w:r>
            <w:r>
              <w:rPr>
                <w:rFonts w:hint="eastAsia"/>
                <w:color w:val="auto"/>
              </w:rPr>
              <w:t>西南</w:t>
            </w:r>
            <w:r>
              <w:rPr>
                <w:color w:val="auto"/>
              </w:rPr>
              <w:t>侧约</w:t>
            </w:r>
            <w:r>
              <w:rPr>
                <w:rFonts w:hint="eastAsia"/>
                <w:color w:val="auto"/>
              </w:rPr>
              <w:t>17k</w:t>
            </w:r>
            <w:r>
              <w:rPr>
                <w:color w:val="auto"/>
              </w:rPr>
              <w:t>m处，</w:t>
            </w:r>
            <w:r>
              <w:rPr>
                <w:rFonts w:hint="eastAsia"/>
                <w:color w:val="auto"/>
              </w:rPr>
              <w:t>详</w:t>
            </w:r>
            <w:r>
              <w:rPr>
                <w:color w:val="auto"/>
              </w:rPr>
              <w:t>见</w:t>
            </w:r>
            <w:r>
              <w:rPr>
                <w:color w:val="auto"/>
              </w:rPr>
              <w:fldChar w:fldCharType="begin"/>
            </w:r>
            <w:r>
              <w:rPr>
                <w:color w:val="auto"/>
              </w:rPr>
              <w:instrText xml:space="preserve"> REF _Ref631 \h </w:instrText>
            </w:r>
            <w:r>
              <w:rPr>
                <w:color w:val="auto"/>
              </w:rPr>
              <w:fldChar w:fldCharType="separate"/>
            </w:r>
            <w:r>
              <w:rPr>
                <w:color w:val="auto"/>
              </w:rPr>
              <w:t>表1- 2</w:t>
            </w:r>
            <w:r>
              <w:rPr>
                <w:color w:val="auto"/>
              </w:rPr>
              <w:fldChar w:fldCharType="end"/>
            </w:r>
            <w:r>
              <w:rPr>
                <w:color w:val="auto"/>
              </w:rPr>
              <w:t>。</w:t>
            </w:r>
          </w:p>
          <w:p w14:paraId="677778AB">
            <w:pPr>
              <w:pStyle w:val="7"/>
              <w:rPr>
                <w:color w:val="auto"/>
              </w:rPr>
            </w:pPr>
            <w:bookmarkStart w:id="6" w:name="_Ref631"/>
            <w:r>
              <w:rPr>
                <w:color w:val="auto"/>
              </w:rPr>
              <w:t xml:space="preserve">表1- </w:t>
            </w:r>
            <w:r>
              <w:rPr>
                <w:color w:val="auto"/>
              </w:rPr>
              <w:fldChar w:fldCharType="begin"/>
            </w:r>
            <w:r>
              <w:rPr>
                <w:color w:val="auto"/>
              </w:rPr>
              <w:instrText xml:space="preserve"> SEQ 表1- \* ARABIC </w:instrText>
            </w:r>
            <w:r>
              <w:rPr>
                <w:color w:val="auto"/>
              </w:rPr>
              <w:fldChar w:fldCharType="separate"/>
            </w:r>
            <w:r>
              <w:rPr>
                <w:color w:val="auto"/>
              </w:rPr>
              <w:t>2</w:t>
            </w:r>
            <w:r>
              <w:rPr>
                <w:color w:val="auto"/>
              </w:rPr>
              <w:fldChar w:fldCharType="end"/>
            </w:r>
            <w:bookmarkEnd w:id="6"/>
            <w:r>
              <w:rPr>
                <w:color w:val="auto"/>
              </w:rPr>
              <w:t xml:space="preserve"> 距离项目最近的国家级生态保护红线管控区域</w:t>
            </w:r>
          </w:p>
          <w:tbl>
            <w:tblPr>
              <w:tblStyle w:val="18"/>
              <w:tblW w:w="82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1"/>
              <w:gridCol w:w="902"/>
              <w:gridCol w:w="4187"/>
              <w:gridCol w:w="1064"/>
              <w:gridCol w:w="889"/>
            </w:tblGrid>
            <w:tr w14:paraId="579288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blHeader/>
                <w:jc w:val="center"/>
              </w:trPr>
              <w:tc>
                <w:tcPr>
                  <w:tcW w:w="712" w:type="pct"/>
                  <w:vAlign w:val="center"/>
                </w:tcPr>
                <w:p w14:paraId="299E2612">
                  <w:pPr>
                    <w:pStyle w:val="52"/>
                    <w:rPr>
                      <w:color w:val="auto"/>
                    </w:rPr>
                  </w:pPr>
                  <w:r>
                    <w:rPr>
                      <w:color w:val="auto"/>
                    </w:rPr>
                    <w:t>生态保护红线名称</w:t>
                  </w:r>
                </w:p>
              </w:tc>
              <w:tc>
                <w:tcPr>
                  <w:tcW w:w="549" w:type="pct"/>
                  <w:vAlign w:val="center"/>
                </w:tcPr>
                <w:p w14:paraId="4695C0B9">
                  <w:pPr>
                    <w:pStyle w:val="52"/>
                    <w:rPr>
                      <w:color w:val="auto"/>
                    </w:rPr>
                  </w:pPr>
                  <w:r>
                    <w:rPr>
                      <w:color w:val="auto"/>
                    </w:rPr>
                    <w:t>类型</w:t>
                  </w:r>
                </w:p>
              </w:tc>
              <w:tc>
                <w:tcPr>
                  <w:tcW w:w="2547" w:type="pct"/>
                  <w:vAlign w:val="center"/>
                </w:tcPr>
                <w:p w14:paraId="148A6215">
                  <w:pPr>
                    <w:pStyle w:val="52"/>
                    <w:rPr>
                      <w:color w:val="auto"/>
                    </w:rPr>
                  </w:pPr>
                  <w:r>
                    <w:rPr>
                      <w:color w:val="auto"/>
                    </w:rPr>
                    <w:t>地理位置</w:t>
                  </w:r>
                </w:p>
              </w:tc>
              <w:tc>
                <w:tcPr>
                  <w:tcW w:w="648" w:type="pct"/>
                  <w:vAlign w:val="center"/>
                </w:tcPr>
                <w:p w14:paraId="7A4DF2E0">
                  <w:pPr>
                    <w:pStyle w:val="52"/>
                    <w:rPr>
                      <w:color w:val="auto"/>
                    </w:rPr>
                  </w:pPr>
                  <w:r>
                    <w:rPr>
                      <w:color w:val="auto"/>
                    </w:rPr>
                    <w:t>区域面积（km</w:t>
                  </w:r>
                  <w:r>
                    <w:rPr>
                      <w:color w:val="auto"/>
                      <w:vertAlign w:val="superscript"/>
                    </w:rPr>
                    <w:t>2</w:t>
                  </w:r>
                  <w:r>
                    <w:rPr>
                      <w:color w:val="auto"/>
                    </w:rPr>
                    <w:t>）</w:t>
                  </w:r>
                </w:p>
              </w:tc>
              <w:tc>
                <w:tcPr>
                  <w:tcW w:w="541" w:type="pct"/>
                  <w:vAlign w:val="center"/>
                </w:tcPr>
                <w:p w14:paraId="53E71995">
                  <w:pPr>
                    <w:pStyle w:val="52"/>
                    <w:rPr>
                      <w:color w:val="auto"/>
                    </w:rPr>
                  </w:pPr>
                  <w:r>
                    <w:rPr>
                      <w:color w:val="auto"/>
                    </w:rPr>
                    <w:t>最近方位距离</w:t>
                  </w:r>
                </w:p>
              </w:tc>
            </w:tr>
            <w:tr w14:paraId="5FBE1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jc w:val="center"/>
              </w:trPr>
              <w:tc>
                <w:tcPr>
                  <w:tcW w:w="712" w:type="pct"/>
                  <w:vAlign w:val="center"/>
                </w:tcPr>
                <w:p w14:paraId="32B276BE">
                  <w:pPr>
                    <w:pStyle w:val="54"/>
                    <w:rPr>
                      <w:color w:val="auto"/>
                    </w:rPr>
                  </w:pPr>
                  <w:r>
                    <w:rPr>
                      <w:color w:val="auto"/>
                    </w:rPr>
                    <w:t>泗阳黄河故道省级湿地公园</w:t>
                  </w:r>
                </w:p>
              </w:tc>
              <w:tc>
                <w:tcPr>
                  <w:tcW w:w="549" w:type="pct"/>
                  <w:vAlign w:val="center"/>
                </w:tcPr>
                <w:p w14:paraId="3577014D">
                  <w:pPr>
                    <w:pStyle w:val="54"/>
                    <w:rPr>
                      <w:color w:val="auto"/>
                    </w:rPr>
                  </w:pPr>
                  <w:r>
                    <w:rPr>
                      <w:color w:val="auto"/>
                    </w:rPr>
                    <w:t>湿地生态系统保护</w:t>
                  </w:r>
                </w:p>
              </w:tc>
              <w:tc>
                <w:tcPr>
                  <w:tcW w:w="2547" w:type="pct"/>
                  <w:vAlign w:val="center"/>
                </w:tcPr>
                <w:p w14:paraId="7F62DB99">
                  <w:pPr>
                    <w:pStyle w:val="54"/>
                    <w:rPr>
                      <w:color w:val="auto"/>
                    </w:rPr>
                  </w:pPr>
                  <w:r>
                    <w:rPr>
                      <w:color w:val="auto"/>
                    </w:rPr>
                    <w:t>泗阳黄河故道省级湿地公园总体规划中确定的范围（包括湿地保育区和恢复重建区等）</w:t>
                  </w:r>
                </w:p>
              </w:tc>
              <w:tc>
                <w:tcPr>
                  <w:tcW w:w="648" w:type="pct"/>
                  <w:vAlign w:val="center"/>
                </w:tcPr>
                <w:p w14:paraId="555315EA">
                  <w:pPr>
                    <w:pStyle w:val="54"/>
                    <w:rPr>
                      <w:color w:val="auto"/>
                    </w:rPr>
                  </w:pPr>
                  <w:r>
                    <w:rPr>
                      <w:color w:val="auto"/>
                    </w:rPr>
                    <w:t>3.29</w:t>
                  </w:r>
                </w:p>
              </w:tc>
              <w:tc>
                <w:tcPr>
                  <w:tcW w:w="541" w:type="pct"/>
                  <w:vAlign w:val="center"/>
                </w:tcPr>
                <w:p w14:paraId="2D687878">
                  <w:pPr>
                    <w:pStyle w:val="54"/>
                    <w:rPr>
                      <w:color w:val="auto"/>
                    </w:rPr>
                  </w:pPr>
                  <w:r>
                    <w:rPr>
                      <w:rFonts w:hint="eastAsia"/>
                      <w:color w:val="auto"/>
                      <w:lang w:val="en-US" w:eastAsia="zh-CN"/>
                    </w:rPr>
                    <w:t>SW</w:t>
                  </w:r>
                  <w:r>
                    <w:rPr>
                      <w:color w:val="auto"/>
                    </w:rPr>
                    <w:t>，</w:t>
                  </w:r>
                </w:p>
                <w:p w14:paraId="0F73A902">
                  <w:pPr>
                    <w:pStyle w:val="54"/>
                    <w:rPr>
                      <w:color w:val="auto"/>
                    </w:rPr>
                  </w:pPr>
                  <w:r>
                    <w:rPr>
                      <w:rFonts w:hint="eastAsia"/>
                      <w:color w:val="auto"/>
                    </w:rPr>
                    <w:t>17</w:t>
                  </w:r>
                  <w:r>
                    <w:rPr>
                      <w:color w:val="auto"/>
                    </w:rPr>
                    <w:t>km</w:t>
                  </w:r>
                </w:p>
              </w:tc>
            </w:tr>
          </w:tbl>
          <w:p w14:paraId="28742792">
            <w:pPr>
              <w:pStyle w:val="50"/>
              <w:ind w:firstLine="480"/>
              <w:rPr>
                <w:color w:val="auto"/>
              </w:rPr>
            </w:pPr>
            <w:r>
              <w:rPr>
                <w:color w:val="auto"/>
              </w:rPr>
              <w:t>根据《省政府关于印发江苏省生态空间管控区域规划的通知》（苏政发〔2020〕1号），距离本</w:t>
            </w:r>
            <w:r>
              <w:rPr>
                <w:rFonts w:hint="eastAsia"/>
                <w:color w:val="auto"/>
              </w:rPr>
              <w:t>扩建</w:t>
            </w:r>
            <w:r>
              <w:rPr>
                <w:color w:val="auto"/>
              </w:rPr>
              <w:t>项目最近的生态空间管控区域为</w:t>
            </w:r>
            <w:r>
              <w:rPr>
                <w:rFonts w:hint="eastAsia"/>
                <w:color w:val="auto"/>
              </w:rPr>
              <w:t>淮沭新河（沭阳县）清水通道维护区</w:t>
            </w:r>
            <w:r>
              <w:rPr>
                <w:color w:val="auto"/>
              </w:rPr>
              <w:t>，位于项目</w:t>
            </w:r>
            <w:r>
              <w:rPr>
                <w:rFonts w:hint="eastAsia"/>
                <w:color w:val="auto"/>
              </w:rPr>
              <w:t>东北侧</w:t>
            </w:r>
            <w:r>
              <w:rPr>
                <w:color w:val="auto"/>
              </w:rPr>
              <w:t>约</w:t>
            </w:r>
            <w:r>
              <w:rPr>
                <w:rFonts w:hint="eastAsia"/>
                <w:color w:val="auto"/>
              </w:rPr>
              <w:t>11</w:t>
            </w:r>
            <w:r>
              <w:rPr>
                <w:color w:val="auto"/>
              </w:rPr>
              <w:t>km处，</w:t>
            </w:r>
            <w:r>
              <w:rPr>
                <w:rFonts w:hint="eastAsia"/>
                <w:color w:val="auto"/>
              </w:rPr>
              <w:t>详</w:t>
            </w:r>
            <w:r>
              <w:rPr>
                <w:color w:val="auto"/>
              </w:rPr>
              <w:t>见</w:t>
            </w:r>
            <w:r>
              <w:rPr>
                <w:color w:val="auto"/>
              </w:rPr>
              <w:fldChar w:fldCharType="begin"/>
            </w:r>
            <w:r>
              <w:rPr>
                <w:color w:val="auto"/>
              </w:rPr>
              <w:instrText xml:space="preserve"> REF _Ref752 \h </w:instrText>
            </w:r>
            <w:r>
              <w:rPr>
                <w:color w:val="auto"/>
              </w:rPr>
              <w:fldChar w:fldCharType="separate"/>
            </w:r>
            <w:r>
              <w:rPr>
                <w:color w:val="auto"/>
              </w:rPr>
              <w:t>表1- 3</w:t>
            </w:r>
            <w:r>
              <w:rPr>
                <w:color w:val="auto"/>
              </w:rPr>
              <w:fldChar w:fldCharType="end"/>
            </w:r>
            <w:r>
              <w:rPr>
                <w:color w:val="auto"/>
              </w:rPr>
              <w:t>。</w:t>
            </w:r>
          </w:p>
          <w:p w14:paraId="19A5269D">
            <w:pPr>
              <w:pStyle w:val="7"/>
              <w:rPr>
                <w:color w:val="auto"/>
              </w:rPr>
            </w:pPr>
            <w:bookmarkStart w:id="7" w:name="_Ref752"/>
            <w:r>
              <w:rPr>
                <w:color w:val="auto"/>
              </w:rPr>
              <w:t xml:space="preserve">表1- </w:t>
            </w:r>
            <w:r>
              <w:rPr>
                <w:color w:val="auto"/>
              </w:rPr>
              <w:fldChar w:fldCharType="begin"/>
            </w:r>
            <w:r>
              <w:rPr>
                <w:color w:val="auto"/>
              </w:rPr>
              <w:instrText xml:space="preserve"> SEQ 表1- \* ARABIC </w:instrText>
            </w:r>
            <w:r>
              <w:rPr>
                <w:color w:val="auto"/>
              </w:rPr>
              <w:fldChar w:fldCharType="separate"/>
            </w:r>
            <w:r>
              <w:rPr>
                <w:color w:val="auto"/>
              </w:rPr>
              <w:t>3</w:t>
            </w:r>
            <w:r>
              <w:rPr>
                <w:color w:val="auto"/>
              </w:rPr>
              <w:fldChar w:fldCharType="end"/>
            </w:r>
            <w:bookmarkEnd w:id="7"/>
            <w:r>
              <w:rPr>
                <w:color w:val="auto"/>
              </w:rPr>
              <w:t xml:space="preserve"> 距离项目最近的省级生态保护红线空间管控区域</w:t>
            </w:r>
          </w:p>
          <w:tbl>
            <w:tblPr>
              <w:tblStyle w:val="18"/>
              <w:tblW w:w="505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2"/>
              <w:gridCol w:w="883"/>
              <w:gridCol w:w="4203"/>
              <w:gridCol w:w="1105"/>
              <w:gridCol w:w="849"/>
            </w:tblGrid>
            <w:tr w14:paraId="6DCAE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3" w:type="pct"/>
                  <w:vAlign w:val="center"/>
                </w:tcPr>
                <w:p w14:paraId="7425383F">
                  <w:pPr>
                    <w:pStyle w:val="52"/>
                    <w:rPr>
                      <w:color w:val="auto"/>
                    </w:rPr>
                  </w:pPr>
                  <w:r>
                    <w:rPr>
                      <w:color w:val="auto"/>
                    </w:rPr>
                    <w:t>生态保护红线名称</w:t>
                  </w:r>
                </w:p>
              </w:tc>
              <w:tc>
                <w:tcPr>
                  <w:tcW w:w="537" w:type="pct"/>
                  <w:vAlign w:val="center"/>
                </w:tcPr>
                <w:p w14:paraId="18E28795">
                  <w:pPr>
                    <w:pStyle w:val="52"/>
                    <w:rPr>
                      <w:color w:val="auto"/>
                    </w:rPr>
                  </w:pPr>
                  <w:r>
                    <w:rPr>
                      <w:color w:val="auto"/>
                    </w:rPr>
                    <w:t>类型</w:t>
                  </w:r>
                </w:p>
              </w:tc>
              <w:tc>
                <w:tcPr>
                  <w:tcW w:w="2559" w:type="pct"/>
                  <w:vAlign w:val="center"/>
                </w:tcPr>
                <w:p w14:paraId="5A1330A9">
                  <w:pPr>
                    <w:pStyle w:val="52"/>
                    <w:rPr>
                      <w:color w:val="auto"/>
                    </w:rPr>
                  </w:pPr>
                  <w:r>
                    <w:rPr>
                      <w:color w:val="auto"/>
                    </w:rPr>
                    <w:t>地理位置</w:t>
                  </w:r>
                </w:p>
              </w:tc>
              <w:tc>
                <w:tcPr>
                  <w:tcW w:w="672" w:type="pct"/>
                  <w:vAlign w:val="center"/>
                </w:tcPr>
                <w:p w14:paraId="36D23282">
                  <w:pPr>
                    <w:pStyle w:val="52"/>
                    <w:rPr>
                      <w:color w:val="auto"/>
                    </w:rPr>
                  </w:pPr>
                  <w:r>
                    <w:rPr>
                      <w:color w:val="auto"/>
                    </w:rPr>
                    <w:t>区域面积（km</w:t>
                  </w:r>
                  <w:r>
                    <w:rPr>
                      <w:color w:val="auto"/>
                      <w:vertAlign w:val="superscript"/>
                    </w:rPr>
                    <w:t>2</w:t>
                  </w:r>
                  <w:r>
                    <w:rPr>
                      <w:color w:val="auto"/>
                    </w:rPr>
                    <w:t>）</w:t>
                  </w:r>
                </w:p>
              </w:tc>
              <w:tc>
                <w:tcPr>
                  <w:tcW w:w="516" w:type="pct"/>
                  <w:vAlign w:val="center"/>
                </w:tcPr>
                <w:p w14:paraId="1858FA88">
                  <w:pPr>
                    <w:pStyle w:val="52"/>
                    <w:rPr>
                      <w:color w:val="auto"/>
                    </w:rPr>
                  </w:pPr>
                  <w:r>
                    <w:rPr>
                      <w:color w:val="auto"/>
                    </w:rPr>
                    <w:t>最近方位距离</w:t>
                  </w:r>
                </w:p>
              </w:tc>
            </w:tr>
            <w:tr w14:paraId="6E3D6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pct"/>
                  <w:vAlign w:val="center"/>
                </w:tcPr>
                <w:p w14:paraId="0FC1DD18">
                  <w:pPr>
                    <w:pStyle w:val="54"/>
                    <w:rPr>
                      <w:color w:val="auto"/>
                    </w:rPr>
                  </w:pPr>
                  <w:r>
                    <w:rPr>
                      <w:rFonts w:hint="eastAsia"/>
                      <w:color w:val="auto"/>
                    </w:rPr>
                    <w:t>淮沭新河（沭阳县）</w:t>
                  </w:r>
                </w:p>
              </w:tc>
              <w:tc>
                <w:tcPr>
                  <w:tcW w:w="537" w:type="pct"/>
                  <w:vAlign w:val="center"/>
                </w:tcPr>
                <w:p w14:paraId="4916C797">
                  <w:pPr>
                    <w:pStyle w:val="54"/>
                    <w:rPr>
                      <w:color w:val="auto"/>
                    </w:rPr>
                  </w:pPr>
                  <w:r>
                    <w:rPr>
                      <w:rFonts w:hint="eastAsia"/>
                      <w:color w:val="auto"/>
                    </w:rPr>
                    <w:t>水源水质保护</w:t>
                  </w:r>
                </w:p>
              </w:tc>
              <w:tc>
                <w:tcPr>
                  <w:tcW w:w="2559" w:type="pct"/>
                  <w:vAlign w:val="center"/>
                </w:tcPr>
                <w:p w14:paraId="07108742">
                  <w:pPr>
                    <w:pStyle w:val="54"/>
                    <w:rPr>
                      <w:color w:val="auto"/>
                    </w:rPr>
                  </w:pPr>
                  <w:r>
                    <w:rPr>
                      <w:rFonts w:hint="eastAsia"/>
                      <w:color w:val="auto"/>
                    </w:rPr>
                    <w:t>淮沭新河及堤外两侧各100米以内区域，含淮沭新河第一、第二饮用水源二级保护区和准保护区，其中二级保护区为一级保护区以外上溯2000米、下延500米的水域范围，准保护区为二级保护区以外上溯2000米、下延1000米的水域范围，以及二级和准保护区水域与相对应的两岸背水坡堤脚外100米之间的范围。不含淮沭新河第一、第二饮用水源一级保护区</w:t>
                  </w:r>
                  <w:r>
                    <w:rPr>
                      <w:color w:val="auto"/>
                    </w:rPr>
                    <w:t>。</w:t>
                  </w:r>
                </w:p>
              </w:tc>
              <w:tc>
                <w:tcPr>
                  <w:tcW w:w="672" w:type="pct"/>
                  <w:vAlign w:val="center"/>
                </w:tcPr>
                <w:p w14:paraId="61E04F36">
                  <w:pPr>
                    <w:pStyle w:val="54"/>
                    <w:rPr>
                      <w:color w:val="auto"/>
                    </w:rPr>
                  </w:pPr>
                  <w:r>
                    <w:rPr>
                      <w:color w:val="auto"/>
                    </w:rPr>
                    <w:t>14.74</w:t>
                  </w:r>
                </w:p>
              </w:tc>
              <w:tc>
                <w:tcPr>
                  <w:tcW w:w="516" w:type="pct"/>
                  <w:vAlign w:val="center"/>
                </w:tcPr>
                <w:p w14:paraId="148B178F">
                  <w:pPr>
                    <w:pStyle w:val="54"/>
                    <w:rPr>
                      <w:color w:val="auto"/>
                    </w:rPr>
                  </w:pPr>
                  <w:r>
                    <w:rPr>
                      <w:rFonts w:hint="eastAsia"/>
                      <w:color w:val="auto"/>
                      <w:lang w:val="en-US" w:eastAsia="zh-CN"/>
                    </w:rPr>
                    <w:t>NE</w:t>
                  </w:r>
                  <w:r>
                    <w:rPr>
                      <w:color w:val="auto"/>
                    </w:rPr>
                    <w:t>，</w:t>
                  </w:r>
                  <w:r>
                    <w:rPr>
                      <w:rFonts w:hint="eastAsia"/>
                      <w:color w:val="auto"/>
                    </w:rPr>
                    <w:t>11</w:t>
                  </w:r>
                  <w:r>
                    <w:rPr>
                      <w:color w:val="auto"/>
                    </w:rPr>
                    <w:t>km</w:t>
                  </w:r>
                </w:p>
              </w:tc>
            </w:tr>
          </w:tbl>
          <w:p w14:paraId="5DDB5F64">
            <w:pPr>
              <w:pStyle w:val="50"/>
              <w:ind w:firstLine="480"/>
              <w:rPr>
                <w:color w:val="auto"/>
              </w:rPr>
            </w:pPr>
            <w:r>
              <w:rPr>
                <w:color w:val="auto"/>
              </w:rPr>
              <w:t>综上所述，本</w:t>
            </w:r>
            <w:r>
              <w:rPr>
                <w:rFonts w:hint="eastAsia"/>
                <w:color w:val="auto"/>
              </w:rPr>
              <w:t>扩建</w:t>
            </w:r>
            <w:r>
              <w:rPr>
                <w:color w:val="auto"/>
              </w:rPr>
              <w:t>项目</w:t>
            </w:r>
            <w:r>
              <w:rPr>
                <w:rFonts w:hint="eastAsia"/>
                <w:color w:val="auto"/>
              </w:rPr>
              <w:t>的</w:t>
            </w:r>
            <w:r>
              <w:rPr>
                <w:color w:val="auto"/>
              </w:rPr>
              <w:t>建设符合生态红线相关要求。项目在江苏省生态空间保护区域分布图中的位置见附图6。</w:t>
            </w:r>
          </w:p>
          <w:p w14:paraId="38954344">
            <w:pPr>
              <w:pStyle w:val="50"/>
              <w:ind w:firstLine="482"/>
              <w:rPr>
                <w:b/>
                <w:bCs/>
                <w:color w:val="auto"/>
              </w:rPr>
            </w:pPr>
            <w:r>
              <w:rPr>
                <w:b/>
                <w:bCs/>
                <w:color w:val="auto"/>
              </w:rPr>
              <w:t>（2）与环境质量底线的相符性分析</w:t>
            </w:r>
          </w:p>
          <w:p w14:paraId="198B73D9">
            <w:pPr>
              <w:pStyle w:val="50"/>
              <w:ind w:firstLine="482"/>
              <w:rPr>
                <w:color w:val="auto"/>
              </w:rPr>
            </w:pPr>
            <w:r>
              <w:rPr>
                <w:b/>
                <w:bCs/>
                <w:color w:val="auto"/>
              </w:rPr>
              <w:t>环境空气质量状况</w:t>
            </w:r>
            <w:r>
              <w:rPr>
                <w:color w:val="auto"/>
              </w:rPr>
              <w:t>：根据《宿迁市2024年度生态环境状况公报》可知，2024年，全市环境空气优良天数达296天，优良天数比例为80.9%；空气中PM</w:t>
            </w:r>
            <w:r>
              <w:rPr>
                <w:color w:val="auto"/>
                <w:vertAlign w:val="subscript"/>
              </w:rPr>
              <w:t>2.5</w:t>
            </w:r>
            <w:r>
              <w:rPr>
                <w:color w:val="auto"/>
              </w:rPr>
              <w:t>、PM</w:t>
            </w:r>
            <w:r>
              <w:rPr>
                <w:color w:val="auto"/>
                <w:vertAlign w:val="subscript"/>
              </w:rPr>
              <w:t>10</w:t>
            </w:r>
            <w:r>
              <w:rPr>
                <w:color w:val="auto"/>
              </w:rPr>
              <w:t>、NO</w:t>
            </w:r>
            <w:r>
              <w:rPr>
                <w:color w:val="auto"/>
                <w:vertAlign w:val="subscript"/>
              </w:rPr>
              <w:t>2</w:t>
            </w:r>
            <w:r>
              <w:rPr>
                <w:color w:val="auto"/>
              </w:rPr>
              <w:t>、SO</w:t>
            </w:r>
            <w:r>
              <w:rPr>
                <w:color w:val="auto"/>
                <w:vertAlign w:val="subscript"/>
              </w:rPr>
              <w:t>2</w:t>
            </w:r>
            <w:r>
              <w:rPr>
                <w:color w:val="auto"/>
              </w:rPr>
              <w:t>、O</w:t>
            </w:r>
            <w:r>
              <w:rPr>
                <w:color w:val="auto"/>
                <w:vertAlign w:val="subscript"/>
              </w:rPr>
              <w:t>3</w:t>
            </w:r>
            <w:r>
              <w:rPr>
                <w:color w:val="auto"/>
              </w:rPr>
              <w:t>浓度均同比下降，CO指标持平，浓度均值分别为38.7μg/m</w:t>
            </w:r>
            <w:r>
              <w:rPr>
                <w:color w:val="auto"/>
                <w:vertAlign w:val="superscript"/>
              </w:rPr>
              <w:t>3</w:t>
            </w:r>
            <w:r>
              <w:rPr>
                <w:color w:val="auto"/>
              </w:rPr>
              <w:t>、57μg/m</w:t>
            </w:r>
            <w:r>
              <w:rPr>
                <w:color w:val="auto"/>
                <w:vertAlign w:val="superscript"/>
              </w:rPr>
              <w:t>3</w:t>
            </w:r>
            <w:r>
              <w:rPr>
                <w:color w:val="auto"/>
              </w:rPr>
              <w:t>、21μg/m</w:t>
            </w:r>
            <w:r>
              <w:rPr>
                <w:color w:val="auto"/>
                <w:vertAlign w:val="superscript"/>
              </w:rPr>
              <w:t>3</w:t>
            </w:r>
            <w:r>
              <w:rPr>
                <w:color w:val="auto"/>
              </w:rPr>
              <w:t>、5μg/m</w:t>
            </w:r>
            <w:r>
              <w:rPr>
                <w:color w:val="auto"/>
                <w:vertAlign w:val="superscript"/>
              </w:rPr>
              <w:t>3</w:t>
            </w:r>
            <w:r>
              <w:rPr>
                <w:color w:val="auto"/>
              </w:rPr>
              <w:t>、160μg/m</w:t>
            </w:r>
            <w:r>
              <w:rPr>
                <w:color w:val="auto"/>
                <w:vertAlign w:val="superscript"/>
              </w:rPr>
              <w:t>3</w:t>
            </w:r>
            <w:r>
              <w:rPr>
                <w:color w:val="auto"/>
              </w:rPr>
              <w:t>、1.0mg/m</w:t>
            </w:r>
            <w:r>
              <w:rPr>
                <w:color w:val="auto"/>
                <w:vertAlign w:val="superscript"/>
              </w:rPr>
              <w:t>3</w:t>
            </w:r>
            <w:r>
              <w:rPr>
                <w:color w:val="auto"/>
              </w:rPr>
              <w:t>，除CO同比持平外，其余同比分别下降2.8%、9.5%、16.0%、37.5%、5.3%；其中，O</w:t>
            </w:r>
            <w:r>
              <w:rPr>
                <w:color w:val="auto"/>
                <w:vertAlign w:val="subscript"/>
              </w:rPr>
              <w:t>3</w:t>
            </w:r>
            <w:r>
              <w:rPr>
                <w:color w:val="auto"/>
              </w:rPr>
              <w:t>作为首要污染物的超标天数为33天，占全年超标天数比例达47.1%，已成为影响全市环境空气质量达标的主要指标。泗阳空气质量优良天数为309，全年占比为84.4%。</w:t>
            </w:r>
          </w:p>
          <w:p w14:paraId="61592DC8">
            <w:pPr>
              <w:pStyle w:val="50"/>
              <w:ind w:firstLine="480"/>
              <w:rPr>
                <w:color w:val="auto"/>
              </w:rPr>
            </w:pPr>
            <w:r>
              <w:rPr>
                <w:color w:val="auto"/>
              </w:rPr>
              <w:t>结合宿迁市实际，宿迁市坚持PM</w:t>
            </w:r>
            <w:r>
              <w:rPr>
                <w:color w:val="auto"/>
                <w:vertAlign w:val="subscript"/>
              </w:rPr>
              <w:t>2.5</w:t>
            </w:r>
            <w:r>
              <w:rPr>
                <w:color w:val="auto"/>
              </w:rPr>
              <w:t>和O</w:t>
            </w:r>
            <w:r>
              <w:rPr>
                <w:color w:val="auto"/>
                <w:vertAlign w:val="subscript"/>
              </w:rPr>
              <w:t>3</w:t>
            </w:r>
            <w:r>
              <w:rPr>
                <w:color w:val="auto"/>
              </w:rPr>
              <w:t>协同治理，在全省率先印发空气质量持续改善行动计划实施方案，综合多方力量，健全“三驾马车”三方会商新机制。制定39项治气攻坚举措，实施1043项治气工程项目，完成7400辆“国三”及以下柴油货车淘汰任务。持续推进全市重点企业“一企一策”深度优化减排，强化扬尘源、餐饮油烟、秸秆禁烧、烟花爆竹禁燃禁放等工作力度，持续压降内源污染排放。随着大气污染防治方案的实施，环境空气质量将会有所好转。</w:t>
            </w:r>
          </w:p>
          <w:p w14:paraId="36885898">
            <w:pPr>
              <w:pStyle w:val="50"/>
              <w:ind w:firstLine="482"/>
              <w:rPr>
                <w:color w:val="auto"/>
              </w:rPr>
            </w:pPr>
            <w:r>
              <w:rPr>
                <w:b/>
                <w:bCs/>
                <w:color w:val="auto"/>
              </w:rPr>
              <w:t>水环境质量状况</w:t>
            </w:r>
            <w:r>
              <w:rPr>
                <w:color w:val="auto"/>
              </w:rPr>
              <w:t>：根据《宿迁市2024年度生态环境状况公报》，全市10个县级以上集中式饮用水水源地水质优Ⅲ比例为100%。全市15个国考断面水质达标率为100%，优Ⅲ水体比例为86.7%，无劣Ⅴ类水体。全市35个省考断面水质达标率为100%，优Ⅲ水体比例100%，无劣Ⅴ类水体。</w:t>
            </w:r>
          </w:p>
          <w:p w14:paraId="03A7162C">
            <w:pPr>
              <w:pStyle w:val="50"/>
              <w:ind w:firstLine="482"/>
              <w:rPr>
                <w:color w:val="auto"/>
              </w:rPr>
            </w:pPr>
            <w:r>
              <w:rPr>
                <w:b/>
                <w:bCs/>
                <w:color w:val="auto"/>
              </w:rPr>
              <w:t>声环境质量状况</w:t>
            </w:r>
            <w:r>
              <w:rPr>
                <w:color w:val="auto"/>
              </w:rPr>
              <w:t>：根据《宿迁市2024年度生态环境状况公报》可知，2024年，宿迁市声环境质量总体较好。宿迁市功能区声环境昼间测次达标率98.4%，夜间测次达标率94.9%。市区功能区声环境昼间测次达标率96.3%，夜间测次达标率88.1%。区域环境噪声昼间平均等效声级54.3分贝，处于二级（较好）水平。道路交通声环境昼间平均等效声级63.7分贝，处于一级（好）水平。</w:t>
            </w:r>
          </w:p>
          <w:p w14:paraId="662CD33A">
            <w:pPr>
              <w:pStyle w:val="50"/>
              <w:ind w:firstLine="480"/>
              <w:rPr>
                <w:color w:val="auto"/>
              </w:rPr>
            </w:pPr>
            <w:r>
              <w:rPr>
                <w:color w:val="auto"/>
              </w:rPr>
              <w:t>本</w:t>
            </w:r>
            <w:r>
              <w:rPr>
                <w:rFonts w:hint="eastAsia"/>
                <w:color w:val="auto"/>
              </w:rPr>
              <w:t>扩建</w:t>
            </w:r>
            <w:r>
              <w:rPr>
                <w:color w:val="auto"/>
              </w:rPr>
              <w:t>项目运营过程中会产生一定的废气、废水、噪声等污染物，采取相应的污染防治措施后，各类污染物均能达标排放，对周围环境影响较小，不会降低当地环境质量功能。</w:t>
            </w:r>
          </w:p>
          <w:p w14:paraId="30020CF4">
            <w:pPr>
              <w:pStyle w:val="50"/>
              <w:ind w:firstLine="482"/>
              <w:rPr>
                <w:b/>
                <w:bCs/>
                <w:color w:val="auto"/>
              </w:rPr>
            </w:pPr>
            <w:r>
              <w:rPr>
                <w:b/>
                <w:bCs/>
                <w:color w:val="auto"/>
              </w:rPr>
              <w:t>（3）与资源利用上线的相符性分析</w:t>
            </w:r>
          </w:p>
          <w:p w14:paraId="2F36CB30">
            <w:pPr>
              <w:pStyle w:val="50"/>
              <w:ind w:firstLine="480"/>
              <w:rPr>
                <w:color w:val="auto"/>
              </w:rPr>
            </w:pPr>
            <w:r>
              <w:rPr>
                <w:color w:val="auto"/>
              </w:rPr>
              <w:t>本</w:t>
            </w:r>
            <w:r>
              <w:rPr>
                <w:rFonts w:hint="eastAsia"/>
                <w:color w:val="auto"/>
              </w:rPr>
              <w:t>扩建</w:t>
            </w:r>
            <w:r>
              <w:rPr>
                <w:color w:val="auto"/>
              </w:rPr>
              <w:t>项目运营过程中会消耗一定量的电、水资源等。项目用水来自区域自来水管网，不会达到资源利用上限</w:t>
            </w:r>
            <w:r>
              <w:rPr>
                <w:rFonts w:hint="eastAsia"/>
                <w:color w:val="auto"/>
              </w:rPr>
              <w:t>；</w:t>
            </w:r>
            <w:r>
              <w:rPr>
                <w:color w:val="auto"/>
              </w:rPr>
              <w:t>项目用电由市政电网供给，不会达到资源利用上限</w:t>
            </w:r>
            <w:r>
              <w:rPr>
                <w:rFonts w:hint="eastAsia"/>
                <w:color w:val="auto"/>
              </w:rPr>
              <w:t>；</w:t>
            </w:r>
            <w:r>
              <w:rPr>
                <w:color w:val="auto"/>
              </w:rPr>
              <w:t>项目用地为工业用地，符合当地土地规划要求，也不会达到资源利用上限。综上，</w:t>
            </w:r>
            <w:r>
              <w:rPr>
                <w:rFonts w:hint="eastAsia"/>
                <w:color w:val="auto"/>
              </w:rPr>
              <w:t>本扩建</w:t>
            </w:r>
            <w:r>
              <w:rPr>
                <w:color w:val="auto"/>
              </w:rPr>
              <w:t>项目资源消耗量相对区域资源利用总量较少，符合资源利用上限要求。</w:t>
            </w:r>
          </w:p>
          <w:p w14:paraId="070F434B">
            <w:pPr>
              <w:pStyle w:val="50"/>
              <w:ind w:firstLine="482"/>
              <w:rPr>
                <w:b/>
                <w:bCs/>
                <w:color w:val="auto"/>
              </w:rPr>
            </w:pPr>
            <w:r>
              <w:rPr>
                <w:b/>
                <w:bCs/>
                <w:color w:val="auto"/>
              </w:rPr>
              <w:t>（4）与生态环境准入清单的相符性分析</w:t>
            </w:r>
          </w:p>
          <w:p w14:paraId="307B5B4E">
            <w:pPr>
              <w:pStyle w:val="50"/>
              <w:ind w:firstLine="482"/>
              <w:rPr>
                <w:b/>
                <w:bCs/>
                <w:color w:val="auto"/>
              </w:rPr>
            </w:pPr>
            <w:r>
              <w:rPr>
                <w:b/>
                <w:bCs/>
                <w:color w:val="auto"/>
              </w:rPr>
              <w:t>①与江苏省“三线一单”生态环境分区管控方案相符性分析</w:t>
            </w:r>
          </w:p>
          <w:p w14:paraId="4D26973E">
            <w:pPr>
              <w:pStyle w:val="50"/>
              <w:ind w:firstLine="480"/>
              <w:rPr>
                <w:color w:val="auto"/>
              </w:rPr>
            </w:pPr>
            <w:bookmarkStart w:id="8" w:name="_Ref24491"/>
            <w:r>
              <w:rPr>
                <w:color w:val="auto"/>
              </w:rPr>
              <w:t>根据《2023年生态环境分区管控成果动态更新工作方案》（环办环评函﹝2023﹞81号）、《江苏省2023年度生态环境分区管控动态更新成果公告》，本</w:t>
            </w:r>
            <w:r>
              <w:rPr>
                <w:rFonts w:hint="eastAsia"/>
                <w:color w:val="auto"/>
              </w:rPr>
              <w:t>扩建</w:t>
            </w:r>
            <w:r>
              <w:rPr>
                <w:color w:val="auto"/>
              </w:rPr>
              <w:t>项目位于</w:t>
            </w:r>
            <w:r>
              <w:rPr>
                <w:rFonts w:hint="eastAsia"/>
                <w:color w:val="auto"/>
              </w:rPr>
              <w:t>王集新城经济开发区内</w:t>
            </w:r>
            <w:r>
              <w:rPr>
                <w:color w:val="auto"/>
              </w:rPr>
              <w:t>，</w:t>
            </w:r>
            <w:r>
              <w:rPr>
                <w:rFonts w:hint="eastAsia"/>
                <w:color w:val="auto"/>
              </w:rPr>
              <w:t>属于</w:t>
            </w:r>
            <w:r>
              <w:rPr>
                <w:color w:val="auto"/>
              </w:rPr>
              <w:t>重点管控单元</w:t>
            </w:r>
            <w:r>
              <w:rPr>
                <w:rFonts w:hint="eastAsia"/>
                <w:color w:val="auto"/>
              </w:rPr>
              <w:t>，相符性分析</w:t>
            </w:r>
            <w:r>
              <w:rPr>
                <w:color w:val="auto"/>
              </w:rPr>
              <w:t>详见</w:t>
            </w:r>
            <w:r>
              <w:rPr>
                <w:color w:val="auto"/>
              </w:rPr>
              <w:fldChar w:fldCharType="begin"/>
            </w:r>
            <w:r>
              <w:rPr>
                <w:color w:val="auto"/>
              </w:rPr>
              <w:instrText xml:space="preserve"> REF _Ref15189 \h </w:instrText>
            </w:r>
            <w:r>
              <w:rPr>
                <w:color w:val="auto"/>
              </w:rPr>
              <w:fldChar w:fldCharType="separate"/>
            </w:r>
            <w:r>
              <w:rPr>
                <w:color w:val="auto"/>
              </w:rPr>
              <w:t>表1- 4</w:t>
            </w:r>
            <w:r>
              <w:rPr>
                <w:color w:val="auto"/>
              </w:rPr>
              <w:fldChar w:fldCharType="end"/>
            </w:r>
            <w:r>
              <w:rPr>
                <w:color w:val="auto"/>
              </w:rPr>
              <w:t>。项目生态环境分区管控服务系统分析报告详见附件</w:t>
            </w:r>
            <w:r>
              <w:rPr>
                <w:rFonts w:hint="eastAsia"/>
                <w:color w:val="auto"/>
                <w:lang w:val="en-US" w:eastAsia="zh-CN"/>
              </w:rPr>
              <w:t>6</w:t>
            </w:r>
            <w:r>
              <w:rPr>
                <w:color w:val="auto"/>
              </w:rPr>
              <w:t>、生态环境分区管控服务系统查询截图详见</w:t>
            </w:r>
            <w:r>
              <w:rPr>
                <w:color w:val="auto"/>
              </w:rPr>
              <w:fldChar w:fldCharType="begin"/>
            </w:r>
            <w:r>
              <w:rPr>
                <w:color w:val="auto"/>
              </w:rPr>
              <w:instrText xml:space="preserve"> REF _Ref14683 \h </w:instrText>
            </w:r>
            <w:r>
              <w:rPr>
                <w:color w:val="auto"/>
              </w:rPr>
              <w:fldChar w:fldCharType="separate"/>
            </w:r>
            <w:r>
              <w:rPr>
                <w:color w:val="auto"/>
              </w:rPr>
              <w:t>图1- 1</w:t>
            </w:r>
            <w:r>
              <w:rPr>
                <w:color w:val="auto"/>
              </w:rPr>
              <w:fldChar w:fldCharType="end"/>
            </w:r>
            <w:r>
              <w:rPr>
                <w:color w:val="auto"/>
              </w:rPr>
              <w:t>。</w:t>
            </w:r>
          </w:p>
          <w:p w14:paraId="3F0BD681">
            <w:pPr>
              <w:pStyle w:val="7"/>
              <w:rPr>
                <w:color w:val="auto"/>
              </w:rPr>
            </w:pPr>
            <w:bookmarkStart w:id="9" w:name="_Ref1404"/>
            <w:r>
              <w:rPr>
                <w:color w:val="auto"/>
              </w:rPr>
              <w:drawing>
                <wp:inline distT="0" distB="0" distL="114300" distR="114300">
                  <wp:extent cx="5147310" cy="2522855"/>
                  <wp:effectExtent l="0" t="0" r="15240" b="10795"/>
                  <wp:docPr id="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0"/>
                          <pic:cNvPicPr>
                            <a:picLocks noChangeAspect="1"/>
                          </pic:cNvPicPr>
                        </pic:nvPicPr>
                        <pic:blipFill>
                          <a:blip r:embed="rId10"/>
                          <a:stretch>
                            <a:fillRect/>
                          </a:stretch>
                        </pic:blipFill>
                        <pic:spPr>
                          <a:xfrm>
                            <a:off x="0" y="0"/>
                            <a:ext cx="5147310" cy="2522855"/>
                          </a:xfrm>
                          <a:prstGeom prst="rect">
                            <a:avLst/>
                          </a:prstGeom>
                          <a:noFill/>
                          <a:ln>
                            <a:noFill/>
                          </a:ln>
                        </pic:spPr>
                      </pic:pic>
                    </a:graphicData>
                  </a:graphic>
                </wp:inline>
              </w:drawing>
            </w:r>
          </w:p>
          <w:p w14:paraId="7E0F7ED6">
            <w:pPr>
              <w:pStyle w:val="7"/>
              <w:rPr>
                <w:color w:val="auto"/>
              </w:rPr>
            </w:pPr>
            <w:bookmarkStart w:id="10" w:name="_Ref14683"/>
            <w:r>
              <w:rPr>
                <w:color w:val="auto"/>
              </w:rPr>
              <w:t xml:space="preserve">图1- </w:t>
            </w:r>
            <w:r>
              <w:rPr>
                <w:color w:val="auto"/>
              </w:rPr>
              <w:fldChar w:fldCharType="begin"/>
            </w:r>
            <w:r>
              <w:rPr>
                <w:color w:val="auto"/>
              </w:rPr>
              <w:instrText xml:space="preserve"> SEQ 图1- \* ARABIC </w:instrText>
            </w:r>
            <w:r>
              <w:rPr>
                <w:color w:val="auto"/>
              </w:rPr>
              <w:fldChar w:fldCharType="separate"/>
            </w:r>
            <w:r>
              <w:rPr>
                <w:color w:val="auto"/>
              </w:rPr>
              <w:t>1</w:t>
            </w:r>
            <w:r>
              <w:rPr>
                <w:color w:val="auto"/>
              </w:rPr>
              <w:fldChar w:fldCharType="end"/>
            </w:r>
            <w:bookmarkEnd w:id="9"/>
            <w:bookmarkEnd w:id="10"/>
            <w:r>
              <w:rPr>
                <w:color w:val="auto"/>
              </w:rPr>
              <w:t xml:space="preserve"> 本项目江苏省生态环境分区管控截图</w:t>
            </w:r>
          </w:p>
          <w:p w14:paraId="5A4B1525">
            <w:pPr>
              <w:pStyle w:val="7"/>
              <w:rPr>
                <w:color w:val="auto"/>
              </w:rPr>
            </w:pPr>
            <w:bookmarkStart w:id="11" w:name="_Ref15189"/>
            <w:r>
              <w:rPr>
                <w:color w:val="auto"/>
              </w:rPr>
              <w:t xml:space="preserve">表1- </w:t>
            </w:r>
            <w:r>
              <w:rPr>
                <w:color w:val="auto"/>
              </w:rPr>
              <w:fldChar w:fldCharType="begin"/>
            </w:r>
            <w:r>
              <w:rPr>
                <w:color w:val="auto"/>
              </w:rPr>
              <w:instrText xml:space="preserve"> SEQ 表1- \* ARABIC </w:instrText>
            </w:r>
            <w:r>
              <w:rPr>
                <w:color w:val="auto"/>
              </w:rPr>
              <w:fldChar w:fldCharType="separate"/>
            </w:r>
            <w:r>
              <w:rPr>
                <w:color w:val="auto"/>
              </w:rPr>
              <w:t>4</w:t>
            </w:r>
            <w:r>
              <w:rPr>
                <w:color w:val="auto"/>
              </w:rPr>
              <w:fldChar w:fldCharType="end"/>
            </w:r>
            <w:bookmarkEnd w:id="8"/>
            <w:bookmarkEnd w:id="11"/>
            <w:r>
              <w:rPr>
                <w:color w:val="auto"/>
              </w:rPr>
              <w:t xml:space="preserve"> 项目与江苏省“三线一单”管控方案相符性分析</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7"/>
              <w:gridCol w:w="3538"/>
              <w:gridCol w:w="3235"/>
              <w:gridCol w:w="651"/>
            </w:tblGrid>
            <w:tr w14:paraId="6494A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blHeader/>
                <w:jc w:val="center"/>
              </w:trPr>
              <w:tc>
                <w:tcPr>
                  <w:tcW w:w="697" w:type="dxa"/>
                  <w:vAlign w:val="center"/>
                </w:tcPr>
                <w:p w14:paraId="4887FE84">
                  <w:pPr>
                    <w:pStyle w:val="52"/>
                    <w:rPr>
                      <w:color w:val="auto"/>
                    </w:rPr>
                  </w:pPr>
                  <w:r>
                    <w:rPr>
                      <w:color w:val="auto"/>
                    </w:rPr>
                    <w:t>清单类型</w:t>
                  </w:r>
                </w:p>
              </w:tc>
              <w:tc>
                <w:tcPr>
                  <w:tcW w:w="3538" w:type="dxa"/>
                  <w:vAlign w:val="center"/>
                </w:tcPr>
                <w:p w14:paraId="29B39813">
                  <w:pPr>
                    <w:pStyle w:val="52"/>
                    <w:rPr>
                      <w:color w:val="auto"/>
                    </w:rPr>
                  </w:pPr>
                  <w:r>
                    <w:rPr>
                      <w:color w:val="auto"/>
                    </w:rPr>
                    <w:t>准入要求</w:t>
                  </w:r>
                </w:p>
              </w:tc>
              <w:tc>
                <w:tcPr>
                  <w:tcW w:w="3235" w:type="dxa"/>
                  <w:vAlign w:val="center"/>
                </w:tcPr>
                <w:p w14:paraId="18289843">
                  <w:pPr>
                    <w:pStyle w:val="52"/>
                    <w:rPr>
                      <w:color w:val="auto"/>
                    </w:rPr>
                  </w:pPr>
                  <w:r>
                    <w:rPr>
                      <w:color w:val="auto"/>
                    </w:rPr>
                    <w:t>本扩建</w:t>
                  </w:r>
                  <w:r>
                    <w:rPr>
                      <w:rFonts w:hint="eastAsia"/>
                      <w:color w:val="auto"/>
                    </w:rPr>
                    <w:t>项目情况</w:t>
                  </w:r>
                </w:p>
              </w:tc>
              <w:tc>
                <w:tcPr>
                  <w:tcW w:w="651" w:type="dxa"/>
                  <w:vAlign w:val="center"/>
                </w:tcPr>
                <w:p w14:paraId="5E3D0B94">
                  <w:pPr>
                    <w:pStyle w:val="52"/>
                    <w:rPr>
                      <w:color w:val="auto"/>
                    </w:rPr>
                  </w:pPr>
                  <w:r>
                    <w:rPr>
                      <w:color w:val="auto"/>
                    </w:rPr>
                    <w:t>相符性</w:t>
                  </w:r>
                </w:p>
              </w:tc>
            </w:tr>
            <w:tr w14:paraId="1F5A19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7" w:type="dxa"/>
                  <w:vMerge w:val="restart"/>
                  <w:vAlign w:val="center"/>
                </w:tcPr>
                <w:p w14:paraId="61A3CCDB">
                  <w:pPr>
                    <w:pStyle w:val="54"/>
                    <w:rPr>
                      <w:color w:val="auto"/>
                    </w:rPr>
                  </w:pPr>
                  <w:r>
                    <w:rPr>
                      <w:color w:val="auto"/>
                    </w:rPr>
                    <w:t>空间布局约束</w:t>
                  </w:r>
                </w:p>
              </w:tc>
              <w:tc>
                <w:tcPr>
                  <w:tcW w:w="3538" w:type="dxa"/>
                  <w:vAlign w:val="center"/>
                </w:tcPr>
                <w:p w14:paraId="6B459B3C">
                  <w:pPr>
                    <w:pStyle w:val="54"/>
                    <w:numPr>
                      <w:ilvl w:val="0"/>
                      <w:numId w:val="2"/>
                    </w:numPr>
                    <w:jc w:val="both"/>
                    <w:rPr>
                      <w:color w:val="auto"/>
                    </w:rPr>
                  </w:pPr>
                  <w:r>
                    <w:rPr>
                      <w:rFonts w:hint="eastAsia"/>
                      <w:color w:val="auto"/>
                    </w:rPr>
                    <w:t>限制准入：</w:t>
                  </w:r>
                </w:p>
                <w:p w14:paraId="3905AEBC">
                  <w:pPr>
                    <w:pStyle w:val="54"/>
                    <w:numPr>
                      <w:ilvl w:val="0"/>
                      <w:numId w:val="3"/>
                    </w:numPr>
                    <w:jc w:val="both"/>
                    <w:rPr>
                      <w:color w:val="auto"/>
                    </w:rPr>
                  </w:pPr>
                  <w:r>
                    <w:rPr>
                      <w:rFonts w:hint="eastAsia"/>
                      <w:color w:val="auto"/>
                    </w:rPr>
                    <w:t>主导产业：限制行业类别。</w:t>
                  </w:r>
                </w:p>
                <w:p w14:paraId="0CED628D">
                  <w:pPr>
                    <w:pStyle w:val="54"/>
                    <w:numPr>
                      <w:ilvl w:val="0"/>
                      <w:numId w:val="3"/>
                    </w:numPr>
                    <w:jc w:val="both"/>
                    <w:rPr>
                      <w:color w:val="auto"/>
                    </w:rPr>
                  </w:pPr>
                  <w:r>
                    <w:rPr>
                      <w:rFonts w:hint="eastAsia"/>
                      <w:color w:val="auto"/>
                    </w:rPr>
                    <w:t>板材加工、木制品：不符合相关行业准入条件的项目，不符合“两减六治三提升”环保专项行动方案中使用低VOCs含量的涂料、胶黏剂的企业。</w:t>
                  </w:r>
                </w:p>
                <w:p w14:paraId="533E6B33">
                  <w:pPr>
                    <w:pStyle w:val="54"/>
                    <w:numPr>
                      <w:ilvl w:val="0"/>
                      <w:numId w:val="3"/>
                    </w:numPr>
                    <w:jc w:val="both"/>
                    <w:rPr>
                      <w:color w:val="auto"/>
                    </w:rPr>
                  </w:pPr>
                  <w:r>
                    <w:rPr>
                      <w:rFonts w:hint="eastAsia"/>
                      <w:color w:val="auto"/>
                    </w:rPr>
                    <w:t>服装纺织：涉及印染、后整理、制革等工序的。</w:t>
                  </w:r>
                </w:p>
                <w:p w14:paraId="683F3B61">
                  <w:pPr>
                    <w:pStyle w:val="54"/>
                    <w:numPr>
                      <w:ilvl w:val="0"/>
                      <w:numId w:val="3"/>
                    </w:numPr>
                    <w:jc w:val="both"/>
                    <w:rPr>
                      <w:color w:val="auto"/>
                    </w:rPr>
                  </w:pPr>
                  <w:r>
                    <w:rPr>
                      <w:rFonts w:hint="eastAsia"/>
                      <w:color w:val="auto"/>
                    </w:rPr>
                    <w:t>机械电子：不符合“两减六治三提升”环保专项行动方案中使用低VOCs含量的油漆企业，设备和工艺属于国家和省级产业政策中的限制类和淘汰类。</w:t>
                  </w:r>
                </w:p>
                <w:p w14:paraId="2BAAE90F">
                  <w:pPr>
                    <w:pStyle w:val="54"/>
                    <w:jc w:val="both"/>
                    <w:rPr>
                      <w:color w:val="auto"/>
                    </w:rPr>
                  </w:pPr>
                  <w:r>
                    <w:rPr>
                      <w:rFonts w:hint="eastAsia"/>
                      <w:color w:val="auto"/>
                    </w:rPr>
                    <w:t>（5）其他要求：纯电镀、酸洗、化工等污染严重的企业；废气、废水排放量大、高风险型企业；排放汞、铬、镉、铅、砷五类重金属污染物工业废水或废气的企业；产生或排放“三致”物质、重金属气体及放射性物质等污染物的项目；不符合经济规模要求，经济效益差，污染严重的“十五小”及“新五小”等小企业：其它各类不符合集中区定位或不符合国家产业政策的工艺、设备及产品。</w:t>
                  </w:r>
                </w:p>
              </w:tc>
              <w:tc>
                <w:tcPr>
                  <w:tcW w:w="3235" w:type="dxa"/>
                  <w:vAlign w:val="center"/>
                </w:tcPr>
                <w:p w14:paraId="388212B4">
                  <w:pPr>
                    <w:pStyle w:val="54"/>
                    <w:jc w:val="both"/>
                    <w:rPr>
                      <w:color w:val="auto"/>
                    </w:rPr>
                  </w:pPr>
                  <w:r>
                    <w:rPr>
                      <w:color w:val="auto"/>
                    </w:rPr>
                    <w:t>本</w:t>
                  </w:r>
                  <w:r>
                    <w:rPr>
                      <w:rFonts w:hint="eastAsia"/>
                      <w:color w:val="auto"/>
                    </w:rPr>
                    <w:t>扩建</w:t>
                  </w:r>
                  <w:r>
                    <w:rPr>
                      <w:color w:val="auto"/>
                    </w:rPr>
                    <w:t>项目</w:t>
                  </w:r>
                  <w:r>
                    <w:rPr>
                      <w:rFonts w:hint="eastAsia"/>
                      <w:color w:val="auto"/>
                    </w:rPr>
                    <w:t>为铜压延加工项目，生产产品为无氧铜杆。本扩建项目不属于园区定位产业，但也不属于禁止引入和限制引入项目。本扩建项目可以作为机械制造等相关行业的上下游产业，同园区主导产业有一定关联性，且项目已获得宿迁泗阳县数据局出具的备案证，备案证号为泗阳数据备〔2025〕319号。</w:t>
                  </w:r>
                </w:p>
              </w:tc>
              <w:tc>
                <w:tcPr>
                  <w:tcW w:w="651" w:type="dxa"/>
                  <w:vAlign w:val="center"/>
                </w:tcPr>
                <w:p w14:paraId="26628718">
                  <w:pPr>
                    <w:pStyle w:val="54"/>
                    <w:rPr>
                      <w:color w:val="auto"/>
                      <w:lang w:val="zh-CN"/>
                    </w:rPr>
                  </w:pPr>
                  <w:r>
                    <w:rPr>
                      <w:rFonts w:hint="eastAsia"/>
                      <w:color w:val="auto"/>
                    </w:rPr>
                    <w:t>相符</w:t>
                  </w:r>
                </w:p>
              </w:tc>
            </w:tr>
            <w:tr w14:paraId="669FB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7" w:type="dxa"/>
                  <w:vMerge w:val="continue"/>
                  <w:vAlign w:val="center"/>
                </w:tcPr>
                <w:p w14:paraId="2D37AFB5">
                  <w:pPr>
                    <w:pStyle w:val="54"/>
                    <w:rPr>
                      <w:color w:val="auto"/>
                    </w:rPr>
                  </w:pPr>
                </w:p>
              </w:tc>
              <w:tc>
                <w:tcPr>
                  <w:tcW w:w="3538" w:type="dxa"/>
                  <w:vAlign w:val="center"/>
                </w:tcPr>
                <w:p w14:paraId="36F10A6E">
                  <w:pPr>
                    <w:pStyle w:val="54"/>
                    <w:jc w:val="both"/>
                    <w:rPr>
                      <w:color w:val="auto"/>
                    </w:rPr>
                  </w:pPr>
                  <w:r>
                    <w:rPr>
                      <w:rFonts w:hint="eastAsia"/>
                      <w:color w:val="auto"/>
                    </w:rPr>
                    <w:t>二、禁止准入：（1）禁止引入排放铅、镉、铬、汞、砷等有毒有害重金属的项目，如金属表面处理及热处理加工业、铅蓄电池制造业、电子元器件制造业、重有色金属冶炼等“涉重行业”。（2）禁止引入废旧资源回收再加工项目，特别是废电子、废电瓶、废电气产品、废塑料、汽车拆解。（3）禁止引进采用列入《环境保护名录》（2015年版）重污染类项目。（4）禁止引入化工、染料、农药、印染、酿造、造纸、电石、铁合金、焦炭、制革、电镀、垃圾焚烧等对环境污染严重的项目。（5）禁止引入排放氨、硫化氢等恶臭气体和一氧化碳、氯气、氟化氢、硝基苯等无机、有机有毒有害气体的项目。（6）禁止生产、使用及排放含氰化物、多氯联苯、多溴联苯等致癌、致畸、致突变的高毒物质项目。</w:t>
                  </w:r>
                </w:p>
              </w:tc>
              <w:tc>
                <w:tcPr>
                  <w:tcW w:w="3235" w:type="dxa"/>
                  <w:vAlign w:val="center"/>
                </w:tcPr>
                <w:p w14:paraId="1E99B7AB">
                  <w:pPr>
                    <w:pStyle w:val="54"/>
                    <w:jc w:val="both"/>
                    <w:rPr>
                      <w:rFonts w:hint="eastAsia" w:eastAsia="宋体"/>
                      <w:color w:val="auto"/>
                      <w:lang w:val="en-US" w:eastAsia="zh-CN"/>
                    </w:rPr>
                  </w:pPr>
                  <w:r>
                    <w:rPr>
                      <w:rFonts w:hint="eastAsia"/>
                      <w:color w:val="auto"/>
                    </w:rPr>
                    <w:t>本扩建项目不属于涉重行业</w:t>
                  </w:r>
                  <w:r>
                    <w:rPr>
                      <w:rFonts w:hint="eastAsia"/>
                      <w:color w:val="auto"/>
                      <w:lang w:eastAsia="zh-CN"/>
                    </w:rPr>
                    <w:t>、</w:t>
                  </w:r>
                  <w:r>
                    <w:rPr>
                      <w:rFonts w:hint="eastAsia"/>
                      <w:color w:val="auto"/>
                    </w:rPr>
                    <w:t>不涉及排放有毒有害重金属</w:t>
                  </w:r>
                  <w:r>
                    <w:rPr>
                      <w:rFonts w:hint="eastAsia"/>
                      <w:color w:val="auto"/>
                      <w:lang w:eastAsia="zh-CN"/>
                    </w:rPr>
                    <w:t>、</w:t>
                  </w:r>
                  <w:r>
                    <w:rPr>
                      <w:rFonts w:hint="eastAsia"/>
                      <w:color w:val="auto"/>
                    </w:rPr>
                    <w:t>不属于废旧资源回收再加工项目</w:t>
                  </w:r>
                  <w:r>
                    <w:rPr>
                      <w:rFonts w:hint="eastAsia"/>
                      <w:color w:val="auto"/>
                      <w:lang w:eastAsia="zh-CN"/>
                    </w:rPr>
                    <w:t>、</w:t>
                  </w:r>
                  <w:r>
                    <w:rPr>
                      <w:rFonts w:hint="eastAsia"/>
                      <w:color w:val="auto"/>
                    </w:rPr>
                    <w:t>不属于《环境保护综合名录》（</w:t>
                  </w:r>
                  <w:r>
                    <w:rPr>
                      <w:color w:val="auto"/>
                    </w:rPr>
                    <w:t>20</w:t>
                  </w:r>
                  <w:r>
                    <w:rPr>
                      <w:rFonts w:hint="eastAsia"/>
                      <w:color w:val="auto"/>
                    </w:rPr>
                    <w:t>21年版）中重污染类项目</w:t>
                  </w:r>
                  <w:r>
                    <w:rPr>
                      <w:rFonts w:hint="eastAsia"/>
                      <w:color w:val="auto"/>
                      <w:lang w:eastAsia="zh-CN"/>
                    </w:rPr>
                    <w:t>、</w:t>
                  </w:r>
                  <w:r>
                    <w:rPr>
                      <w:rFonts w:hint="eastAsia"/>
                      <w:color w:val="auto"/>
                    </w:rPr>
                    <w:t>不属于对环境污染严重的项目</w:t>
                  </w:r>
                  <w:r>
                    <w:rPr>
                      <w:rFonts w:hint="eastAsia"/>
                      <w:color w:val="auto"/>
                      <w:lang w:eastAsia="zh-CN"/>
                    </w:rPr>
                    <w:t>、</w:t>
                  </w:r>
                  <w:r>
                    <w:rPr>
                      <w:rFonts w:hint="eastAsia"/>
                      <w:color w:val="auto"/>
                    </w:rPr>
                    <w:t>不涉及排放恶臭气体、无机、有机有毒有害气体</w:t>
                  </w:r>
                  <w:r>
                    <w:rPr>
                      <w:rFonts w:hint="eastAsia"/>
                      <w:color w:val="auto"/>
                      <w:lang w:eastAsia="zh-CN"/>
                    </w:rPr>
                    <w:t>、</w:t>
                  </w:r>
                  <w:r>
                    <w:rPr>
                      <w:rFonts w:hint="eastAsia"/>
                      <w:color w:val="auto"/>
                    </w:rPr>
                    <w:t>不涉及生产、使用及排放致癌、致畸、致突变的高</w:t>
                  </w:r>
                  <w:r>
                    <w:rPr>
                      <w:rFonts w:hint="eastAsia"/>
                      <w:color w:val="auto"/>
                      <w:lang w:eastAsia="zh-CN"/>
                    </w:rPr>
                    <w:t>毒</w:t>
                  </w:r>
                  <w:r>
                    <w:rPr>
                      <w:rFonts w:hint="eastAsia"/>
                      <w:color w:val="auto"/>
                    </w:rPr>
                    <w:t>物质</w:t>
                  </w:r>
                  <w:r>
                    <w:rPr>
                      <w:rFonts w:hint="eastAsia"/>
                      <w:color w:val="auto"/>
                      <w:lang w:eastAsia="zh-CN"/>
                    </w:rPr>
                    <w:t>。</w:t>
                  </w:r>
                </w:p>
              </w:tc>
              <w:tc>
                <w:tcPr>
                  <w:tcW w:w="651" w:type="dxa"/>
                  <w:vAlign w:val="center"/>
                </w:tcPr>
                <w:p w14:paraId="59CA0D13">
                  <w:pPr>
                    <w:pStyle w:val="54"/>
                    <w:rPr>
                      <w:color w:val="auto"/>
                    </w:rPr>
                  </w:pPr>
                  <w:r>
                    <w:rPr>
                      <w:rFonts w:hint="eastAsia"/>
                      <w:color w:val="auto"/>
                    </w:rPr>
                    <w:t>相符</w:t>
                  </w:r>
                </w:p>
              </w:tc>
            </w:tr>
            <w:tr w14:paraId="4CE90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7" w:type="dxa"/>
                  <w:vMerge w:val="continue"/>
                  <w:vAlign w:val="center"/>
                </w:tcPr>
                <w:p w14:paraId="2C68A571">
                  <w:pPr>
                    <w:pStyle w:val="54"/>
                    <w:rPr>
                      <w:color w:val="auto"/>
                    </w:rPr>
                  </w:pPr>
                </w:p>
              </w:tc>
              <w:tc>
                <w:tcPr>
                  <w:tcW w:w="3538" w:type="dxa"/>
                  <w:vAlign w:val="center"/>
                </w:tcPr>
                <w:p w14:paraId="4109A177">
                  <w:pPr>
                    <w:pStyle w:val="54"/>
                    <w:jc w:val="both"/>
                    <w:rPr>
                      <w:color w:val="auto"/>
                    </w:rPr>
                  </w:pPr>
                  <w:r>
                    <w:rPr>
                      <w:rFonts w:hint="eastAsia"/>
                      <w:color w:val="auto"/>
                    </w:rPr>
                    <w:t>三、严格入区项目的环境准入管理。园区建设应严格执行国家环保法律法规及产业政策、规划产业定位、最新环保准入条件，严守审批原则，严格环境准入，落实“三个不批”和“三挂钩”和“三线一单”要求加强建设项目的环境管理。具体项目的引进必须严格按有关权限程序及要求办理环保审批手续。</w:t>
                  </w:r>
                </w:p>
              </w:tc>
              <w:tc>
                <w:tcPr>
                  <w:tcW w:w="3235" w:type="dxa"/>
                  <w:vAlign w:val="center"/>
                </w:tcPr>
                <w:p w14:paraId="23296B87">
                  <w:pPr>
                    <w:pStyle w:val="54"/>
                    <w:jc w:val="both"/>
                    <w:rPr>
                      <w:color w:val="auto"/>
                    </w:rPr>
                  </w:pPr>
                  <w:r>
                    <w:rPr>
                      <w:rFonts w:hint="eastAsia"/>
                      <w:color w:val="auto"/>
                    </w:rPr>
                    <w:t>本扩建项目将严格执行国家环保法律法规及产业政策、规划产业定位、最新环保准入条件以及《报告书》提出的产业发展要求，严格按有关权限、程序及要求办理环保审批手续。</w:t>
                  </w:r>
                </w:p>
              </w:tc>
              <w:tc>
                <w:tcPr>
                  <w:tcW w:w="651" w:type="dxa"/>
                  <w:vAlign w:val="center"/>
                </w:tcPr>
                <w:p w14:paraId="18D1E4E8">
                  <w:pPr>
                    <w:pStyle w:val="54"/>
                    <w:rPr>
                      <w:color w:val="auto"/>
                    </w:rPr>
                  </w:pPr>
                  <w:r>
                    <w:rPr>
                      <w:rFonts w:hint="eastAsia"/>
                      <w:color w:val="auto"/>
                    </w:rPr>
                    <w:t>相符</w:t>
                  </w:r>
                </w:p>
              </w:tc>
            </w:tr>
            <w:tr w14:paraId="76C59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 w:hRule="atLeast"/>
                <w:jc w:val="center"/>
              </w:trPr>
              <w:tc>
                <w:tcPr>
                  <w:tcW w:w="697" w:type="dxa"/>
                  <w:vAlign w:val="center"/>
                </w:tcPr>
                <w:p w14:paraId="689738FC">
                  <w:pPr>
                    <w:pStyle w:val="54"/>
                    <w:rPr>
                      <w:color w:val="auto"/>
                    </w:rPr>
                  </w:pPr>
                  <w:r>
                    <w:rPr>
                      <w:color w:val="auto"/>
                    </w:rPr>
                    <w:t>污染物排放管控</w:t>
                  </w:r>
                </w:p>
              </w:tc>
              <w:tc>
                <w:tcPr>
                  <w:tcW w:w="3538" w:type="dxa"/>
                  <w:vAlign w:val="center"/>
                </w:tcPr>
                <w:p w14:paraId="4439E244">
                  <w:pPr>
                    <w:pStyle w:val="54"/>
                    <w:jc w:val="both"/>
                    <w:rPr>
                      <w:color w:val="auto"/>
                    </w:rPr>
                  </w:pPr>
                  <w:r>
                    <w:rPr>
                      <w:rFonts w:hint="eastAsia"/>
                      <w:color w:val="auto"/>
                    </w:rPr>
                    <w:t>严守环境质量底线，落实污染物总量管控要求。园区污染物排放总量不得突破规划环评中提出的总量控制指标值，新增常规污染物排放总量指标纳入泗阳县总量指标内，非常规污染物排放总量控制指标可根据环境要求和入区企业实际情况由负责建设项目审批的生态环境主管部门核批。</w:t>
                  </w:r>
                </w:p>
              </w:tc>
              <w:tc>
                <w:tcPr>
                  <w:tcW w:w="3235" w:type="dxa"/>
                  <w:vAlign w:val="center"/>
                </w:tcPr>
                <w:p w14:paraId="74B144A6">
                  <w:pPr>
                    <w:pStyle w:val="54"/>
                    <w:jc w:val="both"/>
                    <w:rPr>
                      <w:color w:val="auto"/>
                    </w:rPr>
                  </w:pPr>
                  <w:r>
                    <w:rPr>
                      <w:rFonts w:hint="eastAsia"/>
                      <w:color w:val="auto"/>
                    </w:rPr>
                    <w:t>本扩建项目大气污染物排放量：颗粒物1.137t/a、NMHC0.000</w:t>
                  </w:r>
                  <w:r>
                    <w:rPr>
                      <w:rFonts w:hint="eastAsia"/>
                      <w:color w:val="auto"/>
                      <w:lang w:val="en-US" w:eastAsia="zh-CN"/>
                    </w:rPr>
                    <w:t>2</w:t>
                  </w:r>
                  <w:r>
                    <w:rPr>
                      <w:rFonts w:hint="eastAsia"/>
                      <w:color w:val="auto"/>
                    </w:rPr>
                    <w:t>t/a；废水接管量：废水量2160t/a、COD0.6480t/a、氨氮0.0648t/a、TP0.0076t/a、TN0.0864t/a，进入环境量：废水量2</w:t>
                  </w:r>
                  <w:r>
                    <w:rPr>
                      <w:rFonts w:hint="eastAsia"/>
                      <w:color w:val="auto"/>
                      <w:lang w:val="en-US" w:eastAsia="zh-CN"/>
                    </w:rPr>
                    <w:t>1</w:t>
                  </w:r>
                  <w:r>
                    <w:rPr>
                      <w:rFonts w:hint="eastAsia"/>
                      <w:color w:val="auto"/>
                    </w:rPr>
                    <w:t>60/a、COD0.1080t/a、氨氮0.0108t/a、TP0.0011t/a、TN0.0324t/a。本扩建项目将严格落实总量控制制度，颗粒物0.568t/a排放总量从年产1.6万吨无氧铜杆项目批复总量中平衡，颗粒物0.569t/a、NMHC0.0002t/a从泗阳县总量库中平衡。</w:t>
                  </w:r>
                </w:p>
              </w:tc>
              <w:tc>
                <w:tcPr>
                  <w:tcW w:w="651" w:type="dxa"/>
                  <w:vAlign w:val="center"/>
                </w:tcPr>
                <w:p w14:paraId="32E173DE">
                  <w:pPr>
                    <w:pStyle w:val="54"/>
                    <w:rPr>
                      <w:color w:val="auto"/>
                      <w:lang w:val="zh-CN"/>
                    </w:rPr>
                  </w:pPr>
                  <w:r>
                    <w:rPr>
                      <w:rFonts w:hint="eastAsia"/>
                      <w:color w:val="auto"/>
                    </w:rPr>
                    <w:t>相符</w:t>
                  </w:r>
                </w:p>
              </w:tc>
            </w:tr>
            <w:tr w14:paraId="167FC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7" w:type="dxa"/>
                  <w:vAlign w:val="center"/>
                </w:tcPr>
                <w:p w14:paraId="46E95200">
                  <w:pPr>
                    <w:pStyle w:val="54"/>
                    <w:rPr>
                      <w:color w:val="auto"/>
                    </w:rPr>
                  </w:pPr>
                  <w:r>
                    <w:rPr>
                      <w:rFonts w:hint="eastAsia"/>
                      <w:color w:val="auto"/>
                    </w:rPr>
                    <w:t>环境风险防控</w:t>
                  </w:r>
                </w:p>
              </w:tc>
              <w:tc>
                <w:tcPr>
                  <w:tcW w:w="3538" w:type="dxa"/>
                  <w:vAlign w:val="center"/>
                </w:tcPr>
                <w:p w14:paraId="06E84446">
                  <w:pPr>
                    <w:pStyle w:val="54"/>
                    <w:jc w:val="both"/>
                    <w:rPr>
                      <w:color w:val="auto"/>
                    </w:rPr>
                  </w:pPr>
                  <w:r>
                    <w:rPr>
                      <w:rFonts w:hint="eastAsia"/>
                      <w:color w:val="auto"/>
                    </w:rPr>
                    <w:t>落实环境风险防范措施和事故应急预案。必须高度重视并切实加强园区环境安全管理工作，园区及入区项目均应制定并落实各类事故风险防范措施及应急预案。区内各企业须按规定要求建设贮存、使用易燃易爆危险品的生产装置，杜绝泄漏物料进入环境；储备必须的设备物资，并定期组织实战演练，最大限度地防止和减轻事故的危害，确保园区环境安全。排放工业废水的企业应设置足够容量的事故污水池，严禁污水超标排放。</w:t>
                  </w:r>
                </w:p>
              </w:tc>
              <w:tc>
                <w:tcPr>
                  <w:tcW w:w="3235" w:type="dxa"/>
                  <w:vAlign w:val="center"/>
                </w:tcPr>
                <w:p w14:paraId="3EB73323">
                  <w:pPr>
                    <w:pStyle w:val="54"/>
                    <w:jc w:val="both"/>
                    <w:rPr>
                      <w:color w:val="auto"/>
                    </w:rPr>
                  </w:pPr>
                  <w:r>
                    <w:rPr>
                      <w:color w:val="auto"/>
                    </w:rPr>
                    <w:t>①</w:t>
                  </w:r>
                  <w:r>
                    <w:rPr>
                      <w:rFonts w:hint="eastAsia"/>
                      <w:color w:val="auto"/>
                    </w:rPr>
                    <w:t>本扩建项目建成后将制定并落实环境风险防范措施，</w:t>
                  </w:r>
                  <w:r>
                    <w:rPr>
                      <w:color w:val="auto"/>
                    </w:rPr>
                    <w:t>储备必须的设备物资，并定期组织实战演练，最大限度地防止和减轻事故的危害</w:t>
                  </w:r>
                  <w:r>
                    <w:rPr>
                      <w:rFonts w:hint="eastAsia"/>
                      <w:color w:val="auto"/>
                    </w:rPr>
                    <w:t>。</w:t>
                  </w:r>
                </w:p>
                <w:p w14:paraId="3333E2A0">
                  <w:pPr>
                    <w:pStyle w:val="54"/>
                    <w:jc w:val="both"/>
                    <w:rPr>
                      <w:color w:val="auto"/>
                    </w:rPr>
                  </w:pPr>
                  <w:r>
                    <w:rPr>
                      <w:rFonts w:hint="eastAsia"/>
                      <w:color w:val="auto"/>
                    </w:rPr>
                    <w:t>②本扩建</w:t>
                  </w:r>
                  <w:r>
                    <w:rPr>
                      <w:color w:val="auto"/>
                    </w:rPr>
                    <w:t>项目</w:t>
                  </w:r>
                  <w:r>
                    <w:rPr>
                      <w:rFonts w:hint="eastAsia"/>
                      <w:color w:val="auto"/>
                    </w:rPr>
                    <w:t>厂区地面进行分区防渗处理，可以杜绝泄漏物料进入环境。</w:t>
                  </w:r>
                </w:p>
                <w:p w14:paraId="7A911A0A">
                  <w:pPr>
                    <w:pStyle w:val="54"/>
                    <w:jc w:val="both"/>
                    <w:rPr>
                      <w:color w:val="auto"/>
                    </w:rPr>
                  </w:pPr>
                  <w:r>
                    <w:rPr>
                      <w:rFonts w:hint="eastAsia"/>
                      <w:color w:val="auto"/>
                    </w:rPr>
                    <w:t>③本扩建项目仅外排职工生活污水，生活污水经化粪池预处理达标后接管至王集镇污水处理厂集中处理。</w:t>
                  </w:r>
                </w:p>
              </w:tc>
              <w:tc>
                <w:tcPr>
                  <w:tcW w:w="651" w:type="dxa"/>
                  <w:shd w:val="clear" w:color="auto" w:fill="auto"/>
                  <w:vAlign w:val="center"/>
                </w:tcPr>
                <w:p w14:paraId="1A862AAB">
                  <w:pPr>
                    <w:pStyle w:val="54"/>
                    <w:rPr>
                      <w:color w:val="auto"/>
                      <w:lang w:val="zh-CN"/>
                    </w:rPr>
                  </w:pPr>
                  <w:r>
                    <w:rPr>
                      <w:rFonts w:hint="eastAsia"/>
                      <w:color w:val="auto"/>
                    </w:rPr>
                    <w:t>相符</w:t>
                  </w:r>
                </w:p>
              </w:tc>
            </w:tr>
            <w:tr w14:paraId="13925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 w:hRule="atLeast"/>
                <w:jc w:val="center"/>
              </w:trPr>
              <w:tc>
                <w:tcPr>
                  <w:tcW w:w="697" w:type="dxa"/>
                  <w:vAlign w:val="center"/>
                </w:tcPr>
                <w:p w14:paraId="7824013D">
                  <w:pPr>
                    <w:pStyle w:val="54"/>
                    <w:rPr>
                      <w:color w:val="auto"/>
                    </w:rPr>
                  </w:pPr>
                  <w:r>
                    <w:rPr>
                      <w:color w:val="auto"/>
                    </w:rPr>
                    <w:t>资源开发效率要求</w:t>
                  </w:r>
                </w:p>
              </w:tc>
              <w:tc>
                <w:tcPr>
                  <w:tcW w:w="3538" w:type="dxa"/>
                  <w:vAlign w:val="center"/>
                </w:tcPr>
                <w:p w14:paraId="1EC2A1EB">
                  <w:pPr>
                    <w:pStyle w:val="54"/>
                    <w:jc w:val="both"/>
                    <w:rPr>
                      <w:color w:val="auto"/>
                    </w:rPr>
                  </w:pPr>
                  <w:r>
                    <w:rPr>
                      <w:rFonts w:hint="eastAsia"/>
                      <w:color w:val="auto"/>
                    </w:rPr>
                    <w:t>水资源方面：规划期末，王集新城经济开发区范围内水资源需求量不超过4500m</w:t>
                  </w:r>
                  <w:r>
                    <w:rPr>
                      <w:rFonts w:hint="eastAsia"/>
                      <w:color w:val="auto"/>
                      <w:vertAlign w:val="superscript"/>
                    </w:rPr>
                    <w:t>3</w:t>
                  </w:r>
                  <w:r>
                    <w:rPr>
                      <w:rFonts w:hint="eastAsia"/>
                      <w:color w:val="auto"/>
                    </w:rPr>
                    <w:t>/d。土地资源方面：工业用地总量上限299.86公顷。能源方面：单位GDP能耗=0.45吨标煤/万元，煤炭消耗量为零，推行天然气、电力及可再生能源等清洁能源。</w:t>
                  </w:r>
                </w:p>
              </w:tc>
              <w:tc>
                <w:tcPr>
                  <w:tcW w:w="3235" w:type="dxa"/>
                  <w:vAlign w:val="center"/>
                </w:tcPr>
                <w:p w14:paraId="62769819">
                  <w:pPr>
                    <w:pStyle w:val="54"/>
                    <w:jc w:val="both"/>
                    <w:rPr>
                      <w:color w:val="auto"/>
                    </w:rPr>
                  </w:pPr>
                  <w:r>
                    <w:rPr>
                      <w:rFonts w:hint="eastAsia"/>
                      <w:color w:val="auto"/>
                    </w:rPr>
                    <w:t>本扩建项目新增用水量为</w:t>
                  </w:r>
                  <w:r>
                    <w:rPr>
                      <w:rFonts w:hint="eastAsia"/>
                      <w:color w:val="auto"/>
                      <w:lang w:val="en-US" w:eastAsia="zh-CN"/>
                    </w:rPr>
                    <w:t>105</w:t>
                  </w:r>
                  <w:r>
                    <w:rPr>
                      <w:rFonts w:hint="eastAsia"/>
                      <w:color w:val="auto"/>
                    </w:rPr>
                    <w:t>m</w:t>
                  </w:r>
                  <w:r>
                    <w:rPr>
                      <w:rFonts w:hint="eastAsia"/>
                      <w:color w:val="auto"/>
                      <w:vertAlign w:val="superscript"/>
                    </w:rPr>
                    <w:t>3</w:t>
                  </w:r>
                  <w:r>
                    <w:rPr>
                      <w:rFonts w:hint="eastAsia"/>
                      <w:color w:val="auto"/>
                    </w:rPr>
                    <w:t>/d，单位GDP能耗为0.046吨标煤/万元，使用电力清洁能源。</w:t>
                  </w:r>
                </w:p>
              </w:tc>
              <w:tc>
                <w:tcPr>
                  <w:tcW w:w="651" w:type="dxa"/>
                  <w:vAlign w:val="center"/>
                </w:tcPr>
                <w:p w14:paraId="6C5A32B9">
                  <w:pPr>
                    <w:pStyle w:val="54"/>
                    <w:rPr>
                      <w:color w:val="auto"/>
                      <w:lang w:val="zh-CN"/>
                    </w:rPr>
                  </w:pPr>
                  <w:r>
                    <w:rPr>
                      <w:rFonts w:hint="eastAsia"/>
                      <w:color w:val="auto"/>
                    </w:rPr>
                    <w:t>相符</w:t>
                  </w:r>
                </w:p>
              </w:tc>
            </w:tr>
          </w:tbl>
          <w:p w14:paraId="4FBEA13E">
            <w:pPr>
              <w:pStyle w:val="50"/>
              <w:ind w:firstLine="480"/>
              <w:rPr>
                <w:rFonts w:eastAsia="微软雅黑"/>
                <w:b/>
                <w:bCs/>
                <w:color w:val="auto"/>
              </w:rPr>
            </w:pPr>
            <w:r>
              <w:rPr>
                <w:rFonts w:hint="eastAsia"/>
                <w:color w:val="auto"/>
              </w:rPr>
              <w:t>由</w:t>
            </w:r>
            <w:r>
              <w:rPr>
                <w:rFonts w:hint="eastAsia"/>
                <w:color w:val="auto"/>
              </w:rPr>
              <w:fldChar w:fldCharType="begin"/>
            </w:r>
            <w:r>
              <w:rPr>
                <w:rFonts w:hint="eastAsia"/>
                <w:color w:val="auto"/>
              </w:rPr>
              <w:instrText xml:space="preserve"> REF _Ref15189 \h </w:instrText>
            </w:r>
            <w:r>
              <w:rPr>
                <w:rFonts w:hint="eastAsia"/>
                <w:color w:val="auto"/>
              </w:rPr>
              <w:fldChar w:fldCharType="separate"/>
            </w:r>
            <w:r>
              <w:rPr>
                <w:color w:val="auto"/>
              </w:rPr>
              <w:t>表1- 4</w:t>
            </w:r>
            <w:r>
              <w:rPr>
                <w:rFonts w:hint="eastAsia"/>
                <w:color w:val="auto"/>
              </w:rPr>
              <w:fldChar w:fldCharType="end"/>
            </w:r>
            <w:r>
              <w:rPr>
                <w:color w:val="auto"/>
              </w:rPr>
              <w:t>分析可知</w:t>
            </w:r>
            <w:r>
              <w:rPr>
                <w:rFonts w:hint="eastAsia"/>
                <w:color w:val="auto"/>
              </w:rPr>
              <w:t>，</w:t>
            </w:r>
            <w:r>
              <w:rPr>
                <w:color w:val="auto"/>
              </w:rPr>
              <w:t>本</w:t>
            </w:r>
            <w:r>
              <w:rPr>
                <w:rFonts w:hint="eastAsia"/>
                <w:color w:val="auto"/>
              </w:rPr>
              <w:t>扩建</w:t>
            </w:r>
            <w:r>
              <w:rPr>
                <w:color w:val="auto"/>
              </w:rPr>
              <w:t>项目</w:t>
            </w:r>
            <w:r>
              <w:rPr>
                <w:rFonts w:hint="eastAsia"/>
                <w:color w:val="auto"/>
              </w:rPr>
              <w:t>的建设符合</w:t>
            </w:r>
            <w:r>
              <w:rPr>
                <w:color w:val="auto"/>
              </w:rPr>
              <w:t>《2023年生态环境分区管控成果动态更新工作方案》（环办环评函﹝2023﹞81号）、《江苏省2023年度生态环境分区管控动态更新成果公告》</w:t>
            </w:r>
            <w:r>
              <w:rPr>
                <w:rFonts w:hint="eastAsia"/>
                <w:color w:val="auto"/>
              </w:rPr>
              <w:t>中的相关要求</w:t>
            </w:r>
            <w:r>
              <w:rPr>
                <w:color w:val="auto"/>
              </w:rPr>
              <w:t>。</w:t>
            </w:r>
          </w:p>
          <w:p w14:paraId="41BBD1E3">
            <w:pPr>
              <w:pStyle w:val="50"/>
              <w:ind w:firstLine="482"/>
              <w:rPr>
                <w:b/>
                <w:bCs/>
                <w:color w:val="auto"/>
              </w:rPr>
            </w:pPr>
            <w:r>
              <w:rPr>
                <w:b/>
                <w:bCs/>
                <w:color w:val="auto"/>
              </w:rPr>
              <w:t>②与宿迁市“三线一单”生态环境分区管控实施方案相符性分析</w:t>
            </w:r>
          </w:p>
          <w:p w14:paraId="5C746CCA">
            <w:pPr>
              <w:pStyle w:val="50"/>
              <w:ind w:firstLine="480"/>
              <w:rPr>
                <w:color w:val="auto"/>
              </w:rPr>
            </w:pPr>
            <w:r>
              <w:rPr>
                <w:color w:val="auto"/>
              </w:rPr>
              <w:t>根据《宿迁市“三线一单”生态环境分区管控实施方案》</w:t>
            </w:r>
            <w:r>
              <w:rPr>
                <w:rFonts w:hint="eastAsia"/>
                <w:color w:val="auto"/>
              </w:rPr>
              <w:t>、《宿迁市2024年度生态环境分区管控动态更新成果公告》</w:t>
            </w:r>
            <w:r>
              <w:rPr>
                <w:color w:val="auto"/>
              </w:rPr>
              <w:t>，</w:t>
            </w:r>
            <w:r>
              <w:rPr>
                <w:rFonts w:hint="eastAsia"/>
                <w:color w:val="auto"/>
              </w:rPr>
              <w:t>本扩建项目位于王集镇工业集聚区，属于</w:t>
            </w:r>
            <w:r>
              <w:rPr>
                <w:color w:val="auto"/>
              </w:rPr>
              <w:t>重点管控单元</w:t>
            </w:r>
            <w:r>
              <w:rPr>
                <w:rFonts w:hint="eastAsia"/>
                <w:color w:val="auto"/>
              </w:rPr>
              <w:t>，相符性分析</w:t>
            </w:r>
            <w:r>
              <w:rPr>
                <w:color w:val="auto"/>
              </w:rPr>
              <w:t>详见</w:t>
            </w:r>
            <w:r>
              <w:rPr>
                <w:rFonts w:hint="default"/>
                <w:color w:val="auto"/>
                <w:lang w:val="en-US"/>
              </w:rPr>
              <w:fldChar w:fldCharType="begin"/>
            </w:r>
            <w:r>
              <w:rPr>
                <w:rFonts w:hint="default"/>
                <w:color w:val="auto"/>
                <w:lang w:val="en-US"/>
              </w:rPr>
              <w:instrText xml:space="preserve"> REF _Ref4763 \h </w:instrText>
            </w:r>
            <w:r>
              <w:rPr>
                <w:rFonts w:hint="default"/>
                <w:color w:val="auto"/>
                <w:lang w:val="en-US"/>
              </w:rPr>
              <w:fldChar w:fldCharType="separate"/>
            </w:r>
            <w:r>
              <w:rPr>
                <w:color w:val="auto"/>
              </w:rPr>
              <w:t>表1- 5</w:t>
            </w:r>
            <w:r>
              <w:rPr>
                <w:rFonts w:hint="default"/>
                <w:color w:val="auto"/>
                <w:lang w:val="en-US"/>
              </w:rPr>
              <w:fldChar w:fldCharType="end"/>
            </w:r>
            <w:r>
              <w:rPr>
                <w:color w:val="auto"/>
              </w:rPr>
              <w:t>。</w:t>
            </w:r>
          </w:p>
          <w:p w14:paraId="50942AA6">
            <w:pPr>
              <w:pStyle w:val="7"/>
              <w:rPr>
                <w:color w:val="auto"/>
              </w:rPr>
            </w:pPr>
            <w:bookmarkStart w:id="12" w:name="_Ref4763"/>
            <w:bookmarkStart w:id="13" w:name="_Ref10939"/>
            <w:bookmarkStart w:id="14" w:name="_Ref28052"/>
            <w:bookmarkStart w:id="15" w:name="_Ref14010"/>
            <w:bookmarkStart w:id="16" w:name="_Ref29815"/>
          </w:p>
          <w:p w14:paraId="165E9CFD">
            <w:pPr>
              <w:pStyle w:val="7"/>
              <w:rPr>
                <w:color w:val="auto"/>
              </w:rPr>
            </w:pPr>
          </w:p>
          <w:p w14:paraId="63E3ABBD">
            <w:pPr>
              <w:pStyle w:val="7"/>
              <w:rPr>
                <w:color w:val="auto"/>
              </w:rPr>
            </w:pPr>
            <w:r>
              <w:rPr>
                <w:color w:val="auto"/>
              </w:rPr>
              <w:t xml:space="preserve">表1- </w:t>
            </w:r>
            <w:r>
              <w:rPr>
                <w:color w:val="auto"/>
              </w:rPr>
              <w:fldChar w:fldCharType="begin"/>
            </w:r>
            <w:r>
              <w:rPr>
                <w:color w:val="auto"/>
              </w:rPr>
              <w:instrText xml:space="preserve"> SEQ 表1- \* ARABIC </w:instrText>
            </w:r>
            <w:r>
              <w:rPr>
                <w:color w:val="auto"/>
              </w:rPr>
              <w:fldChar w:fldCharType="separate"/>
            </w:r>
            <w:r>
              <w:rPr>
                <w:color w:val="auto"/>
              </w:rPr>
              <w:t>5</w:t>
            </w:r>
            <w:r>
              <w:rPr>
                <w:color w:val="auto"/>
              </w:rPr>
              <w:fldChar w:fldCharType="end"/>
            </w:r>
            <w:bookmarkEnd w:id="12"/>
            <w:bookmarkEnd w:id="13"/>
            <w:bookmarkEnd w:id="14"/>
            <w:bookmarkEnd w:id="15"/>
            <w:bookmarkEnd w:id="16"/>
            <w:r>
              <w:rPr>
                <w:color w:val="auto"/>
              </w:rPr>
              <w:t xml:space="preserve"> 项目与宿迁市</w:t>
            </w:r>
            <w:r>
              <w:rPr>
                <w:rFonts w:hint="eastAsia"/>
                <w:color w:val="auto"/>
              </w:rPr>
              <w:t>“三线一单”</w:t>
            </w:r>
            <w:r>
              <w:rPr>
                <w:color w:val="auto"/>
              </w:rPr>
              <w:t>管控</w:t>
            </w:r>
            <w:r>
              <w:rPr>
                <w:rFonts w:hint="eastAsia"/>
                <w:color w:val="auto"/>
              </w:rPr>
              <w:t>方案</w:t>
            </w:r>
            <w:r>
              <w:rPr>
                <w:color w:val="auto"/>
              </w:rPr>
              <w:t>相符性分析</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400"/>
              <w:gridCol w:w="3216"/>
              <w:gridCol w:w="3216"/>
              <w:gridCol w:w="642"/>
            </w:tblGrid>
            <w:tr w14:paraId="283C8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398" w:type="pct"/>
                  <w:vAlign w:val="center"/>
                </w:tcPr>
                <w:p w14:paraId="105DA9D9">
                  <w:pPr>
                    <w:pStyle w:val="52"/>
                    <w:rPr>
                      <w:color w:val="auto"/>
                    </w:rPr>
                  </w:pPr>
                  <w:r>
                    <w:rPr>
                      <w:color w:val="auto"/>
                    </w:rPr>
                    <w:t>管控单元</w:t>
                  </w:r>
                </w:p>
              </w:tc>
              <w:tc>
                <w:tcPr>
                  <w:tcW w:w="2226" w:type="pct"/>
                  <w:gridSpan w:val="2"/>
                  <w:vAlign w:val="center"/>
                </w:tcPr>
                <w:p w14:paraId="77DCCD06">
                  <w:pPr>
                    <w:pStyle w:val="52"/>
                    <w:rPr>
                      <w:color w:val="auto"/>
                    </w:rPr>
                  </w:pPr>
                  <w:r>
                    <w:rPr>
                      <w:color w:val="auto"/>
                    </w:rPr>
                    <w:t>管控要求</w:t>
                  </w:r>
                </w:p>
              </w:tc>
              <w:tc>
                <w:tcPr>
                  <w:tcW w:w="1980" w:type="pct"/>
                  <w:vAlign w:val="center"/>
                </w:tcPr>
                <w:p w14:paraId="2413CBFB">
                  <w:pPr>
                    <w:pStyle w:val="52"/>
                    <w:rPr>
                      <w:color w:val="auto"/>
                    </w:rPr>
                  </w:pPr>
                  <w:r>
                    <w:rPr>
                      <w:color w:val="auto"/>
                    </w:rPr>
                    <w:t>本扩建</w:t>
                  </w:r>
                  <w:r>
                    <w:rPr>
                      <w:rFonts w:hint="eastAsia"/>
                      <w:color w:val="auto"/>
                    </w:rPr>
                    <w:t>项目情况</w:t>
                  </w:r>
                </w:p>
              </w:tc>
              <w:tc>
                <w:tcPr>
                  <w:tcW w:w="395" w:type="pct"/>
                  <w:vAlign w:val="center"/>
                </w:tcPr>
                <w:p w14:paraId="698620B4">
                  <w:pPr>
                    <w:pStyle w:val="52"/>
                    <w:rPr>
                      <w:color w:val="auto"/>
                    </w:rPr>
                  </w:pPr>
                  <w:r>
                    <w:rPr>
                      <w:color w:val="auto"/>
                    </w:rPr>
                    <w:t>相符性</w:t>
                  </w:r>
                </w:p>
              </w:tc>
            </w:tr>
            <w:tr w14:paraId="553B8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8" w:type="pct"/>
                  <w:vMerge w:val="restart"/>
                  <w:vAlign w:val="center"/>
                </w:tcPr>
                <w:p w14:paraId="6D04F8AE">
                  <w:pPr>
                    <w:pStyle w:val="54"/>
                    <w:rPr>
                      <w:color w:val="auto"/>
                    </w:rPr>
                  </w:pPr>
                  <w:r>
                    <w:rPr>
                      <w:rFonts w:hint="eastAsia"/>
                      <w:color w:val="auto"/>
                    </w:rPr>
                    <w:t>王集镇工业集聚区</w:t>
                  </w:r>
                </w:p>
              </w:tc>
              <w:tc>
                <w:tcPr>
                  <w:tcW w:w="246" w:type="pct"/>
                  <w:vAlign w:val="center"/>
                </w:tcPr>
                <w:p w14:paraId="394011BD">
                  <w:pPr>
                    <w:pStyle w:val="54"/>
                    <w:rPr>
                      <w:color w:val="auto"/>
                    </w:rPr>
                  </w:pPr>
                  <w:r>
                    <w:rPr>
                      <w:color w:val="auto"/>
                    </w:rPr>
                    <w:t>空间布局约束</w:t>
                  </w:r>
                </w:p>
              </w:tc>
              <w:tc>
                <w:tcPr>
                  <w:tcW w:w="1980" w:type="pct"/>
                  <w:vAlign w:val="center"/>
                </w:tcPr>
                <w:p w14:paraId="397BB9F4">
                  <w:pPr>
                    <w:pStyle w:val="54"/>
                    <w:jc w:val="both"/>
                    <w:rPr>
                      <w:color w:val="auto"/>
                    </w:rPr>
                  </w:pPr>
                  <w:r>
                    <w:rPr>
                      <w:rFonts w:hint="eastAsia"/>
                      <w:color w:val="auto"/>
                    </w:rPr>
                    <w:t>禁止引入以下行业项目：（1）排放铅、镉、铬、汞、砷等有毒有害重金属的项目，如金属表面处理及热处理加工业、铅蓄电池制造业、电子元器件制造业、重有色金属冶炼等“涉重行业”；（2）废旧资源回收再加工项目，特别是废电子、废电瓶、废电气产品、废塑料、汽车拆解；（3）采用列入《环境保护名录》（2015年版）重污染类项目；（4）化工、染料、农药、印染、酿造、造纸、电石、铁合金、焦炭、制革、电镀、垃圾焚烧等对环境污染严重的项目；（5）排放氨、硫化氢等恶臭气体和一氧化碳、氯气、氟化氢、硝基苯等无机、有机有毒有害气体的项目；（6）生产、使用及排放含氰化物、多氯联苯、多溴联苯等致癌、致畸、致突变的高毒物质项目。</w:t>
                  </w:r>
                </w:p>
                <w:p w14:paraId="2C4C5F3B">
                  <w:pPr>
                    <w:pStyle w:val="54"/>
                    <w:jc w:val="both"/>
                    <w:rPr>
                      <w:color w:val="auto"/>
                    </w:rPr>
                  </w:pPr>
                  <w:r>
                    <w:rPr>
                      <w:rFonts w:hint="eastAsia"/>
                      <w:color w:val="auto"/>
                    </w:rPr>
                    <w:t>限制引入以下行业项目：（1）板材加工、木制品行业中不符合相关行业准入条件的项目，不符合“两减六治三提升”环保专项行动方案中使用低VOCs含量的涂料、胶黏剂的企业；（2）服装纺织行业中涉及印染、后整理、制革等工序的；（3）机械电子行业中不符合“两减六治三提升”环保专项行动方案中使用低VOCs含量的油漆企业，设备和工艺属于国家和省级产业政策中的限制类和淘汰类。</w:t>
                  </w:r>
                </w:p>
              </w:tc>
              <w:tc>
                <w:tcPr>
                  <w:tcW w:w="1980" w:type="pct"/>
                  <w:vAlign w:val="center"/>
                </w:tcPr>
                <w:p w14:paraId="79BA8D54">
                  <w:pPr>
                    <w:pStyle w:val="54"/>
                    <w:jc w:val="both"/>
                    <w:rPr>
                      <w:color w:val="auto"/>
                    </w:rPr>
                  </w:pPr>
                  <w:r>
                    <w:rPr>
                      <w:color w:val="auto"/>
                    </w:rPr>
                    <w:t>本</w:t>
                  </w:r>
                  <w:r>
                    <w:rPr>
                      <w:rFonts w:hint="eastAsia"/>
                      <w:color w:val="auto"/>
                    </w:rPr>
                    <w:t>扩建</w:t>
                  </w:r>
                  <w:r>
                    <w:rPr>
                      <w:color w:val="auto"/>
                    </w:rPr>
                    <w:t>项目</w:t>
                  </w:r>
                  <w:r>
                    <w:rPr>
                      <w:rFonts w:hint="eastAsia"/>
                      <w:color w:val="auto"/>
                    </w:rPr>
                    <w:t>为铜压延加工项目，生产产品为无氧铜杆。本扩建项目不属于园区定位产业，但也不属于禁止引入和限制引入项目。本扩建项目可以作为机械制造等相关行业的上下游产业，同园区主导产业有一定关联性，且项目已获得宿迁泗阳县数据局出具的备案证，备案证号为泗阳数据备〔2025〕319号。</w:t>
                  </w:r>
                </w:p>
              </w:tc>
              <w:tc>
                <w:tcPr>
                  <w:tcW w:w="395" w:type="pct"/>
                  <w:vAlign w:val="center"/>
                </w:tcPr>
                <w:p w14:paraId="0167DF0D">
                  <w:pPr>
                    <w:pStyle w:val="54"/>
                    <w:rPr>
                      <w:color w:val="auto"/>
                    </w:rPr>
                  </w:pPr>
                  <w:r>
                    <w:rPr>
                      <w:rFonts w:hint="eastAsia"/>
                      <w:color w:val="auto"/>
                    </w:rPr>
                    <w:t>相符</w:t>
                  </w:r>
                </w:p>
              </w:tc>
            </w:tr>
            <w:tr w14:paraId="41649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8" w:type="pct"/>
                  <w:vMerge w:val="continue"/>
                  <w:vAlign w:val="center"/>
                </w:tcPr>
                <w:p w14:paraId="231580B6">
                  <w:pPr>
                    <w:pStyle w:val="54"/>
                    <w:jc w:val="right"/>
                    <w:rPr>
                      <w:color w:val="auto"/>
                    </w:rPr>
                  </w:pPr>
                </w:p>
              </w:tc>
              <w:tc>
                <w:tcPr>
                  <w:tcW w:w="246" w:type="pct"/>
                  <w:vAlign w:val="center"/>
                </w:tcPr>
                <w:p w14:paraId="32D3C0BF">
                  <w:pPr>
                    <w:pStyle w:val="54"/>
                    <w:rPr>
                      <w:color w:val="auto"/>
                    </w:rPr>
                  </w:pPr>
                  <w:r>
                    <w:rPr>
                      <w:color w:val="auto"/>
                    </w:rPr>
                    <w:t>污染物排放管控</w:t>
                  </w:r>
                </w:p>
              </w:tc>
              <w:tc>
                <w:tcPr>
                  <w:tcW w:w="1980" w:type="pct"/>
                  <w:vAlign w:val="center"/>
                </w:tcPr>
                <w:p w14:paraId="6A0DAC61">
                  <w:pPr>
                    <w:pStyle w:val="54"/>
                    <w:jc w:val="both"/>
                    <w:rPr>
                      <w:color w:val="auto"/>
                    </w:rPr>
                  </w:pPr>
                  <w:r>
                    <w:rPr>
                      <w:rFonts w:hint="eastAsia"/>
                      <w:color w:val="auto"/>
                    </w:rPr>
                    <w:t>大气污染物排放量：二氧化硫7.832吨/年、氮氧化物14.07吨/年、可吸入颗粒物24.34吨/年、挥发性有机物15.4吨/年；水污染物排放量：化学需氧量440.91吨/年、氨氮38.58吨/年。</w:t>
                  </w:r>
                </w:p>
              </w:tc>
              <w:tc>
                <w:tcPr>
                  <w:tcW w:w="1980" w:type="pct"/>
                  <w:vAlign w:val="center"/>
                </w:tcPr>
                <w:p w14:paraId="44E41471">
                  <w:pPr>
                    <w:pStyle w:val="54"/>
                    <w:jc w:val="both"/>
                    <w:rPr>
                      <w:color w:val="auto"/>
                    </w:rPr>
                  </w:pPr>
                  <w:r>
                    <w:rPr>
                      <w:rFonts w:hint="eastAsia"/>
                      <w:color w:val="auto"/>
                    </w:rPr>
                    <w:t>本扩建项目大气污染物排放量：颗粒物1.137t/a、NMHC0.000</w:t>
                  </w:r>
                  <w:r>
                    <w:rPr>
                      <w:rFonts w:hint="eastAsia"/>
                      <w:color w:val="auto"/>
                      <w:lang w:val="en-US" w:eastAsia="zh-CN"/>
                    </w:rPr>
                    <w:t>2</w:t>
                  </w:r>
                  <w:r>
                    <w:rPr>
                      <w:rFonts w:hint="eastAsia"/>
                      <w:color w:val="auto"/>
                    </w:rPr>
                    <w:t>t/a；废水接管量：废水量2</w:t>
                  </w:r>
                  <w:r>
                    <w:rPr>
                      <w:rFonts w:hint="eastAsia"/>
                      <w:color w:val="auto"/>
                      <w:lang w:val="en-US" w:eastAsia="zh-CN"/>
                    </w:rPr>
                    <w:t>1</w:t>
                  </w:r>
                  <w:r>
                    <w:rPr>
                      <w:rFonts w:hint="eastAsia"/>
                      <w:color w:val="auto"/>
                    </w:rPr>
                    <w:t>60t/a、COD0.6480t/a、氨氮0.0648t/a、TP0.0076t/a、TN0.0864t/a，进入环境量：废水量2</w:t>
                  </w:r>
                  <w:r>
                    <w:rPr>
                      <w:rFonts w:hint="eastAsia"/>
                      <w:color w:val="auto"/>
                      <w:lang w:val="en-US" w:eastAsia="zh-CN"/>
                    </w:rPr>
                    <w:t>1</w:t>
                  </w:r>
                  <w:r>
                    <w:rPr>
                      <w:rFonts w:hint="eastAsia"/>
                      <w:color w:val="auto"/>
                    </w:rPr>
                    <w:t>60t/a、COD0.1080t/a、氨氮0.0108t/a、TP0.0011t/a、TN0.0324t/a。本扩建项目将严格落实总量控制制度，颗粒物0.568t/a排放总量从年产1.6万吨无氧铜杆项目批复总量中平衡，颗粒物0.569t/a、NMHC0.0002t/a从泗阳县总量库中平衡。</w:t>
                  </w:r>
                </w:p>
              </w:tc>
              <w:tc>
                <w:tcPr>
                  <w:tcW w:w="395" w:type="pct"/>
                  <w:vAlign w:val="center"/>
                </w:tcPr>
                <w:p w14:paraId="4031C907">
                  <w:pPr>
                    <w:pStyle w:val="54"/>
                    <w:rPr>
                      <w:color w:val="auto"/>
                    </w:rPr>
                  </w:pPr>
                  <w:r>
                    <w:rPr>
                      <w:rFonts w:hint="eastAsia"/>
                      <w:color w:val="auto"/>
                    </w:rPr>
                    <w:t>相符</w:t>
                  </w:r>
                </w:p>
              </w:tc>
            </w:tr>
            <w:tr w14:paraId="2EFA4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8" w:type="pct"/>
                  <w:vMerge w:val="continue"/>
                  <w:vAlign w:val="center"/>
                </w:tcPr>
                <w:p w14:paraId="5CC012AF">
                  <w:pPr>
                    <w:pStyle w:val="54"/>
                    <w:rPr>
                      <w:color w:val="auto"/>
                    </w:rPr>
                  </w:pPr>
                </w:p>
              </w:tc>
              <w:tc>
                <w:tcPr>
                  <w:tcW w:w="246" w:type="pct"/>
                  <w:vAlign w:val="center"/>
                </w:tcPr>
                <w:p w14:paraId="0E645F4E">
                  <w:pPr>
                    <w:pStyle w:val="54"/>
                    <w:rPr>
                      <w:color w:val="auto"/>
                    </w:rPr>
                  </w:pPr>
                  <w:r>
                    <w:rPr>
                      <w:color w:val="auto"/>
                    </w:rPr>
                    <w:t>环境风险防控</w:t>
                  </w:r>
                </w:p>
              </w:tc>
              <w:tc>
                <w:tcPr>
                  <w:tcW w:w="1980" w:type="pct"/>
                  <w:vAlign w:val="center"/>
                </w:tcPr>
                <w:p w14:paraId="2BCB7633">
                  <w:pPr>
                    <w:pStyle w:val="54"/>
                    <w:jc w:val="both"/>
                    <w:rPr>
                      <w:color w:val="auto"/>
                    </w:rPr>
                  </w:pPr>
                  <w:r>
                    <w:rPr>
                      <w:rFonts w:hint="eastAsia"/>
                      <w:color w:val="auto"/>
                    </w:rPr>
                    <w:t>园区及入区项目均应制定并落实各类事故风险防范措施及应急预案。区内各企业须按规范要求建设贮存、使用易燃易爆危险品的生产装置，杜绝泄漏物料进入环境；储备必须的设备物资，并定期组织实战演练，最大限度地防止和减轻事故的危害。排放工业废水的企业应设置足够容量的事故污水池，严禁污水超标排放。</w:t>
                  </w:r>
                </w:p>
              </w:tc>
              <w:tc>
                <w:tcPr>
                  <w:tcW w:w="1980" w:type="pct"/>
                  <w:vAlign w:val="center"/>
                </w:tcPr>
                <w:p w14:paraId="29EEAB6A">
                  <w:pPr>
                    <w:pStyle w:val="54"/>
                    <w:jc w:val="both"/>
                    <w:rPr>
                      <w:color w:val="auto"/>
                    </w:rPr>
                  </w:pPr>
                  <w:r>
                    <w:rPr>
                      <w:color w:val="auto"/>
                    </w:rPr>
                    <w:t>①</w:t>
                  </w:r>
                  <w:r>
                    <w:rPr>
                      <w:rFonts w:hint="eastAsia"/>
                      <w:color w:val="auto"/>
                    </w:rPr>
                    <w:t>本扩建项目建成后将制定并落实环境风险防范措施，</w:t>
                  </w:r>
                  <w:r>
                    <w:rPr>
                      <w:color w:val="auto"/>
                    </w:rPr>
                    <w:t>储备必须的设备物资，并定期组织实战演练，最大限度地防止和减轻事故的危害</w:t>
                  </w:r>
                  <w:r>
                    <w:rPr>
                      <w:rFonts w:hint="eastAsia"/>
                      <w:color w:val="auto"/>
                    </w:rPr>
                    <w:t>。</w:t>
                  </w:r>
                </w:p>
                <w:p w14:paraId="54EEDA28">
                  <w:pPr>
                    <w:pStyle w:val="54"/>
                    <w:jc w:val="both"/>
                    <w:rPr>
                      <w:color w:val="auto"/>
                    </w:rPr>
                  </w:pPr>
                  <w:r>
                    <w:rPr>
                      <w:rFonts w:hint="eastAsia"/>
                      <w:color w:val="auto"/>
                    </w:rPr>
                    <w:t>②本扩建</w:t>
                  </w:r>
                  <w:r>
                    <w:rPr>
                      <w:color w:val="auto"/>
                    </w:rPr>
                    <w:t>项目</w:t>
                  </w:r>
                  <w:r>
                    <w:rPr>
                      <w:rFonts w:hint="eastAsia"/>
                      <w:color w:val="auto"/>
                    </w:rPr>
                    <w:t>厂区地面进行分区防渗处理，可以杜绝泄漏物料进入环境。</w:t>
                  </w:r>
                </w:p>
                <w:p w14:paraId="1BE8BF4F">
                  <w:pPr>
                    <w:pStyle w:val="54"/>
                    <w:jc w:val="both"/>
                    <w:rPr>
                      <w:color w:val="auto"/>
                    </w:rPr>
                  </w:pPr>
                  <w:r>
                    <w:rPr>
                      <w:rFonts w:hint="eastAsia"/>
                      <w:color w:val="auto"/>
                    </w:rPr>
                    <w:t>③本扩建项目仅外排职工生活污水，生活污水经化粪池预处理达标后接管至王集镇污水处理厂集中处理。</w:t>
                  </w:r>
                </w:p>
              </w:tc>
              <w:tc>
                <w:tcPr>
                  <w:tcW w:w="395" w:type="pct"/>
                  <w:vAlign w:val="center"/>
                </w:tcPr>
                <w:p w14:paraId="6D9D606D">
                  <w:pPr>
                    <w:pStyle w:val="54"/>
                    <w:rPr>
                      <w:color w:val="auto"/>
                    </w:rPr>
                  </w:pPr>
                  <w:r>
                    <w:rPr>
                      <w:rFonts w:hint="eastAsia"/>
                      <w:color w:val="auto"/>
                    </w:rPr>
                    <w:t>相符</w:t>
                  </w:r>
                </w:p>
              </w:tc>
            </w:tr>
            <w:tr w14:paraId="22AA86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 w:hRule="atLeast"/>
                <w:jc w:val="center"/>
              </w:trPr>
              <w:tc>
                <w:tcPr>
                  <w:tcW w:w="398" w:type="pct"/>
                  <w:vMerge w:val="continue"/>
                  <w:vAlign w:val="center"/>
                </w:tcPr>
                <w:p w14:paraId="7DF2D329">
                  <w:pPr>
                    <w:pStyle w:val="54"/>
                    <w:rPr>
                      <w:color w:val="auto"/>
                    </w:rPr>
                  </w:pPr>
                </w:p>
              </w:tc>
              <w:tc>
                <w:tcPr>
                  <w:tcW w:w="246" w:type="pct"/>
                  <w:vAlign w:val="center"/>
                </w:tcPr>
                <w:p w14:paraId="53A2CB41">
                  <w:pPr>
                    <w:pStyle w:val="54"/>
                    <w:rPr>
                      <w:color w:val="auto"/>
                    </w:rPr>
                  </w:pPr>
                  <w:r>
                    <w:rPr>
                      <w:color w:val="auto"/>
                    </w:rPr>
                    <w:t>资源开发效率要求</w:t>
                  </w:r>
                </w:p>
              </w:tc>
              <w:tc>
                <w:tcPr>
                  <w:tcW w:w="1980" w:type="pct"/>
                  <w:vAlign w:val="center"/>
                </w:tcPr>
                <w:p w14:paraId="446EC1F7">
                  <w:pPr>
                    <w:pStyle w:val="54"/>
                    <w:jc w:val="both"/>
                    <w:rPr>
                      <w:color w:val="auto"/>
                    </w:rPr>
                  </w:pPr>
                  <w:r>
                    <w:rPr>
                      <w:rFonts w:hint="eastAsia"/>
                      <w:color w:val="auto"/>
                    </w:rPr>
                    <w:t>园区及入区项目均应制定并落实各类事故风险防范措施及应急预案。区内各企业须按规范要求建设贮存、使用易燃易爆危险品的生产装置，杜绝泄漏物料进入环境；储备必须的设备物资，并定期组织实战演练，最大限度地防止和减轻事故的危害。排放工业废水的企业应设置足够容量的事故污水池，严禁污水超标排放。</w:t>
                  </w:r>
                </w:p>
              </w:tc>
              <w:tc>
                <w:tcPr>
                  <w:tcW w:w="1980" w:type="pct"/>
                  <w:vAlign w:val="center"/>
                </w:tcPr>
                <w:p w14:paraId="06B1B327">
                  <w:pPr>
                    <w:pStyle w:val="54"/>
                    <w:jc w:val="both"/>
                    <w:rPr>
                      <w:color w:val="auto"/>
                    </w:rPr>
                  </w:pPr>
                  <w:r>
                    <w:rPr>
                      <w:rFonts w:hint="eastAsia"/>
                      <w:color w:val="auto"/>
                    </w:rPr>
                    <w:t>本扩建项目新增用水量为</w:t>
                  </w:r>
                  <w:r>
                    <w:rPr>
                      <w:rFonts w:hint="eastAsia"/>
                      <w:color w:val="auto"/>
                      <w:lang w:val="en-US" w:eastAsia="zh-CN"/>
                    </w:rPr>
                    <w:t>105</w:t>
                  </w:r>
                  <w:r>
                    <w:rPr>
                      <w:rFonts w:hint="eastAsia"/>
                      <w:color w:val="auto"/>
                    </w:rPr>
                    <w:t>m</w:t>
                  </w:r>
                  <w:r>
                    <w:rPr>
                      <w:rFonts w:hint="eastAsia"/>
                      <w:color w:val="auto"/>
                      <w:vertAlign w:val="superscript"/>
                    </w:rPr>
                    <w:t>3</w:t>
                  </w:r>
                  <w:r>
                    <w:rPr>
                      <w:rFonts w:hint="eastAsia"/>
                      <w:color w:val="auto"/>
                    </w:rPr>
                    <w:t>/d，单位GDP能耗为0.046吨标煤/万元，使用电力清洁能源。</w:t>
                  </w:r>
                </w:p>
              </w:tc>
              <w:tc>
                <w:tcPr>
                  <w:tcW w:w="395" w:type="pct"/>
                  <w:vAlign w:val="center"/>
                </w:tcPr>
                <w:p w14:paraId="012AF956">
                  <w:pPr>
                    <w:pStyle w:val="54"/>
                    <w:rPr>
                      <w:color w:val="auto"/>
                    </w:rPr>
                  </w:pPr>
                  <w:r>
                    <w:rPr>
                      <w:rFonts w:hint="eastAsia"/>
                      <w:color w:val="auto"/>
                    </w:rPr>
                    <w:t>相符</w:t>
                  </w:r>
                </w:p>
              </w:tc>
            </w:tr>
          </w:tbl>
          <w:p w14:paraId="2BDF9820">
            <w:pPr>
              <w:pStyle w:val="50"/>
              <w:ind w:firstLine="480"/>
              <w:rPr>
                <w:color w:val="auto"/>
              </w:rPr>
            </w:pPr>
            <w:r>
              <w:rPr>
                <w:color w:val="auto"/>
              </w:rPr>
              <w:t>由</w:t>
            </w:r>
            <w:r>
              <w:rPr>
                <w:color w:val="auto"/>
              </w:rPr>
              <w:fldChar w:fldCharType="begin"/>
            </w:r>
            <w:r>
              <w:rPr>
                <w:color w:val="auto"/>
              </w:rPr>
              <w:instrText xml:space="preserve"> REF _Ref29815 \h </w:instrText>
            </w:r>
            <w:r>
              <w:rPr>
                <w:color w:val="auto"/>
              </w:rPr>
              <w:fldChar w:fldCharType="separate"/>
            </w:r>
            <w:r>
              <w:rPr>
                <w:color w:val="auto"/>
              </w:rPr>
              <w:t>表1- 5</w:t>
            </w:r>
            <w:r>
              <w:rPr>
                <w:color w:val="auto"/>
              </w:rPr>
              <w:fldChar w:fldCharType="end"/>
            </w:r>
            <w:r>
              <w:rPr>
                <w:color w:val="auto"/>
              </w:rPr>
              <w:t>分析可知，本</w:t>
            </w:r>
            <w:r>
              <w:rPr>
                <w:rFonts w:hint="eastAsia"/>
                <w:color w:val="auto"/>
              </w:rPr>
              <w:t>扩建</w:t>
            </w:r>
            <w:r>
              <w:rPr>
                <w:color w:val="auto"/>
              </w:rPr>
              <w:t>项目</w:t>
            </w:r>
            <w:r>
              <w:rPr>
                <w:rFonts w:hint="eastAsia"/>
                <w:color w:val="auto"/>
              </w:rPr>
              <w:t>的建设</w:t>
            </w:r>
            <w:r>
              <w:rPr>
                <w:color w:val="auto"/>
              </w:rPr>
              <w:t>符合《宿迁市“三线一单”生态环境分区管控实施方案》（宿环发〔2020〕78号）</w:t>
            </w:r>
            <w:r>
              <w:rPr>
                <w:rFonts w:hint="eastAsia"/>
                <w:color w:val="auto"/>
              </w:rPr>
              <w:t>、《宿迁市2024年度生态环境分区管控动态更新成果公告》中</w:t>
            </w:r>
            <w:r>
              <w:rPr>
                <w:color w:val="auto"/>
              </w:rPr>
              <w:t>的相关要求。</w:t>
            </w:r>
          </w:p>
          <w:p w14:paraId="07F4E5A9">
            <w:pPr>
              <w:pStyle w:val="50"/>
              <w:ind w:firstLine="482"/>
              <w:rPr>
                <w:b/>
                <w:bCs/>
                <w:color w:val="auto"/>
              </w:rPr>
            </w:pPr>
            <w:r>
              <w:rPr>
                <w:b/>
                <w:bCs/>
                <w:color w:val="auto"/>
              </w:rPr>
              <w:t>③与泗阳县王集新城经济开发区</w:t>
            </w:r>
            <w:r>
              <w:rPr>
                <w:rFonts w:hint="eastAsia"/>
                <w:b/>
                <w:bCs/>
                <w:color w:val="auto"/>
              </w:rPr>
              <w:t>限制准入行业清单和禁止准入负面清单</w:t>
            </w:r>
            <w:r>
              <w:rPr>
                <w:b/>
                <w:bCs/>
                <w:color w:val="auto"/>
              </w:rPr>
              <w:t>相符性分析</w:t>
            </w:r>
          </w:p>
          <w:p w14:paraId="69E35E2E">
            <w:pPr>
              <w:pStyle w:val="50"/>
              <w:ind w:firstLine="480"/>
              <w:rPr>
                <w:color w:val="auto"/>
              </w:rPr>
            </w:pPr>
            <w:r>
              <w:rPr>
                <w:color w:val="auto"/>
              </w:rPr>
              <w:t>根据《</w:t>
            </w:r>
            <w:r>
              <w:rPr>
                <w:rFonts w:hint="eastAsia" w:eastAsiaTheme="minorEastAsia"/>
                <w:color w:val="auto"/>
              </w:rPr>
              <w:t>泗阳县王集新城经济开发区规划环境影响报告书</w:t>
            </w:r>
            <w:r>
              <w:rPr>
                <w:color w:val="auto"/>
              </w:rPr>
              <w:t>》</w:t>
            </w:r>
            <w:r>
              <w:rPr>
                <w:rFonts w:hint="eastAsia"/>
                <w:color w:val="auto"/>
              </w:rPr>
              <w:t>中</w:t>
            </w:r>
            <w:r>
              <w:rPr>
                <w:color w:val="auto"/>
              </w:rPr>
              <w:t>“</w:t>
            </w:r>
            <w:r>
              <w:rPr>
                <w:rFonts w:hint="eastAsia"/>
                <w:color w:val="auto"/>
              </w:rPr>
              <w:t>限制准入行业清单</w:t>
            </w:r>
            <w:r>
              <w:rPr>
                <w:color w:val="auto"/>
              </w:rPr>
              <w:t>”</w:t>
            </w:r>
            <w:r>
              <w:rPr>
                <w:rFonts w:hint="eastAsia"/>
                <w:color w:val="auto"/>
              </w:rPr>
              <w:t>和“禁止准入负面清单”</w:t>
            </w:r>
            <w:r>
              <w:rPr>
                <w:color w:val="auto"/>
              </w:rPr>
              <w:t>，本</w:t>
            </w:r>
            <w:r>
              <w:rPr>
                <w:rFonts w:hint="eastAsia"/>
                <w:color w:val="auto"/>
              </w:rPr>
              <w:t>扩建</w:t>
            </w:r>
            <w:r>
              <w:rPr>
                <w:color w:val="auto"/>
              </w:rPr>
              <w:t>项目相符性</w:t>
            </w:r>
            <w:r>
              <w:rPr>
                <w:rFonts w:hint="eastAsia"/>
                <w:color w:val="auto"/>
              </w:rPr>
              <w:t>分析详</w:t>
            </w:r>
            <w:r>
              <w:rPr>
                <w:color w:val="auto"/>
              </w:rPr>
              <w:t>见</w:t>
            </w:r>
            <w:r>
              <w:rPr>
                <w:color w:val="auto"/>
              </w:rPr>
              <w:fldChar w:fldCharType="begin"/>
            </w:r>
            <w:r>
              <w:rPr>
                <w:color w:val="auto"/>
              </w:rPr>
              <w:instrText xml:space="preserve"> REF _Ref28114 \h </w:instrText>
            </w:r>
            <w:r>
              <w:rPr>
                <w:color w:val="auto"/>
              </w:rPr>
              <w:fldChar w:fldCharType="separate"/>
            </w:r>
            <w:r>
              <w:rPr>
                <w:color w:val="auto"/>
              </w:rPr>
              <w:t>表1- 6</w:t>
            </w:r>
            <w:r>
              <w:rPr>
                <w:color w:val="auto"/>
              </w:rPr>
              <w:fldChar w:fldCharType="end"/>
            </w:r>
            <w:r>
              <w:rPr>
                <w:color w:val="auto"/>
              </w:rPr>
              <w:t>。</w:t>
            </w:r>
          </w:p>
          <w:p w14:paraId="0061AA5C">
            <w:pPr>
              <w:pStyle w:val="7"/>
              <w:rPr>
                <w:color w:val="auto"/>
              </w:rPr>
            </w:pPr>
            <w:bookmarkStart w:id="17" w:name="_Ref28114"/>
            <w:r>
              <w:rPr>
                <w:color w:val="auto"/>
              </w:rPr>
              <w:t xml:space="preserve">表1- </w:t>
            </w:r>
            <w:r>
              <w:rPr>
                <w:color w:val="auto"/>
              </w:rPr>
              <w:fldChar w:fldCharType="begin"/>
            </w:r>
            <w:r>
              <w:rPr>
                <w:color w:val="auto"/>
              </w:rPr>
              <w:instrText xml:space="preserve"> SEQ 表1- \* ARABIC </w:instrText>
            </w:r>
            <w:r>
              <w:rPr>
                <w:color w:val="auto"/>
              </w:rPr>
              <w:fldChar w:fldCharType="separate"/>
            </w:r>
            <w:r>
              <w:rPr>
                <w:color w:val="auto"/>
              </w:rPr>
              <w:t>6</w:t>
            </w:r>
            <w:r>
              <w:rPr>
                <w:color w:val="auto"/>
              </w:rPr>
              <w:fldChar w:fldCharType="end"/>
            </w:r>
            <w:bookmarkEnd w:id="17"/>
            <w:r>
              <w:rPr>
                <w:color w:val="auto"/>
              </w:rPr>
              <w:t xml:space="preserve"> 项目与</w:t>
            </w:r>
            <w:r>
              <w:rPr>
                <w:rFonts w:hint="eastAsia"/>
                <w:color w:val="auto"/>
              </w:rPr>
              <w:t>王集新城经济开发区限制准入行业清单和禁止准入负面清单</w:t>
            </w:r>
            <w:r>
              <w:rPr>
                <w:color w:val="auto"/>
              </w:rPr>
              <w:t>相符性分析</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332"/>
              <w:gridCol w:w="3168"/>
              <w:gridCol w:w="3173"/>
              <w:gridCol w:w="651"/>
            </w:tblGrid>
            <w:tr w14:paraId="6FEAA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797" w:type="dxa"/>
                  <w:vAlign w:val="center"/>
                </w:tcPr>
                <w:p w14:paraId="28F80AB8">
                  <w:pPr>
                    <w:pStyle w:val="52"/>
                    <w:rPr>
                      <w:color w:val="auto"/>
                    </w:rPr>
                  </w:pPr>
                  <w:r>
                    <w:rPr>
                      <w:rFonts w:hint="eastAsia"/>
                      <w:color w:val="auto"/>
                    </w:rPr>
                    <w:t>项目</w:t>
                  </w:r>
                </w:p>
              </w:tc>
              <w:tc>
                <w:tcPr>
                  <w:tcW w:w="3500" w:type="dxa"/>
                  <w:gridSpan w:val="2"/>
                  <w:vAlign w:val="center"/>
                </w:tcPr>
                <w:p w14:paraId="74BC4919">
                  <w:pPr>
                    <w:pStyle w:val="52"/>
                    <w:rPr>
                      <w:color w:val="auto"/>
                    </w:rPr>
                  </w:pPr>
                  <w:r>
                    <w:rPr>
                      <w:color w:val="auto"/>
                    </w:rPr>
                    <w:t>准入要求</w:t>
                  </w:r>
                </w:p>
              </w:tc>
              <w:tc>
                <w:tcPr>
                  <w:tcW w:w="3173" w:type="dxa"/>
                  <w:vAlign w:val="center"/>
                </w:tcPr>
                <w:p w14:paraId="618313C6">
                  <w:pPr>
                    <w:pStyle w:val="52"/>
                    <w:rPr>
                      <w:color w:val="auto"/>
                    </w:rPr>
                  </w:pPr>
                  <w:r>
                    <w:rPr>
                      <w:color w:val="auto"/>
                    </w:rPr>
                    <w:t>本扩建</w:t>
                  </w:r>
                  <w:r>
                    <w:rPr>
                      <w:rFonts w:hint="eastAsia"/>
                      <w:color w:val="auto"/>
                    </w:rPr>
                    <w:t>项目情况</w:t>
                  </w:r>
                </w:p>
              </w:tc>
              <w:tc>
                <w:tcPr>
                  <w:tcW w:w="651" w:type="dxa"/>
                  <w:vAlign w:val="center"/>
                </w:tcPr>
                <w:p w14:paraId="24227ECD">
                  <w:pPr>
                    <w:pStyle w:val="52"/>
                    <w:rPr>
                      <w:color w:val="auto"/>
                    </w:rPr>
                  </w:pPr>
                  <w:r>
                    <w:rPr>
                      <w:color w:val="auto"/>
                    </w:rPr>
                    <w:t>相符性</w:t>
                  </w:r>
                </w:p>
              </w:tc>
            </w:tr>
            <w:tr w14:paraId="0EDFC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21" w:type="dxa"/>
                  <w:gridSpan w:val="5"/>
                  <w:vAlign w:val="center"/>
                </w:tcPr>
                <w:p w14:paraId="09663526">
                  <w:pPr>
                    <w:pStyle w:val="52"/>
                    <w:rPr>
                      <w:color w:val="auto"/>
                    </w:rPr>
                  </w:pPr>
                  <w:r>
                    <w:rPr>
                      <w:rFonts w:hint="eastAsia"/>
                      <w:color w:val="auto"/>
                    </w:rPr>
                    <w:t>限制准入的行业清单</w:t>
                  </w:r>
                </w:p>
              </w:tc>
            </w:tr>
            <w:tr w14:paraId="104DB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7" w:type="dxa"/>
                  <w:vAlign w:val="center"/>
                </w:tcPr>
                <w:p w14:paraId="6FA8F797">
                  <w:pPr>
                    <w:pStyle w:val="54"/>
                    <w:rPr>
                      <w:color w:val="auto"/>
                    </w:rPr>
                  </w:pPr>
                  <w:r>
                    <w:rPr>
                      <w:rFonts w:hint="eastAsia"/>
                      <w:color w:val="auto"/>
                    </w:rPr>
                    <w:t>主导产业</w:t>
                  </w:r>
                </w:p>
              </w:tc>
              <w:tc>
                <w:tcPr>
                  <w:tcW w:w="3500" w:type="dxa"/>
                  <w:gridSpan w:val="2"/>
                  <w:vAlign w:val="center"/>
                </w:tcPr>
                <w:p w14:paraId="5FFAB9D6">
                  <w:pPr>
                    <w:pStyle w:val="54"/>
                    <w:jc w:val="both"/>
                    <w:rPr>
                      <w:color w:val="auto"/>
                    </w:rPr>
                  </w:pPr>
                  <w:r>
                    <w:rPr>
                      <w:rFonts w:hint="eastAsia"/>
                      <w:color w:val="auto"/>
                    </w:rPr>
                    <w:t>限制行业类别。</w:t>
                  </w:r>
                </w:p>
              </w:tc>
              <w:tc>
                <w:tcPr>
                  <w:tcW w:w="3173" w:type="dxa"/>
                  <w:vAlign w:val="center"/>
                </w:tcPr>
                <w:p w14:paraId="4D6E3FFD">
                  <w:pPr>
                    <w:pStyle w:val="54"/>
                    <w:jc w:val="both"/>
                    <w:rPr>
                      <w:color w:val="auto"/>
                    </w:rPr>
                  </w:pPr>
                  <w:r>
                    <w:rPr>
                      <w:color w:val="auto"/>
                    </w:rPr>
                    <w:t>本</w:t>
                  </w:r>
                  <w:r>
                    <w:rPr>
                      <w:rFonts w:hint="eastAsia"/>
                      <w:color w:val="auto"/>
                    </w:rPr>
                    <w:t>扩建</w:t>
                  </w:r>
                  <w:r>
                    <w:rPr>
                      <w:color w:val="auto"/>
                    </w:rPr>
                    <w:t>项目</w:t>
                  </w:r>
                  <w:r>
                    <w:rPr>
                      <w:rFonts w:hint="eastAsia"/>
                      <w:color w:val="auto"/>
                    </w:rPr>
                    <w:t>为铜压延加工项目，生产产品为无氧铜杆。本扩建项目不属于园区定位产业，但也不属于禁止引入和限制引入项目。本扩建项目作为机械制造等相关行业的上下游产业，同园区主导产业有一定关联性，且项目已获得宿迁泗阳县数据局出具的备案证，备案证号为泗阳数据备〔2025〕319号。</w:t>
                  </w:r>
                </w:p>
              </w:tc>
              <w:tc>
                <w:tcPr>
                  <w:tcW w:w="651" w:type="dxa"/>
                  <w:vAlign w:val="center"/>
                </w:tcPr>
                <w:p w14:paraId="33D6E2C0">
                  <w:pPr>
                    <w:pStyle w:val="54"/>
                    <w:rPr>
                      <w:color w:val="auto"/>
                    </w:rPr>
                  </w:pPr>
                  <w:r>
                    <w:rPr>
                      <w:rFonts w:hint="eastAsia"/>
                      <w:color w:val="auto"/>
                    </w:rPr>
                    <w:t>相符</w:t>
                  </w:r>
                </w:p>
              </w:tc>
            </w:tr>
            <w:tr w14:paraId="46C3D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7" w:type="dxa"/>
                  <w:vAlign w:val="center"/>
                </w:tcPr>
                <w:p w14:paraId="04C57A1E">
                  <w:pPr>
                    <w:pStyle w:val="54"/>
                    <w:rPr>
                      <w:color w:val="auto"/>
                    </w:rPr>
                  </w:pPr>
                  <w:r>
                    <w:rPr>
                      <w:rFonts w:hint="eastAsia"/>
                      <w:color w:val="auto"/>
                    </w:rPr>
                    <w:t>板材加工、木制品</w:t>
                  </w:r>
                </w:p>
              </w:tc>
              <w:tc>
                <w:tcPr>
                  <w:tcW w:w="3500" w:type="dxa"/>
                  <w:gridSpan w:val="2"/>
                  <w:vAlign w:val="center"/>
                </w:tcPr>
                <w:p w14:paraId="1F02429A">
                  <w:pPr>
                    <w:pStyle w:val="54"/>
                    <w:jc w:val="both"/>
                    <w:rPr>
                      <w:color w:val="auto"/>
                    </w:rPr>
                  </w:pPr>
                  <w:r>
                    <w:rPr>
                      <w:rFonts w:hint="eastAsia"/>
                      <w:color w:val="auto"/>
                    </w:rPr>
                    <w:t>不符合相关行业准入条件的项目，不符合</w:t>
                  </w:r>
                  <w:r>
                    <w:rPr>
                      <w:color w:val="auto"/>
                    </w:rPr>
                    <w:t>“</w:t>
                  </w:r>
                  <w:r>
                    <w:rPr>
                      <w:rFonts w:hint="eastAsia"/>
                      <w:color w:val="auto"/>
                    </w:rPr>
                    <w:t>两减六治三提升</w:t>
                  </w:r>
                  <w:r>
                    <w:rPr>
                      <w:color w:val="auto"/>
                    </w:rPr>
                    <w:t>”</w:t>
                  </w:r>
                  <w:r>
                    <w:rPr>
                      <w:rFonts w:hint="eastAsia"/>
                      <w:color w:val="auto"/>
                    </w:rPr>
                    <w:t>环保专项行动方案中使用低</w:t>
                  </w:r>
                  <w:r>
                    <w:rPr>
                      <w:color w:val="auto"/>
                    </w:rPr>
                    <w:t>VOCs</w:t>
                  </w:r>
                  <w:r>
                    <w:rPr>
                      <w:rFonts w:hint="eastAsia"/>
                      <w:color w:val="auto"/>
                    </w:rPr>
                    <w:t>含量的涂料、胶黏剂的企业。</w:t>
                  </w:r>
                </w:p>
              </w:tc>
              <w:tc>
                <w:tcPr>
                  <w:tcW w:w="3173" w:type="dxa"/>
                  <w:vAlign w:val="center"/>
                </w:tcPr>
                <w:p w14:paraId="069915B1">
                  <w:pPr>
                    <w:pStyle w:val="54"/>
                    <w:jc w:val="both"/>
                    <w:rPr>
                      <w:color w:val="auto"/>
                    </w:rPr>
                  </w:pPr>
                  <w:r>
                    <w:rPr>
                      <w:rFonts w:hint="eastAsia"/>
                      <w:color w:val="auto"/>
                    </w:rPr>
                    <w:t>本扩建项目不属于板材加工、木制品行业，且不涉及使用涂料、胶黏剂。</w:t>
                  </w:r>
                </w:p>
              </w:tc>
              <w:tc>
                <w:tcPr>
                  <w:tcW w:w="651" w:type="dxa"/>
                  <w:vAlign w:val="center"/>
                </w:tcPr>
                <w:p w14:paraId="041F1730">
                  <w:pPr>
                    <w:pStyle w:val="54"/>
                    <w:rPr>
                      <w:color w:val="auto"/>
                    </w:rPr>
                  </w:pPr>
                  <w:r>
                    <w:rPr>
                      <w:rFonts w:hint="eastAsia"/>
                      <w:color w:val="auto"/>
                    </w:rPr>
                    <w:t>相符</w:t>
                  </w:r>
                </w:p>
              </w:tc>
            </w:tr>
            <w:tr w14:paraId="6A08C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7" w:type="dxa"/>
                  <w:vAlign w:val="center"/>
                </w:tcPr>
                <w:p w14:paraId="01C4772D">
                  <w:pPr>
                    <w:pStyle w:val="54"/>
                    <w:rPr>
                      <w:color w:val="auto"/>
                    </w:rPr>
                  </w:pPr>
                  <w:r>
                    <w:rPr>
                      <w:rFonts w:hint="eastAsia"/>
                      <w:color w:val="auto"/>
                    </w:rPr>
                    <w:t>服装纺织</w:t>
                  </w:r>
                </w:p>
              </w:tc>
              <w:tc>
                <w:tcPr>
                  <w:tcW w:w="3500" w:type="dxa"/>
                  <w:gridSpan w:val="2"/>
                  <w:vAlign w:val="center"/>
                </w:tcPr>
                <w:p w14:paraId="6ACB697F">
                  <w:pPr>
                    <w:pStyle w:val="54"/>
                    <w:jc w:val="both"/>
                    <w:rPr>
                      <w:color w:val="auto"/>
                    </w:rPr>
                  </w:pPr>
                  <w:r>
                    <w:rPr>
                      <w:rFonts w:hint="eastAsia"/>
                      <w:color w:val="auto"/>
                    </w:rPr>
                    <w:t>涉及印染、后整理、制革等工序的。</w:t>
                  </w:r>
                </w:p>
              </w:tc>
              <w:tc>
                <w:tcPr>
                  <w:tcW w:w="3173" w:type="dxa"/>
                  <w:vAlign w:val="center"/>
                </w:tcPr>
                <w:p w14:paraId="0E92FDBF">
                  <w:pPr>
                    <w:pStyle w:val="54"/>
                    <w:jc w:val="both"/>
                    <w:rPr>
                      <w:color w:val="auto"/>
                    </w:rPr>
                  </w:pPr>
                  <w:r>
                    <w:rPr>
                      <w:rFonts w:hint="eastAsia"/>
                      <w:color w:val="auto"/>
                    </w:rPr>
                    <w:t>本扩建项目不属于服装纺织行业，且不涉及印染、后整理、制革工序。</w:t>
                  </w:r>
                </w:p>
              </w:tc>
              <w:tc>
                <w:tcPr>
                  <w:tcW w:w="651" w:type="dxa"/>
                  <w:vAlign w:val="center"/>
                </w:tcPr>
                <w:p w14:paraId="41DAAA14">
                  <w:pPr>
                    <w:pStyle w:val="54"/>
                    <w:rPr>
                      <w:color w:val="auto"/>
                    </w:rPr>
                  </w:pPr>
                  <w:r>
                    <w:rPr>
                      <w:rFonts w:hint="eastAsia"/>
                      <w:color w:val="auto"/>
                    </w:rPr>
                    <w:t>相符</w:t>
                  </w:r>
                </w:p>
              </w:tc>
            </w:tr>
            <w:tr w14:paraId="50295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7" w:type="dxa"/>
                  <w:vAlign w:val="center"/>
                </w:tcPr>
                <w:p w14:paraId="480424B1">
                  <w:pPr>
                    <w:pStyle w:val="54"/>
                    <w:rPr>
                      <w:color w:val="auto"/>
                    </w:rPr>
                  </w:pPr>
                  <w:r>
                    <w:rPr>
                      <w:rFonts w:hint="eastAsia"/>
                      <w:color w:val="auto"/>
                    </w:rPr>
                    <w:t>机械电子</w:t>
                  </w:r>
                </w:p>
              </w:tc>
              <w:tc>
                <w:tcPr>
                  <w:tcW w:w="3500" w:type="dxa"/>
                  <w:gridSpan w:val="2"/>
                  <w:vAlign w:val="center"/>
                </w:tcPr>
                <w:p w14:paraId="58B68660">
                  <w:pPr>
                    <w:pStyle w:val="54"/>
                    <w:jc w:val="both"/>
                    <w:rPr>
                      <w:color w:val="auto"/>
                    </w:rPr>
                  </w:pPr>
                  <w:r>
                    <w:rPr>
                      <w:rFonts w:hint="eastAsia"/>
                      <w:color w:val="auto"/>
                    </w:rPr>
                    <w:t>不符合</w:t>
                  </w:r>
                  <w:r>
                    <w:rPr>
                      <w:color w:val="auto"/>
                    </w:rPr>
                    <w:t>“</w:t>
                  </w:r>
                  <w:r>
                    <w:rPr>
                      <w:rFonts w:hint="eastAsia"/>
                      <w:color w:val="auto"/>
                    </w:rPr>
                    <w:t>两减六治三提升</w:t>
                  </w:r>
                  <w:r>
                    <w:rPr>
                      <w:color w:val="auto"/>
                    </w:rPr>
                    <w:t>”</w:t>
                  </w:r>
                  <w:r>
                    <w:rPr>
                      <w:rFonts w:hint="eastAsia"/>
                      <w:color w:val="auto"/>
                    </w:rPr>
                    <w:t>环保专项行动方案中使用低</w:t>
                  </w:r>
                  <w:r>
                    <w:rPr>
                      <w:color w:val="auto"/>
                    </w:rPr>
                    <w:t>VOCs</w:t>
                  </w:r>
                  <w:r>
                    <w:rPr>
                      <w:rFonts w:hint="eastAsia"/>
                      <w:color w:val="auto"/>
                    </w:rPr>
                    <w:t>含量的油漆企业，设备和工艺属于国家和省级产业政策中的限制类和淘汰类。</w:t>
                  </w:r>
                </w:p>
              </w:tc>
              <w:tc>
                <w:tcPr>
                  <w:tcW w:w="3173" w:type="dxa"/>
                  <w:vAlign w:val="center"/>
                </w:tcPr>
                <w:p w14:paraId="2D4B11B8">
                  <w:pPr>
                    <w:pStyle w:val="54"/>
                    <w:jc w:val="both"/>
                    <w:rPr>
                      <w:color w:val="auto"/>
                    </w:rPr>
                  </w:pPr>
                  <w:r>
                    <w:rPr>
                      <w:rFonts w:hint="eastAsia"/>
                      <w:color w:val="auto"/>
                    </w:rPr>
                    <w:t>本扩建项目未使用油漆，生产设备和工艺均不属于限制类和淘汰类。</w:t>
                  </w:r>
                </w:p>
              </w:tc>
              <w:tc>
                <w:tcPr>
                  <w:tcW w:w="651" w:type="dxa"/>
                  <w:vAlign w:val="center"/>
                </w:tcPr>
                <w:p w14:paraId="5D02A7EF">
                  <w:pPr>
                    <w:pStyle w:val="54"/>
                    <w:rPr>
                      <w:color w:val="auto"/>
                    </w:rPr>
                  </w:pPr>
                  <w:r>
                    <w:rPr>
                      <w:rFonts w:hint="eastAsia"/>
                      <w:color w:val="auto"/>
                    </w:rPr>
                    <w:t>相符</w:t>
                  </w:r>
                </w:p>
              </w:tc>
            </w:tr>
            <w:tr w14:paraId="1E568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7" w:type="dxa"/>
                  <w:vAlign w:val="center"/>
                </w:tcPr>
                <w:p w14:paraId="5A65AABD">
                  <w:pPr>
                    <w:pStyle w:val="54"/>
                    <w:rPr>
                      <w:color w:val="auto"/>
                    </w:rPr>
                  </w:pPr>
                  <w:r>
                    <w:rPr>
                      <w:rFonts w:hint="eastAsia"/>
                      <w:color w:val="auto"/>
                    </w:rPr>
                    <w:t>其他要求</w:t>
                  </w:r>
                </w:p>
              </w:tc>
              <w:tc>
                <w:tcPr>
                  <w:tcW w:w="3500" w:type="dxa"/>
                  <w:gridSpan w:val="2"/>
                  <w:vAlign w:val="center"/>
                </w:tcPr>
                <w:p w14:paraId="7655F419">
                  <w:pPr>
                    <w:pStyle w:val="54"/>
                    <w:jc w:val="both"/>
                    <w:rPr>
                      <w:color w:val="auto"/>
                    </w:rPr>
                  </w:pPr>
                  <w:r>
                    <w:rPr>
                      <w:rFonts w:hint="eastAsia"/>
                      <w:color w:val="auto"/>
                    </w:rPr>
                    <w:t>纯电镀、酸洗、化工等污染严重的企业；废气、废水排放量大、高风险型企业；排放汞、铬、镉、铅、砷五类重金属污染物工业废水或废气的企业；产生或排放</w:t>
                  </w:r>
                  <w:r>
                    <w:rPr>
                      <w:color w:val="auto"/>
                    </w:rPr>
                    <w:t>“</w:t>
                  </w:r>
                  <w:r>
                    <w:rPr>
                      <w:rFonts w:hint="eastAsia"/>
                      <w:color w:val="auto"/>
                    </w:rPr>
                    <w:t>三致</w:t>
                  </w:r>
                  <w:r>
                    <w:rPr>
                      <w:color w:val="auto"/>
                    </w:rPr>
                    <w:t>”</w:t>
                  </w:r>
                  <w:r>
                    <w:rPr>
                      <w:rFonts w:hint="eastAsia"/>
                      <w:color w:val="auto"/>
                    </w:rPr>
                    <w:t>物质、重金属气体及放射性物质等污染物的项目；不符合经济规模要求，经济效益差，污染严重的</w:t>
                  </w:r>
                  <w:r>
                    <w:rPr>
                      <w:color w:val="auto"/>
                    </w:rPr>
                    <w:t>“</w:t>
                  </w:r>
                  <w:r>
                    <w:rPr>
                      <w:rFonts w:hint="eastAsia"/>
                      <w:color w:val="auto"/>
                    </w:rPr>
                    <w:t>十五小</w:t>
                  </w:r>
                  <w:r>
                    <w:rPr>
                      <w:color w:val="auto"/>
                    </w:rPr>
                    <w:t>”</w:t>
                  </w:r>
                  <w:r>
                    <w:rPr>
                      <w:rFonts w:hint="eastAsia"/>
                      <w:color w:val="auto"/>
                    </w:rPr>
                    <w:t>及</w:t>
                  </w:r>
                  <w:r>
                    <w:rPr>
                      <w:color w:val="auto"/>
                    </w:rPr>
                    <w:t>“</w:t>
                  </w:r>
                  <w:r>
                    <w:rPr>
                      <w:rFonts w:hint="eastAsia"/>
                      <w:color w:val="auto"/>
                    </w:rPr>
                    <w:t>新五小</w:t>
                  </w:r>
                  <w:r>
                    <w:rPr>
                      <w:color w:val="auto"/>
                    </w:rPr>
                    <w:t>”</w:t>
                  </w:r>
                  <w:r>
                    <w:rPr>
                      <w:rFonts w:hint="eastAsia"/>
                      <w:color w:val="auto"/>
                    </w:rPr>
                    <w:t>等小企业；其它各类不符合集中区定位或不符合国家产业政策的工艺、设备及产品。</w:t>
                  </w:r>
                </w:p>
              </w:tc>
              <w:tc>
                <w:tcPr>
                  <w:tcW w:w="3173" w:type="dxa"/>
                  <w:vAlign w:val="center"/>
                </w:tcPr>
                <w:p w14:paraId="7861B018">
                  <w:pPr>
                    <w:pStyle w:val="54"/>
                    <w:jc w:val="both"/>
                    <w:rPr>
                      <w:color w:val="auto"/>
                    </w:rPr>
                  </w:pPr>
                  <w:r>
                    <w:rPr>
                      <w:rFonts w:hint="eastAsia"/>
                      <w:color w:val="auto"/>
                    </w:rPr>
                    <w:t>本扩建项目不属于所列禁止行业。</w:t>
                  </w:r>
                </w:p>
              </w:tc>
              <w:tc>
                <w:tcPr>
                  <w:tcW w:w="651" w:type="dxa"/>
                  <w:vAlign w:val="center"/>
                </w:tcPr>
                <w:p w14:paraId="6EBAAE23">
                  <w:pPr>
                    <w:pStyle w:val="54"/>
                    <w:rPr>
                      <w:color w:val="auto"/>
                    </w:rPr>
                  </w:pPr>
                  <w:r>
                    <w:rPr>
                      <w:rFonts w:hint="eastAsia"/>
                      <w:color w:val="auto"/>
                    </w:rPr>
                    <w:t>相符</w:t>
                  </w:r>
                </w:p>
              </w:tc>
            </w:tr>
            <w:tr w14:paraId="24C0A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21" w:type="dxa"/>
                  <w:gridSpan w:val="5"/>
                  <w:vAlign w:val="center"/>
                </w:tcPr>
                <w:p w14:paraId="73C51B8C">
                  <w:pPr>
                    <w:pStyle w:val="52"/>
                    <w:rPr>
                      <w:color w:val="auto"/>
                    </w:rPr>
                  </w:pPr>
                  <w:r>
                    <w:rPr>
                      <w:rFonts w:hint="eastAsia"/>
                      <w:color w:val="auto"/>
                    </w:rPr>
                    <w:t>禁止准入负面清单</w:t>
                  </w:r>
                </w:p>
              </w:tc>
            </w:tr>
            <w:tr w14:paraId="17C80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7" w:type="dxa"/>
                  <w:vMerge w:val="restart"/>
                  <w:vAlign w:val="center"/>
                </w:tcPr>
                <w:p w14:paraId="45C29E28">
                  <w:pPr>
                    <w:pStyle w:val="54"/>
                    <w:rPr>
                      <w:color w:val="auto"/>
                    </w:rPr>
                  </w:pPr>
                  <w:r>
                    <w:rPr>
                      <w:rFonts w:hint="eastAsia"/>
                      <w:color w:val="auto"/>
                    </w:rPr>
                    <w:t>行业准入限制</w:t>
                  </w:r>
                </w:p>
              </w:tc>
              <w:tc>
                <w:tcPr>
                  <w:tcW w:w="332" w:type="dxa"/>
                  <w:vMerge w:val="restart"/>
                  <w:vAlign w:val="center"/>
                </w:tcPr>
                <w:p w14:paraId="6AE164EF">
                  <w:pPr>
                    <w:pStyle w:val="54"/>
                    <w:rPr>
                      <w:color w:val="auto"/>
                    </w:rPr>
                  </w:pPr>
                  <w:r>
                    <w:rPr>
                      <w:rFonts w:hint="eastAsia"/>
                      <w:color w:val="auto"/>
                    </w:rPr>
                    <w:t>禁止行业类</w:t>
                  </w:r>
                </w:p>
              </w:tc>
              <w:tc>
                <w:tcPr>
                  <w:tcW w:w="3168" w:type="dxa"/>
                  <w:vAlign w:val="center"/>
                </w:tcPr>
                <w:p w14:paraId="5A46F307">
                  <w:pPr>
                    <w:pStyle w:val="54"/>
                    <w:jc w:val="both"/>
                    <w:rPr>
                      <w:color w:val="auto"/>
                    </w:rPr>
                  </w:pPr>
                  <w:r>
                    <w:rPr>
                      <w:rFonts w:hint="eastAsia"/>
                      <w:color w:val="auto"/>
                    </w:rPr>
                    <w:t>禁止引入排放铅、镉、铬、汞、砷等有毒有害重金属的项目，如金属表面处理及热处理加工业、铅蓄电池制造业、电子元器件制造业、重有色金属冶炼等</w:t>
                  </w:r>
                  <w:r>
                    <w:rPr>
                      <w:color w:val="auto"/>
                    </w:rPr>
                    <w:t>“</w:t>
                  </w:r>
                  <w:r>
                    <w:rPr>
                      <w:rFonts w:hint="eastAsia"/>
                      <w:color w:val="auto"/>
                    </w:rPr>
                    <w:t>涉重行业</w:t>
                  </w:r>
                  <w:r>
                    <w:rPr>
                      <w:color w:val="auto"/>
                    </w:rPr>
                    <w:t>”</w:t>
                  </w:r>
                  <w:r>
                    <w:rPr>
                      <w:rFonts w:hint="eastAsia"/>
                      <w:color w:val="auto"/>
                    </w:rPr>
                    <w:t>。</w:t>
                  </w:r>
                </w:p>
              </w:tc>
              <w:tc>
                <w:tcPr>
                  <w:tcW w:w="3173" w:type="dxa"/>
                  <w:vAlign w:val="center"/>
                </w:tcPr>
                <w:p w14:paraId="259B7EF2">
                  <w:pPr>
                    <w:pStyle w:val="54"/>
                    <w:jc w:val="both"/>
                    <w:rPr>
                      <w:color w:val="auto"/>
                    </w:rPr>
                  </w:pPr>
                  <w:r>
                    <w:rPr>
                      <w:rFonts w:hint="eastAsia"/>
                      <w:color w:val="auto"/>
                    </w:rPr>
                    <w:t>本扩建项目不属于涉重行业，不涉及排放有毒有害重金属。</w:t>
                  </w:r>
                </w:p>
              </w:tc>
              <w:tc>
                <w:tcPr>
                  <w:tcW w:w="651" w:type="dxa"/>
                  <w:vAlign w:val="center"/>
                </w:tcPr>
                <w:p w14:paraId="4757F632">
                  <w:pPr>
                    <w:pStyle w:val="54"/>
                    <w:rPr>
                      <w:color w:val="auto"/>
                    </w:rPr>
                  </w:pPr>
                  <w:r>
                    <w:rPr>
                      <w:rFonts w:hint="eastAsia"/>
                      <w:color w:val="auto"/>
                    </w:rPr>
                    <w:t>相符</w:t>
                  </w:r>
                </w:p>
              </w:tc>
            </w:tr>
            <w:tr w14:paraId="645F6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7" w:type="dxa"/>
                  <w:vMerge w:val="continue"/>
                  <w:vAlign w:val="center"/>
                </w:tcPr>
                <w:p w14:paraId="06C7BA97">
                  <w:pPr>
                    <w:pStyle w:val="54"/>
                    <w:rPr>
                      <w:color w:val="auto"/>
                    </w:rPr>
                  </w:pPr>
                </w:p>
              </w:tc>
              <w:tc>
                <w:tcPr>
                  <w:tcW w:w="332" w:type="dxa"/>
                  <w:vMerge w:val="continue"/>
                  <w:vAlign w:val="center"/>
                </w:tcPr>
                <w:p w14:paraId="004765B7">
                  <w:pPr>
                    <w:pStyle w:val="54"/>
                    <w:rPr>
                      <w:color w:val="auto"/>
                    </w:rPr>
                  </w:pPr>
                </w:p>
              </w:tc>
              <w:tc>
                <w:tcPr>
                  <w:tcW w:w="3168" w:type="dxa"/>
                  <w:vAlign w:val="center"/>
                </w:tcPr>
                <w:p w14:paraId="727B517E">
                  <w:pPr>
                    <w:pStyle w:val="54"/>
                    <w:jc w:val="both"/>
                    <w:rPr>
                      <w:color w:val="auto"/>
                    </w:rPr>
                  </w:pPr>
                  <w:r>
                    <w:rPr>
                      <w:rFonts w:hint="eastAsia"/>
                      <w:color w:val="auto"/>
                    </w:rPr>
                    <w:t>禁止引入废旧资源回收再加工项目，特别是废电子、废电瓶、废电气产品、废塑料、汽车拆解。</w:t>
                  </w:r>
                </w:p>
              </w:tc>
              <w:tc>
                <w:tcPr>
                  <w:tcW w:w="3173" w:type="dxa"/>
                  <w:vAlign w:val="center"/>
                </w:tcPr>
                <w:p w14:paraId="2765872D">
                  <w:pPr>
                    <w:pStyle w:val="54"/>
                    <w:jc w:val="both"/>
                    <w:rPr>
                      <w:color w:val="auto"/>
                    </w:rPr>
                  </w:pPr>
                  <w:r>
                    <w:rPr>
                      <w:rFonts w:hint="eastAsia"/>
                      <w:color w:val="auto"/>
                    </w:rPr>
                    <w:t>本扩建项目不属于废旧资源回收再加工项目。</w:t>
                  </w:r>
                </w:p>
              </w:tc>
              <w:tc>
                <w:tcPr>
                  <w:tcW w:w="651" w:type="dxa"/>
                  <w:vAlign w:val="center"/>
                </w:tcPr>
                <w:p w14:paraId="1276C620">
                  <w:pPr>
                    <w:pStyle w:val="54"/>
                    <w:rPr>
                      <w:color w:val="auto"/>
                    </w:rPr>
                  </w:pPr>
                  <w:r>
                    <w:rPr>
                      <w:rFonts w:hint="eastAsia"/>
                      <w:color w:val="auto"/>
                    </w:rPr>
                    <w:t>相符</w:t>
                  </w:r>
                </w:p>
              </w:tc>
            </w:tr>
            <w:tr w14:paraId="55CD9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7" w:type="dxa"/>
                  <w:vMerge w:val="continue"/>
                  <w:vAlign w:val="center"/>
                </w:tcPr>
                <w:p w14:paraId="070E79CA">
                  <w:pPr>
                    <w:pStyle w:val="54"/>
                    <w:rPr>
                      <w:color w:val="auto"/>
                    </w:rPr>
                  </w:pPr>
                </w:p>
              </w:tc>
              <w:tc>
                <w:tcPr>
                  <w:tcW w:w="332" w:type="dxa"/>
                  <w:vMerge w:val="continue"/>
                  <w:vAlign w:val="center"/>
                </w:tcPr>
                <w:p w14:paraId="7A250E36">
                  <w:pPr>
                    <w:pStyle w:val="54"/>
                    <w:rPr>
                      <w:color w:val="auto"/>
                    </w:rPr>
                  </w:pPr>
                </w:p>
              </w:tc>
              <w:tc>
                <w:tcPr>
                  <w:tcW w:w="3168" w:type="dxa"/>
                  <w:vAlign w:val="center"/>
                </w:tcPr>
                <w:p w14:paraId="433CC3DF">
                  <w:pPr>
                    <w:pStyle w:val="54"/>
                    <w:jc w:val="both"/>
                    <w:rPr>
                      <w:color w:val="auto"/>
                    </w:rPr>
                  </w:pPr>
                  <w:r>
                    <w:rPr>
                      <w:rFonts w:hint="eastAsia"/>
                      <w:color w:val="auto"/>
                    </w:rPr>
                    <w:t>禁止引进采用列入《环境保护名录》（</w:t>
                  </w:r>
                  <w:r>
                    <w:rPr>
                      <w:color w:val="auto"/>
                    </w:rPr>
                    <w:t>2015</w:t>
                  </w:r>
                  <w:r>
                    <w:rPr>
                      <w:rFonts w:hint="eastAsia"/>
                      <w:color w:val="auto"/>
                    </w:rPr>
                    <w:t>年版）重污染类项目。</w:t>
                  </w:r>
                </w:p>
              </w:tc>
              <w:tc>
                <w:tcPr>
                  <w:tcW w:w="3173" w:type="dxa"/>
                  <w:vAlign w:val="center"/>
                </w:tcPr>
                <w:p w14:paraId="164D114B">
                  <w:pPr>
                    <w:pStyle w:val="54"/>
                    <w:jc w:val="both"/>
                    <w:rPr>
                      <w:color w:val="auto"/>
                    </w:rPr>
                  </w:pPr>
                  <w:r>
                    <w:rPr>
                      <w:rFonts w:hint="eastAsia"/>
                      <w:color w:val="auto"/>
                    </w:rPr>
                    <w:t>本扩建项目不属于《环境保护综合名录》（</w:t>
                  </w:r>
                  <w:r>
                    <w:rPr>
                      <w:color w:val="auto"/>
                    </w:rPr>
                    <w:t>20</w:t>
                  </w:r>
                  <w:r>
                    <w:rPr>
                      <w:rFonts w:hint="eastAsia"/>
                      <w:color w:val="auto"/>
                    </w:rPr>
                    <w:t>21年版）中重污染类项目。</w:t>
                  </w:r>
                </w:p>
              </w:tc>
              <w:tc>
                <w:tcPr>
                  <w:tcW w:w="651" w:type="dxa"/>
                  <w:vAlign w:val="center"/>
                </w:tcPr>
                <w:p w14:paraId="1A382E54">
                  <w:pPr>
                    <w:pStyle w:val="54"/>
                    <w:rPr>
                      <w:color w:val="auto"/>
                    </w:rPr>
                  </w:pPr>
                  <w:r>
                    <w:rPr>
                      <w:rFonts w:hint="eastAsia"/>
                      <w:color w:val="auto"/>
                    </w:rPr>
                    <w:t>相符</w:t>
                  </w:r>
                </w:p>
              </w:tc>
            </w:tr>
            <w:tr w14:paraId="26DE5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7" w:type="dxa"/>
                  <w:vMerge w:val="continue"/>
                  <w:vAlign w:val="center"/>
                </w:tcPr>
                <w:p w14:paraId="0363D72E">
                  <w:pPr>
                    <w:pStyle w:val="54"/>
                    <w:rPr>
                      <w:color w:val="auto"/>
                    </w:rPr>
                  </w:pPr>
                </w:p>
              </w:tc>
              <w:tc>
                <w:tcPr>
                  <w:tcW w:w="332" w:type="dxa"/>
                  <w:vMerge w:val="continue"/>
                  <w:vAlign w:val="center"/>
                </w:tcPr>
                <w:p w14:paraId="02E02A4B">
                  <w:pPr>
                    <w:pStyle w:val="54"/>
                    <w:rPr>
                      <w:color w:val="auto"/>
                    </w:rPr>
                  </w:pPr>
                </w:p>
              </w:tc>
              <w:tc>
                <w:tcPr>
                  <w:tcW w:w="3168" w:type="dxa"/>
                  <w:vAlign w:val="center"/>
                </w:tcPr>
                <w:p w14:paraId="67E0F7DD">
                  <w:pPr>
                    <w:pStyle w:val="54"/>
                    <w:jc w:val="both"/>
                    <w:rPr>
                      <w:color w:val="auto"/>
                    </w:rPr>
                  </w:pPr>
                  <w:r>
                    <w:rPr>
                      <w:rFonts w:hint="eastAsia"/>
                      <w:color w:val="auto"/>
                    </w:rPr>
                    <w:t>禁止引入化工、染料、农药、印染、酿造、造纸、电石、铁合金、焦炭、制革、电镀、垃圾焚烧等对环境污染严重的项目。</w:t>
                  </w:r>
                </w:p>
              </w:tc>
              <w:tc>
                <w:tcPr>
                  <w:tcW w:w="3173" w:type="dxa"/>
                  <w:vAlign w:val="center"/>
                </w:tcPr>
                <w:p w14:paraId="4C7B09A6">
                  <w:pPr>
                    <w:pStyle w:val="54"/>
                    <w:jc w:val="both"/>
                    <w:rPr>
                      <w:color w:val="auto"/>
                    </w:rPr>
                  </w:pPr>
                  <w:r>
                    <w:rPr>
                      <w:rFonts w:hint="eastAsia"/>
                      <w:color w:val="auto"/>
                    </w:rPr>
                    <w:t>本扩建项目不属于对环境污染严重的项目。</w:t>
                  </w:r>
                </w:p>
              </w:tc>
              <w:tc>
                <w:tcPr>
                  <w:tcW w:w="651" w:type="dxa"/>
                  <w:vAlign w:val="center"/>
                </w:tcPr>
                <w:p w14:paraId="360FA192">
                  <w:pPr>
                    <w:pStyle w:val="54"/>
                    <w:rPr>
                      <w:color w:val="auto"/>
                    </w:rPr>
                  </w:pPr>
                  <w:r>
                    <w:rPr>
                      <w:rFonts w:hint="eastAsia"/>
                      <w:color w:val="auto"/>
                    </w:rPr>
                    <w:t>相符</w:t>
                  </w:r>
                </w:p>
              </w:tc>
            </w:tr>
            <w:tr w14:paraId="3CFCC9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7" w:type="dxa"/>
                  <w:vMerge w:val="continue"/>
                  <w:vAlign w:val="center"/>
                </w:tcPr>
                <w:p w14:paraId="71905334">
                  <w:pPr>
                    <w:pStyle w:val="54"/>
                    <w:rPr>
                      <w:color w:val="auto"/>
                    </w:rPr>
                  </w:pPr>
                </w:p>
              </w:tc>
              <w:tc>
                <w:tcPr>
                  <w:tcW w:w="332" w:type="dxa"/>
                  <w:vMerge w:val="continue"/>
                  <w:vAlign w:val="center"/>
                </w:tcPr>
                <w:p w14:paraId="17107791">
                  <w:pPr>
                    <w:pStyle w:val="54"/>
                    <w:rPr>
                      <w:color w:val="auto"/>
                    </w:rPr>
                  </w:pPr>
                </w:p>
              </w:tc>
              <w:tc>
                <w:tcPr>
                  <w:tcW w:w="3168" w:type="dxa"/>
                  <w:vAlign w:val="center"/>
                </w:tcPr>
                <w:p w14:paraId="68951CF4">
                  <w:pPr>
                    <w:pStyle w:val="54"/>
                    <w:jc w:val="both"/>
                    <w:rPr>
                      <w:color w:val="auto"/>
                    </w:rPr>
                  </w:pPr>
                  <w:r>
                    <w:rPr>
                      <w:rFonts w:hint="eastAsia"/>
                      <w:color w:val="auto"/>
                    </w:rPr>
                    <w:t>禁止引入排放氨、硫化氢等恶臭气体和一氧化碳、氯气、氟化氢、硝基苯等无机、有机有毒有害气体的项目。</w:t>
                  </w:r>
                </w:p>
              </w:tc>
              <w:tc>
                <w:tcPr>
                  <w:tcW w:w="3173" w:type="dxa"/>
                  <w:vAlign w:val="center"/>
                </w:tcPr>
                <w:p w14:paraId="3E32ABC5">
                  <w:pPr>
                    <w:pStyle w:val="54"/>
                    <w:jc w:val="both"/>
                    <w:rPr>
                      <w:color w:val="auto"/>
                    </w:rPr>
                  </w:pPr>
                  <w:r>
                    <w:rPr>
                      <w:rFonts w:hint="eastAsia"/>
                      <w:color w:val="auto"/>
                    </w:rPr>
                    <w:t>本扩建项目不涉及排放恶臭气体、无机、有机有毒有害气体。</w:t>
                  </w:r>
                </w:p>
              </w:tc>
              <w:tc>
                <w:tcPr>
                  <w:tcW w:w="651" w:type="dxa"/>
                  <w:vAlign w:val="center"/>
                </w:tcPr>
                <w:p w14:paraId="41B4A166">
                  <w:pPr>
                    <w:pStyle w:val="54"/>
                    <w:rPr>
                      <w:color w:val="auto"/>
                    </w:rPr>
                  </w:pPr>
                  <w:r>
                    <w:rPr>
                      <w:rFonts w:hint="eastAsia"/>
                      <w:color w:val="auto"/>
                    </w:rPr>
                    <w:t>相符</w:t>
                  </w:r>
                </w:p>
              </w:tc>
            </w:tr>
            <w:tr w14:paraId="4E0F3D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7" w:type="dxa"/>
                  <w:vMerge w:val="continue"/>
                  <w:vAlign w:val="center"/>
                </w:tcPr>
                <w:p w14:paraId="2C16337B">
                  <w:pPr>
                    <w:pStyle w:val="54"/>
                    <w:rPr>
                      <w:color w:val="auto"/>
                    </w:rPr>
                  </w:pPr>
                </w:p>
              </w:tc>
              <w:tc>
                <w:tcPr>
                  <w:tcW w:w="332" w:type="dxa"/>
                  <w:vMerge w:val="continue"/>
                  <w:vAlign w:val="center"/>
                </w:tcPr>
                <w:p w14:paraId="32A50C81">
                  <w:pPr>
                    <w:pStyle w:val="54"/>
                    <w:rPr>
                      <w:color w:val="auto"/>
                    </w:rPr>
                  </w:pPr>
                </w:p>
              </w:tc>
              <w:tc>
                <w:tcPr>
                  <w:tcW w:w="3168" w:type="dxa"/>
                  <w:vAlign w:val="center"/>
                </w:tcPr>
                <w:p w14:paraId="7635E05D">
                  <w:pPr>
                    <w:pStyle w:val="54"/>
                    <w:jc w:val="both"/>
                    <w:rPr>
                      <w:color w:val="auto"/>
                    </w:rPr>
                  </w:pPr>
                  <w:r>
                    <w:rPr>
                      <w:rFonts w:hint="eastAsia"/>
                      <w:color w:val="auto"/>
                    </w:rPr>
                    <w:t>禁止生产、使用及排放含氰化物、多氯联苯、多溴联苯等致癌、致畸、致突变的高毒物质项目。</w:t>
                  </w:r>
                </w:p>
              </w:tc>
              <w:tc>
                <w:tcPr>
                  <w:tcW w:w="3173" w:type="dxa"/>
                  <w:vAlign w:val="center"/>
                </w:tcPr>
                <w:p w14:paraId="0445DA60">
                  <w:pPr>
                    <w:pStyle w:val="54"/>
                    <w:jc w:val="both"/>
                    <w:rPr>
                      <w:color w:val="auto"/>
                    </w:rPr>
                  </w:pPr>
                  <w:r>
                    <w:rPr>
                      <w:rFonts w:hint="eastAsia"/>
                      <w:color w:val="auto"/>
                    </w:rPr>
                    <w:t>本扩建项目不涉及生产、使用及排放致癌、致畸、致突变的高</w:t>
                  </w:r>
                  <w:r>
                    <w:rPr>
                      <w:rFonts w:hint="eastAsia"/>
                      <w:color w:val="auto"/>
                      <w:lang w:eastAsia="zh-CN"/>
                    </w:rPr>
                    <w:t>毒</w:t>
                  </w:r>
                  <w:r>
                    <w:rPr>
                      <w:rFonts w:hint="eastAsia"/>
                      <w:color w:val="auto"/>
                    </w:rPr>
                    <w:t>物质。</w:t>
                  </w:r>
                </w:p>
              </w:tc>
              <w:tc>
                <w:tcPr>
                  <w:tcW w:w="651" w:type="dxa"/>
                  <w:vAlign w:val="center"/>
                </w:tcPr>
                <w:p w14:paraId="716C688F">
                  <w:pPr>
                    <w:pStyle w:val="54"/>
                    <w:rPr>
                      <w:color w:val="auto"/>
                    </w:rPr>
                  </w:pPr>
                  <w:r>
                    <w:rPr>
                      <w:rFonts w:hint="eastAsia"/>
                      <w:color w:val="auto"/>
                    </w:rPr>
                    <w:t>相符</w:t>
                  </w:r>
                </w:p>
              </w:tc>
            </w:tr>
            <w:tr w14:paraId="05555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7" w:type="dxa"/>
                  <w:vMerge w:val="restart"/>
                  <w:vAlign w:val="center"/>
                </w:tcPr>
                <w:p w14:paraId="1ACB7279">
                  <w:pPr>
                    <w:pStyle w:val="54"/>
                    <w:rPr>
                      <w:color w:val="auto"/>
                    </w:rPr>
                  </w:pPr>
                  <w:r>
                    <w:rPr>
                      <w:rFonts w:hint="eastAsia"/>
                      <w:color w:val="auto"/>
                    </w:rPr>
                    <w:t>环境容量管控</w:t>
                  </w:r>
                </w:p>
              </w:tc>
              <w:tc>
                <w:tcPr>
                  <w:tcW w:w="332" w:type="dxa"/>
                  <w:vAlign w:val="center"/>
                </w:tcPr>
                <w:p w14:paraId="2B574118">
                  <w:pPr>
                    <w:pStyle w:val="54"/>
                    <w:rPr>
                      <w:color w:val="auto"/>
                    </w:rPr>
                  </w:pPr>
                  <w:r>
                    <w:rPr>
                      <w:rFonts w:hint="eastAsia"/>
                      <w:color w:val="auto"/>
                    </w:rPr>
                    <w:t>总量控制指标</w:t>
                  </w:r>
                </w:p>
              </w:tc>
              <w:tc>
                <w:tcPr>
                  <w:tcW w:w="3168" w:type="dxa"/>
                  <w:vAlign w:val="center"/>
                </w:tcPr>
                <w:p w14:paraId="3873AC6F">
                  <w:pPr>
                    <w:pStyle w:val="54"/>
                    <w:jc w:val="both"/>
                    <w:rPr>
                      <w:color w:val="auto"/>
                    </w:rPr>
                  </w:pPr>
                  <w:r>
                    <w:rPr>
                      <w:rFonts w:hint="eastAsia"/>
                      <w:color w:val="auto"/>
                    </w:rPr>
                    <w:t>不满足化学需氧量（</w:t>
                  </w:r>
                  <w:r>
                    <w:rPr>
                      <w:color w:val="auto"/>
                    </w:rPr>
                    <w:t>COD</w:t>
                  </w:r>
                  <w:r>
                    <w:rPr>
                      <w:rFonts w:hint="eastAsia"/>
                      <w:color w:val="auto"/>
                    </w:rPr>
                    <w:t>）、氨氮（</w:t>
                  </w:r>
                  <w:r>
                    <w:rPr>
                      <w:color w:val="auto"/>
                    </w:rPr>
                    <w:t>NH</w:t>
                  </w:r>
                  <w:r>
                    <w:rPr>
                      <w:color w:val="auto"/>
                      <w:vertAlign w:val="subscript"/>
                    </w:rPr>
                    <w:t>3</w:t>
                  </w:r>
                  <w:r>
                    <w:rPr>
                      <w:color w:val="auto"/>
                    </w:rPr>
                    <w:t>-N</w:t>
                  </w:r>
                  <w:r>
                    <w:rPr>
                      <w:rFonts w:hint="eastAsia"/>
                      <w:color w:val="auto"/>
                    </w:rPr>
                    <w:t>）、总氮（</w:t>
                  </w:r>
                  <w:r>
                    <w:rPr>
                      <w:color w:val="auto"/>
                    </w:rPr>
                    <w:t>TN</w:t>
                  </w:r>
                  <w:r>
                    <w:rPr>
                      <w:rFonts w:hint="eastAsia"/>
                      <w:color w:val="auto"/>
                    </w:rPr>
                    <w:t>）、总磷（</w:t>
                  </w:r>
                  <w:r>
                    <w:rPr>
                      <w:color w:val="auto"/>
                    </w:rPr>
                    <w:t>TP</w:t>
                  </w:r>
                  <w:r>
                    <w:rPr>
                      <w:rFonts w:hint="eastAsia"/>
                      <w:color w:val="auto"/>
                    </w:rPr>
                    <w:t>）、二氧化硫（</w:t>
                  </w:r>
                  <w:r>
                    <w:rPr>
                      <w:color w:val="auto"/>
                    </w:rPr>
                    <w:t>SO</w:t>
                  </w:r>
                  <w:r>
                    <w:rPr>
                      <w:color w:val="auto"/>
                      <w:vertAlign w:val="subscript"/>
                    </w:rPr>
                    <w:t>2</w:t>
                  </w:r>
                  <w:r>
                    <w:rPr>
                      <w:rFonts w:hint="eastAsia"/>
                      <w:color w:val="auto"/>
                    </w:rPr>
                    <w:t>）、氮氧化物（</w:t>
                  </w:r>
                  <w:r>
                    <w:rPr>
                      <w:color w:val="auto"/>
                    </w:rPr>
                    <w:t>NOx</w:t>
                  </w:r>
                  <w:r>
                    <w:rPr>
                      <w:rFonts w:hint="eastAsia"/>
                      <w:color w:val="auto"/>
                    </w:rPr>
                    <w:t>）和挥发性有机物（</w:t>
                  </w:r>
                  <w:r>
                    <w:rPr>
                      <w:color w:val="auto"/>
                    </w:rPr>
                    <w:t>VOCs</w:t>
                  </w:r>
                  <w:r>
                    <w:rPr>
                      <w:rFonts w:hint="eastAsia"/>
                      <w:color w:val="auto"/>
                    </w:rPr>
                    <w:t>）、烟粉尘的项目</w:t>
                  </w:r>
                </w:p>
              </w:tc>
              <w:tc>
                <w:tcPr>
                  <w:tcW w:w="3173" w:type="dxa"/>
                  <w:vAlign w:val="center"/>
                </w:tcPr>
                <w:p w14:paraId="4F7FBE01">
                  <w:pPr>
                    <w:pStyle w:val="54"/>
                    <w:jc w:val="both"/>
                    <w:rPr>
                      <w:color w:val="auto"/>
                    </w:rPr>
                  </w:pPr>
                  <w:r>
                    <w:rPr>
                      <w:color w:val="auto"/>
                    </w:rPr>
                    <w:t>本扩建项目</w:t>
                  </w:r>
                  <w:r>
                    <w:rPr>
                      <w:rFonts w:hint="eastAsia"/>
                      <w:color w:val="auto"/>
                    </w:rPr>
                    <w:t>金属熔化烟尘（颗粒物）经集气罩收集后由布袋除尘器处理后通过1根15m排气筒（DA003）排放，危废贮存废气（NMHC）经负压风管收集后由二级活性炭吸附装置处理后通过1根15m排气筒（DA002）排放；生活污水经厂区内化粪池预处理后接管至王集镇污水处理厂集中处理。经采取以上措施污染物能达标排放</w:t>
                  </w:r>
                  <w:r>
                    <w:rPr>
                      <w:color w:val="auto"/>
                    </w:rPr>
                    <w:t>。</w:t>
                  </w:r>
                </w:p>
              </w:tc>
              <w:tc>
                <w:tcPr>
                  <w:tcW w:w="651" w:type="dxa"/>
                  <w:vAlign w:val="center"/>
                </w:tcPr>
                <w:p w14:paraId="7CA63030">
                  <w:pPr>
                    <w:pStyle w:val="54"/>
                    <w:rPr>
                      <w:color w:val="auto"/>
                    </w:rPr>
                  </w:pPr>
                  <w:r>
                    <w:rPr>
                      <w:rFonts w:hint="eastAsia"/>
                      <w:color w:val="auto"/>
                    </w:rPr>
                    <w:t>相符</w:t>
                  </w:r>
                </w:p>
              </w:tc>
            </w:tr>
            <w:tr w14:paraId="6D751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7" w:type="dxa"/>
                  <w:vMerge w:val="continue"/>
                  <w:vAlign w:val="center"/>
                </w:tcPr>
                <w:p w14:paraId="6469D192">
                  <w:pPr>
                    <w:pStyle w:val="54"/>
                    <w:rPr>
                      <w:color w:val="auto"/>
                    </w:rPr>
                  </w:pPr>
                </w:p>
              </w:tc>
              <w:tc>
                <w:tcPr>
                  <w:tcW w:w="332" w:type="dxa"/>
                  <w:vAlign w:val="center"/>
                </w:tcPr>
                <w:p w14:paraId="0B7CD5F8">
                  <w:pPr>
                    <w:pStyle w:val="54"/>
                    <w:rPr>
                      <w:color w:val="auto"/>
                    </w:rPr>
                  </w:pPr>
                  <w:r>
                    <w:rPr>
                      <w:rFonts w:hint="eastAsia"/>
                      <w:color w:val="auto"/>
                    </w:rPr>
                    <w:t>总量控制要求</w:t>
                  </w:r>
                </w:p>
              </w:tc>
              <w:tc>
                <w:tcPr>
                  <w:tcW w:w="3168" w:type="dxa"/>
                  <w:vAlign w:val="center"/>
                </w:tcPr>
                <w:p w14:paraId="310F5078">
                  <w:pPr>
                    <w:pStyle w:val="54"/>
                    <w:jc w:val="both"/>
                    <w:rPr>
                      <w:color w:val="auto"/>
                    </w:rPr>
                  </w:pPr>
                  <w:r>
                    <w:rPr>
                      <w:rFonts w:hint="eastAsia"/>
                      <w:color w:val="auto"/>
                    </w:rPr>
                    <w:t>严格实施污染物排放总量控制，将二氧化硫、氮氧化物、烟粉尘和挥发性有机物排放是否符合总量控制要求作为建设项目环境影响评价审批的前置条件。</w:t>
                  </w:r>
                </w:p>
                <w:p w14:paraId="0358A9EC">
                  <w:pPr>
                    <w:pStyle w:val="54"/>
                    <w:jc w:val="both"/>
                    <w:rPr>
                      <w:color w:val="auto"/>
                    </w:rPr>
                  </w:pPr>
                  <w:r>
                    <w:rPr>
                      <w:rFonts w:hint="eastAsia"/>
                      <w:color w:val="auto"/>
                    </w:rPr>
                    <w:t>超过重点水污染物排放总量控制指标的区域，暂停审批新增重点水污染物排放总量的建设项目的环境影响评价文件。</w:t>
                  </w:r>
                </w:p>
                <w:p w14:paraId="027087A6">
                  <w:pPr>
                    <w:pStyle w:val="54"/>
                    <w:jc w:val="both"/>
                    <w:rPr>
                      <w:color w:val="auto"/>
                    </w:rPr>
                  </w:pPr>
                  <w:r>
                    <w:rPr>
                      <w:rFonts w:hint="eastAsia"/>
                      <w:color w:val="auto"/>
                    </w:rPr>
                    <w:t>进一步加强污染物总量减排工作。</w:t>
                  </w:r>
                </w:p>
              </w:tc>
              <w:tc>
                <w:tcPr>
                  <w:tcW w:w="3173" w:type="dxa"/>
                  <w:vAlign w:val="center"/>
                </w:tcPr>
                <w:p w14:paraId="7CAA4710">
                  <w:pPr>
                    <w:pStyle w:val="54"/>
                    <w:jc w:val="both"/>
                    <w:rPr>
                      <w:color w:val="auto"/>
                    </w:rPr>
                  </w:pPr>
                  <w:r>
                    <w:rPr>
                      <w:rFonts w:hint="eastAsia"/>
                      <w:color w:val="auto"/>
                    </w:rPr>
                    <w:t>本扩建项目大气污染物排放量：颗粒物1.137t/a、NMHC0.000</w:t>
                  </w:r>
                  <w:r>
                    <w:rPr>
                      <w:rFonts w:hint="eastAsia"/>
                      <w:color w:val="auto"/>
                      <w:lang w:val="en-US" w:eastAsia="zh-CN"/>
                    </w:rPr>
                    <w:t>2</w:t>
                  </w:r>
                  <w:r>
                    <w:rPr>
                      <w:rFonts w:hint="eastAsia"/>
                      <w:color w:val="auto"/>
                    </w:rPr>
                    <w:t>t/a；废水接管量：废水量2</w:t>
                  </w:r>
                  <w:r>
                    <w:rPr>
                      <w:rFonts w:hint="eastAsia"/>
                      <w:color w:val="auto"/>
                      <w:lang w:val="en-US" w:eastAsia="zh-CN"/>
                    </w:rPr>
                    <w:t>1</w:t>
                  </w:r>
                  <w:r>
                    <w:rPr>
                      <w:rFonts w:hint="eastAsia"/>
                      <w:color w:val="auto"/>
                    </w:rPr>
                    <w:t>60t/a、COD0.6480t/a、氨氮0.0648t/a、TP0.0076t/a、TN0.0864t/a，进入环境量：废水量2</w:t>
                  </w:r>
                  <w:r>
                    <w:rPr>
                      <w:rFonts w:hint="eastAsia"/>
                      <w:color w:val="auto"/>
                      <w:lang w:val="en-US" w:eastAsia="zh-CN"/>
                    </w:rPr>
                    <w:t>1</w:t>
                  </w:r>
                  <w:r>
                    <w:rPr>
                      <w:rFonts w:hint="eastAsia"/>
                      <w:color w:val="auto"/>
                    </w:rPr>
                    <w:t>60t/a、COD0.1080t/a、氨氮0.0108t/a、TP0.0011t/a、TN0.0324t/a。本扩建项目将严格落实总量控制制度，颗粒物0.568t/a排放总量从年产1.6万吨无氧铜杆项目批复总量中平衡，颗粒物0.569t/a、NMHC0.0002t/a从泗阳县总量库中平衡。</w:t>
                  </w:r>
                </w:p>
              </w:tc>
              <w:tc>
                <w:tcPr>
                  <w:tcW w:w="651" w:type="dxa"/>
                  <w:vAlign w:val="center"/>
                </w:tcPr>
                <w:p w14:paraId="683F74A5">
                  <w:pPr>
                    <w:pStyle w:val="54"/>
                    <w:rPr>
                      <w:color w:val="auto"/>
                    </w:rPr>
                  </w:pPr>
                  <w:r>
                    <w:rPr>
                      <w:rFonts w:hint="eastAsia"/>
                      <w:color w:val="auto"/>
                    </w:rPr>
                    <w:t>相符</w:t>
                  </w:r>
                </w:p>
              </w:tc>
            </w:tr>
            <w:tr w14:paraId="5F000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7" w:type="dxa"/>
                  <w:vMerge w:val="restart"/>
                  <w:vAlign w:val="center"/>
                </w:tcPr>
                <w:p w14:paraId="1FA57644">
                  <w:pPr>
                    <w:pStyle w:val="54"/>
                    <w:rPr>
                      <w:color w:val="auto"/>
                    </w:rPr>
                  </w:pPr>
                  <w:r>
                    <w:rPr>
                      <w:rFonts w:hint="eastAsia"/>
                      <w:color w:val="auto"/>
                    </w:rPr>
                    <w:t>环境质量管控</w:t>
                  </w:r>
                </w:p>
              </w:tc>
              <w:tc>
                <w:tcPr>
                  <w:tcW w:w="332" w:type="dxa"/>
                  <w:vAlign w:val="center"/>
                </w:tcPr>
                <w:p w14:paraId="08CD4C8E">
                  <w:pPr>
                    <w:pStyle w:val="54"/>
                    <w:rPr>
                      <w:color w:val="auto"/>
                    </w:rPr>
                  </w:pPr>
                  <w:r>
                    <w:rPr>
                      <w:rFonts w:hint="eastAsia"/>
                      <w:color w:val="auto"/>
                    </w:rPr>
                    <w:t>大气污染防治</w:t>
                  </w:r>
                </w:p>
              </w:tc>
              <w:tc>
                <w:tcPr>
                  <w:tcW w:w="3168" w:type="dxa"/>
                  <w:vAlign w:val="center"/>
                </w:tcPr>
                <w:p w14:paraId="47D5F2ED">
                  <w:pPr>
                    <w:pStyle w:val="54"/>
                    <w:jc w:val="both"/>
                    <w:rPr>
                      <w:color w:val="auto"/>
                    </w:rPr>
                  </w:pPr>
                  <w:r>
                    <w:rPr>
                      <w:rFonts w:hint="eastAsia"/>
                      <w:color w:val="auto"/>
                    </w:rPr>
                    <w:t>禁止新（扩）建排放含汞、砷、镉、铬、铅等重金属以及持久性有机污染物的工业项目，禁止引入使用油性漆的工业项目</w:t>
                  </w:r>
                </w:p>
              </w:tc>
              <w:tc>
                <w:tcPr>
                  <w:tcW w:w="3173" w:type="dxa"/>
                  <w:vAlign w:val="center"/>
                </w:tcPr>
                <w:p w14:paraId="6C2B30D7">
                  <w:pPr>
                    <w:pStyle w:val="54"/>
                    <w:jc w:val="both"/>
                    <w:rPr>
                      <w:color w:val="auto"/>
                    </w:rPr>
                  </w:pPr>
                  <w:r>
                    <w:rPr>
                      <w:rFonts w:hint="eastAsia"/>
                      <w:color w:val="auto"/>
                    </w:rPr>
                    <w:t>本扩建项目不排放含汞、砷、镉、铬、铅等重金属以及持久性有机污染物，不使用油性漆。</w:t>
                  </w:r>
                </w:p>
              </w:tc>
              <w:tc>
                <w:tcPr>
                  <w:tcW w:w="651" w:type="dxa"/>
                  <w:vAlign w:val="center"/>
                </w:tcPr>
                <w:p w14:paraId="6FD6F5BC">
                  <w:pPr>
                    <w:pStyle w:val="54"/>
                    <w:rPr>
                      <w:color w:val="auto"/>
                    </w:rPr>
                  </w:pPr>
                  <w:r>
                    <w:rPr>
                      <w:rFonts w:hint="eastAsia"/>
                      <w:color w:val="auto"/>
                    </w:rPr>
                    <w:t>相符</w:t>
                  </w:r>
                </w:p>
              </w:tc>
            </w:tr>
            <w:tr w14:paraId="53613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7" w:type="dxa"/>
                  <w:vMerge w:val="continue"/>
                  <w:vAlign w:val="center"/>
                </w:tcPr>
                <w:p w14:paraId="4C5E1A2B">
                  <w:pPr>
                    <w:pStyle w:val="54"/>
                    <w:rPr>
                      <w:color w:val="auto"/>
                    </w:rPr>
                  </w:pPr>
                </w:p>
              </w:tc>
              <w:tc>
                <w:tcPr>
                  <w:tcW w:w="332" w:type="dxa"/>
                  <w:vAlign w:val="center"/>
                </w:tcPr>
                <w:p w14:paraId="17E06144">
                  <w:pPr>
                    <w:pStyle w:val="54"/>
                    <w:rPr>
                      <w:color w:val="auto"/>
                    </w:rPr>
                  </w:pPr>
                  <w:r>
                    <w:rPr>
                      <w:rFonts w:hint="eastAsia"/>
                      <w:color w:val="auto"/>
                    </w:rPr>
                    <w:t>其他</w:t>
                  </w:r>
                </w:p>
              </w:tc>
              <w:tc>
                <w:tcPr>
                  <w:tcW w:w="3168" w:type="dxa"/>
                  <w:vAlign w:val="center"/>
                </w:tcPr>
                <w:p w14:paraId="5D65F45A">
                  <w:pPr>
                    <w:pStyle w:val="54"/>
                    <w:jc w:val="both"/>
                    <w:rPr>
                      <w:color w:val="auto"/>
                    </w:rPr>
                  </w:pPr>
                  <w:r>
                    <w:rPr>
                      <w:rFonts w:hint="eastAsia"/>
                      <w:color w:val="auto"/>
                    </w:rPr>
                    <w:t>新引入项目的工艺、设备和环保设施及单位</w:t>
                  </w:r>
                  <w:r>
                    <w:rPr>
                      <w:color w:val="auto"/>
                    </w:rPr>
                    <w:t>GDP</w:t>
                  </w:r>
                  <w:r>
                    <w:rPr>
                      <w:rFonts w:hint="eastAsia"/>
                      <w:color w:val="auto"/>
                    </w:rPr>
                    <w:t>用水量、综合能耗和污染物排放强度至少达到国内先进水平，不得高于开发区平均水平和行业或产品标准，项目用能不应对开发区总用能额度产生较大影响，优先引进清洁生产水平达到国际先进水平的项目。</w:t>
                  </w:r>
                </w:p>
                <w:p w14:paraId="66171BE0">
                  <w:pPr>
                    <w:pStyle w:val="54"/>
                    <w:jc w:val="both"/>
                    <w:rPr>
                      <w:color w:val="auto"/>
                    </w:rPr>
                  </w:pPr>
                  <w:r>
                    <w:rPr>
                      <w:rFonts w:hint="eastAsia"/>
                      <w:color w:val="auto"/>
                    </w:rPr>
                    <w:t>禁止新建（改建、扩建）无可靠污染防治技术及生态治理措施的建设项目。</w:t>
                  </w:r>
                </w:p>
                <w:p w14:paraId="02C83BC6">
                  <w:pPr>
                    <w:pStyle w:val="54"/>
                    <w:jc w:val="both"/>
                    <w:rPr>
                      <w:color w:val="auto"/>
                    </w:rPr>
                  </w:pPr>
                  <w:r>
                    <w:rPr>
                      <w:rFonts w:hint="eastAsia"/>
                      <w:color w:val="auto"/>
                    </w:rPr>
                    <w:t>禁止新建（改建、扩建）存在重大环境风险隐患的建设项目。</w:t>
                  </w:r>
                </w:p>
              </w:tc>
              <w:tc>
                <w:tcPr>
                  <w:tcW w:w="3173" w:type="dxa"/>
                  <w:vAlign w:val="center"/>
                </w:tcPr>
                <w:p w14:paraId="4548D3CA">
                  <w:pPr>
                    <w:pStyle w:val="54"/>
                    <w:jc w:val="both"/>
                    <w:rPr>
                      <w:color w:val="auto"/>
                    </w:rPr>
                  </w:pPr>
                  <w:r>
                    <w:rPr>
                      <w:rFonts w:hint="eastAsia"/>
                      <w:color w:val="auto"/>
                    </w:rPr>
                    <w:t>①本扩建项目采用先进的工艺、设备和环保设备，要求单位</w:t>
                  </w:r>
                  <w:r>
                    <w:rPr>
                      <w:color w:val="auto"/>
                    </w:rPr>
                    <w:t>GDP</w:t>
                  </w:r>
                  <w:r>
                    <w:rPr>
                      <w:rFonts w:hint="eastAsia"/>
                      <w:color w:val="auto"/>
                    </w:rPr>
                    <w:t>用水量、综合能耗和污染物排放强度达到国内先进水平。</w:t>
                  </w:r>
                </w:p>
                <w:p w14:paraId="765F1B8F">
                  <w:pPr>
                    <w:pStyle w:val="54"/>
                    <w:jc w:val="both"/>
                    <w:rPr>
                      <w:color w:val="auto"/>
                    </w:rPr>
                  </w:pPr>
                  <w:r>
                    <w:rPr>
                      <w:rFonts w:hint="eastAsia"/>
                      <w:color w:val="auto"/>
                    </w:rPr>
                    <w:t>②</w:t>
                  </w:r>
                  <w:r>
                    <w:rPr>
                      <w:color w:val="auto"/>
                    </w:rPr>
                    <w:t>本扩建项目</w:t>
                  </w:r>
                  <w:r>
                    <w:rPr>
                      <w:rFonts w:hint="eastAsia"/>
                      <w:color w:val="auto"/>
                    </w:rPr>
                    <w:t>金属熔化烟尘（颗粒物）经集气罩收集后由布袋除尘器处理后通过1根15m排气筒（DA003）排放，危废贮存废气（NMHC）经负压风管收集后由二级活性炭吸附装置处理后通过1根15m排气筒（DA002）排放；生活污水经厂区内化粪池预处理后接管至王集镇污水处理厂集中处理。经采取以上措施项目污染物能达标排放，采用的污染防治技术均可行。</w:t>
                  </w:r>
                </w:p>
                <w:p w14:paraId="3509E995">
                  <w:pPr>
                    <w:pStyle w:val="54"/>
                    <w:jc w:val="both"/>
                    <w:rPr>
                      <w:color w:val="auto"/>
                    </w:rPr>
                  </w:pPr>
                  <w:r>
                    <w:rPr>
                      <w:rFonts w:hint="eastAsia"/>
                      <w:color w:val="auto"/>
                    </w:rPr>
                    <w:t>③本扩建项目不属于重大环境风险隐患项目。</w:t>
                  </w:r>
                </w:p>
              </w:tc>
              <w:tc>
                <w:tcPr>
                  <w:tcW w:w="651" w:type="dxa"/>
                  <w:vAlign w:val="center"/>
                </w:tcPr>
                <w:p w14:paraId="1918EBBD">
                  <w:pPr>
                    <w:pStyle w:val="54"/>
                    <w:rPr>
                      <w:color w:val="auto"/>
                    </w:rPr>
                  </w:pPr>
                  <w:r>
                    <w:rPr>
                      <w:rFonts w:hint="eastAsia"/>
                      <w:color w:val="auto"/>
                    </w:rPr>
                    <w:t>相符</w:t>
                  </w:r>
                </w:p>
              </w:tc>
            </w:tr>
          </w:tbl>
          <w:p w14:paraId="23914A08">
            <w:pPr>
              <w:pStyle w:val="50"/>
              <w:ind w:firstLine="480"/>
              <w:rPr>
                <w:color w:val="auto"/>
              </w:rPr>
            </w:pPr>
            <w:r>
              <w:rPr>
                <w:color w:val="auto"/>
              </w:rPr>
              <w:t>由</w:t>
            </w:r>
            <w:r>
              <w:rPr>
                <w:color w:val="auto"/>
              </w:rPr>
              <w:fldChar w:fldCharType="begin"/>
            </w:r>
            <w:r>
              <w:rPr>
                <w:color w:val="auto"/>
              </w:rPr>
              <w:instrText xml:space="preserve"> REF _Ref28114 \h </w:instrText>
            </w:r>
            <w:r>
              <w:rPr>
                <w:color w:val="auto"/>
              </w:rPr>
              <w:fldChar w:fldCharType="separate"/>
            </w:r>
            <w:r>
              <w:rPr>
                <w:color w:val="auto"/>
              </w:rPr>
              <w:t>表1- 6</w:t>
            </w:r>
            <w:r>
              <w:rPr>
                <w:color w:val="auto"/>
              </w:rPr>
              <w:fldChar w:fldCharType="end"/>
            </w:r>
            <w:r>
              <w:rPr>
                <w:color w:val="auto"/>
              </w:rPr>
              <w:t>分析可知，本</w:t>
            </w:r>
            <w:r>
              <w:rPr>
                <w:rFonts w:hint="eastAsia"/>
                <w:color w:val="auto"/>
              </w:rPr>
              <w:t>扩建</w:t>
            </w:r>
            <w:r>
              <w:rPr>
                <w:color w:val="auto"/>
              </w:rPr>
              <w:t>项目的建设</w:t>
            </w:r>
            <w:r>
              <w:rPr>
                <w:rFonts w:hint="eastAsia"/>
                <w:color w:val="auto"/>
              </w:rPr>
              <w:t>符合</w:t>
            </w:r>
            <w:r>
              <w:rPr>
                <w:color w:val="auto"/>
              </w:rPr>
              <w:t>《</w:t>
            </w:r>
            <w:r>
              <w:rPr>
                <w:rFonts w:hint="eastAsia" w:eastAsiaTheme="minorEastAsia"/>
                <w:color w:val="auto"/>
              </w:rPr>
              <w:t>泗阳县王集新城经济开发区规划环境影响报告书</w:t>
            </w:r>
            <w:r>
              <w:rPr>
                <w:color w:val="auto"/>
              </w:rPr>
              <w:t>》“</w:t>
            </w:r>
            <w:r>
              <w:rPr>
                <w:rFonts w:hint="eastAsia"/>
                <w:color w:val="auto"/>
              </w:rPr>
              <w:t>限制准入行业清单</w:t>
            </w:r>
            <w:r>
              <w:rPr>
                <w:color w:val="auto"/>
              </w:rPr>
              <w:t>”</w:t>
            </w:r>
            <w:r>
              <w:rPr>
                <w:rFonts w:hint="eastAsia"/>
                <w:color w:val="auto"/>
              </w:rPr>
              <w:t>和“禁止准入负面清单”</w:t>
            </w:r>
            <w:r>
              <w:rPr>
                <w:color w:val="auto"/>
              </w:rPr>
              <w:t>的相关要求。</w:t>
            </w:r>
          </w:p>
          <w:p w14:paraId="73A59185">
            <w:pPr>
              <w:pStyle w:val="50"/>
              <w:ind w:firstLine="480"/>
              <w:rPr>
                <w:b/>
                <w:bCs/>
                <w:color w:val="auto"/>
              </w:rPr>
            </w:pPr>
            <w:r>
              <w:rPr>
                <w:rFonts w:eastAsia="微软雅黑"/>
                <w:b/>
                <w:bCs/>
                <w:color w:val="auto"/>
              </w:rPr>
              <w:t>④</w:t>
            </w:r>
            <w:r>
              <w:rPr>
                <w:rFonts w:hint="eastAsia"/>
                <w:b/>
                <w:bCs/>
                <w:color w:val="auto"/>
              </w:rPr>
              <w:t>与</w:t>
            </w:r>
            <w:r>
              <w:rPr>
                <w:b/>
                <w:bCs/>
                <w:color w:val="auto"/>
              </w:rPr>
              <w:t>国家及地方产业政策和《市场准入负面清单（20</w:t>
            </w:r>
            <w:r>
              <w:rPr>
                <w:rFonts w:hint="eastAsia"/>
                <w:b/>
                <w:bCs/>
                <w:color w:val="auto"/>
              </w:rPr>
              <w:t>25</w:t>
            </w:r>
            <w:r>
              <w:rPr>
                <w:b/>
                <w:bCs/>
                <w:color w:val="auto"/>
              </w:rPr>
              <w:t>年版）》</w:t>
            </w:r>
            <w:r>
              <w:rPr>
                <w:rFonts w:hint="eastAsia"/>
                <w:b/>
                <w:bCs/>
                <w:color w:val="auto"/>
              </w:rPr>
              <w:t>相符性分析</w:t>
            </w:r>
          </w:p>
          <w:p w14:paraId="5FDF8F4F">
            <w:pPr>
              <w:pStyle w:val="50"/>
              <w:ind w:firstLine="480"/>
              <w:rPr>
                <w:color w:val="auto"/>
              </w:rPr>
            </w:pPr>
            <w:r>
              <w:rPr>
                <w:color w:val="auto"/>
              </w:rPr>
              <w:t>根据国家及地方产业政策和《市场准入负面清单（202</w:t>
            </w:r>
            <w:r>
              <w:rPr>
                <w:rFonts w:hint="eastAsia"/>
                <w:color w:val="auto"/>
              </w:rPr>
              <w:t>5</w:t>
            </w:r>
            <w:r>
              <w:rPr>
                <w:color w:val="auto"/>
              </w:rPr>
              <w:t>年版）》</w:t>
            </w:r>
            <w:r>
              <w:rPr>
                <w:rFonts w:hint="eastAsia"/>
                <w:color w:val="auto"/>
              </w:rPr>
              <w:t>的相关</w:t>
            </w:r>
            <w:r>
              <w:rPr>
                <w:color w:val="auto"/>
              </w:rPr>
              <w:t>要求，本</w:t>
            </w:r>
            <w:r>
              <w:rPr>
                <w:rFonts w:hint="eastAsia"/>
                <w:color w:val="auto"/>
              </w:rPr>
              <w:t>扩建</w:t>
            </w:r>
            <w:r>
              <w:rPr>
                <w:color w:val="auto"/>
              </w:rPr>
              <w:t>项目相符性</w:t>
            </w:r>
            <w:r>
              <w:rPr>
                <w:rFonts w:hint="eastAsia"/>
                <w:color w:val="auto"/>
              </w:rPr>
              <w:t>分析详</w:t>
            </w:r>
            <w:r>
              <w:rPr>
                <w:color w:val="auto"/>
              </w:rPr>
              <w:t>见</w:t>
            </w:r>
            <w:r>
              <w:rPr>
                <w:color w:val="auto"/>
              </w:rPr>
              <w:fldChar w:fldCharType="begin"/>
            </w:r>
            <w:r>
              <w:rPr>
                <w:color w:val="auto"/>
              </w:rPr>
              <w:instrText xml:space="preserve"> REF _Ref2976 \h </w:instrText>
            </w:r>
            <w:r>
              <w:rPr>
                <w:color w:val="auto"/>
              </w:rPr>
              <w:fldChar w:fldCharType="separate"/>
            </w:r>
            <w:r>
              <w:rPr>
                <w:color w:val="auto"/>
              </w:rPr>
              <w:t>表1- 7</w:t>
            </w:r>
            <w:r>
              <w:rPr>
                <w:color w:val="auto"/>
              </w:rPr>
              <w:fldChar w:fldCharType="end"/>
            </w:r>
            <w:r>
              <w:rPr>
                <w:color w:val="auto"/>
              </w:rPr>
              <w:t>。</w:t>
            </w:r>
          </w:p>
          <w:p w14:paraId="538FEFC6">
            <w:pPr>
              <w:pStyle w:val="7"/>
              <w:rPr>
                <w:color w:val="auto"/>
              </w:rPr>
            </w:pPr>
            <w:bookmarkStart w:id="18" w:name="_Ref2976"/>
            <w:r>
              <w:rPr>
                <w:color w:val="auto"/>
              </w:rPr>
              <w:t xml:space="preserve">表1- </w:t>
            </w:r>
            <w:r>
              <w:rPr>
                <w:color w:val="auto"/>
              </w:rPr>
              <w:fldChar w:fldCharType="begin"/>
            </w:r>
            <w:r>
              <w:rPr>
                <w:color w:val="auto"/>
              </w:rPr>
              <w:instrText xml:space="preserve"> SEQ 表1- \* ARABIC </w:instrText>
            </w:r>
            <w:r>
              <w:rPr>
                <w:color w:val="auto"/>
              </w:rPr>
              <w:fldChar w:fldCharType="separate"/>
            </w:r>
            <w:r>
              <w:rPr>
                <w:color w:val="auto"/>
              </w:rPr>
              <w:t>7</w:t>
            </w:r>
            <w:r>
              <w:rPr>
                <w:color w:val="auto"/>
              </w:rPr>
              <w:fldChar w:fldCharType="end"/>
            </w:r>
            <w:bookmarkEnd w:id="18"/>
            <w:r>
              <w:rPr>
                <w:color w:val="auto"/>
              </w:rPr>
              <w:t xml:space="preserve"> 与国家及地方产业政策和《市场准入负面清单》相符性分析</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3528"/>
              <w:gridCol w:w="3913"/>
            </w:tblGrid>
            <w:tr w14:paraId="5F127E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8" w:type="pct"/>
                  <w:vAlign w:val="center"/>
                </w:tcPr>
                <w:p w14:paraId="0FF0066C">
                  <w:pPr>
                    <w:pStyle w:val="52"/>
                    <w:rPr>
                      <w:color w:val="auto"/>
                    </w:rPr>
                  </w:pPr>
                  <w:r>
                    <w:rPr>
                      <w:color w:val="auto"/>
                    </w:rPr>
                    <w:t>序号</w:t>
                  </w:r>
                </w:p>
              </w:tc>
              <w:tc>
                <w:tcPr>
                  <w:tcW w:w="2172" w:type="pct"/>
                  <w:vAlign w:val="center"/>
                </w:tcPr>
                <w:p w14:paraId="409EE31D">
                  <w:pPr>
                    <w:pStyle w:val="52"/>
                    <w:rPr>
                      <w:color w:val="auto"/>
                    </w:rPr>
                  </w:pPr>
                  <w:r>
                    <w:rPr>
                      <w:color w:val="auto"/>
                    </w:rPr>
                    <w:t>内容</w:t>
                  </w:r>
                </w:p>
              </w:tc>
              <w:tc>
                <w:tcPr>
                  <w:tcW w:w="2409" w:type="pct"/>
                  <w:vAlign w:val="center"/>
                </w:tcPr>
                <w:p w14:paraId="1E3CB910">
                  <w:pPr>
                    <w:pStyle w:val="52"/>
                    <w:rPr>
                      <w:color w:val="auto"/>
                    </w:rPr>
                  </w:pPr>
                  <w:r>
                    <w:rPr>
                      <w:color w:val="auto"/>
                    </w:rPr>
                    <w:t>相符性分析</w:t>
                  </w:r>
                </w:p>
              </w:tc>
            </w:tr>
            <w:tr w14:paraId="25FC8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418" w:type="pct"/>
                  <w:vAlign w:val="center"/>
                </w:tcPr>
                <w:p w14:paraId="385E600F">
                  <w:pPr>
                    <w:pStyle w:val="54"/>
                    <w:rPr>
                      <w:color w:val="auto"/>
                    </w:rPr>
                  </w:pPr>
                  <w:r>
                    <w:rPr>
                      <w:color w:val="auto"/>
                    </w:rPr>
                    <w:t>1</w:t>
                  </w:r>
                </w:p>
              </w:tc>
              <w:tc>
                <w:tcPr>
                  <w:tcW w:w="2172" w:type="pct"/>
                  <w:vAlign w:val="center"/>
                </w:tcPr>
                <w:p w14:paraId="7E7C9916">
                  <w:pPr>
                    <w:pStyle w:val="54"/>
                    <w:rPr>
                      <w:color w:val="auto"/>
                    </w:rPr>
                  </w:pPr>
                  <w:r>
                    <w:rPr>
                      <w:color w:val="auto"/>
                    </w:rPr>
                    <w:t>《</w:t>
                  </w:r>
                  <w:r>
                    <w:rPr>
                      <w:color w:val="auto"/>
                    </w:rPr>
                    <w:fldChar w:fldCharType="begin"/>
                  </w:r>
                  <w:r>
                    <w:rPr>
                      <w:color w:val="auto"/>
                    </w:rPr>
                    <w:instrText xml:space="preserve"> HYPERLINK "https://mp.weixin.qq.com/s?__biz=MzIzMjUzNzI3OQ==&amp;mid=2247525969&amp;idx=1&amp;sn=cf41210dc5b3fff743520f59e094a58b&amp;scene=21" \l "wechat_redirect" \t "https://mp.weixin.qq.com/_blank" </w:instrText>
                  </w:r>
                  <w:r>
                    <w:rPr>
                      <w:color w:val="auto"/>
                    </w:rPr>
                    <w:fldChar w:fldCharType="separate"/>
                  </w:r>
                  <w:r>
                    <w:rPr>
                      <w:color w:val="auto"/>
                    </w:rPr>
                    <w:t>自然资源要素支撑产业高质量发展指导目录（2024年本）</w:t>
                  </w:r>
                  <w:r>
                    <w:rPr>
                      <w:color w:val="auto"/>
                    </w:rPr>
                    <w:fldChar w:fldCharType="end"/>
                  </w:r>
                  <w:r>
                    <w:rPr>
                      <w:color w:val="auto"/>
                    </w:rPr>
                    <w:t>》</w:t>
                  </w:r>
                </w:p>
              </w:tc>
              <w:tc>
                <w:tcPr>
                  <w:tcW w:w="2409" w:type="pct"/>
                  <w:vAlign w:val="center"/>
                </w:tcPr>
                <w:p w14:paraId="4B6AA061">
                  <w:pPr>
                    <w:pStyle w:val="54"/>
                    <w:rPr>
                      <w:color w:val="auto"/>
                    </w:rPr>
                  </w:pPr>
                  <w:r>
                    <w:rPr>
                      <w:color w:val="auto"/>
                    </w:rPr>
                    <w:t>本项目用地不属于鼓励类、限制类、禁止类用地。</w:t>
                  </w:r>
                </w:p>
              </w:tc>
            </w:tr>
            <w:tr w14:paraId="78587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8" w:type="pct"/>
                  <w:vAlign w:val="center"/>
                </w:tcPr>
                <w:p w14:paraId="34CF8984">
                  <w:pPr>
                    <w:pStyle w:val="54"/>
                    <w:rPr>
                      <w:color w:val="auto"/>
                    </w:rPr>
                  </w:pPr>
                  <w:r>
                    <w:rPr>
                      <w:color w:val="auto"/>
                    </w:rPr>
                    <w:t>2</w:t>
                  </w:r>
                </w:p>
              </w:tc>
              <w:tc>
                <w:tcPr>
                  <w:tcW w:w="2172" w:type="pct"/>
                  <w:vAlign w:val="center"/>
                </w:tcPr>
                <w:p w14:paraId="0F83EC8F">
                  <w:pPr>
                    <w:pStyle w:val="54"/>
                    <w:rPr>
                      <w:color w:val="auto"/>
                    </w:rPr>
                  </w:pPr>
                  <w:r>
                    <w:rPr>
                      <w:color w:val="auto"/>
                    </w:rPr>
                    <w:t>《市场准入负面清单（202</w:t>
                  </w:r>
                  <w:r>
                    <w:rPr>
                      <w:rFonts w:hint="eastAsia"/>
                      <w:color w:val="auto"/>
                    </w:rPr>
                    <w:t>5</w:t>
                  </w:r>
                  <w:r>
                    <w:rPr>
                      <w:color w:val="auto"/>
                    </w:rPr>
                    <w:t>年版）》</w:t>
                  </w:r>
                </w:p>
              </w:tc>
              <w:tc>
                <w:tcPr>
                  <w:tcW w:w="2409" w:type="pct"/>
                  <w:vAlign w:val="center"/>
                </w:tcPr>
                <w:p w14:paraId="126676D1">
                  <w:pPr>
                    <w:pStyle w:val="54"/>
                    <w:rPr>
                      <w:color w:val="auto"/>
                    </w:rPr>
                  </w:pPr>
                  <w:r>
                    <w:rPr>
                      <w:color w:val="auto"/>
                    </w:rPr>
                    <w:t>本项目不属于禁止准入类和限制准入类。</w:t>
                  </w:r>
                </w:p>
              </w:tc>
            </w:tr>
          </w:tbl>
          <w:p w14:paraId="2153FBD7">
            <w:pPr>
              <w:pStyle w:val="50"/>
              <w:ind w:firstLine="480"/>
              <w:rPr>
                <w:color w:val="auto"/>
              </w:rPr>
            </w:pPr>
            <w:r>
              <w:rPr>
                <w:color w:val="auto"/>
              </w:rPr>
              <w:t>由</w:t>
            </w:r>
            <w:r>
              <w:rPr>
                <w:color w:val="auto"/>
              </w:rPr>
              <w:fldChar w:fldCharType="begin"/>
            </w:r>
            <w:r>
              <w:rPr>
                <w:color w:val="auto"/>
              </w:rPr>
              <w:instrText xml:space="preserve"> REF _Ref2976 \h </w:instrText>
            </w:r>
            <w:r>
              <w:rPr>
                <w:color w:val="auto"/>
              </w:rPr>
              <w:fldChar w:fldCharType="separate"/>
            </w:r>
            <w:r>
              <w:rPr>
                <w:color w:val="auto"/>
              </w:rPr>
              <w:t>表1- 7</w:t>
            </w:r>
            <w:r>
              <w:rPr>
                <w:color w:val="auto"/>
              </w:rPr>
              <w:fldChar w:fldCharType="end"/>
            </w:r>
            <w:r>
              <w:rPr>
                <w:color w:val="auto"/>
              </w:rPr>
              <w:t>分析可知，本</w:t>
            </w:r>
            <w:r>
              <w:rPr>
                <w:rFonts w:hint="eastAsia"/>
                <w:color w:val="auto"/>
              </w:rPr>
              <w:t>扩建</w:t>
            </w:r>
            <w:r>
              <w:rPr>
                <w:color w:val="auto"/>
              </w:rPr>
              <w:t>项目的建设符合国家及地方产业政策和《市场准入负面清单（202</w:t>
            </w:r>
            <w:r>
              <w:rPr>
                <w:rFonts w:hint="eastAsia"/>
                <w:color w:val="auto"/>
              </w:rPr>
              <w:t>5</w:t>
            </w:r>
            <w:r>
              <w:rPr>
                <w:color w:val="auto"/>
              </w:rPr>
              <w:t>年版）》</w:t>
            </w:r>
            <w:r>
              <w:rPr>
                <w:rFonts w:hint="eastAsia"/>
                <w:color w:val="auto"/>
              </w:rPr>
              <w:t>中的</w:t>
            </w:r>
            <w:r>
              <w:rPr>
                <w:color w:val="auto"/>
              </w:rPr>
              <w:t>相关要求。</w:t>
            </w:r>
          </w:p>
          <w:p w14:paraId="5EAA2E05">
            <w:pPr>
              <w:pStyle w:val="50"/>
              <w:ind w:firstLine="480"/>
              <w:rPr>
                <w:color w:val="auto"/>
              </w:rPr>
            </w:pPr>
            <w:r>
              <w:rPr>
                <w:color w:val="auto"/>
              </w:rPr>
              <w:t>综上所述，本项目符合“三线一单”相关要求。</w:t>
            </w:r>
          </w:p>
          <w:p w14:paraId="66E267D7">
            <w:pPr>
              <w:pStyle w:val="50"/>
              <w:ind w:firstLine="482"/>
              <w:rPr>
                <w:b/>
                <w:bCs/>
                <w:color w:val="auto"/>
              </w:rPr>
            </w:pPr>
            <w:r>
              <w:rPr>
                <w:b/>
                <w:bCs/>
                <w:color w:val="auto"/>
              </w:rPr>
              <w:t>3、与</w:t>
            </w:r>
            <w:r>
              <w:rPr>
                <w:rFonts w:hint="eastAsia"/>
                <w:b/>
                <w:bCs/>
                <w:color w:val="auto"/>
              </w:rPr>
              <w:t>《推动长江经济带发展领导小组办公室关于印发〈长江经济带发展负面清单指南（试行，2022年版）〉的通知》</w:t>
            </w:r>
            <w:r>
              <w:rPr>
                <w:b/>
                <w:bCs/>
                <w:color w:val="auto"/>
              </w:rPr>
              <w:t>（长江办〔2022〕17号）</w:t>
            </w:r>
            <w:r>
              <w:rPr>
                <w:rFonts w:hint="eastAsia"/>
                <w:b/>
                <w:bCs/>
                <w:color w:val="auto"/>
              </w:rPr>
              <w:t>，</w:t>
            </w:r>
            <w:r>
              <w:rPr>
                <w:b/>
                <w:bCs/>
                <w:color w:val="auto"/>
              </w:rPr>
              <w:t>《</w:t>
            </w:r>
            <w:r>
              <w:rPr>
                <w:rFonts w:hint="eastAsia"/>
                <w:b/>
                <w:bCs/>
                <w:color w:val="auto"/>
              </w:rPr>
              <w:t>江苏省生态环境厅关于进一步做好建设项目环评审批工作的通知</w:t>
            </w:r>
            <w:r>
              <w:rPr>
                <w:b/>
                <w:bCs/>
                <w:color w:val="auto"/>
              </w:rPr>
              <w:t>》（</w:t>
            </w:r>
            <w:r>
              <w:rPr>
                <w:rFonts w:hint="eastAsia"/>
                <w:b/>
                <w:bCs/>
                <w:color w:val="auto"/>
              </w:rPr>
              <w:t>苏</w:t>
            </w:r>
            <w:r>
              <w:rPr>
                <w:b/>
                <w:bCs/>
                <w:color w:val="auto"/>
              </w:rPr>
              <w:t>环办〔20</w:t>
            </w:r>
            <w:r>
              <w:rPr>
                <w:rFonts w:hint="eastAsia"/>
                <w:b/>
                <w:bCs/>
                <w:color w:val="auto"/>
              </w:rPr>
              <w:t>19</w:t>
            </w:r>
            <w:r>
              <w:rPr>
                <w:b/>
                <w:bCs/>
                <w:color w:val="auto"/>
              </w:rPr>
              <w:t>〕</w:t>
            </w:r>
            <w:r>
              <w:rPr>
                <w:rFonts w:hint="eastAsia"/>
                <w:b/>
                <w:bCs/>
                <w:color w:val="auto"/>
              </w:rPr>
              <w:t>36</w:t>
            </w:r>
            <w:r>
              <w:rPr>
                <w:b/>
                <w:bCs/>
                <w:color w:val="auto"/>
              </w:rPr>
              <w:t>号）相符性分析</w:t>
            </w:r>
          </w:p>
          <w:p w14:paraId="4DF556DD">
            <w:pPr>
              <w:pStyle w:val="50"/>
              <w:ind w:firstLine="480"/>
              <w:rPr>
                <w:color w:val="auto"/>
              </w:rPr>
            </w:pPr>
            <w:r>
              <w:rPr>
                <w:color w:val="auto"/>
              </w:rPr>
              <w:t>根据</w:t>
            </w:r>
            <w:r>
              <w:rPr>
                <w:rFonts w:hint="eastAsia"/>
                <w:color w:val="auto"/>
              </w:rPr>
              <w:t>《推动长江经济带发展领导小组办公室关于印发〈长江经济带发展负面清单指南（试行，2022年版）〉的通知》</w:t>
            </w:r>
            <w:r>
              <w:rPr>
                <w:color w:val="auto"/>
              </w:rPr>
              <w:t>（长江办〔2022〕17号）</w:t>
            </w:r>
            <w:r>
              <w:rPr>
                <w:rFonts w:hint="eastAsia"/>
                <w:color w:val="auto"/>
                <w:lang w:eastAsia="zh-CN"/>
              </w:rPr>
              <w:t>、</w:t>
            </w:r>
            <w:r>
              <w:rPr>
                <w:color w:val="auto"/>
              </w:rPr>
              <w:t>《</w:t>
            </w:r>
            <w:r>
              <w:rPr>
                <w:rFonts w:hint="eastAsia"/>
                <w:color w:val="auto"/>
              </w:rPr>
              <w:t>江苏省生态环境厅关于进一步做好建设项目环评审批工作的通知</w:t>
            </w:r>
            <w:r>
              <w:rPr>
                <w:color w:val="auto"/>
              </w:rPr>
              <w:t>》（</w:t>
            </w:r>
            <w:r>
              <w:rPr>
                <w:rFonts w:hint="eastAsia"/>
                <w:color w:val="auto"/>
              </w:rPr>
              <w:t>苏</w:t>
            </w:r>
            <w:r>
              <w:rPr>
                <w:color w:val="auto"/>
              </w:rPr>
              <w:t>环办〔20</w:t>
            </w:r>
            <w:r>
              <w:rPr>
                <w:rFonts w:hint="eastAsia"/>
                <w:color w:val="auto"/>
              </w:rPr>
              <w:t>19</w:t>
            </w:r>
            <w:r>
              <w:rPr>
                <w:color w:val="auto"/>
              </w:rPr>
              <w:t>〕</w:t>
            </w:r>
            <w:r>
              <w:rPr>
                <w:rFonts w:hint="eastAsia"/>
                <w:color w:val="auto"/>
              </w:rPr>
              <w:t>36</w:t>
            </w:r>
            <w:r>
              <w:rPr>
                <w:color w:val="auto"/>
              </w:rPr>
              <w:t>号），本</w:t>
            </w:r>
            <w:r>
              <w:rPr>
                <w:rFonts w:hint="eastAsia"/>
                <w:color w:val="auto"/>
              </w:rPr>
              <w:t>扩建</w:t>
            </w:r>
            <w:r>
              <w:rPr>
                <w:color w:val="auto"/>
              </w:rPr>
              <w:t>项目相符性</w:t>
            </w:r>
            <w:r>
              <w:rPr>
                <w:rFonts w:hint="eastAsia"/>
                <w:color w:val="auto"/>
              </w:rPr>
              <w:t>分析详</w:t>
            </w:r>
            <w:r>
              <w:rPr>
                <w:color w:val="auto"/>
              </w:rPr>
              <w:t>见</w:t>
            </w:r>
            <w:r>
              <w:rPr>
                <w:color w:val="auto"/>
              </w:rPr>
              <w:fldChar w:fldCharType="begin"/>
            </w:r>
            <w:r>
              <w:rPr>
                <w:color w:val="auto"/>
              </w:rPr>
              <w:instrText xml:space="preserve"> REF _Ref10084 \h </w:instrText>
            </w:r>
            <w:r>
              <w:rPr>
                <w:color w:val="auto"/>
              </w:rPr>
              <w:fldChar w:fldCharType="separate"/>
            </w:r>
            <w:r>
              <w:rPr>
                <w:color w:val="auto"/>
              </w:rPr>
              <w:t>表1- 8</w:t>
            </w:r>
            <w:r>
              <w:rPr>
                <w:color w:val="auto"/>
              </w:rPr>
              <w:fldChar w:fldCharType="end"/>
            </w:r>
            <w:r>
              <w:rPr>
                <w:color w:val="auto"/>
              </w:rPr>
              <w:t>。</w:t>
            </w:r>
          </w:p>
          <w:p w14:paraId="75EF3CDD">
            <w:pPr>
              <w:pStyle w:val="7"/>
              <w:rPr>
                <w:color w:val="auto"/>
              </w:rPr>
            </w:pPr>
            <w:bookmarkStart w:id="19" w:name="_Ref10084"/>
            <w:r>
              <w:rPr>
                <w:color w:val="auto"/>
              </w:rPr>
              <w:t xml:space="preserve">表1- </w:t>
            </w:r>
            <w:r>
              <w:rPr>
                <w:color w:val="auto"/>
              </w:rPr>
              <w:fldChar w:fldCharType="begin"/>
            </w:r>
            <w:r>
              <w:rPr>
                <w:color w:val="auto"/>
              </w:rPr>
              <w:instrText xml:space="preserve"> SEQ 表1- \* ARABIC </w:instrText>
            </w:r>
            <w:r>
              <w:rPr>
                <w:color w:val="auto"/>
              </w:rPr>
              <w:fldChar w:fldCharType="separate"/>
            </w:r>
            <w:r>
              <w:rPr>
                <w:color w:val="auto"/>
              </w:rPr>
              <w:t>8</w:t>
            </w:r>
            <w:r>
              <w:rPr>
                <w:color w:val="auto"/>
              </w:rPr>
              <w:fldChar w:fldCharType="end"/>
            </w:r>
            <w:bookmarkEnd w:id="19"/>
            <w:r>
              <w:rPr>
                <w:color w:val="auto"/>
              </w:rPr>
              <w:t xml:space="preserve"> </w:t>
            </w:r>
            <w:r>
              <w:rPr>
                <w:rFonts w:hint="eastAsia"/>
                <w:color w:val="auto"/>
              </w:rPr>
              <w:t>项目</w:t>
            </w:r>
            <w:r>
              <w:rPr>
                <w:color w:val="auto"/>
              </w:rPr>
              <w:t>与</w:t>
            </w:r>
            <w:r>
              <w:rPr>
                <w:rFonts w:hint="eastAsia"/>
                <w:color w:val="auto"/>
              </w:rPr>
              <w:t>“</w:t>
            </w:r>
            <w:r>
              <w:rPr>
                <w:color w:val="auto"/>
              </w:rPr>
              <w:t>长江办〔2022〕17号</w:t>
            </w:r>
            <w:r>
              <w:rPr>
                <w:rFonts w:hint="eastAsia"/>
                <w:color w:val="auto"/>
              </w:rPr>
              <w:t>”和“苏</w:t>
            </w:r>
            <w:r>
              <w:rPr>
                <w:color w:val="auto"/>
              </w:rPr>
              <w:t>环办〔20</w:t>
            </w:r>
            <w:r>
              <w:rPr>
                <w:rFonts w:hint="eastAsia"/>
                <w:color w:val="auto"/>
              </w:rPr>
              <w:t>19</w:t>
            </w:r>
            <w:r>
              <w:rPr>
                <w:color w:val="auto"/>
              </w:rPr>
              <w:t>〕</w:t>
            </w:r>
            <w:r>
              <w:rPr>
                <w:rFonts w:hint="eastAsia"/>
                <w:color w:val="auto"/>
              </w:rPr>
              <w:t>36</w:t>
            </w:r>
            <w:r>
              <w:rPr>
                <w:color w:val="auto"/>
              </w:rPr>
              <w:t>号</w:t>
            </w:r>
            <w:r>
              <w:rPr>
                <w:rFonts w:hint="eastAsia"/>
                <w:color w:val="auto"/>
              </w:rPr>
              <w:t>”</w:t>
            </w:r>
            <w:r>
              <w:rPr>
                <w:color w:val="auto"/>
              </w:rPr>
              <w:t>相符性分析</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3"/>
              <w:gridCol w:w="3495"/>
              <w:gridCol w:w="3495"/>
              <w:gridCol w:w="668"/>
            </w:tblGrid>
            <w:tr w14:paraId="44B3E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 w:hRule="atLeast"/>
                <w:jc w:val="center"/>
              </w:trPr>
              <w:tc>
                <w:tcPr>
                  <w:tcW w:w="285" w:type="pct"/>
                  <w:vAlign w:val="center"/>
                </w:tcPr>
                <w:p w14:paraId="54BFBE52">
                  <w:pPr>
                    <w:pStyle w:val="52"/>
                    <w:rPr>
                      <w:color w:val="auto"/>
                    </w:rPr>
                  </w:pPr>
                  <w:r>
                    <w:rPr>
                      <w:color w:val="auto"/>
                    </w:rPr>
                    <w:t>序号</w:t>
                  </w:r>
                </w:p>
              </w:tc>
              <w:tc>
                <w:tcPr>
                  <w:tcW w:w="2152" w:type="pct"/>
                  <w:vAlign w:val="center"/>
                </w:tcPr>
                <w:p w14:paraId="74963753">
                  <w:pPr>
                    <w:pStyle w:val="52"/>
                    <w:rPr>
                      <w:color w:val="auto"/>
                    </w:rPr>
                  </w:pPr>
                  <w:r>
                    <w:rPr>
                      <w:rFonts w:hint="eastAsia"/>
                      <w:color w:val="auto"/>
                    </w:rPr>
                    <w:t>文件要求</w:t>
                  </w:r>
                </w:p>
              </w:tc>
              <w:tc>
                <w:tcPr>
                  <w:tcW w:w="2152" w:type="pct"/>
                  <w:vAlign w:val="center"/>
                </w:tcPr>
                <w:p w14:paraId="58285153">
                  <w:pPr>
                    <w:pStyle w:val="52"/>
                    <w:rPr>
                      <w:color w:val="auto"/>
                    </w:rPr>
                  </w:pPr>
                  <w:r>
                    <w:rPr>
                      <w:color w:val="auto"/>
                    </w:rPr>
                    <w:t>本扩建</w:t>
                  </w:r>
                  <w:r>
                    <w:rPr>
                      <w:rFonts w:hint="eastAsia"/>
                      <w:color w:val="auto"/>
                    </w:rPr>
                    <w:t>项目情况</w:t>
                  </w:r>
                </w:p>
              </w:tc>
              <w:tc>
                <w:tcPr>
                  <w:tcW w:w="410" w:type="pct"/>
                  <w:vAlign w:val="center"/>
                </w:tcPr>
                <w:p w14:paraId="633C151D">
                  <w:pPr>
                    <w:pStyle w:val="52"/>
                    <w:rPr>
                      <w:color w:val="auto"/>
                    </w:rPr>
                  </w:pPr>
                  <w:r>
                    <w:rPr>
                      <w:color w:val="auto"/>
                    </w:rPr>
                    <w:t>相符性</w:t>
                  </w:r>
                </w:p>
              </w:tc>
            </w:tr>
            <w:tr w14:paraId="7290C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000" w:type="pct"/>
                  <w:gridSpan w:val="4"/>
                  <w:vAlign w:val="center"/>
                </w:tcPr>
                <w:p w14:paraId="5F742EB9">
                  <w:pPr>
                    <w:pStyle w:val="52"/>
                    <w:rPr>
                      <w:color w:val="auto"/>
                    </w:rPr>
                  </w:pPr>
                  <w:r>
                    <w:rPr>
                      <w:color w:val="auto"/>
                    </w:rPr>
                    <w:t>长江办〔2022〕17号</w:t>
                  </w:r>
                </w:p>
              </w:tc>
            </w:tr>
            <w:tr w14:paraId="52B0C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85" w:type="pct"/>
                  <w:vAlign w:val="center"/>
                </w:tcPr>
                <w:p w14:paraId="36FCCA26">
                  <w:pPr>
                    <w:pStyle w:val="54"/>
                    <w:rPr>
                      <w:color w:val="auto"/>
                    </w:rPr>
                  </w:pPr>
                  <w:r>
                    <w:rPr>
                      <w:rFonts w:hint="eastAsia"/>
                      <w:color w:val="auto"/>
                    </w:rPr>
                    <w:t>1</w:t>
                  </w:r>
                </w:p>
              </w:tc>
              <w:tc>
                <w:tcPr>
                  <w:tcW w:w="2152" w:type="pct"/>
                  <w:vAlign w:val="center"/>
                </w:tcPr>
                <w:p w14:paraId="0C9B79C3">
                  <w:pPr>
                    <w:pStyle w:val="54"/>
                    <w:jc w:val="both"/>
                    <w:rPr>
                      <w:color w:val="auto"/>
                    </w:rPr>
                  </w:pPr>
                  <w:r>
                    <w:rPr>
                      <w:color w:val="auto"/>
                    </w:rPr>
                    <w:t>禁止建设不符合全国和省级港口布局规划以及港口总体规划的码头项目，禁止建设不符合《长江干线过江通道布局规划》的过长江通道项目。</w:t>
                  </w:r>
                </w:p>
              </w:tc>
              <w:tc>
                <w:tcPr>
                  <w:tcW w:w="2152" w:type="pct"/>
                  <w:vAlign w:val="center"/>
                </w:tcPr>
                <w:p w14:paraId="24F59641">
                  <w:pPr>
                    <w:pStyle w:val="54"/>
                    <w:jc w:val="both"/>
                    <w:rPr>
                      <w:color w:val="auto"/>
                    </w:rPr>
                  </w:pPr>
                  <w:r>
                    <w:rPr>
                      <w:color w:val="auto"/>
                    </w:rPr>
                    <w:t>本扩建项目不涉及码头建设。</w:t>
                  </w:r>
                </w:p>
              </w:tc>
              <w:tc>
                <w:tcPr>
                  <w:tcW w:w="410" w:type="pct"/>
                  <w:vAlign w:val="center"/>
                </w:tcPr>
                <w:p w14:paraId="40B6AE8A">
                  <w:pPr>
                    <w:pStyle w:val="54"/>
                    <w:rPr>
                      <w:color w:val="auto"/>
                    </w:rPr>
                  </w:pPr>
                  <w:r>
                    <w:rPr>
                      <w:rFonts w:hint="eastAsia"/>
                      <w:color w:val="auto"/>
                    </w:rPr>
                    <w:t>相符</w:t>
                  </w:r>
                </w:p>
              </w:tc>
            </w:tr>
            <w:tr w14:paraId="4469A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85" w:type="pct"/>
                  <w:vAlign w:val="center"/>
                </w:tcPr>
                <w:p w14:paraId="47F53D6A">
                  <w:pPr>
                    <w:pStyle w:val="54"/>
                    <w:rPr>
                      <w:color w:val="auto"/>
                    </w:rPr>
                  </w:pPr>
                  <w:r>
                    <w:rPr>
                      <w:rFonts w:hint="eastAsia"/>
                      <w:color w:val="auto"/>
                    </w:rPr>
                    <w:t>2</w:t>
                  </w:r>
                </w:p>
              </w:tc>
              <w:tc>
                <w:tcPr>
                  <w:tcW w:w="2152" w:type="pct"/>
                  <w:vAlign w:val="center"/>
                </w:tcPr>
                <w:p w14:paraId="75CA9086">
                  <w:pPr>
                    <w:pStyle w:val="54"/>
                    <w:jc w:val="both"/>
                    <w:rPr>
                      <w:color w:val="auto"/>
                    </w:rPr>
                  </w:pPr>
                  <w:r>
                    <w:rPr>
                      <w:color w:val="auto"/>
                    </w:rPr>
                    <w:t>禁止在自然保护区核心区、缓冲区的岸线和河段范围内投资建设旅游和生产经营项目。禁止在风景名胜区核心景区的岸线和河段范围内投资建设与风景名胜资源保护无关的项目。</w:t>
                  </w:r>
                </w:p>
              </w:tc>
              <w:tc>
                <w:tcPr>
                  <w:tcW w:w="2152" w:type="pct"/>
                  <w:vMerge w:val="restart"/>
                  <w:vAlign w:val="center"/>
                </w:tcPr>
                <w:p w14:paraId="174DE3DA">
                  <w:pPr>
                    <w:pStyle w:val="54"/>
                    <w:jc w:val="both"/>
                    <w:rPr>
                      <w:color w:val="auto"/>
                    </w:rPr>
                  </w:pPr>
                  <w:r>
                    <w:rPr>
                      <w:color w:val="auto"/>
                    </w:rPr>
                    <w:t>本扩建项目位于</w:t>
                  </w:r>
                  <w:r>
                    <w:rPr>
                      <w:rFonts w:hint="eastAsia"/>
                      <w:color w:val="auto"/>
                    </w:rPr>
                    <w:t>宿迁市泗阳县王集镇发展大道8号</w:t>
                  </w:r>
                  <w:r>
                    <w:rPr>
                      <w:color w:val="auto"/>
                    </w:rPr>
                    <w:t>，用地性质为工业用地，不在自然保护区核心区、缓冲区、风景名胜区、饮用水源保护区、水产种质资源保护区、水产种质资源保护区</w:t>
                  </w:r>
                  <w:r>
                    <w:rPr>
                      <w:rFonts w:hint="eastAsia"/>
                      <w:color w:val="auto"/>
                    </w:rPr>
                    <w:t>、</w:t>
                  </w:r>
                  <w:r>
                    <w:rPr>
                      <w:color w:val="auto"/>
                    </w:rPr>
                    <w:t>国家湿地公园</w:t>
                  </w:r>
                  <w:r>
                    <w:rPr>
                      <w:rFonts w:hint="eastAsia"/>
                      <w:color w:val="auto"/>
                    </w:rPr>
                    <w:t>的岸线和河段范围内</w:t>
                  </w:r>
                  <w:r>
                    <w:rPr>
                      <w:color w:val="auto"/>
                    </w:rPr>
                    <w:t>。</w:t>
                  </w:r>
                </w:p>
              </w:tc>
              <w:tc>
                <w:tcPr>
                  <w:tcW w:w="410" w:type="pct"/>
                  <w:vAlign w:val="center"/>
                </w:tcPr>
                <w:p w14:paraId="0FB96EE8">
                  <w:pPr>
                    <w:pStyle w:val="54"/>
                    <w:rPr>
                      <w:color w:val="auto"/>
                    </w:rPr>
                  </w:pPr>
                  <w:r>
                    <w:rPr>
                      <w:rFonts w:hint="eastAsia"/>
                      <w:color w:val="auto"/>
                    </w:rPr>
                    <w:t>相符</w:t>
                  </w:r>
                </w:p>
              </w:tc>
            </w:tr>
            <w:tr w14:paraId="12E5EE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85" w:type="pct"/>
                  <w:vAlign w:val="center"/>
                </w:tcPr>
                <w:p w14:paraId="118E0DCE">
                  <w:pPr>
                    <w:pStyle w:val="54"/>
                    <w:rPr>
                      <w:color w:val="auto"/>
                    </w:rPr>
                  </w:pPr>
                  <w:r>
                    <w:rPr>
                      <w:rFonts w:hint="eastAsia"/>
                      <w:color w:val="auto"/>
                    </w:rPr>
                    <w:t>3</w:t>
                  </w:r>
                </w:p>
              </w:tc>
              <w:tc>
                <w:tcPr>
                  <w:tcW w:w="2152" w:type="pct"/>
                  <w:vAlign w:val="center"/>
                </w:tcPr>
                <w:p w14:paraId="0A21DE93">
                  <w:pPr>
                    <w:pStyle w:val="54"/>
                    <w:jc w:val="both"/>
                    <w:rPr>
                      <w:color w:val="auto"/>
                    </w:rPr>
                  </w:pPr>
                  <w:r>
                    <w:rPr>
                      <w:color w:val="auto"/>
                    </w:rPr>
                    <w:t>禁止在饮用水水源一级保护区的岸线和河段范围内新建、改建、扩建与供水设施和保护水源无关的项目，以及网箱养殖、畜禽养殖、旅游等可能污染饮用水水体的投资建设项目。禁止在饮用水水源二级保护区的岸线和河段范围内新建、改建、扩建排放污染物的投资建设项目。</w:t>
                  </w:r>
                </w:p>
              </w:tc>
              <w:tc>
                <w:tcPr>
                  <w:tcW w:w="2152" w:type="pct"/>
                  <w:vMerge w:val="continue"/>
                  <w:vAlign w:val="center"/>
                </w:tcPr>
                <w:p w14:paraId="093E9870">
                  <w:pPr>
                    <w:pStyle w:val="54"/>
                    <w:rPr>
                      <w:color w:val="auto"/>
                    </w:rPr>
                  </w:pPr>
                </w:p>
              </w:tc>
              <w:tc>
                <w:tcPr>
                  <w:tcW w:w="410" w:type="pct"/>
                  <w:vAlign w:val="center"/>
                </w:tcPr>
                <w:p w14:paraId="17D7FB59">
                  <w:pPr>
                    <w:pStyle w:val="54"/>
                    <w:rPr>
                      <w:color w:val="auto"/>
                    </w:rPr>
                  </w:pPr>
                  <w:r>
                    <w:rPr>
                      <w:rFonts w:hint="eastAsia"/>
                      <w:color w:val="auto"/>
                    </w:rPr>
                    <w:t>相符</w:t>
                  </w:r>
                </w:p>
              </w:tc>
            </w:tr>
            <w:tr w14:paraId="048B2A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85" w:type="pct"/>
                  <w:vAlign w:val="center"/>
                </w:tcPr>
                <w:p w14:paraId="06CDFF19">
                  <w:pPr>
                    <w:pStyle w:val="54"/>
                    <w:rPr>
                      <w:color w:val="auto"/>
                    </w:rPr>
                  </w:pPr>
                  <w:r>
                    <w:rPr>
                      <w:rFonts w:hint="eastAsia"/>
                      <w:color w:val="auto"/>
                    </w:rPr>
                    <w:t>4</w:t>
                  </w:r>
                </w:p>
              </w:tc>
              <w:tc>
                <w:tcPr>
                  <w:tcW w:w="2152" w:type="pct"/>
                  <w:vAlign w:val="center"/>
                </w:tcPr>
                <w:p w14:paraId="72008B72">
                  <w:pPr>
                    <w:pStyle w:val="54"/>
                    <w:jc w:val="both"/>
                    <w:rPr>
                      <w:color w:val="auto"/>
                    </w:rPr>
                  </w:pPr>
                  <w:r>
                    <w:rPr>
                      <w:color w:val="auto"/>
                    </w:rPr>
                    <w:t>禁止在水产种质资源保护区的岸线和河段范围内新建围湖造田、围海造地或围填海等投资建设项目。禁止在国家湿地公园的岸线和河段范围内挖沙、采矿，以及任何不符合主体功能定位的投资建设项目。</w:t>
                  </w:r>
                </w:p>
              </w:tc>
              <w:tc>
                <w:tcPr>
                  <w:tcW w:w="2152" w:type="pct"/>
                  <w:vMerge w:val="continue"/>
                  <w:vAlign w:val="center"/>
                </w:tcPr>
                <w:p w14:paraId="5E33F6A9">
                  <w:pPr>
                    <w:pStyle w:val="54"/>
                    <w:rPr>
                      <w:color w:val="auto"/>
                    </w:rPr>
                  </w:pPr>
                </w:p>
              </w:tc>
              <w:tc>
                <w:tcPr>
                  <w:tcW w:w="410" w:type="pct"/>
                  <w:vAlign w:val="center"/>
                </w:tcPr>
                <w:p w14:paraId="79FDE9DF">
                  <w:pPr>
                    <w:pStyle w:val="54"/>
                    <w:rPr>
                      <w:color w:val="auto"/>
                    </w:rPr>
                  </w:pPr>
                  <w:r>
                    <w:rPr>
                      <w:rFonts w:hint="eastAsia"/>
                      <w:color w:val="auto"/>
                    </w:rPr>
                    <w:t>相符</w:t>
                  </w:r>
                </w:p>
              </w:tc>
            </w:tr>
            <w:tr w14:paraId="4766B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85" w:type="pct"/>
                  <w:vAlign w:val="center"/>
                </w:tcPr>
                <w:p w14:paraId="74087347">
                  <w:pPr>
                    <w:pStyle w:val="54"/>
                    <w:rPr>
                      <w:color w:val="auto"/>
                    </w:rPr>
                  </w:pPr>
                  <w:r>
                    <w:rPr>
                      <w:rFonts w:hint="eastAsia"/>
                      <w:color w:val="auto"/>
                    </w:rPr>
                    <w:t>5</w:t>
                  </w:r>
                </w:p>
              </w:tc>
              <w:tc>
                <w:tcPr>
                  <w:tcW w:w="2152" w:type="pct"/>
                  <w:vAlign w:val="center"/>
                </w:tcPr>
                <w:p w14:paraId="524B82C6">
                  <w:pPr>
                    <w:pStyle w:val="54"/>
                    <w:jc w:val="both"/>
                    <w:rPr>
                      <w:color w:val="auto"/>
                    </w:rPr>
                  </w:pPr>
                  <w:r>
                    <w:rPr>
                      <w:color w:val="auto"/>
                    </w:rPr>
                    <w:t>禁止违法利用、占用长江流域河湖岸线。禁止在《长江岸线保护和开发利用总体规划》划定的岸线保护区和保留区内投资建设除事关公共安全及公众利益的防洪护岸、河道治理、供水、生态环境保护、航道整治、国家重要基础设施以外的项目。禁止在《全国重要江河湖泊水功能区划》划定的河段及湖泊保护区、保留区内投资建设不利于水资源及自然生态保护的项目。</w:t>
                  </w:r>
                </w:p>
              </w:tc>
              <w:tc>
                <w:tcPr>
                  <w:tcW w:w="2152" w:type="pct"/>
                  <w:vAlign w:val="center"/>
                </w:tcPr>
                <w:p w14:paraId="4E995ABD">
                  <w:pPr>
                    <w:pStyle w:val="54"/>
                    <w:jc w:val="both"/>
                    <w:rPr>
                      <w:color w:val="auto"/>
                    </w:rPr>
                  </w:pPr>
                  <w:r>
                    <w:rPr>
                      <w:color w:val="auto"/>
                    </w:rPr>
                    <w:t>本扩建项目未利用、占用长江流域河湖岸线</w:t>
                  </w:r>
                  <w:r>
                    <w:rPr>
                      <w:rFonts w:hint="eastAsia"/>
                      <w:color w:val="auto"/>
                    </w:rPr>
                    <w:t>，不在</w:t>
                  </w:r>
                  <w:r>
                    <w:rPr>
                      <w:color w:val="auto"/>
                    </w:rPr>
                    <w:t>划定的岸线保护区和保留区内</w:t>
                  </w:r>
                  <w:r>
                    <w:rPr>
                      <w:rFonts w:hint="eastAsia"/>
                      <w:color w:val="auto"/>
                    </w:rPr>
                    <w:t>和</w:t>
                  </w:r>
                  <w:r>
                    <w:rPr>
                      <w:color w:val="auto"/>
                    </w:rPr>
                    <w:t>划定的河段及湖泊保护区、保留区内</w:t>
                  </w:r>
                  <w:r>
                    <w:rPr>
                      <w:rFonts w:hint="eastAsia"/>
                      <w:color w:val="auto"/>
                    </w:rPr>
                    <w:t>。</w:t>
                  </w:r>
                </w:p>
              </w:tc>
              <w:tc>
                <w:tcPr>
                  <w:tcW w:w="410" w:type="pct"/>
                  <w:vAlign w:val="center"/>
                </w:tcPr>
                <w:p w14:paraId="29400AC5">
                  <w:pPr>
                    <w:pStyle w:val="54"/>
                    <w:rPr>
                      <w:color w:val="auto"/>
                    </w:rPr>
                  </w:pPr>
                  <w:r>
                    <w:rPr>
                      <w:rFonts w:hint="eastAsia"/>
                      <w:color w:val="auto"/>
                    </w:rPr>
                    <w:t>相符</w:t>
                  </w:r>
                </w:p>
              </w:tc>
            </w:tr>
            <w:tr w14:paraId="2C5BAD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85" w:type="pct"/>
                  <w:vAlign w:val="center"/>
                </w:tcPr>
                <w:p w14:paraId="30023605">
                  <w:pPr>
                    <w:pStyle w:val="54"/>
                    <w:rPr>
                      <w:color w:val="auto"/>
                    </w:rPr>
                  </w:pPr>
                  <w:r>
                    <w:rPr>
                      <w:rFonts w:hint="eastAsia"/>
                      <w:color w:val="auto"/>
                    </w:rPr>
                    <w:t>6</w:t>
                  </w:r>
                </w:p>
              </w:tc>
              <w:tc>
                <w:tcPr>
                  <w:tcW w:w="2152" w:type="pct"/>
                  <w:vAlign w:val="center"/>
                </w:tcPr>
                <w:p w14:paraId="6AFA2737">
                  <w:pPr>
                    <w:pStyle w:val="54"/>
                    <w:jc w:val="both"/>
                    <w:rPr>
                      <w:color w:val="auto"/>
                    </w:rPr>
                  </w:pPr>
                  <w:r>
                    <w:rPr>
                      <w:color w:val="auto"/>
                    </w:rPr>
                    <w:t>禁止未经许可在长江干支流及湖泊新设、改设或扩大排污口。</w:t>
                  </w:r>
                </w:p>
              </w:tc>
              <w:tc>
                <w:tcPr>
                  <w:tcW w:w="2152" w:type="pct"/>
                  <w:vAlign w:val="center"/>
                </w:tcPr>
                <w:p w14:paraId="665C0CB0">
                  <w:pPr>
                    <w:pStyle w:val="54"/>
                    <w:jc w:val="both"/>
                    <w:rPr>
                      <w:color w:val="auto"/>
                    </w:rPr>
                  </w:pPr>
                  <w:r>
                    <w:rPr>
                      <w:rFonts w:hint="eastAsia"/>
                      <w:color w:val="auto"/>
                    </w:rPr>
                    <w:t>本扩建项目依托现有排污口，不涉及新设、改设和扩大排污口。</w:t>
                  </w:r>
                </w:p>
              </w:tc>
              <w:tc>
                <w:tcPr>
                  <w:tcW w:w="410" w:type="pct"/>
                  <w:vAlign w:val="center"/>
                </w:tcPr>
                <w:p w14:paraId="41093B2E">
                  <w:pPr>
                    <w:pStyle w:val="54"/>
                    <w:rPr>
                      <w:color w:val="auto"/>
                    </w:rPr>
                  </w:pPr>
                  <w:r>
                    <w:rPr>
                      <w:rFonts w:hint="eastAsia"/>
                      <w:color w:val="auto"/>
                    </w:rPr>
                    <w:t>相符</w:t>
                  </w:r>
                </w:p>
              </w:tc>
            </w:tr>
            <w:tr w14:paraId="5E540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85" w:type="pct"/>
                  <w:vAlign w:val="center"/>
                </w:tcPr>
                <w:p w14:paraId="05CFC918">
                  <w:pPr>
                    <w:pStyle w:val="54"/>
                    <w:rPr>
                      <w:color w:val="auto"/>
                    </w:rPr>
                  </w:pPr>
                  <w:r>
                    <w:rPr>
                      <w:rFonts w:hint="eastAsia"/>
                      <w:color w:val="auto"/>
                    </w:rPr>
                    <w:t>7</w:t>
                  </w:r>
                </w:p>
              </w:tc>
              <w:tc>
                <w:tcPr>
                  <w:tcW w:w="2152" w:type="pct"/>
                  <w:vAlign w:val="center"/>
                </w:tcPr>
                <w:p w14:paraId="60B99FAE">
                  <w:pPr>
                    <w:pStyle w:val="54"/>
                    <w:jc w:val="both"/>
                    <w:rPr>
                      <w:color w:val="auto"/>
                    </w:rPr>
                  </w:pPr>
                  <w:r>
                    <w:rPr>
                      <w:color w:val="auto"/>
                    </w:rPr>
                    <w:t>禁止在“一江一口两湖七河”和332个水生生物保护区开展生产性捕捞</w:t>
                  </w:r>
                  <w:r>
                    <w:rPr>
                      <w:rFonts w:hint="eastAsia"/>
                      <w:color w:val="auto"/>
                    </w:rPr>
                    <w:t>。</w:t>
                  </w:r>
                </w:p>
              </w:tc>
              <w:tc>
                <w:tcPr>
                  <w:tcW w:w="2152" w:type="pct"/>
                  <w:vAlign w:val="center"/>
                </w:tcPr>
                <w:p w14:paraId="4A3A2913">
                  <w:pPr>
                    <w:pStyle w:val="54"/>
                    <w:jc w:val="both"/>
                    <w:rPr>
                      <w:color w:val="auto"/>
                    </w:rPr>
                  </w:pPr>
                  <w:r>
                    <w:rPr>
                      <w:rFonts w:hint="eastAsia"/>
                      <w:color w:val="auto"/>
                    </w:rPr>
                    <w:t>本扩建项目不在</w:t>
                  </w:r>
                  <w:r>
                    <w:rPr>
                      <w:color w:val="auto"/>
                    </w:rPr>
                    <w:t>“一江一口两湖七河”和332个水生生物保护区</w:t>
                  </w:r>
                  <w:r>
                    <w:rPr>
                      <w:rFonts w:hint="eastAsia"/>
                      <w:color w:val="auto"/>
                    </w:rPr>
                    <w:t>内。</w:t>
                  </w:r>
                </w:p>
              </w:tc>
              <w:tc>
                <w:tcPr>
                  <w:tcW w:w="410" w:type="pct"/>
                  <w:vAlign w:val="center"/>
                </w:tcPr>
                <w:p w14:paraId="19847AC6">
                  <w:pPr>
                    <w:pStyle w:val="54"/>
                    <w:rPr>
                      <w:color w:val="auto"/>
                    </w:rPr>
                  </w:pPr>
                  <w:r>
                    <w:rPr>
                      <w:rFonts w:hint="eastAsia"/>
                      <w:color w:val="auto"/>
                    </w:rPr>
                    <w:t>相符</w:t>
                  </w:r>
                </w:p>
              </w:tc>
            </w:tr>
            <w:tr w14:paraId="380E4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85" w:type="pct"/>
                  <w:vAlign w:val="center"/>
                </w:tcPr>
                <w:p w14:paraId="74C38C87">
                  <w:pPr>
                    <w:pStyle w:val="54"/>
                    <w:rPr>
                      <w:color w:val="auto"/>
                    </w:rPr>
                  </w:pPr>
                  <w:r>
                    <w:rPr>
                      <w:rFonts w:hint="eastAsia"/>
                      <w:color w:val="auto"/>
                    </w:rPr>
                    <w:t>8</w:t>
                  </w:r>
                </w:p>
              </w:tc>
              <w:tc>
                <w:tcPr>
                  <w:tcW w:w="2152" w:type="pct"/>
                  <w:vAlign w:val="center"/>
                </w:tcPr>
                <w:p w14:paraId="76D97AC1">
                  <w:pPr>
                    <w:pStyle w:val="54"/>
                    <w:jc w:val="both"/>
                    <w:rPr>
                      <w:color w:val="auto"/>
                    </w:rPr>
                  </w:pPr>
                  <w:r>
                    <w:rPr>
                      <w:color w:val="auto"/>
                    </w:rPr>
                    <w:t>禁止在长江干支流、重要湖泊岸线一公里范围内新建、扩建化工园区和化工项目。禁止在长江干流岸线三公里范围内和重要支流岸线一公里范围内新建、改建、扩建尾矿库、冶炼渣库和磷石膏库，以提升安全、生态环境保护水平为目的的改建除外。</w:t>
                  </w:r>
                </w:p>
              </w:tc>
              <w:tc>
                <w:tcPr>
                  <w:tcW w:w="2152" w:type="pct"/>
                  <w:vAlign w:val="center"/>
                </w:tcPr>
                <w:p w14:paraId="0AEE0EAA">
                  <w:pPr>
                    <w:pStyle w:val="54"/>
                    <w:jc w:val="both"/>
                    <w:rPr>
                      <w:color w:val="auto"/>
                    </w:rPr>
                  </w:pPr>
                  <w:r>
                    <w:rPr>
                      <w:rFonts w:hint="eastAsia"/>
                      <w:color w:val="auto"/>
                    </w:rPr>
                    <w:t>本扩建项目不在长江支流、重要湖泊岸线一公里范围内，</w:t>
                  </w:r>
                  <w:r>
                    <w:rPr>
                      <w:color w:val="auto"/>
                    </w:rPr>
                    <w:t>长江干流岸线三公里范围内和重要支流岸线一公里范围内</w:t>
                  </w:r>
                  <w:r>
                    <w:rPr>
                      <w:rFonts w:hint="eastAsia"/>
                      <w:color w:val="auto"/>
                    </w:rPr>
                    <w:t>。</w:t>
                  </w:r>
                </w:p>
              </w:tc>
              <w:tc>
                <w:tcPr>
                  <w:tcW w:w="410" w:type="pct"/>
                  <w:vAlign w:val="center"/>
                </w:tcPr>
                <w:p w14:paraId="274D2894">
                  <w:pPr>
                    <w:pStyle w:val="54"/>
                    <w:rPr>
                      <w:color w:val="auto"/>
                    </w:rPr>
                  </w:pPr>
                  <w:r>
                    <w:rPr>
                      <w:rFonts w:hint="eastAsia"/>
                      <w:color w:val="auto"/>
                    </w:rPr>
                    <w:t>相符</w:t>
                  </w:r>
                </w:p>
              </w:tc>
            </w:tr>
            <w:tr w14:paraId="30E04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85" w:type="pct"/>
                  <w:vAlign w:val="center"/>
                </w:tcPr>
                <w:p w14:paraId="687E048A">
                  <w:pPr>
                    <w:pStyle w:val="54"/>
                    <w:rPr>
                      <w:color w:val="auto"/>
                    </w:rPr>
                  </w:pPr>
                  <w:r>
                    <w:rPr>
                      <w:rFonts w:hint="eastAsia"/>
                      <w:color w:val="auto"/>
                    </w:rPr>
                    <w:t>9</w:t>
                  </w:r>
                </w:p>
              </w:tc>
              <w:tc>
                <w:tcPr>
                  <w:tcW w:w="2152" w:type="pct"/>
                  <w:vAlign w:val="center"/>
                </w:tcPr>
                <w:p w14:paraId="2C533B94">
                  <w:pPr>
                    <w:pStyle w:val="54"/>
                    <w:jc w:val="both"/>
                    <w:rPr>
                      <w:color w:val="auto"/>
                    </w:rPr>
                  </w:pPr>
                  <w:r>
                    <w:rPr>
                      <w:color w:val="auto"/>
                    </w:rPr>
                    <w:t>禁止在合规园区外新建、扩建钢铁、石化、化工、焦化、建材、有色、制浆造纸等高污染项目。</w:t>
                  </w:r>
                </w:p>
              </w:tc>
              <w:tc>
                <w:tcPr>
                  <w:tcW w:w="2152" w:type="pct"/>
                  <w:vAlign w:val="center"/>
                </w:tcPr>
                <w:p w14:paraId="00C2C1AC">
                  <w:pPr>
                    <w:pStyle w:val="54"/>
                    <w:jc w:val="both"/>
                    <w:rPr>
                      <w:color w:val="auto"/>
                    </w:rPr>
                  </w:pPr>
                  <w:r>
                    <w:rPr>
                      <w:rFonts w:hint="eastAsia"/>
                      <w:color w:val="auto"/>
                    </w:rPr>
                    <w:t>本扩建项目不属于</w:t>
                  </w:r>
                  <w:r>
                    <w:rPr>
                      <w:color w:val="auto"/>
                    </w:rPr>
                    <w:t>钢铁、石化、化工、焦化、建材、有色、制浆造纸等高污染项目。</w:t>
                  </w:r>
                </w:p>
              </w:tc>
              <w:tc>
                <w:tcPr>
                  <w:tcW w:w="410" w:type="pct"/>
                  <w:vAlign w:val="center"/>
                </w:tcPr>
                <w:p w14:paraId="118E2838">
                  <w:pPr>
                    <w:pStyle w:val="54"/>
                    <w:rPr>
                      <w:color w:val="auto"/>
                    </w:rPr>
                  </w:pPr>
                  <w:r>
                    <w:rPr>
                      <w:rFonts w:hint="eastAsia"/>
                      <w:color w:val="auto"/>
                    </w:rPr>
                    <w:t>相符</w:t>
                  </w:r>
                </w:p>
              </w:tc>
            </w:tr>
            <w:tr w14:paraId="437DB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85" w:type="pct"/>
                  <w:vAlign w:val="center"/>
                </w:tcPr>
                <w:p w14:paraId="5BEAC8BE">
                  <w:pPr>
                    <w:pStyle w:val="54"/>
                    <w:rPr>
                      <w:color w:val="auto"/>
                    </w:rPr>
                  </w:pPr>
                  <w:r>
                    <w:rPr>
                      <w:rFonts w:hint="eastAsia"/>
                      <w:color w:val="auto"/>
                    </w:rPr>
                    <w:t>10</w:t>
                  </w:r>
                </w:p>
              </w:tc>
              <w:tc>
                <w:tcPr>
                  <w:tcW w:w="2152" w:type="pct"/>
                  <w:vAlign w:val="center"/>
                </w:tcPr>
                <w:p w14:paraId="317AD01C">
                  <w:pPr>
                    <w:pStyle w:val="54"/>
                    <w:jc w:val="both"/>
                    <w:rPr>
                      <w:color w:val="auto"/>
                    </w:rPr>
                  </w:pPr>
                  <w:r>
                    <w:rPr>
                      <w:color w:val="auto"/>
                    </w:rPr>
                    <w:t>禁止新建、扩建不符合国家石化、现代煤化工等产业布局规划的项目。</w:t>
                  </w:r>
                </w:p>
              </w:tc>
              <w:tc>
                <w:tcPr>
                  <w:tcW w:w="2152" w:type="pct"/>
                  <w:vAlign w:val="center"/>
                </w:tcPr>
                <w:p w14:paraId="503890C3">
                  <w:pPr>
                    <w:pStyle w:val="54"/>
                    <w:jc w:val="both"/>
                    <w:rPr>
                      <w:color w:val="auto"/>
                    </w:rPr>
                  </w:pPr>
                  <w:r>
                    <w:rPr>
                      <w:rFonts w:hint="eastAsia"/>
                      <w:color w:val="auto"/>
                    </w:rPr>
                    <w:t>本扩建项目不属于国家石化、现代煤化等项目。</w:t>
                  </w:r>
                </w:p>
              </w:tc>
              <w:tc>
                <w:tcPr>
                  <w:tcW w:w="410" w:type="pct"/>
                  <w:vAlign w:val="center"/>
                </w:tcPr>
                <w:p w14:paraId="0F68E54E">
                  <w:pPr>
                    <w:pStyle w:val="54"/>
                    <w:rPr>
                      <w:color w:val="auto"/>
                    </w:rPr>
                  </w:pPr>
                  <w:r>
                    <w:rPr>
                      <w:rFonts w:hint="eastAsia"/>
                      <w:color w:val="auto"/>
                    </w:rPr>
                    <w:t>相符</w:t>
                  </w:r>
                </w:p>
              </w:tc>
            </w:tr>
            <w:tr w14:paraId="38CBA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85" w:type="pct"/>
                  <w:vAlign w:val="center"/>
                </w:tcPr>
                <w:p w14:paraId="4EFE804E">
                  <w:pPr>
                    <w:pStyle w:val="54"/>
                    <w:rPr>
                      <w:color w:val="auto"/>
                    </w:rPr>
                  </w:pPr>
                  <w:r>
                    <w:rPr>
                      <w:rFonts w:hint="eastAsia"/>
                      <w:color w:val="auto"/>
                    </w:rPr>
                    <w:t>11</w:t>
                  </w:r>
                </w:p>
              </w:tc>
              <w:tc>
                <w:tcPr>
                  <w:tcW w:w="2152" w:type="pct"/>
                  <w:vAlign w:val="center"/>
                </w:tcPr>
                <w:p w14:paraId="3BB8B760">
                  <w:pPr>
                    <w:pStyle w:val="54"/>
                    <w:jc w:val="both"/>
                    <w:rPr>
                      <w:color w:val="auto"/>
                    </w:rPr>
                  </w:pPr>
                  <w:r>
                    <w:rPr>
                      <w:color w:val="auto"/>
                    </w:rPr>
                    <w:t>禁止新建、扩建法律法规和相关政策明令禁止的落后产能项目。禁止新建、扩建不符合国家产能置换要求的严重过剩产能行业的项目。禁止新建、扩建不符合要求的高耗能高排放项目。</w:t>
                  </w:r>
                </w:p>
              </w:tc>
              <w:tc>
                <w:tcPr>
                  <w:tcW w:w="2152" w:type="pct"/>
                  <w:vAlign w:val="center"/>
                </w:tcPr>
                <w:p w14:paraId="0D386E35">
                  <w:pPr>
                    <w:pStyle w:val="54"/>
                    <w:jc w:val="both"/>
                    <w:rPr>
                      <w:color w:val="auto"/>
                    </w:rPr>
                  </w:pPr>
                  <w:r>
                    <w:rPr>
                      <w:rFonts w:hint="eastAsia"/>
                      <w:color w:val="auto"/>
                    </w:rPr>
                    <w:t>本扩建项目不属于落后产能项目、</w:t>
                  </w:r>
                  <w:r>
                    <w:rPr>
                      <w:rFonts w:hint="eastAsia"/>
                      <w:color w:val="auto"/>
                      <w:lang w:val="en-US" w:eastAsia="zh-CN"/>
                    </w:rPr>
                    <w:t>严重</w:t>
                  </w:r>
                  <w:r>
                    <w:rPr>
                      <w:rFonts w:hint="eastAsia"/>
                      <w:color w:val="auto"/>
                    </w:rPr>
                    <w:t>过剩产能行业项目、高耗能高排放项目。</w:t>
                  </w:r>
                </w:p>
              </w:tc>
              <w:tc>
                <w:tcPr>
                  <w:tcW w:w="410" w:type="pct"/>
                  <w:vAlign w:val="center"/>
                </w:tcPr>
                <w:p w14:paraId="1F18088D">
                  <w:pPr>
                    <w:pStyle w:val="54"/>
                    <w:rPr>
                      <w:color w:val="auto"/>
                    </w:rPr>
                  </w:pPr>
                  <w:r>
                    <w:rPr>
                      <w:rFonts w:hint="eastAsia"/>
                      <w:color w:val="auto"/>
                    </w:rPr>
                    <w:t>相符</w:t>
                  </w:r>
                </w:p>
              </w:tc>
            </w:tr>
            <w:tr w14:paraId="61F5D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85" w:type="pct"/>
                  <w:vAlign w:val="center"/>
                </w:tcPr>
                <w:p w14:paraId="4FB2DF6A">
                  <w:pPr>
                    <w:pStyle w:val="54"/>
                    <w:rPr>
                      <w:color w:val="auto"/>
                    </w:rPr>
                  </w:pPr>
                  <w:r>
                    <w:rPr>
                      <w:rFonts w:hint="eastAsia"/>
                      <w:color w:val="auto"/>
                    </w:rPr>
                    <w:t>12</w:t>
                  </w:r>
                </w:p>
              </w:tc>
              <w:tc>
                <w:tcPr>
                  <w:tcW w:w="2152" w:type="pct"/>
                  <w:vAlign w:val="center"/>
                </w:tcPr>
                <w:p w14:paraId="73AC9763">
                  <w:pPr>
                    <w:pStyle w:val="54"/>
                    <w:jc w:val="both"/>
                    <w:rPr>
                      <w:color w:val="auto"/>
                    </w:rPr>
                  </w:pPr>
                  <w:r>
                    <w:rPr>
                      <w:color w:val="auto"/>
                    </w:rPr>
                    <w:t>法律法规及相关政策文件有更加严格规定的从其规定。</w:t>
                  </w:r>
                </w:p>
              </w:tc>
              <w:tc>
                <w:tcPr>
                  <w:tcW w:w="2152" w:type="pct"/>
                  <w:vAlign w:val="center"/>
                </w:tcPr>
                <w:p w14:paraId="1BC9819E">
                  <w:pPr>
                    <w:pStyle w:val="54"/>
                    <w:jc w:val="both"/>
                    <w:rPr>
                      <w:color w:val="auto"/>
                    </w:rPr>
                  </w:pPr>
                  <w:r>
                    <w:rPr>
                      <w:rFonts w:hint="eastAsia"/>
                      <w:color w:val="auto"/>
                    </w:rPr>
                    <w:t>本扩建项目将严格执行法律法规和相关政策文件的规定。</w:t>
                  </w:r>
                </w:p>
              </w:tc>
              <w:tc>
                <w:tcPr>
                  <w:tcW w:w="410" w:type="pct"/>
                  <w:vAlign w:val="center"/>
                </w:tcPr>
                <w:p w14:paraId="79B71AA0">
                  <w:pPr>
                    <w:pStyle w:val="54"/>
                    <w:rPr>
                      <w:color w:val="auto"/>
                    </w:rPr>
                  </w:pPr>
                  <w:r>
                    <w:rPr>
                      <w:rFonts w:hint="eastAsia"/>
                      <w:color w:val="auto"/>
                    </w:rPr>
                    <w:t>相符</w:t>
                  </w:r>
                </w:p>
              </w:tc>
            </w:tr>
            <w:tr w14:paraId="4E3C0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5000" w:type="pct"/>
                  <w:gridSpan w:val="4"/>
                  <w:vAlign w:val="center"/>
                </w:tcPr>
                <w:p w14:paraId="2865DF0A">
                  <w:pPr>
                    <w:pStyle w:val="52"/>
                    <w:rPr>
                      <w:color w:val="auto"/>
                    </w:rPr>
                  </w:pPr>
                  <w:r>
                    <w:rPr>
                      <w:rFonts w:hint="eastAsia"/>
                      <w:color w:val="auto"/>
                    </w:rPr>
                    <w:t>苏</w:t>
                  </w:r>
                  <w:r>
                    <w:rPr>
                      <w:color w:val="auto"/>
                    </w:rPr>
                    <w:t>环办〔20</w:t>
                  </w:r>
                  <w:r>
                    <w:rPr>
                      <w:rFonts w:hint="eastAsia"/>
                      <w:color w:val="auto"/>
                    </w:rPr>
                    <w:t>19</w:t>
                  </w:r>
                  <w:r>
                    <w:rPr>
                      <w:color w:val="auto"/>
                    </w:rPr>
                    <w:t>〕</w:t>
                  </w:r>
                  <w:r>
                    <w:rPr>
                      <w:rFonts w:hint="eastAsia"/>
                      <w:color w:val="auto"/>
                    </w:rPr>
                    <w:t>36</w:t>
                  </w:r>
                  <w:r>
                    <w:rPr>
                      <w:color w:val="auto"/>
                    </w:rPr>
                    <w:t>号</w:t>
                  </w:r>
                </w:p>
              </w:tc>
            </w:tr>
            <w:tr w14:paraId="529E20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85" w:type="pct"/>
                  <w:vAlign w:val="center"/>
                </w:tcPr>
                <w:p w14:paraId="62D29B63">
                  <w:pPr>
                    <w:pStyle w:val="54"/>
                    <w:rPr>
                      <w:color w:val="auto"/>
                    </w:rPr>
                  </w:pPr>
                  <w:r>
                    <w:rPr>
                      <w:rFonts w:hint="eastAsia"/>
                      <w:color w:val="auto"/>
                    </w:rPr>
                    <w:t>1</w:t>
                  </w:r>
                </w:p>
              </w:tc>
              <w:tc>
                <w:tcPr>
                  <w:tcW w:w="2152" w:type="pct"/>
                  <w:vAlign w:val="center"/>
                </w:tcPr>
                <w:p w14:paraId="4601FBB0">
                  <w:pPr>
                    <w:pStyle w:val="54"/>
                    <w:jc w:val="both"/>
                    <w:rPr>
                      <w:color w:val="auto"/>
                    </w:rPr>
                  </w:pPr>
                  <w:r>
                    <w:rPr>
                      <w:color w:val="auto"/>
                    </w:rPr>
                    <w:t>建设项目类型及其选址、布局、规模等不符合环境保护法律法规和相关法定规划。</w:t>
                  </w:r>
                </w:p>
              </w:tc>
              <w:tc>
                <w:tcPr>
                  <w:tcW w:w="2152" w:type="pct"/>
                  <w:vAlign w:val="center"/>
                </w:tcPr>
                <w:p w14:paraId="62CA942F">
                  <w:pPr>
                    <w:pStyle w:val="54"/>
                    <w:jc w:val="both"/>
                    <w:rPr>
                      <w:color w:val="auto"/>
                    </w:rPr>
                  </w:pPr>
                  <w:r>
                    <w:rPr>
                      <w:rFonts w:hint="eastAsia"/>
                      <w:color w:val="auto"/>
                    </w:rPr>
                    <w:t>本扩建项目类型</w:t>
                  </w:r>
                  <w:r>
                    <w:rPr>
                      <w:color w:val="auto"/>
                    </w:rPr>
                    <w:t>及其选址、布局、规模等符合环境保护法律法规和相关法定规划。</w:t>
                  </w:r>
                </w:p>
              </w:tc>
              <w:tc>
                <w:tcPr>
                  <w:tcW w:w="410" w:type="pct"/>
                  <w:vAlign w:val="center"/>
                </w:tcPr>
                <w:p w14:paraId="68B26EB8">
                  <w:pPr>
                    <w:pStyle w:val="54"/>
                    <w:rPr>
                      <w:color w:val="auto"/>
                    </w:rPr>
                  </w:pPr>
                  <w:r>
                    <w:rPr>
                      <w:rFonts w:hint="eastAsia"/>
                      <w:color w:val="auto"/>
                    </w:rPr>
                    <w:t>相符</w:t>
                  </w:r>
                </w:p>
              </w:tc>
            </w:tr>
            <w:tr w14:paraId="72945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85" w:type="pct"/>
                  <w:vAlign w:val="center"/>
                </w:tcPr>
                <w:p w14:paraId="70276DB0">
                  <w:pPr>
                    <w:pStyle w:val="54"/>
                    <w:rPr>
                      <w:color w:val="auto"/>
                    </w:rPr>
                  </w:pPr>
                  <w:r>
                    <w:rPr>
                      <w:rFonts w:hint="eastAsia"/>
                      <w:color w:val="auto"/>
                    </w:rPr>
                    <w:t>2</w:t>
                  </w:r>
                </w:p>
              </w:tc>
              <w:tc>
                <w:tcPr>
                  <w:tcW w:w="2152" w:type="pct"/>
                  <w:vAlign w:val="center"/>
                </w:tcPr>
                <w:p w14:paraId="54D1D3DC">
                  <w:pPr>
                    <w:pStyle w:val="54"/>
                    <w:jc w:val="both"/>
                    <w:rPr>
                      <w:color w:val="auto"/>
                    </w:rPr>
                  </w:pPr>
                  <w:r>
                    <w:rPr>
                      <w:color w:val="auto"/>
                    </w:rPr>
                    <w:t>所在区域环境质量未达到国家或者地方环境质量标准，且建设项目拟采取的措施不能满足区域环境质量改善目标管理要求。</w:t>
                  </w:r>
                </w:p>
              </w:tc>
              <w:tc>
                <w:tcPr>
                  <w:tcW w:w="2152" w:type="pct"/>
                  <w:vAlign w:val="center"/>
                </w:tcPr>
                <w:p w14:paraId="6ED2A2A3">
                  <w:pPr>
                    <w:pStyle w:val="54"/>
                    <w:jc w:val="both"/>
                    <w:rPr>
                      <w:color w:val="auto"/>
                    </w:rPr>
                  </w:pPr>
                  <w:r>
                    <w:rPr>
                      <w:color w:val="auto"/>
                    </w:rPr>
                    <w:t>根据《宿迁市2024年度生态环境状况公报》可知，本扩建项目所在区域臭氧作为首要污染物的超标天数为33天</w:t>
                  </w:r>
                  <w:r>
                    <w:rPr>
                      <w:rFonts w:hint="eastAsia"/>
                      <w:color w:val="auto"/>
                    </w:rPr>
                    <w:t>，</w:t>
                  </w:r>
                  <w:r>
                    <w:rPr>
                      <w:color w:val="auto"/>
                    </w:rPr>
                    <w:t>地表水环境质量较好</w:t>
                  </w:r>
                  <w:r>
                    <w:rPr>
                      <w:rFonts w:hint="eastAsia"/>
                      <w:color w:val="auto"/>
                    </w:rPr>
                    <w:t>，</w:t>
                  </w:r>
                  <w:r>
                    <w:rPr>
                      <w:color w:val="auto"/>
                    </w:rPr>
                    <w:t>噪声环境质量达标。本扩建项目废气、废水、噪声、固废均采取了有效的污染防治措施，可以保证达标排放</w:t>
                  </w:r>
                  <w:r>
                    <w:rPr>
                      <w:rFonts w:hint="eastAsia"/>
                      <w:color w:val="auto"/>
                    </w:rPr>
                    <w:t>，改善区域环境质量</w:t>
                  </w:r>
                  <w:r>
                    <w:rPr>
                      <w:color w:val="auto"/>
                    </w:rPr>
                    <w:t>。</w:t>
                  </w:r>
                </w:p>
              </w:tc>
              <w:tc>
                <w:tcPr>
                  <w:tcW w:w="410" w:type="pct"/>
                  <w:vAlign w:val="center"/>
                </w:tcPr>
                <w:p w14:paraId="07381C21">
                  <w:pPr>
                    <w:pStyle w:val="54"/>
                    <w:rPr>
                      <w:color w:val="auto"/>
                    </w:rPr>
                  </w:pPr>
                  <w:r>
                    <w:rPr>
                      <w:rFonts w:hint="eastAsia"/>
                      <w:color w:val="auto"/>
                    </w:rPr>
                    <w:t>相符</w:t>
                  </w:r>
                </w:p>
              </w:tc>
            </w:tr>
            <w:tr w14:paraId="0DC88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85" w:type="pct"/>
                  <w:vAlign w:val="center"/>
                </w:tcPr>
                <w:p w14:paraId="3FFD4401">
                  <w:pPr>
                    <w:pStyle w:val="54"/>
                    <w:rPr>
                      <w:color w:val="auto"/>
                    </w:rPr>
                  </w:pPr>
                  <w:r>
                    <w:rPr>
                      <w:rFonts w:hint="eastAsia"/>
                      <w:color w:val="auto"/>
                    </w:rPr>
                    <w:t>3</w:t>
                  </w:r>
                </w:p>
              </w:tc>
              <w:tc>
                <w:tcPr>
                  <w:tcW w:w="2152" w:type="pct"/>
                  <w:vAlign w:val="center"/>
                </w:tcPr>
                <w:p w14:paraId="652353DA">
                  <w:pPr>
                    <w:pStyle w:val="54"/>
                    <w:jc w:val="both"/>
                    <w:rPr>
                      <w:color w:val="auto"/>
                    </w:rPr>
                  </w:pPr>
                  <w:r>
                    <w:rPr>
                      <w:color w:val="auto"/>
                    </w:rPr>
                    <w:t>建设项目采取的污染防治措施无法确保污染物排放达到国家和地方排放标准，或者未采取必要措施预防和控制生态破坏。</w:t>
                  </w:r>
                </w:p>
              </w:tc>
              <w:tc>
                <w:tcPr>
                  <w:tcW w:w="2152" w:type="pct"/>
                  <w:vAlign w:val="center"/>
                </w:tcPr>
                <w:p w14:paraId="7B933CE1">
                  <w:pPr>
                    <w:pStyle w:val="54"/>
                    <w:jc w:val="both"/>
                    <w:rPr>
                      <w:color w:val="auto"/>
                    </w:rPr>
                  </w:pPr>
                  <w:r>
                    <w:rPr>
                      <w:color w:val="auto"/>
                    </w:rPr>
                    <w:t>本扩建项目废气、废水、噪声、固废均采取了有效的污染防治措施，可以保证达标排放，对生态影响较小。</w:t>
                  </w:r>
                </w:p>
              </w:tc>
              <w:tc>
                <w:tcPr>
                  <w:tcW w:w="410" w:type="pct"/>
                  <w:vAlign w:val="center"/>
                </w:tcPr>
                <w:p w14:paraId="6BBAF4BD">
                  <w:pPr>
                    <w:pStyle w:val="54"/>
                    <w:rPr>
                      <w:color w:val="auto"/>
                    </w:rPr>
                  </w:pPr>
                  <w:r>
                    <w:rPr>
                      <w:rFonts w:hint="eastAsia"/>
                      <w:color w:val="auto"/>
                    </w:rPr>
                    <w:t>相符</w:t>
                  </w:r>
                </w:p>
              </w:tc>
            </w:tr>
            <w:tr w14:paraId="6804C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85" w:type="pct"/>
                  <w:vAlign w:val="center"/>
                </w:tcPr>
                <w:p w14:paraId="681FC9FE">
                  <w:pPr>
                    <w:pStyle w:val="54"/>
                    <w:rPr>
                      <w:color w:val="auto"/>
                    </w:rPr>
                  </w:pPr>
                  <w:r>
                    <w:rPr>
                      <w:rFonts w:hint="eastAsia"/>
                      <w:color w:val="auto"/>
                    </w:rPr>
                    <w:t>4</w:t>
                  </w:r>
                </w:p>
              </w:tc>
              <w:tc>
                <w:tcPr>
                  <w:tcW w:w="2152" w:type="pct"/>
                  <w:vAlign w:val="center"/>
                </w:tcPr>
                <w:p w14:paraId="54C5D492">
                  <w:pPr>
                    <w:pStyle w:val="54"/>
                    <w:jc w:val="both"/>
                    <w:rPr>
                      <w:color w:val="auto"/>
                    </w:rPr>
                  </w:pPr>
                  <w:r>
                    <w:rPr>
                      <w:color w:val="auto"/>
                    </w:rPr>
                    <w:t>建设项目的环境影响报告书、环境影响报告表的基础资料数据明显不实，内容存在重大缺陷、遗漏，或者环境影响评价结论不明确、不合理。</w:t>
                  </w:r>
                </w:p>
              </w:tc>
              <w:tc>
                <w:tcPr>
                  <w:tcW w:w="2152" w:type="pct"/>
                  <w:vAlign w:val="center"/>
                </w:tcPr>
                <w:p w14:paraId="2A20C7F0">
                  <w:pPr>
                    <w:pStyle w:val="54"/>
                    <w:jc w:val="both"/>
                    <w:rPr>
                      <w:color w:val="auto"/>
                    </w:rPr>
                  </w:pPr>
                  <w:r>
                    <w:rPr>
                      <w:color w:val="auto"/>
                    </w:rPr>
                    <w:t>本次</w:t>
                  </w:r>
                  <w:r>
                    <w:rPr>
                      <w:rFonts w:hint="eastAsia"/>
                      <w:color w:val="auto"/>
                    </w:rPr>
                    <w:t>环评</w:t>
                  </w:r>
                  <w:r>
                    <w:rPr>
                      <w:color w:val="auto"/>
                    </w:rPr>
                    <w:t>以企业实际提供资料为前提，核实后进行报告编制，环境影响评价结论明确，经初步审查不存在重大缺陷、遗漏。</w:t>
                  </w:r>
                </w:p>
              </w:tc>
              <w:tc>
                <w:tcPr>
                  <w:tcW w:w="410" w:type="pct"/>
                  <w:vAlign w:val="center"/>
                </w:tcPr>
                <w:p w14:paraId="0A8AF15D">
                  <w:pPr>
                    <w:pStyle w:val="54"/>
                    <w:rPr>
                      <w:color w:val="auto"/>
                    </w:rPr>
                  </w:pPr>
                  <w:r>
                    <w:rPr>
                      <w:rFonts w:hint="eastAsia"/>
                      <w:color w:val="auto"/>
                    </w:rPr>
                    <w:t>相符</w:t>
                  </w:r>
                </w:p>
              </w:tc>
            </w:tr>
            <w:tr w14:paraId="2495F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85" w:type="pct"/>
                  <w:vAlign w:val="center"/>
                </w:tcPr>
                <w:p w14:paraId="777F0552">
                  <w:pPr>
                    <w:pStyle w:val="54"/>
                    <w:rPr>
                      <w:color w:val="auto"/>
                    </w:rPr>
                  </w:pPr>
                  <w:r>
                    <w:rPr>
                      <w:rFonts w:hint="eastAsia"/>
                      <w:color w:val="auto"/>
                    </w:rPr>
                    <w:t>5</w:t>
                  </w:r>
                </w:p>
              </w:tc>
              <w:tc>
                <w:tcPr>
                  <w:tcW w:w="2152" w:type="pct"/>
                  <w:vAlign w:val="center"/>
                </w:tcPr>
                <w:p w14:paraId="3D1545FA">
                  <w:pPr>
                    <w:pStyle w:val="54"/>
                    <w:jc w:val="both"/>
                    <w:rPr>
                      <w:color w:val="auto"/>
                    </w:rPr>
                  </w:pPr>
                  <w:r>
                    <w:rPr>
                      <w:color w:val="auto"/>
                    </w:rPr>
                    <w:t>严格控制在优先保护类耕地集中区域，新建有色金属冶炼、石油加工、化工、焦化、电镀、制革等行业企业，有关环境保护主管部门依法不予审批可能造成耕地土壤污染的建设项目环境影响报告书或者报告表。</w:t>
                  </w:r>
                </w:p>
              </w:tc>
              <w:tc>
                <w:tcPr>
                  <w:tcW w:w="2152" w:type="pct"/>
                  <w:vAlign w:val="center"/>
                </w:tcPr>
                <w:p w14:paraId="6F4E8521">
                  <w:pPr>
                    <w:pStyle w:val="54"/>
                    <w:jc w:val="both"/>
                    <w:rPr>
                      <w:color w:val="auto"/>
                    </w:rPr>
                  </w:pPr>
                  <w:r>
                    <w:rPr>
                      <w:color w:val="auto"/>
                    </w:rPr>
                    <w:t>本</w:t>
                  </w:r>
                  <w:r>
                    <w:rPr>
                      <w:rFonts w:hint="eastAsia"/>
                      <w:color w:val="auto"/>
                    </w:rPr>
                    <w:t>扩建</w:t>
                  </w:r>
                  <w:r>
                    <w:rPr>
                      <w:color w:val="auto"/>
                    </w:rPr>
                    <w:t>项目位于</w:t>
                  </w:r>
                  <w:r>
                    <w:rPr>
                      <w:rFonts w:hint="eastAsia"/>
                      <w:color w:val="auto"/>
                    </w:rPr>
                    <w:t>宿迁市</w:t>
                  </w:r>
                  <w:r>
                    <w:rPr>
                      <w:color w:val="auto"/>
                    </w:rPr>
                    <w:t>泗阳县王集镇发展大道东路8号</w:t>
                  </w:r>
                  <w:r>
                    <w:rPr>
                      <w:rFonts w:hint="eastAsia"/>
                      <w:color w:val="auto"/>
                    </w:rPr>
                    <w:t>，属于工业用地范围内，不属于保护类耕地。本扩建项目属于有色金属压延行业，不属于</w:t>
                  </w:r>
                  <w:r>
                    <w:rPr>
                      <w:color w:val="auto"/>
                    </w:rPr>
                    <w:t>有色金属冶炼、石油加工、化工、焦化、电镀、制革等行业</w:t>
                  </w:r>
                  <w:r>
                    <w:rPr>
                      <w:rFonts w:hint="eastAsia"/>
                      <w:color w:val="auto"/>
                    </w:rPr>
                    <w:t>。</w:t>
                  </w:r>
                </w:p>
              </w:tc>
              <w:tc>
                <w:tcPr>
                  <w:tcW w:w="410" w:type="pct"/>
                  <w:vAlign w:val="center"/>
                </w:tcPr>
                <w:p w14:paraId="6E18B974">
                  <w:pPr>
                    <w:pStyle w:val="54"/>
                    <w:rPr>
                      <w:color w:val="auto"/>
                    </w:rPr>
                  </w:pPr>
                  <w:r>
                    <w:rPr>
                      <w:rFonts w:hint="eastAsia"/>
                      <w:color w:val="auto"/>
                    </w:rPr>
                    <w:t>相符</w:t>
                  </w:r>
                </w:p>
              </w:tc>
            </w:tr>
            <w:tr w14:paraId="5BF19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85" w:type="pct"/>
                  <w:vAlign w:val="center"/>
                </w:tcPr>
                <w:p w14:paraId="712C53AC">
                  <w:pPr>
                    <w:pStyle w:val="54"/>
                    <w:rPr>
                      <w:color w:val="auto"/>
                    </w:rPr>
                  </w:pPr>
                  <w:r>
                    <w:rPr>
                      <w:rFonts w:hint="eastAsia"/>
                      <w:color w:val="auto"/>
                    </w:rPr>
                    <w:t>6</w:t>
                  </w:r>
                </w:p>
              </w:tc>
              <w:tc>
                <w:tcPr>
                  <w:tcW w:w="2152" w:type="pct"/>
                  <w:vAlign w:val="center"/>
                </w:tcPr>
                <w:p w14:paraId="5097EF44">
                  <w:pPr>
                    <w:pStyle w:val="54"/>
                    <w:jc w:val="both"/>
                    <w:rPr>
                      <w:color w:val="auto"/>
                    </w:rPr>
                  </w:pPr>
                  <w:r>
                    <w:rPr>
                      <w:color w:val="auto"/>
                    </w:rPr>
                    <w:t>严格落实污染物排放总量控制制度，把主要污染物排放总量指标作为建设项目环境影响评价审批的前置条件。排放主要污染物的建设项目，在环境影响评价文件审批前，须取得主要污染物排放总量指标。</w:t>
                  </w:r>
                </w:p>
              </w:tc>
              <w:tc>
                <w:tcPr>
                  <w:tcW w:w="2152" w:type="pct"/>
                  <w:vAlign w:val="center"/>
                </w:tcPr>
                <w:p w14:paraId="249DB1ED">
                  <w:pPr>
                    <w:pStyle w:val="54"/>
                    <w:jc w:val="both"/>
                    <w:rPr>
                      <w:color w:val="auto"/>
                    </w:rPr>
                  </w:pPr>
                  <w:r>
                    <w:rPr>
                      <w:rFonts w:hint="eastAsia"/>
                      <w:color w:val="auto"/>
                    </w:rPr>
                    <w:t>本扩建项目将严格落实</w:t>
                  </w:r>
                  <w:r>
                    <w:rPr>
                      <w:color w:val="auto"/>
                    </w:rPr>
                    <w:t>污染物排放总量控制制度，把主要污染物排放总量指标作为建设项目环境影响评价审批的前置条件。在环境影响评价文件审批前，取得主要污染物排放总量指标。</w:t>
                  </w:r>
                </w:p>
              </w:tc>
              <w:tc>
                <w:tcPr>
                  <w:tcW w:w="410" w:type="pct"/>
                  <w:vAlign w:val="center"/>
                </w:tcPr>
                <w:p w14:paraId="25990122">
                  <w:pPr>
                    <w:pStyle w:val="54"/>
                    <w:rPr>
                      <w:color w:val="auto"/>
                    </w:rPr>
                  </w:pPr>
                  <w:r>
                    <w:rPr>
                      <w:rFonts w:hint="eastAsia"/>
                      <w:color w:val="auto"/>
                    </w:rPr>
                    <w:t>相符</w:t>
                  </w:r>
                </w:p>
              </w:tc>
            </w:tr>
            <w:tr w14:paraId="3E3AB3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85" w:type="pct"/>
                  <w:vAlign w:val="center"/>
                </w:tcPr>
                <w:p w14:paraId="1F74B856">
                  <w:pPr>
                    <w:pStyle w:val="54"/>
                    <w:rPr>
                      <w:color w:val="auto"/>
                    </w:rPr>
                  </w:pPr>
                  <w:r>
                    <w:rPr>
                      <w:rFonts w:hint="eastAsia"/>
                      <w:color w:val="auto"/>
                    </w:rPr>
                    <w:t>7</w:t>
                  </w:r>
                </w:p>
              </w:tc>
              <w:tc>
                <w:tcPr>
                  <w:tcW w:w="2152" w:type="pct"/>
                  <w:vAlign w:val="center"/>
                </w:tcPr>
                <w:p w14:paraId="04D58619">
                  <w:pPr>
                    <w:pStyle w:val="54"/>
                    <w:jc w:val="both"/>
                    <w:rPr>
                      <w:color w:val="auto"/>
                    </w:rPr>
                  </w:pPr>
                  <w:r>
                    <w:rPr>
                      <w:color w:val="auto"/>
                    </w:rPr>
                    <w:t>禁止建设生产和使用高VOCs含量的溶剂型涂料、油墨、胶粘剂等项目。</w:t>
                  </w:r>
                </w:p>
              </w:tc>
              <w:tc>
                <w:tcPr>
                  <w:tcW w:w="2152" w:type="pct"/>
                  <w:vAlign w:val="center"/>
                </w:tcPr>
                <w:p w14:paraId="14DC2C29">
                  <w:pPr>
                    <w:pStyle w:val="54"/>
                    <w:jc w:val="both"/>
                    <w:rPr>
                      <w:color w:val="auto"/>
                    </w:rPr>
                  </w:pPr>
                  <w:r>
                    <w:rPr>
                      <w:rFonts w:hint="eastAsia"/>
                      <w:color w:val="auto"/>
                    </w:rPr>
                    <w:t>本扩建项目不涉及使用</w:t>
                  </w:r>
                  <w:r>
                    <w:rPr>
                      <w:color w:val="auto"/>
                    </w:rPr>
                    <w:t>生产和使用高VOCs含量的溶剂型涂料、油墨、胶粘剂等</w:t>
                  </w:r>
                  <w:r>
                    <w:rPr>
                      <w:rFonts w:hint="eastAsia"/>
                      <w:color w:val="auto"/>
                    </w:rPr>
                    <w:t>。</w:t>
                  </w:r>
                </w:p>
              </w:tc>
              <w:tc>
                <w:tcPr>
                  <w:tcW w:w="410" w:type="pct"/>
                  <w:vAlign w:val="center"/>
                </w:tcPr>
                <w:p w14:paraId="53E648DE">
                  <w:pPr>
                    <w:pStyle w:val="54"/>
                    <w:rPr>
                      <w:color w:val="auto"/>
                    </w:rPr>
                  </w:pPr>
                  <w:r>
                    <w:rPr>
                      <w:rFonts w:hint="eastAsia"/>
                      <w:color w:val="auto"/>
                    </w:rPr>
                    <w:t>相符</w:t>
                  </w:r>
                </w:p>
              </w:tc>
            </w:tr>
            <w:tr w14:paraId="160B65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5" w:type="pct"/>
                  <w:vAlign w:val="center"/>
                </w:tcPr>
                <w:p w14:paraId="6FA24B6C">
                  <w:pPr>
                    <w:pStyle w:val="54"/>
                    <w:rPr>
                      <w:color w:val="auto"/>
                    </w:rPr>
                  </w:pPr>
                  <w:r>
                    <w:rPr>
                      <w:rFonts w:hint="eastAsia"/>
                      <w:color w:val="auto"/>
                    </w:rPr>
                    <w:t>8</w:t>
                  </w:r>
                </w:p>
              </w:tc>
              <w:tc>
                <w:tcPr>
                  <w:tcW w:w="2152" w:type="pct"/>
                  <w:vAlign w:val="center"/>
                </w:tcPr>
                <w:p w14:paraId="3D8747CE">
                  <w:pPr>
                    <w:pStyle w:val="54"/>
                    <w:jc w:val="both"/>
                    <w:rPr>
                      <w:color w:val="auto"/>
                    </w:rPr>
                  </w:pPr>
                  <w:r>
                    <w:rPr>
                      <w:color w:val="auto"/>
                    </w:rPr>
                    <w:t>生态保护红线原则上按禁止开发区域的要求进行管理，严禁不符合主体功能定位的各类开发活动，严禁任意改变用途。</w:t>
                  </w:r>
                </w:p>
              </w:tc>
              <w:tc>
                <w:tcPr>
                  <w:tcW w:w="2152" w:type="pct"/>
                  <w:vAlign w:val="center"/>
                </w:tcPr>
                <w:p w14:paraId="24C43AE8">
                  <w:pPr>
                    <w:pStyle w:val="54"/>
                    <w:jc w:val="both"/>
                    <w:rPr>
                      <w:color w:val="auto"/>
                    </w:rPr>
                  </w:pPr>
                  <w:r>
                    <w:rPr>
                      <w:rFonts w:hint="eastAsia"/>
                      <w:color w:val="auto"/>
                    </w:rPr>
                    <w:t>本扩建项目不在生态保护红线区域内。</w:t>
                  </w:r>
                </w:p>
              </w:tc>
              <w:tc>
                <w:tcPr>
                  <w:tcW w:w="410" w:type="pct"/>
                  <w:vAlign w:val="center"/>
                </w:tcPr>
                <w:p w14:paraId="42EAD397">
                  <w:pPr>
                    <w:pStyle w:val="54"/>
                    <w:rPr>
                      <w:color w:val="auto"/>
                    </w:rPr>
                  </w:pPr>
                  <w:r>
                    <w:rPr>
                      <w:rFonts w:hint="eastAsia"/>
                      <w:color w:val="auto"/>
                    </w:rPr>
                    <w:t>相符</w:t>
                  </w:r>
                </w:p>
              </w:tc>
            </w:tr>
            <w:tr w14:paraId="0798A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85" w:type="pct"/>
                  <w:vAlign w:val="center"/>
                </w:tcPr>
                <w:p w14:paraId="12A773A7">
                  <w:pPr>
                    <w:pStyle w:val="54"/>
                    <w:rPr>
                      <w:color w:val="auto"/>
                    </w:rPr>
                  </w:pPr>
                  <w:r>
                    <w:rPr>
                      <w:rFonts w:hint="eastAsia"/>
                      <w:color w:val="auto"/>
                    </w:rPr>
                    <w:t>9</w:t>
                  </w:r>
                </w:p>
              </w:tc>
              <w:tc>
                <w:tcPr>
                  <w:tcW w:w="2152" w:type="pct"/>
                  <w:vAlign w:val="center"/>
                </w:tcPr>
                <w:p w14:paraId="78442BD9">
                  <w:pPr>
                    <w:pStyle w:val="54"/>
                    <w:jc w:val="both"/>
                    <w:rPr>
                      <w:color w:val="auto"/>
                    </w:rPr>
                  </w:pPr>
                  <w:r>
                    <w:rPr>
                      <w:color w:val="auto"/>
                    </w:rPr>
                    <w:t>禁止审批无法落实危险废物利用、处置途径的项目，从严审批危险废物产生量大、本地无配套利用处置能力、且需设区市统筹解决的项目。</w:t>
                  </w:r>
                </w:p>
              </w:tc>
              <w:tc>
                <w:tcPr>
                  <w:tcW w:w="2152" w:type="pct"/>
                  <w:vAlign w:val="center"/>
                </w:tcPr>
                <w:p w14:paraId="49F42977">
                  <w:pPr>
                    <w:pStyle w:val="54"/>
                    <w:jc w:val="both"/>
                    <w:rPr>
                      <w:color w:val="auto"/>
                    </w:rPr>
                  </w:pPr>
                  <w:r>
                    <w:rPr>
                      <w:rFonts w:hint="eastAsia"/>
                      <w:color w:val="auto"/>
                    </w:rPr>
                    <w:t>本扩建项目废液压油、废包装桶等危废暂存危废库，定期委托有资质单位处置。</w:t>
                  </w:r>
                </w:p>
              </w:tc>
              <w:tc>
                <w:tcPr>
                  <w:tcW w:w="410" w:type="pct"/>
                  <w:vAlign w:val="center"/>
                </w:tcPr>
                <w:p w14:paraId="2F47D28F">
                  <w:pPr>
                    <w:pStyle w:val="54"/>
                    <w:rPr>
                      <w:color w:val="auto"/>
                    </w:rPr>
                  </w:pPr>
                  <w:r>
                    <w:rPr>
                      <w:rFonts w:hint="eastAsia"/>
                      <w:color w:val="auto"/>
                    </w:rPr>
                    <w:t>相符</w:t>
                  </w:r>
                </w:p>
              </w:tc>
            </w:tr>
            <w:tr w14:paraId="3D8ED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85" w:type="pct"/>
                  <w:vAlign w:val="center"/>
                </w:tcPr>
                <w:p w14:paraId="79AD4C10">
                  <w:pPr>
                    <w:pStyle w:val="54"/>
                    <w:rPr>
                      <w:color w:val="auto"/>
                    </w:rPr>
                  </w:pPr>
                  <w:r>
                    <w:rPr>
                      <w:rFonts w:hint="eastAsia"/>
                      <w:color w:val="auto"/>
                    </w:rPr>
                    <w:t>10</w:t>
                  </w:r>
                </w:p>
              </w:tc>
              <w:tc>
                <w:tcPr>
                  <w:tcW w:w="2152" w:type="pct"/>
                  <w:vAlign w:val="center"/>
                </w:tcPr>
                <w:p w14:paraId="1B81BC23">
                  <w:pPr>
                    <w:pStyle w:val="54"/>
                    <w:jc w:val="both"/>
                    <w:rPr>
                      <w:color w:val="auto"/>
                    </w:rPr>
                  </w:pPr>
                  <w:r>
                    <w:rPr>
                      <w:color w:val="auto"/>
                    </w:rPr>
                    <w:t>禁止新建、扩建法律法规和相关政策明令禁止的落后产能项目。</w:t>
                  </w:r>
                </w:p>
              </w:tc>
              <w:tc>
                <w:tcPr>
                  <w:tcW w:w="2152" w:type="pct"/>
                  <w:vAlign w:val="center"/>
                </w:tcPr>
                <w:p w14:paraId="296C06F7">
                  <w:pPr>
                    <w:pStyle w:val="54"/>
                    <w:jc w:val="both"/>
                    <w:rPr>
                      <w:color w:val="auto"/>
                    </w:rPr>
                  </w:pPr>
                  <w:r>
                    <w:rPr>
                      <w:rFonts w:hint="eastAsia"/>
                      <w:color w:val="auto"/>
                    </w:rPr>
                    <w:t>本扩建项目不属于落后产能项目。</w:t>
                  </w:r>
                </w:p>
              </w:tc>
              <w:tc>
                <w:tcPr>
                  <w:tcW w:w="410" w:type="pct"/>
                  <w:vAlign w:val="center"/>
                </w:tcPr>
                <w:p w14:paraId="7961A480">
                  <w:pPr>
                    <w:pStyle w:val="54"/>
                    <w:rPr>
                      <w:color w:val="auto"/>
                    </w:rPr>
                  </w:pPr>
                  <w:r>
                    <w:rPr>
                      <w:rFonts w:hint="eastAsia"/>
                      <w:color w:val="auto"/>
                    </w:rPr>
                    <w:t>相符</w:t>
                  </w:r>
                </w:p>
              </w:tc>
            </w:tr>
            <w:tr w14:paraId="55EDB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85" w:type="pct"/>
                  <w:vAlign w:val="center"/>
                </w:tcPr>
                <w:p w14:paraId="63E83EA5">
                  <w:pPr>
                    <w:pStyle w:val="54"/>
                    <w:rPr>
                      <w:color w:val="auto"/>
                    </w:rPr>
                  </w:pPr>
                  <w:r>
                    <w:rPr>
                      <w:rFonts w:hint="eastAsia"/>
                      <w:color w:val="auto"/>
                    </w:rPr>
                    <w:t>11</w:t>
                  </w:r>
                </w:p>
              </w:tc>
              <w:tc>
                <w:tcPr>
                  <w:tcW w:w="2152" w:type="pct"/>
                  <w:vAlign w:val="center"/>
                </w:tcPr>
                <w:p w14:paraId="5264C28A">
                  <w:pPr>
                    <w:pStyle w:val="54"/>
                    <w:jc w:val="both"/>
                    <w:rPr>
                      <w:color w:val="auto"/>
                    </w:rPr>
                  </w:pPr>
                  <w:r>
                    <w:rPr>
                      <w:color w:val="auto"/>
                    </w:rPr>
                    <w:t>禁止新建、扩建不符合国家产能置换要求的严重过剩产能行业的项目。</w:t>
                  </w:r>
                </w:p>
              </w:tc>
              <w:tc>
                <w:tcPr>
                  <w:tcW w:w="2152" w:type="pct"/>
                  <w:vAlign w:val="center"/>
                </w:tcPr>
                <w:p w14:paraId="7B83E832">
                  <w:pPr>
                    <w:pStyle w:val="54"/>
                    <w:jc w:val="both"/>
                    <w:rPr>
                      <w:color w:val="auto"/>
                    </w:rPr>
                  </w:pPr>
                  <w:r>
                    <w:rPr>
                      <w:rFonts w:hint="eastAsia"/>
                      <w:color w:val="auto"/>
                    </w:rPr>
                    <w:t>本扩建项目不属于严重过剩产能行业的项目。</w:t>
                  </w:r>
                </w:p>
              </w:tc>
              <w:tc>
                <w:tcPr>
                  <w:tcW w:w="410" w:type="pct"/>
                  <w:vAlign w:val="center"/>
                </w:tcPr>
                <w:p w14:paraId="39CAEB82">
                  <w:pPr>
                    <w:pStyle w:val="54"/>
                    <w:rPr>
                      <w:color w:val="auto"/>
                    </w:rPr>
                  </w:pPr>
                  <w:r>
                    <w:rPr>
                      <w:rFonts w:hint="eastAsia"/>
                      <w:color w:val="auto"/>
                    </w:rPr>
                    <w:t>相符</w:t>
                  </w:r>
                </w:p>
              </w:tc>
            </w:tr>
          </w:tbl>
          <w:p w14:paraId="05F1CCA4">
            <w:pPr>
              <w:pStyle w:val="50"/>
              <w:ind w:firstLine="480"/>
              <w:rPr>
                <w:color w:val="auto"/>
              </w:rPr>
            </w:pPr>
            <w:r>
              <w:rPr>
                <w:color w:val="auto"/>
              </w:rPr>
              <w:t>由</w:t>
            </w:r>
            <w:r>
              <w:rPr>
                <w:color w:val="auto"/>
              </w:rPr>
              <w:fldChar w:fldCharType="begin"/>
            </w:r>
            <w:r>
              <w:rPr>
                <w:color w:val="auto"/>
              </w:rPr>
              <w:instrText xml:space="preserve"> REF _Ref10084 \h </w:instrText>
            </w:r>
            <w:r>
              <w:rPr>
                <w:color w:val="auto"/>
              </w:rPr>
              <w:fldChar w:fldCharType="separate"/>
            </w:r>
            <w:r>
              <w:rPr>
                <w:color w:val="auto"/>
              </w:rPr>
              <w:t>表1- 8</w:t>
            </w:r>
            <w:r>
              <w:rPr>
                <w:color w:val="auto"/>
              </w:rPr>
              <w:fldChar w:fldCharType="end"/>
            </w:r>
            <w:r>
              <w:rPr>
                <w:color w:val="auto"/>
              </w:rPr>
              <w:t>分析可知，本</w:t>
            </w:r>
            <w:r>
              <w:rPr>
                <w:rFonts w:hint="eastAsia"/>
                <w:color w:val="auto"/>
              </w:rPr>
              <w:t>扩建项目的建设符合《推动长江经济带发展领导小组办公室关于印发〈长江经济带发展负面清单指南（试行，2022年版）〉的通知》</w:t>
            </w:r>
            <w:r>
              <w:rPr>
                <w:color w:val="auto"/>
              </w:rPr>
              <w:t>（长江办〔2022〕17号）</w:t>
            </w:r>
            <w:r>
              <w:rPr>
                <w:rFonts w:hint="eastAsia"/>
                <w:color w:val="auto"/>
              </w:rPr>
              <w:t>，</w:t>
            </w:r>
            <w:r>
              <w:rPr>
                <w:color w:val="auto"/>
              </w:rPr>
              <w:t>《</w:t>
            </w:r>
            <w:r>
              <w:rPr>
                <w:rFonts w:hint="eastAsia"/>
                <w:color w:val="auto"/>
              </w:rPr>
              <w:t>江苏省生态环境厅关于进一步做好建设项目环评审批工作的通知</w:t>
            </w:r>
            <w:r>
              <w:rPr>
                <w:color w:val="auto"/>
              </w:rPr>
              <w:t>》（</w:t>
            </w:r>
            <w:r>
              <w:rPr>
                <w:rFonts w:hint="eastAsia"/>
                <w:color w:val="auto"/>
              </w:rPr>
              <w:t>苏</w:t>
            </w:r>
            <w:r>
              <w:rPr>
                <w:color w:val="auto"/>
              </w:rPr>
              <w:t>环办〔20</w:t>
            </w:r>
            <w:r>
              <w:rPr>
                <w:rFonts w:hint="eastAsia"/>
                <w:color w:val="auto"/>
              </w:rPr>
              <w:t>19</w:t>
            </w:r>
            <w:r>
              <w:rPr>
                <w:color w:val="auto"/>
              </w:rPr>
              <w:t>〕</w:t>
            </w:r>
            <w:r>
              <w:rPr>
                <w:rFonts w:hint="eastAsia"/>
                <w:color w:val="auto"/>
              </w:rPr>
              <w:t>36</w:t>
            </w:r>
            <w:r>
              <w:rPr>
                <w:color w:val="auto"/>
              </w:rPr>
              <w:t>号）</w:t>
            </w:r>
            <w:r>
              <w:rPr>
                <w:rFonts w:hint="eastAsia"/>
                <w:color w:val="auto"/>
              </w:rPr>
              <w:t>中的相关</w:t>
            </w:r>
            <w:r>
              <w:rPr>
                <w:color w:val="auto"/>
              </w:rPr>
              <w:t>要求。</w:t>
            </w:r>
          </w:p>
          <w:p w14:paraId="3DF349E2">
            <w:pPr>
              <w:pStyle w:val="50"/>
              <w:ind w:firstLine="480"/>
              <w:rPr>
                <w:color w:val="auto"/>
              </w:rPr>
            </w:pPr>
          </w:p>
          <w:p w14:paraId="43865AD3">
            <w:pPr>
              <w:pStyle w:val="50"/>
              <w:ind w:firstLine="480"/>
              <w:rPr>
                <w:color w:val="auto"/>
              </w:rPr>
            </w:pPr>
          </w:p>
          <w:p w14:paraId="60BA6031">
            <w:pPr>
              <w:pStyle w:val="50"/>
              <w:ind w:firstLine="480"/>
              <w:rPr>
                <w:color w:val="auto"/>
              </w:rPr>
            </w:pPr>
          </w:p>
          <w:p w14:paraId="1326EBA7">
            <w:pPr>
              <w:pStyle w:val="50"/>
              <w:ind w:firstLine="480"/>
              <w:rPr>
                <w:color w:val="auto"/>
              </w:rPr>
            </w:pPr>
          </w:p>
          <w:p w14:paraId="234AE45A">
            <w:pPr>
              <w:pStyle w:val="50"/>
              <w:ind w:firstLine="480"/>
              <w:rPr>
                <w:color w:val="auto"/>
              </w:rPr>
            </w:pPr>
          </w:p>
          <w:p w14:paraId="2C899683">
            <w:pPr>
              <w:pStyle w:val="50"/>
              <w:ind w:firstLine="480"/>
              <w:rPr>
                <w:color w:val="auto"/>
              </w:rPr>
            </w:pPr>
          </w:p>
          <w:p w14:paraId="73743D7C">
            <w:pPr>
              <w:pStyle w:val="50"/>
              <w:ind w:firstLine="480"/>
              <w:rPr>
                <w:color w:val="auto"/>
              </w:rPr>
            </w:pPr>
          </w:p>
          <w:p w14:paraId="515B7CD7">
            <w:pPr>
              <w:pStyle w:val="50"/>
              <w:ind w:firstLine="480"/>
              <w:rPr>
                <w:color w:val="auto"/>
              </w:rPr>
            </w:pPr>
          </w:p>
          <w:p w14:paraId="0B44499B">
            <w:pPr>
              <w:pStyle w:val="50"/>
              <w:ind w:firstLine="480"/>
              <w:rPr>
                <w:color w:val="auto"/>
              </w:rPr>
            </w:pPr>
          </w:p>
          <w:p w14:paraId="6F263F67">
            <w:pPr>
              <w:pStyle w:val="50"/>
              <w:ind w:firstLine="480"/>
              <w:rPr>
                <w:color w:val="auto"/>
              </w:rPr>
            </w:pPr>
          </w:p>
          <w:p w14:paraId="14A68457">
            <w:pPr>
              <w:pStyle w:val="50"/>
              <w:ind w:firstLine="480"/>
              <w:rPr>
                <w:color w:val="auto"/>
              </w:rPr>
            </w:pPr>
          </w:p>
          <w:p w14:paraId="6077AA20">
            <w:pPr>
              <w:pStyle w:val="50"/>
              <w:ind w:firstLine="480"/>
              <w:rPr>
                <w:color w:val="auto"/>
              </w:rPr>
            </w:pPr>
          </w:p>
          <w:p w14:paraId="3C957B3B">
            <w:pPr>
              <w:pStyle w:val="50"/>
              <w:ind w:firstLine="480"/>
              <w:rPr>
                <w:color w:val="auto"/>
              </w:rPr>
            </w:pPr>
          </w:p>
          <w:p w14:paraId="6F9D81E5">
            <w:pPr>
              <w:pStyle w:val="50"/>
              <w:ind w:firstLine="480"/>
              <w:rPr>
                <w:color w:val="auto"/>
              </w:rPr>
            </w:pPr>
          </w:p>
          <w:p w14:paraId="7B325181">
            <w:pPr>
              <w:pStyle w:val="50"/>
              <w:ind w:firstLine="480"/>
              <w:rPr>
                <w:color w:val="auto"/>
              </w:rPr>
            </w:pPr>
          </w:p>
          <w:p w14:paraId="70B9DFBE">
            <w:pPr>
              <w:pStyle w:val="50"/>
              <w:ind w:firstLine="480"/>
              <w:rPr>
                <w:color w:val="auto"/>
              </w:rPr>
            </w:pPr>
          </w:p>
          <w:p w14:paraId="11F5E13C">
            <w:pPr>
              <w:pStyle w:val="50"/>
              <w:ind w:firstLine="480"/>
              <w:rPr>
                <w:color w:val="auto"/>
              </w:rPr>
            </w:pPr>
            <w:bookmarkStart w:id="130" w:name="_GoBack"/>
            <w:bookmarkEnd w:id="130"/>
          </w:p>
          <w:p w14:paraId="5038DB25">
            <w:pPr>
              <w:pStyle w:val="50"/>
              <w:ind w:firstLine="480"/>
              <w:rPr>
                <w:color w:val="auto"/>
              </w:rPr>
            </w:pPr>
          </w:p>
          <w:p w14:paraId="5F9CCC17">
            <w:pPr>
              <w:pStyle w:val="50"/>
              <w:ind w:firstLine="480"/>
              <w:rPr>
                <w:color w:val="auto"/>
              </w:rPr>
            </w:pPr>
          </w:p>
          <w:p w14:paraId="7DFF17EF">
            <w:pPr>
              <w:pStyle w:val="50"/>
              <w:ind w:firstLine="480"/>
              <w:rPr>
                <w:color w:val="auto"/>
              </w:rPr>
            </w:pPr>
          </w:p>
          <w:p w14:paraId="42CB3626">
            <w:pPr>
              <w:pStyle w:val="50"/>
              <w:ind w:firstLine="480"/>
              <w:rPr>
                <w:color w:val="auto"/>
              </w:rPr>
            </w:pPr>
          </w:p>
          <w:p w14:paraId="768F1BDA">
            <w:pPr>
              <w:pStyle w:val="50"/>
              <w:ind w:firstLine="480"/>
              <w:rPr>
                <w:color w:val="auto"/>
              </w:rPr>
            </w:pPr>
          </w:p>
          <w:p w14:paraId="516BBA1F">
            <w:pPr>
              <w:pStyle w:val="50"/>
              <w:ind w:firstLine="480"/>
              <w:rPr>
                <w:color w:val="auto"/>
              </w:rPr>
            </w:pPr>
          </w:p>
          <w:p w14:paraId="159F83CF">
            <w:pPr>
              <w:pStyle w:val="50"/>
              <w:ind w:firstLine="480"/>
              <w:rPr>
                <w:color w:val="auto"/>
              </w:rPr>
            </w:pPr>
          </w:p>
          <w:p w14:paraId="765010A6">
            <w:pPr>
              <w:pStyle w:val="50"/>
              <w:ind w:firstLine="480"/>
              <w:rPr>
                <w:color w:val="auto"/>
              </w:rPr>
            </w:pPr>
          </w:p>
          <w:p w14:paraId="19695AFC">
            <w:pPr>
              <w:pStyle w:val="50"/>
              <w:ind w:firstLine="480"/>
              <w:rPr>
                <w:color w:val="auto"/>
              </w:rPr>
            </w:pPr>
          </w:p>
          <w:p w14:paraId="13376817">
            <w:pPr>
              <w:pStyle w:val="50"/>
              <w:ind w:firstLine="480"/>
              <w:rPr>
                <w:color w:val="auto"/>
              </w:rPr>
            </w:pPr>
          </w:p>
        </w:tc>
      </w:tr>
    </w:tbl>
    <w:p w14:paraId="754A06DD">
      <w:pPr>
        <w:pStyle w:val="50"/>
        <w:ind w:firstLine="480"/>
        <w:rPr>
          <w:color w:val="auto"/>
        </w:rPr>
        <w:sectPr>
          <w:footerReference r:id="rId7" w:type="default"/>
          <w:pgSz w:w="11906" w:h="16838"/>
          <w:pgMar w:top="1701" w:right="1417" w:bottom="1701" w:left="1417" w:header="851" w:footer="851" w:gutter="0"/>
          <w:pgNumType w:start="1"/>
          <w:cols w:space="720" w:num="1"/>
          <w:docGrid w:linePitch="312" w:charSpace="0"/>
        </w:sectPr>
      </w:pPr>
    </w:p>
    <w:p w14:paraId="0A452C41">
      <w:pPr>
        <w:pStyle w:val="2"/>
        <w:spacing w:line="240" w:lineRule="auto"/>
        <w:ind w:firstLine="420"/>
        <w:rPr>
          <w:color w:val="auto"/>
        </w:rPr>
      </w:pPr>
      <w:bookmarkStart w:id="20" w:name="_Toc24866"/>
      <w:r>
        <w:rPr>
          <w:color w:val="auto"/>
        </w:rPr>
        <w:t>二、建设项目工程分析</w:t>
      </w:r>
      <w:bookmarkEnd w:id="20"/>
    </w:p>
    <w:tbl>
      <w:tblPr>
        <w:tblStyle w:val="17"/>
        <w:tblW w:w="952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65"/>
        <w:gridCol w:w="8659"/>
      </w:tblGrid>
      <w:tr w14:paraId="3C203E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65" w:type="dxa"/>
            <w:vAlign w:val="center"/>
          </w:tcPr>
          <w:p w14:paraId="09138D73">
            <w:pPr>
              <w:jc w:val="center"/>
              <w:rPr>
                <w:color w:val="auto"/>
              </w:rPr>
            </w:pPr>
            <w:r>
              <w:rPr>
                <w:rFonts w:eastAsiaTheme="minorEastAsia"/>
                <w:color w:val="auto"/>
                <w:sz w:val="24"/>
              </w:rPr>
              <w:t>建设内容</w:t>
            </w:r>
          </w:p>
        </w:tc>
        <w:tc>
          <w:tcPr>
            <w:tcW w:w="8659" w:type="dxa"/>
          </w:tcPr>
          <w:p w14:paraId="3893B23D">
            <w:pPr>
              <w:pStyle w:val="50"/>
              <w:ind w:firstLine="482"/>
              <w:rPr>
                <w:b/>
                <w:bCs/>
                <w:color w:val="auto"/>
              </w:rPr>
            </w:pPr>
            <w:r>
              <w:rPr>
                <w:b/>
                <w:bCs/>
                <w:color w:val="auto"/>
              </w:rPr>
              <w:t>1、项目由来</w:t>
            </w:r>
          </w:p>
          <w:p w14:paraId="2EF002EB">
            <w:pPr>
              <w:pStyle w:val="50"/>
              <w:ind w:firstLine="480"/>
              <w:rPr>
                <w:color w:val="auto"/>
              </w:rPr>
            </w:pPr>
            <w:r>
              <w:rPr>
                <w:rFonts w:hint="eastAsia"/>
                <w:color w:val="auto"/>
              </w:rPr>
              <w:t>江苏恒轩新材料科技有限公司成立于2024年5月15日，新建</w:t>
            </w:r>
            <w:r>
              <w:rPr>
                <w:color w:val="auto"/>
              </w:rPr>
              <w:t>年产10万吨低氧铜杆项目位于</w:t>
            </w:r>
            <w:r>
              <w:rPr>
                <w:rFonts w:hint="eastAsia"/>
                <w:color w:val="auto"/>
              </w:rPr>
              <w:t>宿迁市</w:t>
            </w:r>
            <w:r>
              <w:rPr>
                <w:color w:val="auto"/>
              </w:rPr>
              <w:t>泗阳县王集镇发展大道东路8号</w:t>
            </w:r>
            <w:r>
              <w:rPr>
                <w:rFonts w:hint="eastAsia"/>
                <w:color w:val="auto"/>
              </w:rPr>
              <w:t>，于2024年8月22日获得《关于对江苏恒轩新材料科技有限公司年产10万吨低氧铜杆项目环境影响报告表的批复》（宿环建表管〔2024〕20104号），于2024年8月开始建设，于2025年7月完成建设并投产，于2025年7月18日完成竣工环境保护验收，现正常运行</w:t>
            </w:r>
            <w:r>
              <w:rPr>
                <w:rFonts w:hint="eastAsia"/>
                <w:color w:val="auto"/>
                <w:lang w:val="en-US" w:eastAsia="zh-CN"/>
              </w:rPr>
              <w:t>中</w:t>
            </w:r>
            <w:r>
              <w:rPr>
                <w:rFonts w:hint="eastAsia"/>
                <w:color w:val="auto"/>
              </w:rPr>
              <w:t>；扩建</w:t>
            </w:r>
            <w:r>
              <w:rPr>
                <w:color w:val="auto"/>
              </w:rPr>
              <w:t>年产16000吨无氧铜杆项目</w:t>
            </w:r>
            <w:r>
              <w:rPr>
                <w:rFonts w:hint="eastAsia"/>
                <w:color w:val="auto"/>
              </w:rPr>
              <w:t>位于宿迁市泗阳</w:t>
            </w:r>
            <w:r>
              <w:rPr>
                <w:color w:val="auto"/>
              </w:rPr>
              <w:t>南刘集全民创业园创业大道6号，</w:t>
            </w:r>
            <w:r>
              <w:rPr>
                <w:rFonts w:hint="eastAsia" w:eastAsiaTheme="minorEastAsia"/>
                <w:color w:val="auto"/>
              </w:rPr>
              <w:t>于2025年2月17日获得</w:t>
            </w:r>
            <w:r>
              <w:rPr>
                <w:rFonts w:hint="eastAsia"/>
                <w:color w:val="auto"/>
              </w:rPr>
              <w:t>《关于对江苏恒轩新材料科技有限公司年产16000吨无氧铜杆项目环境影响报告表的批复》（宿环建管表〔2024〕20018号），于2025年2月开始建设，于2025年4月完成建设并投产，于2025年4月28日完成竣工环境保护验收，于2025年6月停产，</w:t>
            </w:r>
            <w:r>
              <w:rPr>
                <w:rFonts w:hint="eastAsia"/>
                <w:color w:val="auto"/>
                <w:sz w:val="24"/>
              </w:rPr>
              <w:t>所有生产设备待本次扩建项目获得环评批复后，进行拆除并搬迁至宿迁市泗阳县王集镇发展大道东路8号厂区内进行生产</w:t>
            </w:r>
            <w:r>
              <w:rPr>
                <w:rFonts w:hint="eastAsia"/>
                <w:color w:val="auto"/>
              </w:rPr>
              <w:t>。</w:t>
            </w:r>
          </w:p>
          <w:p w14:paraId="607A63EE">
            <w:pPr>
              <w:pStyle w:val="50"/>
              <w:ind w:firstLine="480"/>
              <w:rPr>
                <w:color w:val="auto"/>
              </w:rPr>
            </w:pPr>
            <w:r>
              <w:rPr>
                <w:rFonts w:hint="eastAsia"/>
                <w:color w:val="auto"/>
              </w:rPr>
              <w:t>本次环评拟在宿迁市</w:t>
            </w:r>
            <w:r>
              <w:rPr>
                <w:color w:val="auto"/>
              </w:rPr>
              <w:t>泗阳县王集镇发展大道东路8号</w:t>
            </w:r>
            <w:r>
              <w:rPr>
                <w:rFonts w:hint="eastAsia"/>
                <w:color w:val="auto"/>
              </w:rPr>
              <w:t>现有厂区厂房内进行扩建，依托年产10万吨低氧铜杆项目的主体工程和环保设施，利用年产16000吨无氧铜杆项目生产设备并新增上引法无氧铜杆连铸机组等设备，以高纯度铜、石墨鳞片、木炭等为原辅料，进行建设年产3</w:t>
            </w:r>
            <w:r>
              <w:rPr>
                <w:rFonts w:hint="eastAsia"/>
                <w:color w:val="auto"/>
                <w:lang w:val="en-US" w:eastAsia="zh-CN"/>
              </w:rPr>
              <w:t>2</w:t>
            </w:r>
            <w:r>
              <w:rPr>
                <w:rFonts w:hint="eastAsia"/>
                <w:color w:val="auto"/>
              </w:rPr>
              <w:t>000吨无氧铜杆项目，项目已于2025年4月11日获得宿迁市泗阳县数据局出具的备案证，备案证号为泗阳数据备〔2025〕319号、项目代码为2504-321323-89-01-930020。</w:t>
            </w:r>
          </w:p>
          <w:p w14:paraId="415C9937">
            <w:pPr>
              <w:pStyle w:val="50"/>
              <w:ind w:firstLine="480"/>
              <w:rPr>
                <w:color w:val="auto"/>
              </w:rPr>
            </w:pPr>
            <w:r>
              <w:rPr>
                <w:color w:val="auto"/>
              </w:rPr>
              <w:t>根据《中华人民共和国环境保护法》《中华人民共和国环境影响评价法》和《建设项目环境保护管理条例》等有关规定，本扩建项目须进行环境影响评价；根据《国民经济行业分类》（GB/T4754-2017）可知，本扩建项目属于C3251铜压延加工；根据《建设项目环境影响评价分类管理名录》（2021年版）的相关规定，本扩建项目应编制环境影响报告表，具体划分依据见</w:t>
            </w:r>
            <w:r>
              <w:rPr>
                <w:color w:val="auto"/>
              </w:rPr>
              <w:fldChar w:fldCharType="begin"/>
            </w:r>
            <w:r>
              <w:rPr>
                <w:color w:val="auto"/>
              </w:rPr>
              <w:instrText xml:space="preserve"> REF _Ref10020 \h </w:instrText>
            </w:r>
            <w:r>
              <w:rPr>
                <w:color w:val="auto"/>
              </w:rPr>
              <w:fldChar w:fldCharType="separate"/>
            </w:r>
            <w:r>
              <w:rPr>
                <w:color w:val="auto"/>
              </w:rPr>
              <w:t>表2- 1</w:t>
            </w:r>
            <w:r>
              <w:rPr>
                <w:color w:val="auto"/>
              </w:rPr>
              <w:fldChar w:fldCharType="end"/>
            </w:r>
            <w:r>
              <w:rPr>
                <w:color w:val="auto"/>
              </w:rPr>
              <w:t>。</w:t>
            </w:r>
          </w:p>
          <w:p w14:paraId="4D66C887">
            <w:pPr>
              <w:pStyle w:val="7"/>
              <w:ind w:firstLine="480"/>
              <w:rPr>
                <w:color w:val="auto"/>
              </w:rPr>
            </w:pPr>
            <w:bookmarkStart w:id="21" w:name="_Ref10020"/>
            <w:r>
              <w:rPr>
                <w:color w:val="auto"/>
              </w:rPr>
              <w:t xml:space="preserve">表2- </w:t>
            </w:r>
            <w:r>
              <w:rPr>
                <w:color w:val="auto"/>
              </w:rPr>
              <w:fldChar w:fldCharType="begin"/>
            </w:r>
            <w:r>
              <w:rPr>
                <w:color w:val="auto"/>
              </w:rPr>
              <w:instrText xml:space="preserve"> SEQ 表2- \* ARABIC </w:instrText>
            </w:r>
            <w:r>
              <w:rPr>
                <w:color w:val="auto"/>
              </w:rPr>
              <w:fldChar w:fldCharType="separate"/>
            </w:r>
            <w:r>
              <w:rPr>
                <w:color w:val="auto"/>
              </w:rPr>
              <w:t>1</w:t>
            </w:r>
            <w:r>
              <w:rPr>
                <w:color w:val="auto"/>
              </w:rPr>
              <w:fldChar w:fldCharType="end"/>
            </w:r>
            <w:bookmarkEnd w:id="21"/>
            <w:r>
              <w:rPr>
                <w:color w:val="auto"/>
              </w:rPr>
              <w:t xml:space="preserve"> 建设项目环境影响评价文件类别判定表</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65"/>
              <w:gridCol w:w="1921"/>
              <w:gridCol w:w="1921"/>
              <w:gridCol w:w="1926"/>
            </w:tblGrid>
            <w:tr w14:paraId="06A19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80" w:type="pct"/>
                  <w:tcBorders>
                    <w:tl2br w:val="nil"/>
                    <w:tr2bl w:val="nil"/>
                  </w:tcBorders>
                  <w:vAlign w:val="center"/>
                </w:tcPr>
                <w:p w14:paraId="6F26C1F4">
                  <w:pPr>
                    <w:pStyle w:val="52"/>
                    <w:rPr>
                      <w:color w:val="auto"/>
                    </w:rPr>
                  </w:pPr>
                  <w:r>
                    <w:rPr>
                      <w:color w:val="auto"/>
                    </w:rPr>
                    <w:t>环评类别</w:t>
                  </w:r>
                </w:p>
              </w:tc>
              <w:tc>
                <w:tcPr>
                  <w:tcW w:w="1139" w:type="pct"/>
                  <w:tcBorders>
                    <w:tl2br w:val="nil"/>
                    <w:tr2bl w:val="nil"/>
                  </w:tcBorders>
                  <w:shd w:val="clear" w:color="auto" w:fill="auto"/>
                  <w:vAlign w:val="center"/>
                </w:tcPr>
                <w:p w14:paraId="03B34E1A">
                  <w:pPr>
                    <w:pStyle w:val="52"/>
                    <w:rPr>
                      <w:color w:val="auto"/>
                    </w:rPr>
                  </w:pPr>
                  <w:r>
                    <w:rPr>
                      <w:color w:val="auto"/>
                    </w:rPr>
                    <w:t>报告书</w:t>
                  </w:r>
                </w:p>
              </w:tc>
              <w:tc>
                <w:tcPr>
                  <w:tcW w:w="1139" w:type="pct"/>
                  <w:tcBorders>
                    <w:tl2br w:val="nil"/>
                    <w:tr2bl w:val="nil"/>
                  </w:tcBorders>
                  <w:shd w:val="clear" w:color="auto" w:fill="D7D7D7" w:themeFill="background1" w:themeFillShade="D8"/>
                  <w:vAlign w:val="center"/>
                </w:tcPr>
                <w:p w14:paraId="5266B091">
                  <w:pPr>
                    <w:pStyle w:val="52"/>
                    <w:rPr>
                      <w:color w:val="auto"/>
                    </w:rPr>
                  </w:pPr>
                  <w:r>
                    <w:rPr>
                      <w:color w:val="auto"/>
                    </w:rPr>
                    <w:t>报告表</w:t>
                  </w:r>
                </w:p>
              </w:tc>
              <w:tc>
                <w:tcPr>
                  <w:tcW w:w="1140" w:type="pct"/>
                  <w:tcBorders>
                    <w:tl2br w:val="nil"/>
                    <w:tr2bl w:val="nil"/>
                  </w:tcBorders>
                  <w:vAlign w:val="center"/>
                </w:tcPr>
                <w:p w14:paraId="02DC06A8">
                  <w:pPr>
                    <w:pStyle w:val="52"/>
                    <w:rPr>
                      <w:color w:val="auto"/>
                    </w:rPr>
                  </w:pPr>
                  <w:r>
                    <w:rPr>
                      <w:color w:val="auto"/>
                    </w:rPr>
                    <w:t>登记表</w:t>
                  </w:r>
                </w:p>
              </w:tc>
            </w:tr>
            <w:tr w14:paraId="5CD8A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gridSpan w:val="4"/>
                  <w:tcBorders>
                    <w:tl2br w:val="nil"/>
                    <w:tr2bl w:val="nil"/>
                  </w:tcBorders>
                  <w:shd w:val="clear" w:color="auto" w:fill="auto"/>
                  <w:vAlign w:val="center"/>
                </w:tcPr>
                <w:p w14:paraId="665E3A33">
                  <w:pPr>
                    <w:pStyle w:val="22"/>
                    <w:jc w:val="left"/>
                    <w:rPr>
                      <w:color w:val="auto"/>
                    </w:rPr>
                  </w:pPr>
                  <w:r>
                    <w:rPr>
                      <w:b/>
                      <w:bCs/>
                      <w:color w:val="auto"/>
                    </w:rPr>
                    <w:t>二十九、有色金属冶炼和压延加工业 31</w:t>
                  </w:r>
                </w:p>
              </w:tc>
            </w:tr>
            <w:tr w14:paraId="56BA6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80" w:type="pct"/>
                  <w:tcBorders>
                    <w:tl2br w:val="nil"/>
                    <w:tr2bl w:val="nil"/>
                  </w:tcBorders>
                  <w:shd w:val="clear" w:color="auto" w:fill="auto"/>
                  <w:vAlign w:val="center"/>
                </w:tcPr>
                <w:p w14:paraId="253B13C1">
                  <w:pPr>
                    <w:pStyle w:val="22"/>
                    <w:jc w:val="left"/>
                    <w:rPr>
                      <w:color w:val="auto"/>
                    </w:rPr>
                  </w:pPr>
                  <w:r>
                    <w:rPr>
                      <w:color w:val="auto"/>
                    </w:rPr>
                    <w:t>65 有色金属压延加工 325</w:t>
                  </w:r>
                </w:p>
              </w:tc>
              <w:tc>
                <w:tcPr>
                  <w:tcW w:w="1139" w:type="pct"/>
                  <w:tcBorders>
                    <w:tl2br w:val="nil"/>
                    <w:tr2bl w:val="nil"/>
                  </w:tcBorders>
                  <w:shd w:val="clear" w:color="auto" w:fill="auto"/>
                  <w:vAlign w:val="center"/>
                </w:tcPr>
                <w:p w14:paraId="5FD6BB6D">
                  <w:pPr>
                    <w:pStyle w:val="22"/>
                    <w:rPr>
                      <w:color w:val="auto"/>
                    </w:rPr>
                  </w:pPr>
                  <w:r>
                    <w:rPr>
                      <w:color w:val="auto"/>
                    </w:rPr>
                    <w:t>/</w:t>
                  </w:r>
                </w:p>
              </w:tc>
              <w:tc>
                <w:tcPr>
                  <w:tcW w:w="1139" w:type="pct"/>
                  <w:tcBorders>
                    <w:tl2br w:val="nil"/>
                    <w:tr2bl w:val="nil"/>
                  </w:tcBorders>
                  <w:shd w:val="clear" w:color="auto" w:fill="D7D7D7" w:themeFill="background1" w:themeFillShade="D8"/>
                  <w:vAlign w:val="center"/>
                </w:tcPr>
                <w:p w14:paraId="32C03E67">
                  <w:pPr>
                    <w:pStyle w:val="22"/>
                    <w:rPr>
                      <w:color w:val="auto"/>
                    </w:rPr>
                  </w:pPr>
                  <w:r>
                    <w:rPr>
                      <w:color w:val="auto"/>
                    </w:rPr>
                    <w:t>全部</w:t>
                  </w:r>
                </w:p>
              </w:tc>
              <w:tc>
                <w:tcPr>
                  <w:tcW w:w="1140" w:type="pct"/>
                  <w:tcBorders>
                    <w:tl2br w:val="nil"/>
                    <w:tr2bl w:val="nil"/>
                  </w:tcBorders>
                  <w:vAlign w:val="center"/>
                </w:tcPr>
                <w:p w14:paraId="47734599">
                  <w:pPr>
                    <w:pStyle w:val="22"/>
                    <w:rPr>
                      <w:color w:val="auto"/>
                    </w:rPr>
                  </w:pPr>
                  <w:r>
                    <w:rPr>
                      <w:color w:val="auto"/>
                    </w:rPr>
                    <w:t>/</w:t>
                  </w:r>
                </w:p>
              </w:tc>
            </w:tr>
          </w:tbl>
          <w:p w14:paraId="342F9A2D">
            <w:pPr>
              <w:pStyle w:val="50"/>
              <w:ind w:firstLine="480"/>
              <w:rPr>
                <w:color w:val="auto"/>
              </w:rPr>
            </w:pPr>
            <w:r>
              <w:rPr>
                <w:color w:val="auto"/>
              </w:rPr>
              <w:t>因此，江苏恒轩新材料科技有限公司委托江苏联晟生态环境科技有限公司进行环境影响评价工作。江苏联晟生态环境科技有限公司在接受委托后，对建设项目地进行踏勘，了解周边环境，安排环境影响评价工作。依据《环境影响评价技术导则》和《建设项目环境影响报告表（污染影响类）（试行）》要求，对项目产生的污染和对环境的影响进行分析，从环境保护角度评估项目建设的可行性，编制了本报告表。</w:t>
            </w:r>
          </w:p>
          <w:p w14:paraId="570DC5EC">
            <w:pPr>
              <w:pStyle w:val="50"/>
              <w:ind w:firstLine="480"/>
              <w:rPr>
                <w:color w:val="auto"/>
              </w:rPr>
            </w:pPr>
            <w:r>
              <w:rPr>
                <w:color w:val="auto"/>
              </w:rPr>
              <w:t>根据《江苏省排污权有偿使用和交易管理暂行办法》和《江苏省排污权有偿使用和交易实施细则（试行）》，在排污许可证中载明许可排放量的排污单位，应在申领排污许可证时取得排污权。对照《固定污染源排污许可分类管理名录（2019年版）》，</w:t>
            </w:r>
            <w:r>
              <w:rPr>
                <w:rFonts w:hint="eastAsia"/>
                <w:color w:val="auto"/>
              </w:rPr>
              <w:t>本扩建项目主体属于“二十七、有色金属冶炼和压延加工业32，79有色金属压延加工325-有轧制工序的”，排污许可应执行简化</w:t>
            </w:r>
            <w:r>
              <w:rPr>
                <w:color w:val="auto"/>
              </w:rPr>
              <w:t>管理</w:t>
            </w:r>
            <w:r>
              <w:rPr>
                <w:rFonts w:hint="eastAsia"/>
                <w:color w:val="auto"/>
              </w:rPr>
              <w:t>；现有项目主体也属于“二十七、有色金属冶炼和压延加工业32，79有色金属压延加工325-有轧制工序的”，排污许可执行简化</w:t>
            </w:r>
            <w:r>
              <w:rPr>
                <w:color w:val="auto"/>
              </w:rPr>
              <w:t>管理</w:t>
            </w:r>
            <w:r>
              <w:rPr>
                <w:rFonts w:hint="eastAsia"/>
                <w:color w:val="auto"/>
              </w:rPr>
              <w:t>，详见附件</w:t>
            </w:r>
            <w:r>
              <w:rPr>
                <w:rFonts w:hint="eastAsia"/>
                <w:color w:val="auto"/>
                <w:lang w:val="en-US" w:eastAsia="zh-CN"/>
              </w:rPr>
              <w:t>13</w:t>
            </w:r>
            <w:r>
              <w:rPr>
                <w:rFonts w:hint="eastAsia"/>
                <w:color w:val="auto"/>
              </w:rPr>
              <w:t>，因此本扩建项目建成后全厂排污许可执行简化管理。具体划分</w:t>
            </w:r>
            <w:r>
              <w:rPr>
                <w:color w:val="auto"/>
              </w:rPr>
              <w:t>详见</w:t>
            </w:r>
            <w:r>
              <w:rPr>
                <w:color w:val="auto"/>
              </w:rPr>
              <w:fldChar w:fldCharType="begin"/>
            </w:r>
            <w:r>
              <w:rPr>
                <w:color w:val="auto"/>
              </w:rPr>
              <w:instrText xml:space="preserve"> REF _Ref1243 \h </w:instrText>
            </w:r>
            <w:r>
              <w:rPr>
                <w:color w:val="auto"/>
              </w:rPr>
              <w:fldChar w:fldCharType="separate"/>
            </w:r>
            <w:r>
              <w:rPr>
                <w:color w:val="auto"/>
              </w:rPr>
              <w:t>表2- 2</w:t>
            </w:r>
            <w:r>
              <w:rPr>
                <w:color w:val="auto"/>
              </w:rPr>
              <w:fldChar w:fldCharType="end"/>
            </w:r>
            <w:r>
              <w:rPr>
                <w:color w:val="auto"/>
              </w:rPr>
              <w:t>。</w:t>
            </w:r>
          </w:p>
          <w:p w14:paraId="324C56D1">
            <w:pPr>
              <w:pStyle w:val="7"/>
              <w:rPr>
                <w:color w:val="auto"/>
              </w:rPr>
            </w:pPr>
            <w:bookmarkStart w:id="22" w:name="_Ref1243"/>
            <w:bookmarkStart w:id="23" w:name="_Ref24428"/>
            <w:r>
              <w:rPr>
                <w:color w:val="auto"/>
              </w:rPr>
              <w:t xml:space="preserve">表2- </w:t>
            </w:r>
            <w:r>
              <w:rPr>
                <w:color w:val="auto"/>
              </w:rPr>
              <w:fldChar w:fldCharType="begin"/>
            </w:r>
            <w:r>
              <w:rPr>
                <w:color w:val="auto"/>
              </w:rPr>
              <w:instrText xml:space="preserve"> SEQ 表2- \* ARABIC </w:instrText>
            </w:r>
            <w:r>
              <w:rPr>
                <w:color w:val="auto"/>
              </w:rPr>
              <w:fldChar w:fldCharType="separate"/>
            </w:r>
            <w:r>
              <w:rPr>
                <w:color w:val="auto"/>
              </w:rPr>
              <w:t>2</w:t>
            </w:r>
            <w:r>
              <w:rPr>
                <w:color w:val="auto"/>
              </w:rPr>
              <w:fldChar w:fldCharType="end"/>
            </w:r>
            <w:bookmarkEnd w:id="22"/>
            <w:bookmarkEnd w:id="23"/>
            <w:r>
              <w:rPr>
                <w:color w:val="auto"/>
              </w:rPr>
              <w:t xml:space="preserve"> </w:t>
            </w:r>
            <w:r>
              <w:rPr>
                <w:rFonts w:hint="eastAsia"/>
                <w:color w:val="auto"/>
              </w:rPr>
              <w:t>项目排污管理类别判定表</w:t>
            </w:r>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6"/>
              <w:gridCol w:w="2218"/>
              <w:gridCol w:w="1668"/>
              <w:gridCol w:w="2503"/>
              <w:gridCol w:w="1388"/>
            </w:tblGrid>
            <w:tr w14:paraId="1330A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89" w:type="pct"/>
                  <w:shd w:val="clear" w:color="auto" w:fill="auto"/>
                  <w:vAlign w:val="center"/>
                </w:tcPr>
                <w:p w14:paraId="4B1D30F4">
                  <w:pPr>
                    <w:pStyle w:val="52"/>
                    <w:rPr>
                      <w:color w:val="auto"/>
                    </w:rPr>
                  </w:pPr>
                  <w:r>
                    <w:rPr>
                      <w:color w:val="auto"/>
                    </w:rPr>
                    <w:t>序号</w:t>
                  </w:r>
                </w:p>
              </w:tc>
              <w:tc>
                <w:tcPr>
                  <w:tcW w:w="1315" w:type="pct"/>
                  <w:shd w:val="clear" w:color="auto" w:fill="auto"/>
                  <w:vAlign w:val="center"/>
                </w:tcPr>
                <w:p w14:paraId="4E0B606D">
                  <w:pPr>
                    <w:pStyle w:val="52"/>
                    <w:rPr>
                      <w:color w:val="auto"/>
                    </w:rPr>
                  </w:pPr>
                  <w:r>
                    <w:rPr>
                      <w:color w:val="auto"/>
                    </w:rPr>
                    <w:t>行业类别</w:t>
                  </w:r>
                </w:p>
              </w:tc>
              <w:tc>
                <w:tcPr>
                  <w:tcW w:w="989" w:type="pct"/>
                  <w:shd w:val="clear" w:color="auto" w:fill="auto"/>
                  <w:vAlign w:val="center"/>
                </w:tcPr>
                <w:p w14:paraId="6715EE66">
                  <w:pPr>
                    <w:pStyle w:val="52"/>
                    <w:rPr>
                      <w:color w:val="auto"/>
                    </w:rPr>
                  </w:pPr>
                  <w:r>
                    <w:rPr>
                      <w:color w:val="auto"/>
                    </w:rPr>
                    <w:t>重点管理</w:t>
                  </w:r>
                </w:p>
              </w:tc>
              <w:tc>
                <w:tcPr>
                  <w:tcW w:w="1484" w:type="pct"/>
                  <w:shd w:val="clear" w:color="auto" w:fill="D7D7D7" w:themeFill="background1" w:themeFillShade="D8"/>
                  <w:vAlign w:val="center"/>
                </w:tcPr>
                <w:p w14:paraId="24787D8A">
                  <w:pPr>
                    <w:pStyle w:val="52"/>
                    <w:rPr>
                      <w:color w:val="auto"/>
                    </w:rPr>
                  </w:pPr>
                  <w:r>
                    <w:rPr>
                      <w:color w:val="auto"/>
                    </w:rPr>
                    <w:t>简化管理</w:t>
                  </w:r>
                </w:p>
              </w:tc>
              <w:tc>
                <w:tcPr>
                  <w:tcW w:w="821" w:type="pct"/>
                  <w:shd w:val="clear" w:color="auto" w:fill="auto"/>
                  <w:vAlign w:val="center"/>
                </w:tcPr>
                <w:p w14:paraId="52F8664D">
                  <w:pPr>
                    <w:pStyle w:val="52"/>
                    <w:rPr>
                      <w:color w:val="auto"/>
                    </w:rPr>
                  </w:pPr>
                  <w:r>
                    <w:rPr>
                      <w:color w:val="auto"/>
                    </w:rPr>
                    <w:t>登记管理</w:t>
                  </w:r>
                </w:p>
              </w:tc>
            </w:tr>
            <w:tr w14:paraId="24B02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000" w:type="pct"/>
                  <w:gridSpan w:val="5"/>
                  <w:shd w:val="clear" w:color="auto" w:fill="auto"/>
                  <w:vAlign w:val="center"/>
                </w:tcPr>
                <w:p w14:paraId="5ACF066F">
                  <w:pPr>
                    <w:pStyle w:val="52"/>
                    <w:jc w:val="left"/>
                    <w:rPr>
                      <w:color w:val="auto"/>
                    </w:rPr>
                  </w:pPr>
                  <w:r>
                    <w:rPr>
                      <w:rFonts w:hint="eastAsia"/>
                      <w:color w:val="auto"/>
                    </w:rPr>
                    <w:t>二十七、有色金属冶炼和压延加工业32</w:t>
                  </w:r>
                </w:p>
              </w:tc>
            </w:tr>
            <w:tr w14:paraId="14A88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89" w:type="pct"/>
                  <w:shd w:val="clear" w:color="auto" w:fill="auto"/>
                  <w:vAlign w:val="center"/>
                </w:tcPr>
                <w:p w14:paraId="12A6F50D">
                  <w:pPr>
                    <w:pStyle w:val="54"/>
                    <w:rPr>
                      <w:color w:val="auto"/>
                    </w:rPr>
                  </w:pPr>
                  <w:r>
                    <w:rPr>
                      <w:rFonts w:hint="eastAsia"/>
                      <w:color w:val="auto"/>
                    </w:rPr>
                    <w:t>79</w:t>
                  </w:r>
                </w:p>
              </w:tc>
              <w:tc>
                <w:tcPr>
                  <w:tcW w:w="1315" w:type="pct"/>
                  <w:shd w:val="clear" w:color="auto" w:fill="auto"/>
                  <w:vAlign w:val="center"/>
                </w:tcPr>
                <w:p w14:paraId="117EEA45">
                  <w:pPr>
                    <w:pStyle w:val="54"/>
                    <w:rPr>
                      <w:color w:val="auto"/>
                    </w:rPr>
                  </w:pPr>
                  <w:r>
                    <w:rPr>
                      <w:rFonts w:hint="eastAsia"/>
                      <w:color w:val="auto"/>
                    </w:rPr>
                    <w:t>有色金属压延加工325</w:t>
                  </w:r>
                </w:p>
              </w:tc>
              <w:tc>
                <w:tcPr>
                  <w:tcW w:w="989" w:type="pct"/>
                  <w:shd w:val="clear" w:color="auto" w:fill="auto"/>
                  <w:vAlign w:val="center"/>
                </w:tcPr>
                <w:p w14:paraId="2E880FF7">
                  <w:pPr>
                    <w:pStyle w:val="54"/>
                    <w:rPr>
                      <w:color w:val="auto"/>
                    </w:rPr>
                  </w:pPr>
                  <w:r>
                    <w:rPr>
                      <w:rFonts w:hint="eastAsia"/>
                      <w:color w:val="auto"/>
                    </w:rPr>
                    <w:t>/</w:t>
                  </w:r>
                </w:p>
              </w:tc>
              <w:tc>
                <w:tcPr>
                  <w:tcW w:w="1484" w:type="pct"/>
                  <w:shd w:val="clear" w:color="auto" w:fill="D7D7D7" w:themeFill="background1" w:themeFillShade="D8"/>
                  <w:vAlign w:val="center"/>
                </w:tcPr>
                <w:p w14:paraId="3AF5DF7B">
                  <w:pPr>
                    <w:pStyle w:val="54"/>
                    <w:rPr>
                      <w:color w:val="auto"/>
                    </w:rPr>
                  </w:pPr>
                  <w:r>
                    <w:rPr>
                      <w:rFonts w:hint="eastAsia"/>
                      <w:color w:val="auto"/>
                    </w:rPr>
                    <w:t>有轧制或者退火工序的</w:t>
                  </w:r>
                </w:p>
              </w:tc>
              <w:tc>
                <w:tcPr>
                  <w:tcW w:w="821" w:type="pct"/>
                  <w:shd w:val="clear" w:color="auto" w:fill="auto"/>
                  <w:vAlign w:val="center"/>
                </w:tcPr>
                <w:p w14:paraId="6A0B5466">
                  <w:pPr>
                    <w:pStyle w:val="54"/>
                    <w:rPr>
                      <w:color w:val="auto"/>
                    </w:rPr>
                  </w:pPr>
                  <w:r>
                    <w:rPr>
                      <w:rFonts w:hint="eastAsia"/>
                      <w:color w:val="auto"/>
                    </w:rPr>
                    <w:t>其他</w:t>
                  </w:r>
                </w:p>
              </w:tc>
            </w:tr>
          </w:tbl>
          <w:p w14:paraId="4098CE07">
            <w:pPr>
              <w:pStyle w:val="50"/>
              <w:ind w:firstLine="482"/>
              <w:rPr>
                <w:b/>
                <w:bCs/>
                <w:color w:val="auto"/>
              </w:rPr>
            </w:pPr>
            <w:r>
              <w:rPr>
                <w:b/>
                <w:bCs/>
                <w:color w:val="auto"/>
              </w:rPr>
              <w:t>2、产品方案建设内容</w:t>
            </w:r>
          </w:p>
          <w:p w14:paraId="4DD43CBD">
            <w:pPr>
              <w:pStyle w:val="50"/>
              <w:ind w:firstLine="480"/>
              <w:rPr>
                <w:color w:val="auto"/>
              </w:rPr>
            </w:pPr>
            <w:r>
              <w:rPr>
                <w:color w:val="auto"/>
              </w:rPr>
              <w:t>本项目产品方案见</w:t>
            </w:r>
            <w:r>
              <w:rPr>
                <w:color w:val="auto"/>
              </w:rPr>
              <w:fldChar w:fldCharType="begin"/>
            </w:r>
            <w:r>
              <w:rPr>
                <w:color w:val="auto"/>
              </w:rPr>
              <w:instrText xml:space="preserve"> REF _Ref19894 \h </w:instrText>
            </w:r>
            <w:r>
              <w:rPr>
                <w:color w:val="auto"/>
              </w:rPr>
              <w:fldChar w:fldCharType="separate"/>
            </w:r>
            <w:r>
              <w:rPr>
                <w:color w:val="auto"/>
              </w:rPr>
              <w:t>表2- 3</w:t>
            </w:r>
            <w:r>
              <w:rPr>
                <w:color w:val="auto"/>
              </w:rPr>
              <w:fldChar w:fldCharType="end"/>
            </w:r>
            <w:r>
              <w:rPr>
                <w:color w:val="auto"/>
              </w:rPr>
              <w:t>。</w:t>
            </w:r>
          </w:p>
          <w:p w14:paraId="3F4C2F25">
            <w:pPr>
              <w:pStyle w:val="7"/>
              <w:rPr>
                <w:color w:val="auto"/>
              </w:rPr>
            </w:pPr>
            <w:bookmarkStart w:id="24" w:name="_Ref19894"/>
            <w:bookmarkStart w:id="25" w:name="_Ref18036"/>
            <w:r>
              <w:rPr>
                <w:color w:val="auto"/>
              </w:rPr>
              <w:t xml:space="preserve">表2- </w:t>
            </w:r>
            <w:r>
              <w:rPr>
                <w:color w:val="auto"/>
              </w:rPr>
              <w:fldChar w:fldCharType="begin"/>
            </w:r>
            <w:r>
              <w:rPr>
                <w:color w:val="auto"/>
              </w:rPr>
              <w:instrText xml:space="preserve"> SEQ 表2- \* ARABIC </w:instrText>
            </w:r>
            <w:r>
              <w:rPr>
                <w:color w:val="auto"/>
              </w:rPr>
              <w:fldChar w:fldCharType="separate"/>
            </w:r>
            <w:r>
              <w:rPr>
                <w:color w:val="auto"/>
              </w:rPr>
              <w:t>3</w:t>
            </w:r>
            <w:r>
              <w:rPr>
                <w:color w:val="auto"/>
              </w:rPr>
              <w:fldChar w:fldCharType="end"/>
            </w:r>
            <w:bookmarkEnd w:id="24"/>
            <w:bookmarkEnd w:id="25"/>
            <w:r>
              <w:rPr>
                <w:color w:val="auto"/>
              </w:rPr>
              <w:t xml:space="preserve"> 项目产品方案一览表</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88"/>
              <w:gridCol w:w="1012"/>
              <w:gridCol w:w="972"/>
              <w:gridCol w:w="1036"/>
              <w:gridCol w:w="1118"/>
              <w:gridCol w:w="1358"/>
              <w:gridCol w:w="1200"/>
              <w:gridCol w:w="1349"/>
            </w:tblGrid>
            <w:tr w14:paraId="32397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388" w:type="dxa"/>
                  <w:vMerge w:val="restart"/>
                  <w:tcBorders>
                    <w:tl2br w:val="nil"/>
                    <w:tr2bl w:val="nil"/>
                  </w:tcBorders>
                  <w:vAlign w:val="center"/>
                </w:tcPr>
                <w:p w14:paraId="6E3A1BAA">
                  <w:pPr>
                    <w:pStyle w:val="52"/>
                    <w:rPr>
                      <w:color w:val="auto"/>
                    </w:rPr>
                  </w:pPr>
                  <w:r>
                    <w:rPr>
                      <w:rFonts w:hint="eastAsia"/>
                      <w:color w:val="auto"/>
                    </w:rPr>
                    <w:t>序号</w:t>
                  </w:r>
                </w:p>
              </w:tc>
              <w:tc>
                <w:tcPr>
                  <w:tcW w:w="1012" w:type="dxa"/>
                  <w:vMerge w:val="restart"/>
                  <w:tcBorders>
                    <w:tl2br w:val="nil"/>
                    <w:tr2bl w:val="nil"/>
                  </w:tcBorders>
                  <w:vAlign w:val="center"/>
                </w:tcPr>
                <w:p w14:paraId="688BA5D9">
                  <w:pPr>
                    <w:pStyle w:val="52"/>
                    <w:rPr>
                      <w:color w:val="auto"/>
                    </w:rPr>
                  </w:pPr>
                  <w:r>
                    <w:rPr>
                      <w:color w:val="auto"/>
                    </w:rPr>
                    <w:t>产品名称</w:t>
                  </w:r>
                </w:p>
              </w:tc>
              <w:tc>
                <w:tcPr>
                  <w:tcW w:w="3126" w:type="dxa"/>
                  <w:gridSpan w:val="3"/>
                  <w:tcBorders>
                    <w:tl2br w:val="nil"/>
                    <w:tr2bl w:val="nil"/>
                  </w:tcBorders>
                  <w:vAlign w:val="center"/>
                </w:tcPr>
                <w:p w14:paraId="32002F67">
                  <w:pPr>
                    <w:pStyle w:val="52"/>
                    <w:rPr>
                      <w:color w:val="auto"/>
                    </w:rPr>
                  </w:pPr>
                  <w:r>
                    <w:rPr>
                      <w:color w:val="auto"/>
                    </w:rPr>
                    <w:t>年产量</w:t>
                  </w:r>
                  <w:r>
                    <w:rPr>
                      <w:rFonts w:hint="eastAsia"/>
                      <w:color w:val="auto"/>
                    </w:rPr>
                    <w:t>（t/a）</w:t>
                  </w:r>
                </w:p>
              </w:tc>
              <w:tc>
                <w:tcPr>
                  <w:tcW w:w="1358" w:type="dxa"/>
                  <w:vMerge w:val="restart"/>
                  <w:tcBorders>
                    <w:tl2br w:val="nil"/>
                    <w:tr2bl w:val="nil"/>
                  </w:tcBorders>
                  <w:vAlign w:val="center"/>
                </w:tcPr>
                <w:p w14:paraId="763242F2">
                  <w:pPr>
                    <w:pStyle w:val="52"/>
                    <w:rPr>
                      <w:color w:val="auto"/>
                    </w:rPr>
                  </w:pPr>
                  <w:r>
                    <w:rPr>
                      <w:rFonts w:hint="eastAsia"/>
                      <w:color w:val="auto"/>
                    </w:rPr>
                    <w:t>产品质量标准</w:t>
                  </w:r>
                </w:p>
              </w:tc>
              <w:tc>
                <w:tcPr>
                  <w:tcW w:w="1200" w:type="dxa"/>
                  <w:vMerge w:val="restart"/>
                  <w:tcBorders>
                    <w:tl2br w:val="nil"/>
                    <w:tr2bl w:val="nil"/>
                  </w:tcBorders>
                  <w:vAlign w:val="center"/>
                </w:tcPr>
                <w:p w14:paraId="17352888">
                  <w:pPr>
                    <w:pStyle w:val="52"/>
                    <w:rPr>
                      <w:color w:val="auto"/>
                    </w:rPr>
                  </w:pPr>
                  <w:r>
                    <w:rPr>
                      <w:rFonts w:hint="eastAsia"/>
                      <w:color w:val="auto"/>
                    </w:rPr>
                    <w:t>年运行时长（h）</w:t>
                  </w:r>
                </w:p>
              </w:tc>
              <w:tc>
                <w:tcPr>
                  <w:tcW w:w="1349" w:type="dxa"/>
                  <w:vMerge w:val="restart"/>
                  <w:tcBorders>
                    <w:tl2br w:val="nil"/>
                    <w:tr2bl w:val="nil"/>
                  </w:tcBorders>
                  <w:shd w:val="clear" w:color="auto" w:fill="auto"/>
                  <w:vAlign w:val="center"/>
                </w:tcPr>
                <w:p w14:paraId="086DAF38">
                  <w:pPr>
                    <w:pStyle w:val="52"/>
                    <w:rPr>
                      <w:color w:val="auto"/>
                    </w:rPr>
                  </w:pPr>
                  <w:r>
                    <w:rPr>
                      <w:rFonts w:hint="eastAsia"/>
                      <w:color w:val="auto"/>
                    </w:rPr>
                    <w:t>备注</w:t>
                  </w:r>
                </w:p>
              </w:tc>
            </w:tr>
            <w:tr w14:paraId="4A777D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4" w:hRule="atLeast"/>
                <w:jc w:val="center"/>
              </w:trPr>
              <w:tc>
                <w:tcPr>
                  <w:tcW w:w="388" w:type="dxa"/>
                  <w:vMerge w:val="continue"/>
                  <w:tcBorders>
                    <w:tl2br w:val="nil"/>
                    <w:tr2bl w:val="nil"/>
                  </w:tcBorders>
                  <w:vAlign w:val="center"/>
                </w:tcPr>
                <w:p w14:paraId="220F07D6">
                  <w:pPr>
                    <w:pStyle w:val="52"/>
                    <w:rPr>
                      <w:color w:val="auto"/>
                    </w:rPr>
                  </w:pPr>
                </w:p>
              </w:tc>
              <w:tc>
                <w:tcPr>
                  <w:tcW w:w="1012" w:type="dxa"/>
                  <w:vMerge w:val="continue"/>
                  <w:tcBorders>
                    <w:tl2br w:val="nil"/>
                    <w:tr2bl w:val="nil"/>
                  </w:tcBorders>
                  <w:vAlign w:val="center"/>
                </w:tcPr>
                <w:p w14:paraId="689698B7">
                  <w:pPr>
                    <w:pStyle w:val="52"/>
                    <w:rPr>
                      <w:color w:val="auto"/>
                    </w:rPr>
                  </w:pPr>
                </w:p>
              </w:tc>
              <w:tc>
                <w:tcPr>
                  <w:tcW w:w="972" w:type="dxa"/>
                  <w:tcBorders>
                    <w:tl2br w:val="nil"/>
                    <w:tr2bl w:val="nil"/>
                  </w:tcBorders>
                  <w:vAlign w:val="center"/>
                </w:tcPr>
                <w:p w14:paraId="6B0342AF">
                  <w:pPr>
                    <w:pStyle w:val="52"/>
                    <w:rPr>
                      <w:color w:val="auto"/>
                    </w:rPr>
                  </w:pPr>
                  <w:r>
                    <w:rPr>
                      <w:rFonts w:hint="eastAsia"/>
                      <w:color w:val="auto"/>
                    </w:rPr>
                    <w:t>现有项目</w:t>
                  </w:r>
                </w:p>
              </w:tc>
              <w:tc>
                <w:tcPr>
                  <w:tcW w:w="1036" w:type="dxa"/>
                  <w:tcBorders>
                    <w:tl2br w:val="nil"/>
                    <w:tr2bl w:val="nil"/>
                  </w:tcBorders>
                  <w:vAlign w:val="center"/>
                </w:tcPr>
                <w:p w14:paraId="0FB350F1">
                  <w:pPr>
                    <w:pStyle w:val="52"/>
                    <w:rPr>
                      <w:color w:val="auto"/>
                    </w:rPr>
                  </w:pPr>
                  <w:r>
                    <w:rPr>
                      <w:rFonts w:hint="eastAsia"/>
                      <w:color w:val="auto"/>
                    </w:rPr>
                    <w:t>扩建项目</w:t>
                  </w:r>
                </w:p>
              </w:tc>
              <w:tc>
                <w:tcPr>
                  <w:tcW w:w="1118" w:type="dxa"/>
                  <w:tcBorders>
                    <w:tl2br w:val="nil"/>
                    <w:tr2bl w:val="nil"/>
                  </w:tcBorders>
                  <w:vAlign w:val="center"/>
                </w:tcPr>
                <w:p w14:paraId="6967DC28">
                  <w:pPr>
                    <w:pStyle w:val="52"/>
                    <w:rPr>
                      <w:color w:val="auto"/>
                    </w:rPr>
                  </w:pPr>
                  <w:r>
                    <w:rPr>
                      <w:rFonts w:hint="eastAsia"/>
                      <w:color w:val="auto"/>
                    </w:rPr>
                    <w:t>扩建后全厂</w:t>
                  </w:r>
                </w:p>
              </w:tc>
              <w:tc>
                <w:tcPr>
                  <w:tcW w:w="1358" w:type="dxa"/>
                  <w:vMerge w:val="continue"/>
                  <w:tcBorders>
                    <w:tl2br w:val="nil"/>
                    <w:tr2bl w:val="nil"/>
                  </w:tcBorders>
                  <w:vAlign w:val="center"/>
                </w:tcPr>
                <w:p w14:paraId="34D82FB2">
                  <w:pPr>
                    <w:pStyle w:val="52"/>
                    <w:rPr>
                      <w:color w:val="auto"/>
                    </w:rPr>
                  </w:pPr>
                </w:p>
              </w:tc>
              <w:tc>
                <w:tcPr>
                  <w:tcW w:w="1200" w:type="dxa"/>
                  <w:vMerge w:val="continue"/>
                  <w:tcBorders>
                    <w:tl2br w:val="nil"/>
                    <w:tr2bl w:val="nil"/>
                  </w:tcBorders>
                  <w:vAlign w:val="center"/>
                </w:tcPr>
                <w:p w14:paraId="29E7DFEF">
                  <w:pPr>
                    <w:pStyle w:val="52"/>
                    <w:rPr>
                      <w:color w:val="auto"/>
                    </w:rPr>
                  </w:pPr>
                </w:p>
              </w:tc>
              <w:tc>
                <w:tcPr>
                  <w:tcW w:w="1349" w:type="dxa"/>
                  <w:vMerge w:val="continue"/>
                  <w:tcBorders>
                    <w:tl2br w:val="nil"/>
                    <w:tr2bl w:val="nil"/>
                  </w:tcBorders>
                  <w:shd w:val="clear" w:color="auto" w:fill="auto"/>
                  <w:vAlign w:val="center"/>
                </w:tcPr>
                <w:p w14:paraId="5F58FFF2">
                  <w:pPr>
                    <w:pStyle w:val="52"/>
                    <w:rPr>
                      <w:color w:val="auto"/>
                    </w:rPr>
                  </w:pPr>
                </w:p>
              </w:tc>
            </w:tr>
            <w:tr w14:paraId="00E5C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4" w:hRule="atLeast"/>
                <w:jc w:val="center"/>
              </w:trPr>
              <w:tc>
                <w:tcPr>
                  <w:tcW w:w="388" w:type="dxa"/>
                  <w:tcBorders>
                    <w:tl2br w:val="nil"/>
                    <w:tr2bl w:val="nil"/>
                  </w:tcBorders>
                  <w:vAlign w:val="center"/>
                </w:tcPr>
                <w:p w14:paraId="456286E8">
                  <w:pPr>
                    <w:pStyle w:val="54"/>
                    <w:rPr>
                      <w:color w:val="auto"/>
                    </w:rPr>
                  </w:pPr>
                  <w:r>
                    <w:rPr>
                      <w:rFonts w:hint="eastAsia"/>
                      <w:color w:val="auto"/>
                    </w:rPr>
                    <w:t>1</w:t>
                  </w:r>
                </w:p>
              </w:tc>
              <w:tc>
                <w:tcPr>
                  <w:tcW w:w="1012" w:type="dxa"/>
                  <w:tcBorders>
                    <w:tl2br w:val="nil"/>
                    <w:tr2bl w:val="nil"/>
                  </w:tcBorders>
                  <w:vAlign w:val="center"/>
                </w:tcPr>
                <w:p w14:paraId="450727DF">
                  <w:pPr>
                    <w:pStyle w:val="54"/>
                    <w:rPr>
                      <w:color w:val="auto"/>
                    </w:rPr>
                  </w:pPr>
                  <w:r>
                    <w:rPr>
                      <w:color w:val="auto"/>
                    </w:rPr>
                    <w:t>无氧铜杆</w:t>
                  </w:r>
                </w:p>
              </w:tc>
              <w:tc>
                <w:tcPr>
                  <w:tcW w:w="972" w:type="dxa"/>
                  <w:tcBorders>
                    <w:tl2br w:val="nil"/>
                    <w:tr2bl w:val="nil"/>
                  </w:tcBorders>
                  <w:shd w:val="clear" w:color="auto" w:fill="auto"/>
                  <w:vAlign w:val="center"/>
                </w:tcPr>
                <w:p w14:paraId="0CD6BB86">
                  <w:pPr>
                    <w:pStyle w:val="54"/>
                    <w:rPr>
                      <w:color w:val="auto"/>
                    </w:rPr>
                  </w:pPr>
                  <w:r>
                    <w:rPr>
                      <w:rStyle w:val="21"/>
                      <w:rFonts w:hint="eastAsia"/>
                      <w:color w:val="auto"/>
                    </w:rPr>
                    <w:t>1.6万</w:t>
                  </w:r>
                </w:p>
              </w:tc>
              <w:tc>
                <w:tcPr>
                  <w:tcW w:w="1036" w:type="dxa"/>
                  <w:tcBorders>
                    <w:tl2br w:val="nil"/>
                    <w:tr2bl w:val="nil"/>
                  </w:tcBorders>
                  <w:vAlign w:val="center"/>
                </w:tcPr>
                <w:p w14:paraId="2C0ED2FA">
                  <w:pPr>
                    <w:pStyle w:val="54"/>
                    <w:rPr>
                      <w:color w:val="auto"/>
                    </w:rPr>
                  </w:pPr>
                  <w:r>
                    <w:rPr>
                      <w:rFonts w:hint="eastAsia"/>
                      <w:color w:val="auto"/>
                    </w:rPr>
                    <w:t>3.2万</w:t>
                  </w:r>
                </w:p>
              </w:tc>
              <w:tc>
                <w:tcPr>
                  <w:tcW w:w="1118" w:type="dxa"/>
                  <w:tcBorders>
                    <w:tl2br w:val="nil"/>
                    <w:tr2bl w:val="nil"/>
                  </w:tcBorders>
                  <w:vAlign w:val="center"/>
                </w:tcPr>
                <w:p w14:paraId="06E2D99E">
                  <w:pPr>
                    <w:pStyle w:val="54"/>
                    <w:rPr>
                      <w:color w:val="auto"/>
                    </w:rPr>
                  </w:pPr>
                  <w:r>
                    <w:rPr>
                      <w:rFonts w:hint="eastAsia"/>
                      <w:color w:val="auto"/>
                    </w:rPr>
                    <w:t>3.2万</w:t>
                  </w:r>
                </w:p>
              </w:tc>
              <w:tc>
                <w:tcPr>
                  <w:tcW w:w="1358" w:type="dxa"/>
                  <w:vMerge w:val="restart"/>
                  <w:tcBorders>
                    <w:tl2br w:val="nil"/>
                    <w:tr2bl w:val="nil"/>
                  </w:tcBorders>
                  <w:shd w:val="clear" w:color="auto" w:fill="auto"/>
                  <w:vAlign w:val="center"/>
                </w:tcPr>
                <w:p w14:paraId="4D4E14D6">
                  <w:pPr>
                    <w:pStyle w:val="54"/>
                    <w:rPr>
                      <w:color w:val="auto"/>
                    </w:rPr>
                  </w:pPr>
                  <w:r>
                    <w:rPr>
                      <w:rFonts w:hint="eastAsia"/>
                      <w:color w:val="auto"/>
                    </w:rPr>
                    <w:t>《电工用铜线坯》（GB/T 3952-2008）</w:t>
                  </w:r>
                </w:p>
              </w:tc>
              <w:tc>
                <w:tcPr>
                  <w:tcW w:w="1200" w:type="dxa"/>
                  <w:tcBorders>
                    <w:tl2br w:val="nil"/>
                    <w:tr2bl w:val="nil"/>
                  </w:tcBorders>
                  <w:shd w:val="clear" w:color="auto" w:fill="auto"/>
                  <w:vAlign w:val="center"/>
                </w:tcPr>
                <w:p w14:paraId="17636616">
                  <w:pPr>
                    <w:pStyle w:val="54"/>
                    <w:rPr>
                      <w:color w:val="auto"/>
                    </w:rPr>
                  </w:pPr>
                  <w:r>
                    <w:rPr>
                      <w:rFonts w:hint="eastAsia"/>
                      <w:color w:val="auto"/>
                    </w:rPr>
                    <w:t>7200</w:t>
                  </w:r>
                </w:p>
              </w:tc>
              <w:tc>
                <w:tcPr>
                  <w:tcW w:w="1349" w:type="dxa"/>
                  <w:tcBorders>
                    <w:tl2br w:val="nil"/>
                    <w:tr2bl w:val="nil"/>
                  </w:tcBorders>
                  <w:shd w:val="clear" w:color="auto" w:fill="auto"/>
                  <w:vAlign w:val="center"/>
                </w:tcPr>
                <w:p w14:paraId="0E56363E">
                  <w:pPr>
                    <w:pStyle w:val="54"/>
                    <w:rPr>
                      <w:color w:val="auto"/>
                    </w:rPr>
                  </w:pPr>
                  <w:r>
                    <w:rPr>
                      <w:color w:val="auto"/>
                    </w:rPr>
                    <w:t>年产</w:t>
                  </w:r>
                  <w:r>
                    <w:rPr>
                      <w:rFonts w:hint="eastAsia"/>
                      <w:color w:val="auto"/>
                    </w:rPr>
                    <w:t>3</w:t>
                  </w:r>
                  <w:r>
                    <w:rPr>
                      <w:rFonts w:hint="eastAsia"/>
                      <w:color w:val="auto"/>
                      <w:lang w:val="en-US" w:eastAsia="zh-CN"/>
                    </w:rPr>
                    <w:t>2</w:t>
                  </w:r>
                  <w:r>
                    <w:rPr>
                      <w:rFonts w:hint="eastAsia"/>
                      <w:color w:val="auto"/>
                    </w:rPr>
                    <w:t>000</w:t>
                  </w:r>
                  <w:r>
                    <w:rPr>
                      <w:color w:val="auto"/>
                    </w:rPr>
                    <w:t>吨无氧铜杆项目</w:t>
                  </w:r>
                </w:p>
              </w:tc>
            </w:tr>
            <w:tr w14:paraId="5FFB6A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388" w:type="dxa"/>
                  <w:tcBorders>
                    <w:tl2br w:val="nil"/>
                    <w:tr2bl w:val="nil"/>
                  </w:tcBorders>
                  <w:vAlign w:val="center"/>
                </w:tcPr>
                <w:p w14:paraId="07822371">
                  <w:pPr>
                    <w:pStyle w:val="54"/>
                    <w:rPr>
                      <w:color w:val="auto"/>
                    </w:rPr>
                  </w:pPr>
                  <w:r>
                    <w:rPr>
                      <w:rFonts w:hint="eastAsia"/>
                      <w:color w:val="auto"/>
                    </w:rPr>
                    <w:t>2</w:t>
                  </w:r>
                </w:p>
              </w:tc>
              <w:tc>
                <w:tcPr>
                  <w:tcW w:w="1012" w:type="dxa"/>
                  <w:tcBorders>
                    <w:tl2br w:val="nil"/>
                    <w:tr2bl w:val="nil"/>
                  </w:tcBorders>
                  <w:vAlign w:val="center"/>
                </w:tcPr>
                <w:p w14:paraId="6E4C67EC">
                  <w:pPr>
                    <w:pStyle w:val="54"/>
                    <w:rPr>
                      <w:color w:val="auto"/>
                    </w:rPr>
                  </w:pPr>
                  <w:r>
                    <w:rPr>
                      <w:rFonts w:hint="eastAsia"/>
                      <w:color w:val="auto"/>
                    </w:rPr>
                    <w:t>低氧铜杆</w:t>
                  </w:r>
                </w:p>
              </w:tc>
              <w:tc>
                <w:tcPr>
                  <w:tcW w:w="972" w:type="dxa"/>
                  <w:tcBorders>
                    <w:tl2br w:val="nil"/>
                    <w:tr2bl w:val="nil"/>
                  </w:tcBorders>
                  <w:vAlign w:val="center"/>
                </w:tcPr>
                <w:p w14:paraId="7BEE3213">
                  <w:pPr>
                    <w:pStyle w:val="54"/>
                    <w:rPr>
                      <w:color w:val="auto"/>
                    </w:rPr>
                  </w:pPr>
                  <w:r>
                    <w:rPr>
                      <w:rFonts w:hint="eastAsia"/>
                      <w:color w:val="auto"/>
                    </w:rPr>
                    <w:t>10万</w:t>
                  </w:r>
                </w:p>
              </w:tc>
              <w:tc>
                <w:tcPr>
                  <w:tcW w:w="1036" w:type="dxa"/>
                  <w:tcBorders>
                    <w:tl2br w:val="nil"/>
                    <w:tr2bl w:val="nil"/>
                  </w:tcBorders>
                  <w:vAlign w:val="center"/>
                </w:tcPr>
                <w:p w14:paraId="567E8B2E">
                  <w:pPr>
                    <w:pStyle w:val="54"/>
                    <w:rPr>
                      <w:color w:val="auto"/>
                    </w:rPr>
                  </w:pPr>
                  <w:r>
                    <w:rPr>
                      <w:rFonts w:hint="eastAsia"/>
                      <w:color w:val="auto"/>
                    </w:rPr>
                    <w:t>/</w:t>
                  </w:r>
                </w:p>
              </w:tc>
              <w:tc>
                <w:tcPr>
                  <w:tcW w:w="1118" w:type="dxa"/>
                  <w:tcBorders>
                    <w:tl2br w:val="nil"/>
                    <w:tr2bl w:val="nil"/>
                  </w:tcBorders>
                  <w:vAlign w:val="center"/>
                </w:tcPr>
                <w:p w14:paraId="7AEB3A54">
                  <w:pPr>
                    <w:pStyle w:val="54"/>
                    <w:rPr>
                      <w:color w:val="auto"/>
                    </w:rPr>
                  </w:pPr>
                  <w:r>
                    <w:rPr>
                      <w:rFonts w:hint="eastAsia"/>
                      <w:color w:val="auto"/>
                    </w:rPr>
                    <w:t>10万</w:t>
                  </w:r>
                </w:p>
              </w:tc>
              <w:tc>
                <w:tcPr>
                  <w:tcW w:w="1358" w:type="dxa"/>
                  <w:vMerge w:val="continue"/>
                  <w:tcBorders>
                    <w:tl2br w:val="nil"/>
                    <w:tr2bl w:val="nil"/>
                  </w:tcBorders>
                  <w:shd w:val="clear" w:color="auto" w:fill="auto"/>
                  <w:vAlign w:val="center"/>
                </w:tcPr>
                <w:p w14:paraId="67381DCB">
                  <w:pPr>
                    <w:pStyle w:val="54"/>
                    <w:rPr>
                      <w:color w:val="auto"/>
                    </w:rPr>
                  </w:pPr>
                </w:p>
              </w:tc>
              <w:tc>
                <w:tcPr>
                  <w:tcW w:w="1200" w:type="dxa"/>
                  <w:tcBorders>
                    <w:tl2br w:val="nil"/>
                    <w:tr2bl w:val="nil"/>
                  </w:tcBorders>
                  <w:shd w:val="clear" w:color="auto" w:fill="auto"/>
                  <w:vAlign w:val="center"/>
                </w:tcPr>
                <w:p w14:paraId="22581E76">
                  <w:pPr>
                    <w:pStyle w:val="54"/>
                    <w:rPr>
                      <w:color w:val="auto"/>
                    </w:rPr>
                  </w:pPr>
                  <w:r>
                    <w:rPr>
                      <w:rFonts w:hint="eastAsia"/>
                      <w:color w:val="auto"/>
                    </w:rPr>
                    <w:t>2400</w:t>
                  </w:r>
                </w:p>
              </w:tc>
              <w:tc>
                <w:tcPr>
                  <w:tcW w:w="1349" w:type="dxa"/>
                  <w:tcBorders>
                    <w:tl2br w:val="nil"/>
                    <w:tr2bl w:val="nil"/>
                  </w:tcBorders>
                  <w:shd w:val="clear" w:color="auto" w:fill="auto"/>
                  <w:vAlign w:val="center"/>
                </w:tcPr>
                <w:p w14:paraId="47AF0554">
                  <w:pPr>
                    <w:pStyle w:val="54"/>
                    <w:rPr>
                      <w:color w:val="auto"/>
                    </w:rPr>
                  </w:pPr>
                  <w:r>
                    <w:rPr>
                      <w:rFonts w:hint="eastAsia"/>
                      <w:color w:val="auto"/>
                    </w:rPr>
                    <w:t>年产10万吨低氧铜杆项目</w:t>
                  </w:r>
                </w:p>
              </w:tc>
            </w:tr>
            <w:tr w14:paraId="6F642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8433" w:type="dxa"/>
                  <w:gridSpan w:val="8"/>
                  <w:tcBorders>
                    <w:tl2br w:val="nil"/>
                    <w:tr2bl w:val="nil"/>
                  </w:tcBorders>
                  <w:vAlign w:val="center"/>
                </w:tcPr>
                <w:p w14:paraId="21D0D759">
                  <w:pPr>
                    <w:pStyle w:val="54"/>
                    <w:jc w:val="left"/>
                    <w:rPr>
                      <w:color w:val="auto"/>
                    </w:rPr>
                  </w:pPr>
                  <w:r>
                    <w:rPr>
                      <w:rFonts w:hint="eastAsia"/>
                      <w:color w:val="auto"/>
                    </w:rPr>
                    <w:t>注：年产16000吨无氧铜杆项目已于2025年6月停产，所有生产设备待本次扩建项目获得环评批复后，进行拆除并搬迁至宿迁市泗阳县王集镇发展大道东路8号厂区内进行生产。</w:t>
                  </w:r>
                </w:p>
              </w:tc>
            </w:tr>
          </w:tbl>
          <w:p w14:paraId="7DEC1CE6">
            <w:pPr>
              <w:pStyle w:val="50"/>
              <w:ind w:firstLine="482"/>
              <w:rPr>
                <w:b/>
                <w:bCs/>
                <w:color w:val="auto"/>
              </w:rPr>
            </w:pPr>
            <w:r>
              <w:rPr>
                <w:b/>
                <w:bCs/>
                <w:color w:val="auto"/>
              </w:rPr>
              <w:t>3、公用工程及辅助工程</w:t>
            </w:r>
          </w:p>
          <w:p w14:paraId="189A5544">
            <w:pPr>
              <w:pStyle w:val="50"/>
              <w:ind w:firstLine="480"/>
              <w:rPr>
                <w:color w:val="auto"/>
              </w:rPr>
            </w:pPr>
            <w:r>
              <w:rPr>
                <w:color w:val="auto"/>
              </w:rPr>
              <w:t>本项目位于</w:t>
            </w:r>
            <w:r>
              <w:rPr>
                <w:rFonts w:hint="eastAsia" w:eastAsiaTheme="minorEastAsia"/>
                <w:color w:val="auto"/>
              </w:rPr>
              <w:t>宿迁市泗阳县王集镇发展大道东路8号</w:t>
            </w:r>
            <w:r>
              <w:rPr>
                <w:color w:val="auto"/>
              </w:rPr>
              <w:t>，总用地面积为</w:t>
            </w:r>
            <w:r>
              <w:rPr>
                <w:rFonts w:hint="eastAsia"/>
                <w:color w:val="auto"/>
              </w:rPr>
              <w:t>61755.05</w:t>
            </w:r>
            <w:r>
              <w:rPr>
                <w:color w:val="auto"/>
              </w:rPr>
              <w:t>m</w:t>
            </w:r>
            <w:r>
              <w:rPr>
                <w:color w:val="auto"/>
                <w:vertAlign w:val="superscript"/>
              </w:rPr>
              <w:t>2</w:t>
            </w:r>
            <w:r>
              <w:rPr>
                <w:color w:val="auto"/>
              </w:rPr>
              <w:t>，</w:t>
            </w:r>
            <w:r>
              <w:rPr>
                <w:rFonts w:hint="eastAsia"/>
                <w:color w:val="auto"/>
              </w:rPr>
              <w:t>总建筑面积为18652.31</w:t>
            </w:r>
            <w:r>
              <w:rPr>
                <w:color w:val="auto"/>
              </w:rPr>
              <w:t>m</w:t>
            </w:r>
            <w:r>
              <w:rPr>
                <w:color w:val="auto"/>
                <w:vertAlign w:val="superscript"/>
              </w:rPr>
              <w:t>2</w:t>
            </w:r>
            <w:r>
              <w:rPr>
                <w:color w:val="auto"/>
              </w:rPr>
              <w:t>。项目公用及辅助工程详见</w:t>
            </w:r>
            <w:r>
              <w:rPr>
                <w:color w:val="auto"/>
              </w:rPr>
              <w:fldChar w:fldCharType="begin"/>
            </w:r>
            <w:r>
              <w:rPr>
                <w:color w:val="auto"/>
              </w:rPr>
              <w:instrText xml:space="preserve"> REF _Ref26268 \h </w:instrText>
            </w:r>
            <w:r>
              <w:rPr>
                <w:color w:val="auto"/>
              </w:rPr>
              <w:fldChar w:fldCharType="separate"/>
            </w:r>
            <w:r>
              <w:rPr>
                <w:color w:val="auto"/>
              </w:rPr>
              <w:t>表2- 4</w:t>
            </w:r>
            <w:r>
              <w:rPr>
                <w:color w:val="auto"/>
              </w:rPr>
              <w:fldChar w:fldCharType="end"/>
            </w:r>
            <w:r>
              <w:rPr>
                <w:color w:val="auto"/>
              </w:rPr>
              <w:t>。</w:t>
            </w:r>
            <w:bookmarkStart w:id="26" w:name="_Ref29271"/>
          </w:p>
          <w:bookmarkEnd w:id="26"/>
          <w:p w14:paraId="3588A6E9">
            <w:pPr>
              <w:pStyle w:val="7"/>
              <w:rPr>
                <w:color w:val="auto"/>
              </w:rPr>
            </w:pPr>
            <w:bookmarkStart w:id="27" w:name="_Ref26268"/>
            <w:bookmarkStart w:id="28" w:name="_Ref6793"/>
            <w:r>
              <w:rPr>
                <w:color w:val="auto"/>
              </w:rPr>
              <w:t xml:space="preserve">表2- </w:t>
            </w:r>
            <w:r>
              <w:rPr>
                <w:color w:val="auto"/>
              </w:rPr>
              <w:fldChar w:fldCharType="begin"/>
            </w:r>
            <w:r>
              <w:rPr>
                <w:color w:val="auto"/>
              </w:rPr>
              <w:instrText xml:space="preserve"> SEQ 表2- \* ARABIC </w:instrText>
            </w:r>
            <w:r>
              <w:rPr>
                <w:color w:val="auto"/>
              </w:rPr>
              <w:fldChar w:fldCharType="separate"/>
            </w:r>
            <w:r>
              <w:rPr>
                <w:color w:val="auto"/>
              </w:rPr>
              <w:t>4</w:t>
            </w:r>
            <w:r>
              <w:rPr>
                <w:color w:val="auto"/>
              </w:rPr>
              <w:fldChar w:fldCharType="end"/>
            </w:r>
            <w:bookmarkEnd w:id="27"/>
            <w:bookmarkEnd w:id="28"/>
            <w:r>
              <w:rPr>
                <w:color w:val="auto"/>
              </w:rPr>
              <w:t xml:space="preserve"> 项目公用及辅助工程一览表</w:t>
            </w:r>
          </w:p>
          <w:tbl>
            <w:tblPr>
              <w:tblStyle w:val="1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0"/>
              <w:gridCol w:w="335"/>
              <w:gridCol w:w="1185"/>
              <w:gridCol w:w="2032"/>
              <w:gridCol w:w="2032"/>
              <w:gridCol w:w="2032"/>
              <w:gridCol w:w="464"/>
            </w:tblGrid>
            <w:tr w14:paraId="75354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208" w:type="pct"/>
                  <w:tcBorders>
                    <w:tl2br w:val="nil"/>
                    <w:tr2bl w:val="nil"/>
                  </w:tcBorders>
                  <w:vAlign w:val="center"/>
                </w:tcPr>
                <w:p w14:paraId="044B1CBA">
                  <w:pPr>
                    <w:pStyle w:val="52"/>
                    <w:rPr>
                      <w:color w:val="auto"/>
                    </w:rPr>
                  </w:pPr>
                  <w:r>
                    <w:rPr>
                      <w:color w:val="auto"/>
                    </w:rPr>
                    <w:t>类别</w:t>
                  </w:r>
                </w:p>
              </w:tc>
              <w:tc>
                <w:tcPr>
                  <w:tcW w:w="902" w:type="pct"/>
                  <w:gridSpan w:val="2"/>
                  <w:tcBorders>
                    <w:tl2br w:val="nil"/>
                    <w:tr2bl w:val="nil"/>
                  </w:tcBorders>
                  <w:vAlign w:val="center"/>
                </w:tcPr>
                <w:p w14:paraId="55B08117">
                  <w:pPr>
                    <w:pStyle w:val="52"/>
                    <w:rPr>
                      <w:color w:val="auto"/>
                    </w:rPr>
                  </w:pPr>
                  <w:r>
                    <w:rPr>
                      <w:color w:val="auto"/>
                    </w:rPr>
                    <w:t>建设</w:t>
                  </w:r>
                </w:p>
                <w:p w14:paraId="01F23DFB">
                  <w:pPr>
                    <w:pStyle w:val="52"/>
                    <w:rPr>
                      <w:color w:val="auto"/>
                    </w:rPr>
                  </w:pPr>
                  <w:r>
                    <w:rPr>
                      <w:color w:val="auto"/>
                    </w:rPr>
                    <w:t>名称</w:t>
                  </w:r>
                </w:p>
              </w:tc>
              <w:tc>
                <w:tcPr>
                  <w:tcW w:w="1205" w:type="pct"/>
                  <w:tcBorders>
                    <w:tl2br w:val="nil"/>
                    <w:tr2bl w:val="nil"/>
                  </w:tcBorders>
                  <w:vAlign w:val="center"/>
                </w:tcPr>
                <w:p w14:paraId="0D80C807">
                  <w:pPr>
                    <w:pStyle w:val="52"/>
                    <w:rPr>
                      <w:color w:val="auto"/>
                    </w:rPr>
                  </w:pPr>
                  <w:r>
                    <w:rPr>
                      <w:rFonts w:hint="eastAsia"/>
                      <w:color w:val="auto"/>
                    </w:rPr>
                    <w:t>现有项目工程规模及工程内容</w:t>
                  </w:r>
                </w:p>
              </w:tc>
              <w:tc>
                <w:tcPr>
                  <w:tcW w:w="1205" w:type="pct"/>
                  <w:tcBorders>
                    <w:tl2br w:val="nil"/>
                    <w:tr2bl w:val="nil"/>
                  </w:tcBorders>
                  <w:vAlign w:val="center"/>
                </w:tcPr>
                <w:p w14:paraId="0FF5ABDE">
                  <w:pPr>
                    <w:pStyle w:val="52"/>
                    <w:rPr>
                      <w:color w:val="auto"/>
                    </w:rPr>
                  </w:pPr>
                  <w:r>
                    <w:rPr>
                      <w:rFonts w:hint="eastAsia"/>
                      <w:color w:val="auto"/>
                    </w:rPr>
                    <w:t>扩建项目工程规模及工程内容</w:t>
                  </w:r>
                </w:p>
              </w:tc>
              <w:tc>
                <w:tcPr>
                  <w:tcW w:w="1205" w:type="pct"/>
                  <w:tcBorders>
                    <w:tl2br w:val="nil"/>
                    <w:tr2bl w:val="nil"/>
                  </w:tcBorders>
                  <w:vAlign w:val="center"/>
                </w:tcPr>
                <w:p w14:paraId="4FCA00F1">
                  <w:pPr>
                    <w:pStyle w:val="52"/>
                    <w:rPr>
                      <w:color w:val="auto"/>
                    </w:rPr>
                  </w:pPr>
                  <w:r>
                    <w:rPr>
                      <w:rFonts w:hint="eastAsia"/>
                      <w:color w:val="auto"/>
                    </w:rPr>
                    <w:t>扩建后全厂工程规模及工程内容</w:t>
                  </w:r>
                </w:p>
              </w:tc>
              <w:tc>
                <w:tcPr>
                  <w:tcW w:w="271" w:type="pct"/>
                  <w:tcBorders>
                    <w:tl2br w:val="nil"/>
                    <w:tr2bl w:val="nil"/>
                  </w:tcBorders>
                  <w:vAlign w:val="center"/>
                </w:tcPr>
                <w:p w14:paraId="1CD28942">
                  <w:pPr>
                    <w:pStyle w:val="52"/>
                    <w:rPr>
                      <w:color w:val="auto"/>
                    </w:rPr>
                  </w:pPr>
                  <w:r>
                    <w:rPr>
                      <w:rFonts w:hint="eastAsia"/>
                      <w:color w:val="auto"/>
                    </w:rPr>
                    <w:t>备注</w:t>
                  </w:r>
                </w:p>
              </w:tc>
            </w:tr>
            <w:tr w14:paraId="01171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8" w:type="pct"/>
                  <w:tcBorders>
                    <w:tl2br w:val="nil"/>
                    <w:tr2bl w:val="nil"/>
                  </w:tcBorders>
                  <w:vAlign w:val="center"/>
                </w:tcPr>
                <w:p w14:paraId="78102F25">
                  <w:pPr>
                    <w:pStyle w:val="54"/>
                    <w:rPr>
                      <w:color w:val="auto"/>
                    </w:rPr>
                  </w:pPr>
                  <w:r>
                    <w:rPr>
                      <w:color w:val="auto"/>
                    </w:rPr>
                    <w:t>主体工程</w:t>
                  </w:r>
                </w:p>
              </w:tc>
              <w:tc>
                <w:tcPr>
                  <w:tcW w:w="902" w:type="pct"/>
                  <w:gridSpan w:val="2"/>
                  <w:tcBorders>
                    <w:tl2br w:val="nil"/>
                    <w:tr2bl w:val="nil"/>
                  </w:tcBorders>
                  <w:vAlign w:val="center"/>
                </w:tcPr>
                <w:p w14:paraId="1E458121">
                  <w:pPr>
                    <w:pStyle w:val="54"/>
                    <w:rPr>
                      <w:color w:val="auto"/>
                    </w:rPr>
                  </w:pPr>
                  <w:r>
                    <w:rPr>
                      <w:rFonts w:hint="eastAsia"/>
                      <w:color w:val="auto"/>
                    </w:rPr>
                    <w:t>1#厂房</w:t>
                  </w:r>
                </w:p>
              </w:tc>
              <w:tc>
                <w:tcPr>
                  <w:tcW w:w="1205" w:type="pct"/>
                  <w:tcBorders>
                    <w:tl2br w:val="nil"/>
                    <w:tr2bl w:val="nil"/>
                  </w:tcBorders>
                  <w:tcMar>
                    <w:left w:w="0" w:type="dxa"/>
                    <w:right w:w="0" w:type="dxa"/>
                  </w:tcMar>
                  <w:vAlign w:val="center"/>
                </w:tcPr>
                <w:p w14:paraId="26E66890">
                  <w:pPr>
                    <w:pStyle w:val="54"/>
                    <w:rPr>
                      <w:color w:val="auto"/>
                    </w:rPr>
                  </w:pPr>
                  <w:r>
                    <w:rPr>
                      <w:rFonts w:hint="eastAsia"/>
                      <w:color w:val="auto"/>
                    </w:rPr>
                    <w:t>1F、13m、建筑面积为14693.03m</w:t>
                  </w:r>
                  <w:r>
                    <w:rPr>
                      <w:rFonts w:hint="eastAsia"/>
                      <w:color w:val="auto"/>
                      <w:vertAlign w:val="superscript"/>
                    </w:rPr>
                    <w:t>2</w:t>
                  </w:r>
                  <w:r>
                    <w:rPr>
                      <w:rFonts w:hint="eastAsia"/>
                      <w:color w:val="auto"/>
                    </w:rPr>
                    <w:t>，位于厂区东侧，用于布置低氧铜杆生产线，用作一般固废库、原料库和成品库等</w:t>
                  </w:r>
                </w:p>
              </w:tc>
              <w:tc>
                <w:tcPr>
                  <w:tcW w:w="1205" w:type="pct"/>
                  <w:tcBorders>
                    <w:tl2br w:val="nil"/>
                    <w:tr2bl w:val="nil"/>
                  </w:tcBorders>
                  <w:tcMar>
                    <w:left w:w="0" w:type="dxa"/>
                    <w:right w:w="0" w:type="dxa"/>
                  </w:tcMar>
                  <w:vAlign w:val="center"/>
                </w:tcPr>
                <w:p w14:paraId="72AB3BE9">
                  <w:pPr>
                    <w:pStyle w:val="54"/>
                    <w:rPr>
                      <w:color w:val="auto"/>
                    </w:rPr>
                  </w:pPr>
                  <w:r>
                    <w:rPr>
                      <w:rFonts w:hint="eastAsia"/>
                      <w:color w:val="auto"/>
                    </w:rPr>
                    <w:t>1F、13m、建筑面积为14693.03m</w:t>
                  </w:r>
                  <w:r>
                    <w:rPr>
                      <w:rFonts w:hint="eastAsia"/>
                      <w:color w:val="auto"/>
                      <w:vertAlign w:val="superscript"/>
                    </w:rPr>
                    <w:t>2</w:t>
                  </w:r>
                  <w:r>
                    <w:rPr>
                      <w:rFonts w:hint="eastAsia"/>
                      <w:color w:val="auto"/>
                    </w:rPr>
                    <w:t>，位于厂区东侧，用于布置无氧铜杆生产线</w:t>
                  </w:r>
                </w:p>
              </w:tc>
              <w:tc>
                <w:tcPr>
                  <w:tcW w:w="1205" w:type="pct"/>
                  <w:tcBorders>
                    <w:tl2br w:val="nil"/>
                    <w:tr2bl w:val="nil"/>
                  </w:tcBorders>
                  <w:tcMar>
                    <w:left w:w="0" w:type="dxa"/>
                    <w:right w:w="0" w:type="dxa"/>
                  </w:tcMar>
                  <w:vAlign w:val="center"/>
                </w:tcPr>
                <w:p w14:paraId="6235ECF3">
                  <w:pPr>
                    <w:pStyle w:val="54"/>
                    <w:rPr>
                      <w:color w:val="auto"/>
                    </w:rPr>
                  </w:pPr>
                  <w:r>
                    <w:rPr>
                      <w:rFonts w:hint="eastAsia"/>
                      <w:color w:val="auto"/>
                    </w:rPr>
                    <w:t>1F、13m、建筑面积为14693.03m</w:t>
                  </w:r>
                  <w:r>
                    <w:rPr>
                      <w:rFonts w:hint="eastAsia"/>
                      <w:color w:val="auto"/>
                      <w:vertAlign w:val="superscript"/>
                    </w:rPr>
                    <w:t>2</w:t>
                  </w:r>
                  <w:r>
                    <w:rPr>
                      <w:rFonts w:hint="eastAsia"/>
                      <w:color w:val="auto"/>
                    </w:rPr>
                    <w:t>，位于厂区东侧，用于布置</w:t>
                  </w:r>
                  <w:r>
                    <w:rPr>
                      <w:rFonts w:hint="eastAsia"/>
                      <w:color w:val="auto"/>
                      <w:lang w:val="en-US" w:eastAsia="zh-CN"/>
                    </w:rPr>
                    <w:t>低氧铜杆和</w:t>
                  </w:r>
                  <w:r>
                    <w:rPr>
                      <w:rFonts w:hint="eastAsia"/>
                      <w:color w:val="auto"/>
                    </w:rPr>
                    <w:t>无氧铜杆生产线，用作一般固废库、原料库和成品库等</w:t>
                  </w:r>
                </w:p>
              </w:tc>
              <w:tc>
                <w:tcPr>
                  <w:tcW w:w="271" w:type="pct"/>
                  <w:tcBorders>
                    <w:tl2br w:val="nil"/>
                    <w:tr2bl w:val="nil"/>
                  </w:tcBorders>
                  <w:shd w:val="clear" w:color="auto" w:fill="auto"/>
                  <w:tcMar>
                    <w:left w:w="0" w:type="dxa"/>
                    <w:right w:w="0" w:type="dxa"/>
                  </w:tcMar>
                  <w:vAlign w:val="center"/>
                </w:tcPr>
                <w:p w14:paraId="372E3FF2">
                  <w:pPr>
                    <w:pStyle w:val="54"/>
                    <w:rPr>
                      <w:color w:val="auto"/>
                    </w:rPr>
                  </w:pPr>
                  <w:r>
                    <w:rPr>
                      <w:rFonts w:hint="eastAsia"/>
                      <w:color w:val="auto"/>
                    </w:rPr>
                    <w:t>依托</w:t>
                  </w:r>
                </w:p>
                <w:p w14:paraId="699BE625">
                  <w:pPr>
                    <w:pStyle w:val="54"/>
                    <w:rPr>
                      <w:color w:val="auto"/>
                    </w:rPr>
                  </w:pPr>
                  <w:r>
                    <w:rPr>
                      <w:rFonts w:hint="eastAsia"/>
                      <w:color w:val="auto"/>
                    </w:rPr>
                    <w:t>现有</w:t>
                  </w:r>
                </w:p>
              </w:tc>
            </w:tr>
            <w:tr w14:paraId="79220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8" w:type="pct"/>
                  <w:vMerge w:val="restart"/>
                  <w:tcBorders>
                    <w:tl2br w:val="nil"/>
                    <w:tr2bl w:val="nil"/>
                  </w:tcBorders>
                  <w:vAlign w:val="center"/>
                </w:tcPr>
                <w:p w14:paraId="33C95028">
                  <w:pPr>
                    <w:pStyle w:val="54"/>
                    <w:rPr>
                      <w:color w:val="auto"/>
                    </w:rPr>
                  </w:pPr>
                  <w:r>
                    <w:rPr>
                      <w:rFonts w:hint="eastAsia"/>
                      <w:color w:val="auto"/>
                    </w:rPr>
                    <w:t>公用工程</w:t>
                  </w:r>
                </w:p>
              </w:tc>
              <w:tc>
                <w:tcPr>
                  <w:tcW w:w="902" w:type="pct"/>
                  <w:gridSpan w:val="2"/>
                  <w:tcBorders>
                    <w:tl2br w:val="nil"/>
                    <w:tr2bl w:val="nil"/>
                  </w:tcBorders>
                  <w:vAlign w:val="center"/>
                </w:tcPr>
                <w:p w14:paraId="41484E0D">
                  <w:pPr>
                    <w:pStyle w:val="54"/>
                    <w:rPr>
                      <w:color w:val="auto"/>
                    </w:rPr>
                  </w:pPr>
                  <w:r>
                    <w:rPr>
                      <w:color w:val="auto"/>
                    </w:rPr>
                    <w:t>供电</w:t>
                  </w:r>
                </w:p>
              </w:tc>
              <w:tc>
                <w:tcPr>
                  <w:tcW w:w="1205" w:type="pct"/>
                  <w:tcBorders>
                    <w:tl2br w:val="nil"/>
                    <w:tr2bl w:val="nil"/>
                  </w:tcBorders>
                  <w:tcMar>
                    <w:left w:w="0" w:type="dxa"/>
                    <w:right w:w="0" w:type="dxa"/>
                  </w:tcMar>
                  <w:vAlign w:val="center"/>
                </w:tcPr>
                <w:p w14:paraId="562135CD">
                  <w:pPr>
                    <w:pStyle w:val="54"/>
                    <w:rPr>
                      <w:color w:val="auto"/>
                    </w:rPr>
                  </w:pPr>
                  <w:r>
                    <w:rPr>
                      <w:rFonts w:hint="eastAsia"/>
                      <w:color w:val="auto"/>
                    </w:rPr>
                    <w:t>用电量为320万kwh/a，来自市政电网</w:t>
                  </w:r>
                </w:p>
              </w:tc>
              <w:tc>
                <w:tcPr>
                  <w:tcW w:w="1205" w:type="pct"/>
                  <w:tcBorders>
                    <w:tl2br w:val="nil"/>
                    <w:tr2bl w:val="nil"/>
                  </w:tcBorders>
                  <w:tcMar>
                    <w:left w:w="0" w:type="dxa"/>
                    <w:right w:w="0" w:type="dxa"/>
                  </w:tcMar>
                  <w:vAlign w:val="center"/>
                </w:tcPr>
                <w:p w14:paraId="6575AFCA">
                  <w:pPr>
                    <w:pStyle w:val="54"/>
                    <w:rPr>
                      <w:color w:val="auto"/>
                    </w:rPr>
                  </w:pPr>
                  <w:r>
                    <w:rPr>
                      <w:rFonts w:hint="eastAsia"/>
                      <w:color w:val="auto"/>
                    </w:rPr>
                    <w:t>用电量为785万kwh/a，来自市政电网</w:t>
                  </w:r>
                </w:p>
              </w:tc>
              <w:tc>
                <w:tcPr>
                  <w:tcW w:w="1205" w:type="pct"/>
                  <w:tcBorders>
                    <w:tl2br w:val="nil"/>
                    <w:tr2bl w:val="nil"/>
                  </w:tcBorders>
                  <w:tcMar>
                    <w:left w:w="0" w:type="dxa"/>
                    <w:right w:w="0" w:type="dxa"/>
                  </w:tcMar>
                  <w:vAlign w:val="center"/>
                </w:tcPr>
                <w:p w14:paraId="380A917E">
                  <w:pPr>
                    <w:pStyle w:val="54"/>
                    <w:rPr>
                      <w:color w:val="auto"/>
                    </w:rPr>
                  </w:pPr>
                  <w:r>
                    <w:rPr>
                      <w:rFonts w:hint="eastAsia"/>
                      <w:color w:val="auto"/>
                    </w:rPr>
                    <w:t>用电量为1105万kwh/a，来自市政电网</w:t>
                  </w:r>
                </w:p>
              </w:tc>
              <w:tc>
                <w:tcPr>
                  <w:tcW w:w="271" w:type="pct"/>
                  <w:tcBorders>
                    <w:tl2br w:val="nil"/>
                    <w:tr2bl w:val="nil"/>
                  </w:tcBorders>
                  <w:tcMar>
                    <w:left w:w="0" w:type="dxa"/>
                    <w:right w:w="0" w:type="dxa"/>
                  </w:tcMar>
                  <w:vAlign w:val="center"/>
                </w:tcPr>
                <w:p w14:paraId="2A25C92C">
                  <w:pPr>
                    <w:pStyle w:val="54"/>
                    <w:rPr>
                      <w:color w:val="auto"/>
                    </w:rPr>
                  </w:pPr>
                  <w:r>
                    <w:rPr>
                      <w:rFonts w:hint="eastAsia"/>
                      <w:color w:val="auto"/>
                    </w:rPr>
                    <w:t>依托</w:t>
                  </w:r>
                </w:p>
                <w:p w14:paraId="2C205F31">
                  <w:pPr>
                    <w:pStyle w:val="54"/>
                    <w:rPr>
                      <w:color w:val="auto"/>
                    </w:rPr>
                  </w:pPr>
                  <w:r>
                    <w:rPr>
                      <w:rFonts w:hint="eastAsia"/>
                      <w:color w:val="auto"/>
                    </w:rPr>
                    <w:t>现有</w:t>
                  </w:r>
                </w:p>
              </w:tc>
            </w:tr>
            <w:tr w14:paraId="234BF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8" w:type="pct"/>
                  <w:vMerge w:val="continue"/>
                  <w:tcBorders>
                    <w:tl2br w:val="nil"/>
                    <w:tr2bl w:val="nil"/>
                  </w:tcBorders>
                  <w:vAlign w:val="center"/>
                </w:tcPr>
                <w:p w14:paraId="7C19969E">
                  <w:pPr>
                    <w:pStyle w:val="54"/>
                    <w:rPr>
                      <w:color w:val="auto"/>
                    </w:rPr>
                  </w:pPr>
                </w:p>
              </w:tc>
              <w:tc>
                <w:tcPr>
                  <w:tcW w:w="902" w:type="pct"/>
                  <w:gridSpan w:val="2"/>
                  <w:tcBorders>
                    <w:tl2br w:val="nil"/>
                    <w:tr2bl w:val="nil"/>
                  </w:tcBorders>
                  <w:vAlign w:val="center"/>
                </w:tcPr>
                <w:p w14:paraId="0DB08AD6">
                  <w:pPr>
                    <w:pStyle w:val="54"/>
                    <w:rPr>
                      <w:color w:val="auto"/>
                    </w:rPr>
                  </w:pPr>
                  <w:r>
                    <w:rPr>
                      <w:color w:val="auto"/>
                    </w:rPr>
                    <w:t>供水</w:t>
                  </w:r>
                </w:p>
              </w:tc>
              <w:tc>
                <w:tcPr>
                  <w:tcW w:w="1205" w:type="pct"/>
                  <w:tcBorders>
                    <w:tl2br w:val="nil"/>
                    <w:tr2bl w:val="nil"/>
                  </w:tcBorders>
                  <w:tcMar>
                    <w:left w:w="0" w:type="dxa"/>
                    <w:right w:w="0" w:type="dxa"/>
                  </w:tcMar>
                  <w:vAlign w:val="center"/>
                </w:tcPr>
                <w:p w14:paraId="2FCDAF1E">
                  <w:pPr>
                    <w:pStyle w:val="54"/>
                    <w:rPr>
                      <w:color w:val="auto"/>
                      <w:highlight w:val="none"/>
                    </w:rPr>
                  </w:pPr>
                  <w:r>
                    <w:rPr>
                      <w:rFonts w:hint="eastAsia"/>
                      <w:color w:val="auto"/>
                      <w:highlight w:val="none"/>
                    </w:rPr>
                    <w:t>用水量为4</w:t>
                  </w:r>
                  <w:r>
                    <w:rPr>
                      <w:rFonts w:hint="eastAsia"/>
                      <w:color w:val="auto"/>
                      <w:highlight w:val="none"/>
                      <w:lang w:val="en-US" w:eastAsia="zh-CN"/>
                    </w:rPr>
                    <w:t>46278</w:t>
                  </w:r>
                  <w:r>
                    <w:rPr>
                      <w:color w:val="auto"/>
                      <w:highlight w:val="none"/>
                    </w:rPr>
                    <w:t>m</w:t>
                  </w:r>
                  <w:r>
                    <w:rPr>
                      <w:color w:val="auto"/>
                      <w:highlight w:val="none"/>
                      <w:vertAlign w:val="superscript"/>
                    </w:rPr>
                    <w:t>3</w:t>
                  </w:r>
                  <w:r>
                    <w:rPr>
                      <w:color w:val="auto"/>
                      <w:highlight w:val="none"/>
                    </w:rPr>
                    <w:t>/a</w:t>
                  </w:r>
                  <w:r>
                    <w:rPr>
                      <w:rFonts w:hint="eastAsia"/>
                      <w:color w:val="auto"/>
                      <w:highlight w:val="none"/>
                    </w:rPr>
                    <w:t>，来自市政自来水管网</w:t>
                  </w:r>
                </w:p>
              </w:tc>
              <w:tc>
                <w:tcPr>
                  <w:tcW w:w="1205" w:type="pct"/>
                  <w:tcBorders>
                    <w:tl2br w:val="nil"/>
                    <w:tr2bl w:val="nil"/>
                  </w:tcBorders>
                  <w:tcMar>
                    <w:left w:w="0" w:type="dxa"/>
                    <w:right w:w="0" w:type="dxa"/>
                  </w:tcMar>
                  <w:vAlign w:val="center"/>
                </w:tcPr>
                <w:p w14:paraId="51212ABA">
                  <w:pPr>
                    <w:pStyle w:val="54"/>
                    <w:rPr>
                      <w:color w:val="auto"/>
                      <w:highlight w:val="none"/>
                    </w:rPr>
                  </w:pPr>
                  <w:r>
                    <w:rPr>
                      <w:rFonts w:hint="eastAsia"/>
                      <w:color w:val="auto"/>
                      <w:highlight w:val="none"/>
                    </w:rPr>
                    <w:t>用水量为31500</w:t>
                  </w:r>
                  <w:r>
                    <w:rPr>
                      <w:color w:val="auto"/>
                      <w:highlight w:val="none"/>
                    </w:rPr>
                    <w:t>m</w:t>
                  </w:r>
                  <w:r>
                    <w:rPr>
                      <w:color w:val="auto"/>
                      <w:highlight w:val="none"/>
                      <w:vertAlign w:val="superscript"/>
                    </w:rPr>
                    <w:t>3</w:t>
                  </w:r>
                  <w:r>
                    <w:rPr>
                      <w:color w:val="auto"/>
                      <w:highlight w:val="none"/>
                    </w:rPr>
                    <w:t>/a</w:t>
                  </w:r>
                  <w:r>
                    <w:rPr>
                      <w:rFonts w:hint="eastAsia"/>
                      <w:color w:val="auto"/>
                      <w:highlight w:val="none"/>
                    </w:rPr>
                    <w:t>，来自市政自来水管网</w:t>
                  </w:r>
                </w:p>
              </w:tc>
              <w:tc>
                <w:tcPr>
                  <w:tcW w:w="1205" w:type="pct"/>
                  <w:tcBorders>
                    <w:tl2br w:val="nil"/>
                    <w:tr2bl w:val="nil"/>
                  </w:tcBorders>
                  <w:tcMar>
                    <w:left w:w="0" w:type="dxa"/>
                    <w:right w:w="0" w:type="dxa"/>
                  </w:tcMar>
                  <w:vAlign w:val="center"/>
                </w:tcPr>
                <w:p w14:paraId="53752FCD">
                  <w:pPr>
                    <w:pStyle w:val="54"/>
                    <w:rPr>
                      <w:color w:val="auto"/>
                      <w:highlight w:val="none"/>
                    </w:rPr>
                  </w:pPr>
                  <w:r>
                    <w:rPr>
                      <w:rFonts w:hint="eastAsia"/>
                      <w:color w:val="auto"/>
                      <w:highlight w:val="none"/>
                    </w:rPr>
                    <w:t>用水量为</w:t>
                  </w:r>
                  <w:r>
                    <w:rPr>
                      <w:rFonts w:hint="eastAsia"/>
                      <w:color w:val="auto"/>
                      <w:highlight w:val="none"/>
                      <w:lang w:val="en-US" w:eastAsia="zh-CN"/>
                    </w:rPr>
                    <w:t>77328</w:t>
                  </w:r>
                  <w:r>
                    <w:rPr>
                      <w:color w:val="auto"/>
                      <w:highlight w:val="none"/>
                    </w:rPr>
                    <w:t>m</w:t>
                  </w:r>
                  <w:r>
                    <w:rPr>
                      <w:color w:val="auto"/>
                      <w:highlight w:val="none"/>
                      <w:vertAlign w:val="superscript"/>
                    </w:rPr>
                    <w:t>3</w:t>
                  </w:r>
                  <w:r>
                    <w:rPr>
                      <w:color w:val="auto"/>
                      <w:highlight w:val="none"/>
                    </w:rPr>
                    <w:t>/a</w:t>
                  </w:r>
                  <w:r>
                    <w:rPr>
                      <w:rFonts w:hint="eastAsia"/>
                      <w:color w:val="auto"/>
                      <w:highlight w:val="none"/>
                    </w:rPr>
                    <w:t>，来自市政自来水管网</w:t>
                  </w:r>
                </w:p>
              </w:tc>
              <w:tc>
                <w:tcPr>
                  <w:tcW w:w="271" w:type="pct"/>
                  <w:tcBorders>
                    <w:tl2br w:val="nil"/>
                    <w:tr2bl w:val="nil"/>
                  </w:tcBorders>
                  <w:tcMar>
                    <w:left w:w="0" w:type="dxa"/>
                    <w:right w:w="0" w:type="dxa"/>
                  </w:tcMar>
                  <w:vAlign w:val="center"/>
                </w:tcPr>
                <w:p w14:paraId="362BF2C1">
                  <w:pPr>
                    <w:pStyle w:val="54"/>
                    <w:rPr>
                      <w:color w:val="auto"/>
                    </w:rPr>
                  </w:pPr>
                  <w:r>
                    <w:rPr>
                      <w:rFonts w:hint="eastAsia"/>
                      <w:color w:val="auto"/>
                    </w:rPr>
                    <w:t>依托</w:t>
                  </w:r>
                </w:p>
                <w:p w14:paraId="289F0EF3">
                  <w:pPr>
                    <w:pStyle w:val="54"/>
                    <w:rPr>
                      <w:color w:val="auto"/>
                    </w:rPr>
                  </w:pPr>
                  <w:r>
                    <w:rPr>
                      <w:rFonts w:hint="eastAsia"/>
                      <w:color w:val="auto"/>
                    </w:rPr>
                    <w:t>现有</w:t>
                  </w:r>
                </w:p>
              </w:tc>
            </w:tr>
            <w:tr w14:paraId="72C16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08" w:type="pct"/>
                  <w:vMerge w:val="continue"/>
                  <w:tcBorders>
                    <w:tl2br w:val="nil"/>
                    <w:tr2bl w:val="nil"/>
                  </w:tcBorders>
                  <w:vAlign w:val="center"/>
                </w:tcPr>
                <w:p w14:paraId="080A9FA3">
                  <w:pPr>
                    <w:pStyle w:val="54"/>
                    <w:rPr>
                      <w:color w:val="auto"/>
                    </w:rPr>
                  </w:pPr>
                </w:p>
              </w:tc>
              <w:tc>
                <w:tcPr>
                  <w:tcW w:w="902" w:type="pct"/>
                  <w:gridSpan w:val="2"/>
                  <w:tcBorders>
                    <w:tl2br w:val="nil"/>
                    <w:tr2bl w:val="nil"/>
                  </w:tcBorders>
                  <w:vAlign w:val="center"/>
                </w:tcPr>
                <w:p w14:paraId="2B89363F">
                  <w:pPr>
                    <w:pStyle w:val="54"/>
                    <w:rPr>
                      <w:color w:val="auto"/>
                    </w:rPr>
                  </w:pPr>
                  <w:r>
                    <w:rPr>
                      <w:color w:val="auto"/>
                    </w:rPr>
                    <w:t>排水</w:t>
                  </w:r>
                </w:p>
              </w:tc>
              <w:tc>
                <w:tcPr>
                  <w:tcW w:w="1205" w:type="pct"/>
                  <w:tcBorders>
                    <w:tl2br w:val="nil"/>
                    <w:tr2bl w:val="nil"/>
                  </w:tcBorders>
                  <w:tcMar>
                    <w:left w:w="0" w:type="dxa"/>
                    <w:right w:w="0" w:type="dxa"/>
                  </w:tcMar>
                  <w:vAlign w:val="center"/>
                </w:tcPr>
                <w:p w14:paraId="7852A653">
                  <w:pPr>
                    <w:pStyle w:val="54"/>
                    <w:rPr>
                      <w:color w:val="auto"/>
                    </w:rPr>
                  </w:pPr>
                  <w:r>
                    <w:rPr>
                      <w:rFonts w:hint="eastAsia"/>
                      <w:color w:val="auto"/>
                    </w:rPr>
                    <w:t>排水量为360</w:t>
                  </w:r>
                  <w:r>
                    <w:rPr>
                      <w:color w:val="auto"/>
                    </w:rPr>
                    <w:t>m</w:t>
                  </w:r>
                  <w:r>
                    <w:rPr>
                      <w:color w:val="auto"/>
                      <w:vertAlign w:val="superscript"/>
                    </w:rPr>
                    <w:t>3</w:t>
                  </w:r>
                  <w:r>
                    <w:rPr>
                      <w:color w:val="auto"/>
                    </w:rPr>
                    <w:t>/a</w:t>
                  </w:r>
                  <w:r>
                    <w:rPr>
                      <w:rFonts w:hint="eastAsia"/>
                      <w:color w:val="auto"/>
                    </w:rPr>
                    <w:t>，采用“雨污分流”排水方式</w:t>
                  </w:r>
                </w:p>
              </w:tc>
              <w:tc>
                <w:tcPr>
                  <w:tcW w:w="1205" w:type="pct"/>
                  <w:tcBorders>
                    <w:tl2br w:val="nil"/>
                    <w:tr2bl w:val="nil"/>
                  </w:tcBorders>
                  <w:shd w:val="clear" w:color="auto" w:fill="auto"/>
                  <w:tcMar>
                    <w:left w:w="0" w:type="dxa"/>
                    <w:right w:w="0" w:type="dxa"/>
                  </w:tcMar>
                  <w:vAlign w:val="center"/>
                </w:tcPr>
                <w:p w14:paraId="10B0533F">
                  <w:pPr>
                    <w:pStyle w:val="54"/>
                    <w:rPr>
                      <w:color w:val="auto"/>
                    </w:rPr>
                  </w:pPr>
                  <w:r>
                    <w:rPr>
                      <w:rFonts w:hint="eastAsia"/>
                      <w:color w:val="auto"/>
                    </w:rPr>
                    <w:t>排水量为2160</w:t>
                  </w:r>
                  <w:r>
                    <w:rPr>
                      <w:color w:val="auto"/>
                    </w:rPr>
                    <w:t>m</w:t>
                  </w:r>
                  <w:r>
                    <w:rPr>
                      <w:color w:val="auto"/>
                      <w:vertAlign w:val="superscript"/>
                    </w:rPr>
                    <w:t>3</w:t>
                  </w:r>
                  <w:r>
                    <w:rPr>
                      <w:color w:val="auto"/>
                    </w:rPr>
                    <w:t>/a</w:t>
                  </w:r>
                  <w:r>
                    <w:rPr>
                      <w:rFonts w:hint="eastAsia"/>
                      <w:color w:val="auto"/>
                    </w:rPr>
                    <w:t>，采用“雨污分流”排水方式</w:t>
                  </w:r>
                </w:p>
              </w:tc>
              <w:tc>
                <w:tcPr>
                  <w:tcW w:w="1205" w:type="pct"/>
                  <w:tcBorders>
                    <w:tl2br w:val="nil"/>
                    <w:tr2bl w:val="nil"/>
                  </w:tcBorders>
                  <w:shd w:val="clear" w:color="auto" w:fill="auto"/>
                  <w:tcMar>
                    <w:left w:w="0" w:type="dxa"/>
                    <w:right w:w="0" w:type="dxa"/>
                  </w:tcMar>
                  <w:vAlign w:val="center"/>
                </w:tcPr>
                <w:p w14:paraId="037441D8">
                  <w:pPr>
                    <w:pStyle w:val="54"/>
                    <w:rPr>
                      <w:color w:val="auto"/>
                    </w:rPr>
                  </w:pPr>
                  <w:r>
                    <w:rPr>
                      <w:rFonts w:hint="eastAsia"/>
                      <w:color w:val="auto"/>
                    </w:rPr>
                    <w:t>排水量为2160</w:t>
                  </w:r>
                  <w:r>
                    <w:rPr>
                      <w:color w:val="auto"/>
                    </w:rPr>
                    <w:t>m</w:t>
                  </w:r>
                  <w:r>
                    <w:rPr>
                      <w:color w:val="auto"/>
                      <w:vertAlign w:val="superscript"/>
                    </w:rPr>
                    <w:t>3</w:t>
                  </w:r>
                  <w:r>
                    <w:rPr>
                      <w:color w:val="auto"/>
                    </w:rPr>
                    <w:t>/a</w:t>
                  </w:r>
                  <w:r>
                    <w:rPr>
                      <w:rFonts w:hint="eastAsia"/>
                      <w:color w:val="auto"/>
                    </w:rPr>
                    <w:t>，采用“雨污分流”排水方式</w:t>
                  </w:r>
                </w:p>
              </w:tc>
              <w:tc>
                <w:tcPr>
                  <w:tcW w:w="271" w:type="pct"/>
                  <w:tcBorders>
                    <w:tl2br w:val="nil"/>
                    <w:tr2bl w:val="nil"/>
                  </w:tcBorders>
                  <w:shd w:val="clear" w:color="auto" w:fill="auto"/>
                  <w:tcMar>
                    <w:left w:w="0" w:type="dxa"/>
                    <w:right w:w="0" w:type="dxa"/>
                  </w:tcMar>
                  <w:vAlign w:val="center"/>
                </w:tcPr>
                <w:p w14:paraId="22189494">
                  <w:pPr>
                    <w:pStyle w:val="54"/>
                    <w:rPr>
                      <w:color w:val="auto"/>
                    </w:rPr>
                  </w:pPr>
                  <w:r>
                    <w:rPr>
                      <w:rFonts w:hint="eastAsia"/>
                      <w:color w:val="auto"/>
                    </w:rPr>
                    <w:t>依托</w:t>
                  </w:r>
                </w:p>
                <w:p w14:paraId="52922773">
                  <w:pPr>
                    <w:pStyle w:val="54"/>
                    <w:rPr>
                      <w:color w:val="auto"/>
                    </w:rPr>
                  </w:pPr>
                  <w:r>
                    <w:rPr>
                      <w:rFonts w:hint="eastAsia"/>
                      <w:color w:val="auto"/>
                    </w:rPr>
                    <w:t>现有</w:t>
                  </w:r>
                </w:p>
              </w:tc>
            </w:tr>
            <w:tr w14:paraId="57895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8" w:type="pct"/>
                  <w:vMerge w:val="continue"/>
                  <w:tcBorders>
                    <w:tl2br w:val="nil"/>
                    <w:tr2bl w:val="nil"/>
                  </w:tcBorders>
                  <w:vAlign w:val="center"/>
                </w:tcPr>
                <w:p w14:paraId="1FD55BA1">
                  <w:pPr>
                    <w:pStyle w:val="54"/>
                    <w:rPr>
                      <w:color w:val="auto"/>
                    </w:rPr>
                  </w:pPr>
                </w:p>
              </w:tc>
              <w:tc>
                <w:tcPr>
                  <w:tcW w:w="902" w:type="pct"/>
                  <w:gridSpan w:val="2"/>
                  <w:tcBorders>
                    <w:tl2br w:val="nil"/>
                    <w:tr2bl w:val="nil"/>
                  </w:tcBorders>
                  <w:vAlign w:val="center"/>
                </w:tcPr>
                <w:p w14:paraId="07B8F68A">
                  <w:pPr>
                    <w:pStyle w:val="54"/>
                    <w:rPr>
                      <w:color w:val="auto"/>
                    </w:rPr>
                  </w:pPr>
                  <w:r>
                    <w:rPr>
                      <w:rFonts w:hint="eastAsia"/>
                      <w:color w:val="auto"/>
                    </w:rPr>
                    <w:t>天然气</w:t>
                  </w:r>
                </w:p>
              </w:tc>
              <w:tc>
                <w:tcPr>
                  <w:tcW w:w="1205" w:type="pct"/>
                  <w:tcBorders>
                    <w:tl2br w:val="nil"/>
                    <w:tr2bl w:val="nil"/>
                  </w:tcBorders>
                  <w:tcMar>
                    <w:left w:w="0" w:type="dxa"/>
                    <w:right w:w="0" w:type="dxa"/>
                  </w:tcMar>
                  <w:vAlign w:val="center"/>
                </w:tcPr>
                <w:p w14:paraId="399D0035">
                  <w:pPr>
                    <w:pStyle w:val="54"/>
                    <w:rPr>
                      <w:color w:val="auto"/>
                    </w:rPr>
                  </w:pPr>
                  <w:r>
                    <w:rPr>
                      <w:rFonts w:hint="eastAsia"/>
                      <w:color w:val="auto"/>
                    </w:rPr>
                    <w:t>用气量为198万</w:t>
                  </w:r>
                  <w:r>
                    <w:rPr>
                      <w:color w:val="auto"/>
                    </w:rPr>
                    <w:t>m</w:t>
                  </w:r>
                  <w:r>
                    <w:rPr>
                      <w:color w:val="auto"/>
                      <w:vertAlign w:val="superscript"/>
                    </w:rPr>
                    <w:t>3</w:t>
                  </w:r>
                  <w:r>
                    <w:rPr>
                      <w:color w:val="auto"/>
                    </w:rPr>
                    <w:t>/a</w:t>
                  </w:r>
                  <w:r>
                    <w:rPr>
                      <w:rFonts w:hint="eastAsia"/>
                      <w:color w:val="auto"/>
                    </w:rPr>
                    <w:t>，来自市政天然气管网</w:t>
                  </w:r>
                </w:p>
              </w:tc>
              <w:tc>
                <w:tcPr>
                  <w:tcW w:w="1205" w:type="pct"/>
                  <w:tcBorders>
                    <w:tl2br w:val="nil"/>
                    <w:tr2bl w:val="nil"/>
                  </w:tcBorders>
                  <w:tcMar>
                    <w:left w:w="0" w:type="dxa"/>
                    <w:right w:w="0" w:type="dxa"/>
                  </w:tcMar>
                  <w:vAlign w:val="center"/>
                </w:tcPr>
                <w:p w14:paraId="36F7F72A">
                  <w:pPr>
                    <w:pStyle w:val="54"/>
                    <w:rPr>
                      <w:color w:val="auto"/>
                    </w:rPr>
                  </w:pPr>
                  <w:r>
                    <w:rPr>
                      <w:rFonts w:hint="eastAsia"/>
                      <w:color w:val="auto"/>
                    </w:rPr>
                    <w:t>/</w:t>
                  </w:r>
                </w:p>
              </w:tc>
              <w:tc>
                <w:tcPr>
                  <w:tcW w:w="1205" w:type="pct"/>
                  <w:tcBorders>
                    <w:tl2br w:val="nil"/>
                    <w:tr2bl w:val="nil"/>
                  </w:tcBorders>
                  <w:tcMar>
                    <w:left w:w="0" w:type="dxa"/>
                    <w:right w:w="0" w:type="dxa"/>
                  </w:tcMar>
                  <w:vAlign w:val="center"/>
                </w:tcPr>
                <w:p w14:paraId="4C57103E">
                  <w:pPr>
                    <w:pStyle w:val="54"/>
                    <w:rPr>
                      <w:color w:val="auto"/>
                    </w:rPr>
                  </w:pPr>
                  <w:r>
                    <w:rPr>
                      <w:rFonts w:hint="eastAsia"/>
                      <w:color w:val="auto"/>
                    </w:rPr>
                    <w:t>用气量为198万</w:t>
                  </w:r>
                  <w:r>
                    <w:rPr>
                      <w:color w:val="auto"/>
                    </w:rPr>
                    <w:t>m</w:t>
                  </w:r>
                  <w:r>
                    <w:rPr>
                      <w:color w:val="auto"/>
                      <w:vertAlign w:val="superscript"/>
                    </w:rPr>
                    <w:t>3</w:t>
                  </w:r>
                  <w:r>
                    <w:rPr>
                      <w:color w:val="auto"/>
                    </w:rPr>
                    <w:t>/a</w:t>
                  </w:r>
                  <w:r>
                    <w:rPr>
                      <w:rFonts w:hint="eastAsia"/>
                      <w:color w:val="auto"/>
                    </w:rPr>
                    <w:t>，来自市政天然气管网</w:t>
                  </w:r>
                </w:p>
              </w:tc>
              <w:tc>
                <w:tcPr>
                  <w:tcW w:w="271" w:type="pct"/>
                  <w:tcBorders>
                    <w:tl2br w:val="nil"/>
                    <w:tr2bl w:val="nil"/>
                  </w:tcBorders>
                  <w:tcMar>
                    <w:left w:w="0" w:type="dxa"/>
                    <w:right w:w="0" w:type="dxa"/>
                  </w:tcMar>
                  <w:vAlign w:val="center"/>
                </w:tcPr>
                <w:p w14:paraId="61D42AA6">
                  <w:pPr>
                    <w:pStyle w:val="54"/>
                    <w:rPr>
                      <w:color w:val="auto"/>
                    </w:rPr>
                  </w:pPr>
                  <w:r>
                    <w:rPr>
                      <w:rFonts w:hint="eastAsia"/>
                      <w:color w:val="auto"/>
                    </w:rPr>
                    <w:t>/</w:t>
                  </w:r>
                </w:p>
              </w:tc>
            </w:tr>
            <w:tr w14:paraId="3754B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208" w:type="pct"/>
                  <w:vMerge w:val="restart"/>
                  <w:tcBorders>
                    <w:tl2br w:val="nil"/>
                    <w:tr2bl w:val="nil"/>
                  </w:tcBorders>
                  <w:shd w:val="clear" w:color="auto" w:fill="auto"/>
                  <w:vAlign w:val="center"/>
                </w:tcPr>
                <w:p w14:paraId="2129D40B">
                  <w:pPr>
                    <w:pStyle w:val="54"/>
                    <w:rPr>
                      <w:color w:val="auto"/>
                    </w:rPr>
                  </w:pPr>
                  <w:r>
                    <w:rPr>
                      <w:rFonts w:hint="eastAsia"/>
                      <w:color w:val="auto"/>
                    </w:rPr>
                    <w:t>贮运工程</w:t>
                  </w:r>
                </w:p>
              </w:tc>
              <w:tc>
                <w:tcPr>
                  <w:tcW w:w="902" w:type="pct"/>
                  <w:gridSpan w:val="2"/>
                  <w:tcBorders>
                    <w:tl2br w:val="nil"/>
                    <w:tr2bl w:val="nil"/>
                  </w:tcBorders>
                  <w:vAlign w:val="center"/>
                </w:tcPr>
                <w:p w14:paraId="31E29FFA">
                  <w:pPr>
                    <w:pStyle w:val="54"/>
                    <w:rPr>
                      <w:color w:val="auto"/>
                    </w:rPr>
                  </w:pPr>
                  <w:r>
                    <w:rPr>
                      <w:rFonts w:hint="eastAsia"/>
                      <w:color w:val="auto"/>
                    </w:rPr>
                    <w:t>成品库</w:t>
                  </w:r>
                </w:p>
              </w:tc>
              <w:tc>
                <w:tcPr>
                  <w:tcW w:w="1205" w:type="pct"/>
                  <w:tcBorders>
                    <w:tl2br w:val="nil"/>
                    <w:tr2bl w:val="nil"/>
                  </w:tcBorders>
                  <w:tcMar>
                    <w:left w:w="0" w:type="dxa"/>
                    <w:right w:w="0" w:type="dxa"/>
                  </w:tcMar>
                  <w:vAlign w:val="center"/>
                </w:tcPr>
                <w:p w14:paraId="0463CE28">
                  <w:pPr>
                    <w:pStyle w:val="54"/>
                    <w:rPr>
                      <w:color w:val="auto"/>
                    </w:rPr>
                  </w:pPr>
                  <w:r>
                    <w:rPr>
                      <w:rFonts w:hint="eastAsia"/>
                      <w:color w:val="auto"/>
                    </w:rPr>
                    <w:t>建筑面积为500</w:t>
                  </w:r>
                  <w:r>
                    <w:rPr>
                      <w:color w:val="auto"/>
                    </w:rPr>
                    <w:t>m</w:t>
                  </w:r>
                  <w:r>
                    <w:rPr>
                      <w:color w:val="auto"/>
                      <w:vertAlign w:val="superscript"/>
                    </w:rPr>
                    <w:t>2</w:t>
                  </w:r>
                  <w:r>
                    <w:rPr>
                      <w:rFonts w:hint="eastAsia"/>
                      <w:color w:val="auto"/>
                    </w:rPr>
                    <w:t>，位于1#厂房内北侧，用于暂存成品</w:t>
                  </w:r>
                </w:p>
              </w:tc>
              <w:tc>
                <w:tcPr>
                  <w:tcW w:w="1205" w:type="pct"/>
                  <w:tcBorders>
                    <w:tl2br w:val="nil"/>
                    <w:tr2bl w:val="nil"/>
                  </w:tcBorders>
                  <w:tcMar>
                    <w:left w:w="0" w:type="dxa"/>
                    <w:right w:w="0" w:type="dxa"/>
                  </w:tcMar>
                  <w:vAlign w:val="center"/>
                </w:tcPr>
                <w:p w14:paraId="5DAFFB88">
                  <w:pPr>
                    <w:pStyle w:val="54"/>
                    <w:rPr>
                      <w:color w:val="auto"/>
                    </w:rPr>
                  </w:pPr>
                  <w:r>
                    <w:rPr>
                      <w:rFonts w:hint="eastAsia"/>
                      <w:color w:val="auto"/>
                    </w:rPr>
                    <w:t>/</w:t>
                  </w:r>
                </w:p>
              </w:tc>
              <w:tc>
                <w:tcPr>
                  <w:tcW w:w="1205" w:type="pct"/>
                  <w:tcBorders>
                    <w:tl2br w:val="nil"/>
                    <w:tr2bl w:val="nil"/>
                  </w:tcBorders>
                  <w:tcMar>
                    <w:left w:w="0" w:type="dxa"/>
                    <w:right w:w="0" w:type="dxa"/>
                  </w:tcMar>
                  <w:vAlign w:val="center"/>
                </w:tcPr>
                <w:p w14:paraId="36E88F54">
                  <w:pPr>
                    <w:pStyle w:val="54"/>
                    <w:rPr>
                      <w:color w:val="auto"/>
                    </w:rPr>
                  </w:pPr>
                  <w:r>
                    <w:rPr>
                      <w:rFonts w:hint="eastAsia"/>
                      <w:color w:val="auto"/>
                    </w:rPr>
                    <w:t>建筑面积为500</w:t>
                  </w:r>
                  <w:r>
                    <w:rPr>
                      <w:color w:val="auto"/>
                    </w:rPr>
                    <w:t>m</w:t>
                  </w:r>
                  <w:r>
                    <w:rPr>
                      <w:color w:val="auto"/>
                      <w:vertAlign w:val="superscript"/>
                    </w:rPr>
                    <w:t>2</w:t>
                  </w:r>
                  <w:r>
                    <w:rPr>
                      <w:rFonts w:hint="eastAsia"/>
                      <w:color w:val="auto"/>
                    </w:rPr>
                    <w:t>，位于1#厂房内北侧，用于暂存成品</w:t>
                  </w:r>
                </w:p>
              </w:tc>
              <w:tc>
                <w:tcPr>
                  <w:tcW w:w="271" w:type="pct"/>
                  <w:tcBorders>
                    <w:tl2br w:val="nil"/>
                    <w:tr2bl w:val="nil"/>
                  </w:tcBorders>
                  <w:tcMar>
                    <w:left w:w="0" w:type="dxa"/>
                    <w:right w:w="0" w:type="dxa"/>
                  </w:tcMar>
                  <w:vAlign w:val="center"/>
                </w:tcPr>
                <w:p w14:paraId="07854D8F">
                  <w:pPr>
                    <w:pStyle w:val="54"/>
                    <w:rPr>
                      <w:color w:val="auto"/>
                    </w:rPr>
                  </w:pPr>
                  <w:r>
                    <w:rPr>
                      <w:rFonts w:hint="eastAsia"/>
                      <w:color w:val="auto"/>
                    </w:rPr>
                    <w:t>依托</w:t>
                  </w:r>
                </w:p>
                <w:p w14:paraId="4ADB2C8B">
                  <w:pPr>
                    <w:pStyle w:val="54"/>
                    <w:rPr>
                      <w:color w:val="auto"/>
                    </w:rPr>
                  </w:pPr>
                  <w:r>
                    <w:rPr>
                      <w:rFonts w:hint="eastAsia"/>
                      <w:color w:val="auto"/>
                    </w:rPr>
                    <w:t>现有</w:t>
                  </w:r>
                </w:p>
              </w:tc>
            </w:tr>
            <w:tr w14:paraId="6400D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8" w:type="pct"/>
                  <w:vMerge w:val="continue"/>
                  <w:tcBorders>
                    <w:tl2br w:val="nil"/>
                    <w:tr2bl w:val="nil"/>
                  </w:tcBorders>
                  <w:vAlign w:val="center"/>
                </w:tcPr>
                <w:p w14:paraId="7B9800AE">
                  <w:pPr>
                    <w:pStyle w:val="54"/>
                    <w:rPr>
                      <w:color w:val="auto"/>
                    </w:rPr>
                  </w:pPr>
                </w:p>
              </w:tc>
              <w:tc>
                <w:tcPr>
                  <w:tcW w:w="902" w:type="pct"/>
                  <w:gridSpan w:val="2"/>
                  <w:tcBorders>
                    <w:tl2br w:val="nil"/>
                    <w:tr2bl w:val="nil"/>
                  </w:tcBorders>
                  <w:vAlign w:val="center"/>
                </w:tcPr>
                <w:p w14:paraId="3D0F7081">
                  <w:pPr>
                    <w:pStyle w:val="54"/>
                    <w:rPr>
                      <w:color w:val="auto"/>
                    </w:rPr>
                  </w:pPr>
                  <w:r>
                    <w:rPr>
                      <w:rFonts w:hint="eastAsia"/>
                      <w:color w:val="auto"/>
                    </w:rPr>
                    <w:t>原料仓库</w:t>
                  </w:r>
                </w:p>
              </w:tc>
              <w:tc>
                <w:tcPr>
                  <w:tcW w:w="1205" w:type="pct"/>
                  <w:tcBorders>
                    <w:tl2br w:val="nil"/>
                    <w:tr2bl w:val="nil"/>
                  </w:tcBorders>
                  <w:tcMar>
                    <w:left w:w="0" w:type="dxa"/>
                    <w:right w:w="0" w:type="dxa"/>
                  </w:tcMar>
                  <w:vAlign w:val="center"/>
                </w:tcPr>
                <w:p w14:paraId="03C44B91">
                  <w:pPr>
                    <w:pStyle w:val="54"/>
                    <w:rPr>
                      <w:color w:val="auto"/>
                    </w:rPr>
                  </w:pPr>
                  <w:r>
                    <w:rPr>
                      <w:rFonts w:hint="eastAsia"/>
                      <w:color w:val="auto"/>
                    </w:rPr>
                    <w:t>建筑面积为500</w:t>
                  </w:r>
                  <w:r>
                    <w:rPr>
                      <w:color w:val="auto"/>
                    </w:rPr>
                    <w:t>m</w:t>
                  </w:r>
                  <w:r>
                    <w:rPr>
                      <w:color w:val="auto"/>
                      <w:vertAlign w:val="superscript"/>
                    </w:rPr>
                    <w:t>2</w:t>
                  </w:r>
                  <w:r>
                    <w:rPr>
                      <w:rFonts w:hint="eastAsia"/>
                      <w:color w:val="auto"/>
                    </w:rPr>
                    <w:t>，位于1#厂房内北侧，用于存放原辅料</w:t>
                  </w:r>
                </w:p>
              </w:tc>
              <w:tc>
                <w:tcPr>
                  <w:tcW w:w="1205" w:type="pct"/>
                  <w:tcBorders>
                    <w:tl2br w:val="nil"/>
                    <w:tr2bl w:val="nil"/>
                  </w:tcBorders>
                  <w:tcMar>
                    <w:left w:w="0" w:type="dxa"/>
                    <w:right w:w="0" w:type="dxa"/>
                  </w:tcMar>
                  <w:vAlign w:val="center"/>
                </w:tcPr>
                <w:p w14:paraId="1A25113E">
                  <w:pPr>
                    <w:pStyle w:val="54"/>
                    <w:rPr>
                      <w:color w:val="auto"/>
                    </w:rPr>
                  </w:pPr>
                  <w:r>
                    <w:rPr>
                      <w:rFonts w:hint="eastAsia"/>
                      <w:color w:val="auto"/>
                    </w:rPr>
                    <w:t>/</w:t>
                  </w:r>
                </w:p>
              </w:tc>
              <w:tc>
                <w:tcPr>
                  <w:tcW w:w="1205" w:type="pct"/>
                  <w:tcBorders>
                    <w:tl2br w:val="nil"/>
                    <w:tr2bl w:val="nil"/>
                  </w:tcBorders>
                  <w:tcMar>
                    <w:left w:w="0" w:type="dxa"/>
                    <w:right w:w="0" w:type="dxa"/>
                  </w:tcMar>
                  <w:vAlign w:val="center"/>
                </w:tcPr>
                <w:p w14:paraId="45E113D4">
                  <w:pPr>
                    <w:pStyle w:val="54"/>
                    <w:rPr>
                      <w:color w:val="auto"/>
                    </w:rPr>
                  </w:pPr>
                  <w:r>
                    <w:rPr>
                      <w:rFonts w:hint="eastAsia"/>
                      <w:color w:val="auto"/>
                    </w:rPr>
                    <w:t>建筑面积为500</w:t>
                  </w:r>
                  <w:r>
                    <w:rPr>
                      <w:color w:val="auto"/>
                    </w:rPr>
                    <w:t>m</w:t>
                  </w:r>
                  <w:r>
                    <w:rPr>
                      <w:color w:val="auto"/>
                      <w:vertAlign w:val="superscript"/>
                    </w:rPr>
                    <w:t>2</w:t>
                  </w:r>
                  <w:r>
                    <w:rPr>
                      <w:rFonts w:hint="eastAsia"/>
                      <w:color w:val="auto"/>
                    </w:rPr>
                    <w:t>，位于1#厂房内北侧，用于存放原辅料</w:t>
                  </w:r>
                </w:p>
              </w:tc>
              <w:tc>
                <w:tcPr>
                  <w:tcW w:w="271" w:type="pct"/>
                  <w:tcBorders>
                    <w:tl2br w:val="nil"/>
                    <w:tr2bl w:val="nil"/>
                  </w:tcBorders>
                  <w:tcMar>
                    <w:left w:w="0" w:type="dxa"/>
                    <w:right w:w="0" w:type="dxa"/>
                  </w:tcMar>
                  <w:vAlign w:val="center"/>
                </w:tcPr>
                <w:p w14:paraId="5983A7DC">
                  <w:pPr>
                    <w:pStyle w:val="54"/>
                    <w:rPr>
                      <w:color w:val="auto"/>
                    </w:rPr>
                  </w:pPr>
                  <w:r>
                    <w:rPr>
                      <w:rFonts w:hint="eastAsia"/>
                      <w:color w:val="auto"/>
                    </w:rPr>
                    <w:t>依托</w:t>
                  </w:r>
                </w:p>
                <w:p w14:paraId="2175527F">
                  <w:pPr>
                    <w:pStyle w:val="54"/>
                    <w:rPr>
                      <w:color w:val="auto"/>
                    </w:rPr>
                  </w:pPr>
                  <w:r>
                    <w:rPr>
                      <w:rFonts w:hint="eastAsia"/>
                      <w:color w:val="auto"/>
                    </w:rPr>
                    <w:t>现有</w:t>
                  </w:r>
                </w:p>
              </w:tc>
            </w:tr>
            <w:tr w14:paraId="3A602F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8" w:type="pct"/>
                  <w:vMerge w:val="restart"/>
                  <w:tcBorders>
                    <w:tl2br w:val="nil"/>
                    <w:tr2bl w:val="nil"/>
                  </w:tcBorders>
                  <w:shd w:val="clear" w:color="auto" w:fill="auto"/>
                  <w:vAlign w:val="center"/>
                </w:tcPr>
                <w:p w14:paraId="5DD8717A">
                  <w:pPr>
                    <w:pStyle w:val="54"/>
                    <w:rPr>
                      <w:color w:val="auto"/>
                    </w:rPr>
                  </w:pPr>
                  <w:r>
                    <w:rPr>
                      <w:color w:val="auto"/>
                    </w:rPr>
                    <w:t>辅助工程</w:t>
                  </w:r>
                </w:p>
              </w:tc>
              <w:tc>
                <w:tcPr>
                  <w:tcW w:w="902" w:type="pct"/>
                  <w:gridSpan w:val="2"/>
                  <w:tcBorders>
                    <w:tl2br w:val="nil"/>
                    <w:tr2bl w:val="nil"/>
                  </w:tcBorders>
                  <w:vAlign w:val="center"/>
                </w:tcPr>
                <w:p w14:paraId="03B6A02D">
                  <w:pPr>
                    <w:pStyle w:val="54"/>
                    <w:rPr>
                      <w:color w:val="auto"/>
                    </w:rPr>
                  </w:pPr>
                  <w:r>
                    <w:rPr>
                      <w:rFonts w:hint="eastAsia"/>
                      <w:color w:val="auto"/>
                    </w:rPr>
                    <w:t>综合楼</w:t>
                  </w:r>
                </w:p>
              </w:tc>
              <w:tc>
                <w:tcPr>
                  <w:tcW w:w="1205" w:type="pct"/>
                  <w:tcBorders>
                    <w:tl2br w:val="nil"/>
                    <w:tr2bl w:val="nil"/>
                  </w:tcBorders>
                  <w:tcMar>
                    <w:left w:w="0" w:type="dxa"/>
                    <w:right w:w="0" w:type="dxa"/>
                  </w:tcMar>
                  <w:vAlign w:val="center"/>
                </w:tcPr>
                <w:p w14:paraId="34127B26">
                  <w:pPr>
                    <w:pStyle w:val="54"/>
                    <w:rPr>
                      <w:color w:val="auto"/>
                    </w:rPr>
                  </w:pPr>
                  <w:r>
                    <w:rPr>
                      <w:rFonts w:hint="eastAsia"/>
                      <w:color w:val="auto"/>
                    </w:rPr>
                    <w:t>/</w:t>
                  </w:r>
                </w:p>
              </w:tc>
              <w:tc>
                <w:tcPr>
                  <w:tcW w:w="1205" w:type="pct"/>
                  <w:tcBorders>
                    <w:tl2br w:val="nil"/>
                    <w:tr2bl w:val="nil"/>
                  </w:tcBorders>
                  <w:tcMar>
                    <w:left w:w="0" w:type="dxa"/>
                    <w:right w:w="0" w:type="dxa"/>
                  </w:tcMar>
                  <w:vAlign w:val="center"/>
                </w:tcPr>
                <w:p w14:paraId="6A6E248B">
                  <w:pPr>
                    <w:pStyle w:val="54"/>
                    <w:rPr>
                      <w:color w:val="auto"/>
                    </w:rPr>
                  </w:pPr>
                  <w:r>
                    <w:rPr>
                      <w:color w:val="auto"/>
                    </w:rPr>
                    <w:t>3F</w:t>
                  </w:r>
                  <w:r>
                    <w:rPr>
                      <w:rFonts w:hint="eastAsia"/>
                      <w:color w:val="auto"/>
                    </w:rPr>
                    <w:t>、</w:t>
                  </w:r>
                  <w:r>
                    <w:rPr>
                      <w:color w:val="auto"/>
                    </w:rPr>
                    <w:t>11.7m，建筑面积为1881.36m</w:t>
                  </w:r>
                  <w:r>
                    <w:rPr>
                      <w:color w:val="auto"/>
                      <w:vertAlign w:val="superscript"/>
                    </w:rPr>
                    <w:t>2</w:t>
                  </w:r>
                  <w:r>
                    <w:rPr>
                      <w:rFonts w:hint="eastAsia"/>
                      <w:color w:val="auto"/>
                    </w:rPr>
                    <w:t>，用作食堂和宿舍</w:t>
                  </w:r>
                </w:p>
              </w:tc>
              <w:tc>
                <w:tcPr>
                  <w:tcW w:w="1205" w:type="pct"/>
                  <w:tcBorders>
                    <w:tl2br w:val="nil"/>
                    <w:tr2bl w:val="nil"/>
                  </w:tcBorders>
                  <w:tcMar>
                    <w:left w:w="0" w:type="dxa"/>
                    <w:right w:w="0" w:type="dxa"/>
                  </w:tcMar>
                  <w:vAlign w:val="center"/>
                </w:tcPr>
                <w:p w14:paraId="3C6C507A">
                  <w:pPr>
                    <w:pStyle w:val="54"/>
                    <w:rPr>
                      <w:color w:val="auto"/>
                    </w:rPr>
                  </w:pPr>
                  <w:r>
                    <w:rPr>
                      <w:color w:val="auto"/>
                    </w:rPr>
                    <w:t>3F</w:t>
                  </w:r>
                  <w:r>
                    <w:rPr>
                      <w:rFonts w:hint="eastAsia"/>
                      <w:color w:val="auto"/>
                    </w:rPr>
                    <w:t>、</w:t>
                  </w:r>
                  <w:r>
                    <w:rPr>
                      <w:color w:val="auto"/>
                    </w:rPr>
                    <w:t>11.7m，建筑面积为1881.36m</w:t>
                  </w:r>
                  <w:r>
                    <w:rPr>
                      <w:color w:val="auto"/>
                      <w:vertAlign w:val="superscript"/>
                    </w:rPr>
                    <w:t>2</w:t>
                  </w:r>
                  <w:r>
                    <w:rPr>
                      <w:rFonts w:hint="eastAsia"/>
                      <w:color w:val="auto"/>
                    </w:rPr>
                    <w:t>，用作食堂和宿舍</w:t>
                  </w:r>
                </w:p>
              </w:tc>
              <w:tc>
                <w:tcPr>
                  <w:tcW w:w="271" w:type="pct"/>
                  <w:tcBorders>
                    <w:tl2br w:val="nil"/>
                    <w:tr2bl w:val="nil"/>
                  </w:tcBorders>
                  <w:tcMar>
                    <w:left w:w="0" w:type="dxa"/>
                    <w:right w:w="0" w:type="dxa"/>
                  </w:tcMar>
                  <w:vAlign w:val="center"/>
                </w:tcPr>
                <w:p w14:paraId="090EEEE5">
                  <w:pPr>
                    <w:pStyle w:val="54"/>
                    <w:rPr>
                      <w:color w:val="auto"/>
                    </w:rPr>
                  </w:pPr>
                  <w:r>
                    <w:rPr>
                      <w:rFonts w:hint="eastAsia"/>
                      <w:color w:val="auto"/>
                    </w:rPr>
                    <w:t>新建</w:t>
                  </w:r>
                </w:p>
              </w:tc>
            </w:tr>
            <w:tr w14:paraId="76058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8" w:type="pct"/>
                  <w:vMerge w:val="continue"/>
                  <w:tcBorders>
                    <w:tl2br w:val="nil"/>
                    <w:tr2bl w:val="nil"/>
                  </w:tcBorders>
                  <w:shd w:val="clear" w:color="auto" w:fill="auto"/>
                  <w:vAlign w:val="center"/>
                </w:tcPr>
                <w:p w14:paraId="6D858FAC">
                  <w:pPr>
                    <w:pStyle w:val="54"/>
                    <w:rPr>
                      <w:color w:val="auto"/>
                    </w:rPr>
                  </w:pPr>
                </w:p>
              </w:tc>
              <w:tc>
                <w:tcPr>
                  <w:tcW w:w="902" w:type="pct"/>
                  <w:gridSpan w:val="2"/>
                  <w:tcBorders>
                    <w:tl2br w:val="nil"/>
                    <w:tr2bl w:val="nil"/>
                  </w:tcBorders>
                  <w:vAlign w:val="center"/>
                </w:tcPr>
                <w:p w14:paraId="56F10986">
                  <w:pPr>
                    <w:pStyle w:val="54"/>
                    <w:rPr>
                      <w:color w:val="auto"/>
                    </w:rPr>
                  </w:pPr>
                  <w:r>
                    <w:rPr>
                      <w:rFonts w:hint="eastAsia"/>
                      <w:color w:val="auto"/>
                    </w:rPr>
                    <w:t>办公楼</w:t>
                  </w:r>
                </w:p>
              </w:tc>
              <w:tc>
                <w:tcPr>
                  <w:tcW w:w="1205" w:type="pct"/>
                  <w:tcBorders>
                    <w:tl2br w:val="nil"/>
                    <w:tr2bl w:val="nil"/>
                  </w:tcBorders>
                  <w:tcMar>
                    <w:left w:w="0" w:type="dxa"/>
                    <w:right w:w="0" w:type="dxa"/>
                  </w:tcMar>
                  <w:vAlign w:val="center"/>
                </w:tcPr>
                <w:p w14:paraId="4025188A">
                  <w:pPr>
                    <w:pStyle w:val="54"/>
                    <w:rPr>
                      <w:color w:val="auto"/>
                    </w:rPr>
                  </w:pPr>
                  <w:r>
                    <w:rPr>
                      <w:rFonts w:hint="eastAsia"/>
                      <w:color w:val="auto"/>
                    </w:rPr>
                    <w:t>/</w:t>
                  </w:r>
                </w:p>
              </w:tc>
              <w:tc>
                <w:tcPr>
                  <w:tcW w:w="1205" w:type="pct"/>
                  <w:tcBorders>
                    <w:tl2br w:val="nil"/>
                    <w:tr2bl w:val="nil"/>
                  </w:tcBorders>
                  <w:tcMar>
                    <w:left w:w="0" w:type="dxa"/>
                    <w:right w:w="0" w:type="dxa"/>
                  </w:tcMar>
                  <w:vAlign w:val="center"/>
                </w:tcPr>
                <w:p w14:paraId="75DD67D6">
                  <w:pPr>
                    <w:pStyle w:val="54"/>
                    <w:rPr>
                      <w:color w:val="auto"/>
                    </w:rPr>
                  </w:pPr>
                  <w:r>
                    <w:rPr>
                      <w:color w:val="auto"/>
                    </w:rPr>
                    <w:t>3F</w:t>
                  </w:r>
                  <w:r>
                    <w:rPr>
                      <w:rFonts w:hint="eastAsia"/>
                      <w:color w:val="auto"/>
                    </w:rPr>
                    <w:t>、</w:t>
                  </w:r>
                  <w:r>
                    <w:rPr>
                      <w:color w:val="auto"/>
                    </w:rPr>
                    <w:t>11.7m，建筑面积为2077.92m</w:t>
                  </w:r>
                  <w:r>
                    <w:rPr>
                      <w:color w:val="auto"/>
                      <w:vertAlign w:val="superscript"/>
                    </w:rPr>
                    <w:t>2</w:t>
                  </w:r>
                  <w:r>
                    <w:rPr>
                      <w:rFonts w:hint="eastAsia"/>
                      <w:color w:val="auto"/>
                    </w:rPr>
                    <w:t>，用作办公</w:t>
                  </w:r>
                </w:p>
              </w:tc>
              <w:tc>
                <w:tcPr>
                  <w:tcW w:w="1205" w:type="pct"/>
                  <w:tcBorders>
                    <w:tl2br w:val="nil"/>
                    <w:tr2bl w:val="nil"/>
                  </w:tcBorders>
                  <w:tcMar>
                    <w:left w:w="0" w:type="dxa"/>
                    <w:right w:w="0" w:type="dxa"/>
                  </w:tcMar>
                  <w:vAlign w:val="center"/>
                </w:tcPr>
                <w:p w14:paraId="01EDD249">
                  <w:pPr>
                    <w:pStyle w:val="54"/>
                    <w:rPr>
                      <w:color w:val="auto"/>
                    </w:rPr>
                  </w:pPr>
                  <w:r>
                    <w:rPr>
                      <w:color w:val="auto"/>
                    </w:rPr>
                    <w:t>3F</w:t>
                  </w:r>
                  <w:r>
                    <w:rPr>
                      <w:rFonts w:hint="eastAsia"/>
                      <w:color w:val="auto"/>
                    </w:rPr>
                    <w:t>、</w:t>
                  </w:r>
                  <w:r>
                    <w:rPr>
                      <w:color w:val="auto"/>
                    </w:rPr>
                    <w:t>11.7m，建筑面积为2077.92m</w:t>
                  </w:r>
                  <w:r>
                    <w:rPr>
                      <w:color w:val="auto"/>
                      <w:vertAlign w:val="superscript"/>
                    </w:rPr>
                    <w:t>2</w:t>
                  </w:r>
                  <w:r>
                    <w:rPr>
                      <w:rFonts w:hint="eastAsia"/>
                      <w:color w:val="auto"/>
                    </w:rPr>
                    <w:t>，用作办公</w:t>
                  </w:r>
                </w:p>
              </w:tc>
              <w:tc>
                <w:tcPr>
                  <w:tcW w:w="271" w:type="pct"/>
                  <w:tcBorders>
                    <w:tl2br w:val="nil"/>
                    <w:tr2bl w:val="nil"/>
                  </w:tcBorders>
                  <w:tcMar>
                    <w:left w:w="0" w:type="dxa"/>
                    <w:right w:w="0" w:type="dxa"/>
                  </w:tcMar>
                  <w:vAlign w:val="center"/>
                </w:tcPr>
                <w:p w14:paraId="39A9753C">
                  <w:pPr>
                    <w:pStyle w:val="54"/>
                    <w:rPr>
                      <w:color w:val="auto"/>
                    </w:rPr>
                  </w:pPr>
                  <w:r>
                    <w:rPr>
                      <w:rFonts w:hint="eastAsia"/>
                      <w:color w:val="auto"/>
                    </w:rPr>
                    <w:t>新建</w:t>
                  </w:r>
                </w:p>
              </w:tc>
            </w:tr>
            <w:tr w14:paraId="4873F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8" w:type="pct"/>
                  <w:vMerge w:val="restart"/>
                  <w:tcBorders>
                    <w:tl2br w:val="nil"/>
                    <w:tr2bl w:val="nil"/>
                  </w:tcBorders>
                  <w:vAlign w:val="center"/>
                </w:tcPr>
                <w:p w14:paraId="0A33B5FC">
                  <w:pPr>
                    <w:pStyle w:val="54"/>
                    <w:rPr>
                      <w:color w:val="auto"/>
                    </w:rPr>
                  </w:pPr>
                  <w:r>
                    <w:rPr>
                      <w:color w:val="auto"/>
                    </w:rPr>
                    <w:t>环保工程</w:t>
                  </w:r>
                </w:p>
              </w:tc>
              <w:tc>
                <w:tcPr>
                  <w:tcW w:w="199" w:type="pct"/>
                  <w:vMerge w:val="restart"/>
                  <w:tcBorders>
                    <w:tl2br w:val="nil"/>
                    <w:tr2bl w:val="nil"/>
                  </w:tcBorders>
                  <w:vAlign w:val="center"/>
                </w:tcPr>
                <w:p w14:paraId="1F607E85">
                  <w:pPr>
                    <w:pStyle w:val="54"/>
                    <w:rPr>
                      <w:color w:val="auto"/>
                    </w:rPr>
                  </w:pPr>
                  <w:r>
                    <w:rPr>
                      <w:rFonts w:hint="eastAsia"/>
                      <w:color w:val="auto"/>
                    </w:rPr>
                    <w:t>废气</w:t>
                  </w:r>
                </w:p>
              </w:tc>
              <w:tc>
                <w:tcPr>
                  <w:tcW w:w="702" w:type="pct"/>
                  <w:tcBorders>
                    <w:tl2br w:val="nil"/>
                    <w:tr2bl w:val="nil"/>
                  </w:tcBorders>
                  <w:vAlign w:val="center"/>
                </w:tcPr>
                <w:p w14:paraId="442F3468">
                  <w:pPr>
                    <w:pStyle w:val="54"/>
                    <w:rPr>
                      <w:color w:val="auto"/>
                    </w:rPr>
                  </w:pPr>
                  <w:r>
                    <w:rPr>
                      <w:rFonts w:hint="eastAsia"/>
                      <w:color w:val="auto"/>
                    </w:rPr>
                    <w:t>熔化烟气（颗粒物、SO</w:t>
                  </w:r>
                  <w:r>
                    <w:rPr>
                      <w:rFonts w:hint="eastAsia"/>
                      <w:color w:val="auto"/>
                      <w:vertAlign w:val="subscript"/>
                    </w:rPr>
                    <w:t>2</w:t>
                  </w:r>
                  <w:r>
                    <w:rPr>
                      <w:rFonts w:hint="eastAsia"/>
                      <w:color w:val="auto"/>
                    </w:rPr>
                    <w:t>、NOx）</w:t>
                  </w:r>
                </w:p>
              </w:tc>
              <w:tc>
                <w:tcPr>
                  <w:tcW w:w="1205" w:type="pct"/>
                  <w:tcBorders>
                    <w:tl2br w:val="nil"/>
                    <w:tr2bl w:val="nil"/>
                  </w:tcBorders>
                  <w:tcMar>
                    <w:left w:w="0" w:type="dxa"/>
                    <w:right w:w="0" w:type="dxa"/>
                  </w:tcMar>
                  <w:vAlign w:val="center"/>
                </w:tcPr>
                <w:p w14:paraId="0849F6DC">
                  <w:pPr>
                    <w:pStyle w:val="54"/>
                    <w:rPr>
                      <w:color w:val="auto"/>
                    </w:rPr>
                  </w:pPr>
                  <w:r>
                    <w:rPr>
                      <w:rFonts w:hint="eastAsia"/>
                      <w:color w:val="auto"/>
                    </w:rPr>
                    <w:t>熔化作业时炉内烟气采用地沟排烟道密闭收集，开盖时炉口逸散烟气采用炉顶集气罩收集，收集后由列管冷却器+多管除尘器+旋风除尘器+布袋除尘器处理后通过1根15m排气筒（DA001）排放</w:t>
                  </w:r>
                </w:p>
              </w:tc>
              <w:tc>
                <w:tcPr>
                  <w:tcW w:w="1205" w:type="pct"/>
                  <w:tcBorders>
                    <w:tl2br w:val="nil"/>
                    <w:tr2bl w:val="nil"/>
                  </w:tcBorders>
                  <w:tcMar>
                    <w:left w:w="0" w:type="dxa"/>
                    <w:right w:w="0" w:type="dxa"/>
                  </w:tcMar>
                  <w:vAlign w:val="center"/>
                </w:tcPr>
                <w:p w14:paraId="540CA357">
                  <w:pPr>
                    <w:pStyle w:val="54"/>
                    <w:rPr>
                      <w:color w:val="auto"/>
                    </w:rPr>
                  </w:pPr>
                  <w:r>
                    <w:rPr>
                      <w:rFonts w:hint="eastAsia"/>
                      <w:color w:val="auto"/>
                    </w:rPr>
                    <w:t>/</w:t>
                  </w:r>
                </w:p>
              </w:tc>
              <w:tc>
                <w:tcPr>
                  <w:tcW w:w="1205" w:type="pct"/>
                  <w:tcBorders>
                    <w:tl2br w:val="nil"/>
                    <w:tr2bl w:val="nil"/>
                  </w:tcBorders>
                  <w:tcMar>
                    <w:left w:w="0" w:type="dxa"/>
                    <w:right w:w="0" w:type="dxa"/>
                  </w:tcMar>
                  <w:vAlign w:val="center"/>
                </w:tcPr>
                <w:p w14:paraId="2585C6A5">
                  <w:pPr>
                    <w:pStyle w:val="54"/>
                    <w:rPr>
                      <w:color w:val="auto"/>
                    </w:rPr>
                  </w:pPr>
                  <w:r>
                    <w:rPr>
                      <w:rFonts w:hint="eastAsia"/>
                      <w:color w:val="auto"/>
                    </w:rPr>
                    <w:t>熔化作业时炉内烟气采用地沟排烟道密闭收集，开盖时炉口逸散烟气采用炉顶集气罩收集，收集后由列管冷却器+多管除尘器+旋风除尘器+布袋除尘器处理后通过1根15m排气筒（DA001）排放</w:t>
                  </w:r>
                </w:p>
              </w:tc>
              <w:tc>
                <w:tcPr>
                  <w:tcW w:w="271" w:type="pct"/>
                  <w:tcBorders>
                    <w:tl2br w:val="nil"/>
                    <w:tr2bl w:val="nil"/>
                  </w:tcBorders>
                  <w:tcMar>
                    <w:left w:w="0" w:type="dxa"/>
                    <w:right w:w="0" w:type="dxa"/>
                  </w:tcMar>
                  <w:vAlign w:val="center"/>
                </w:tcPr>
                <w:p w14:paraId="084AD087">
                  <w:pPr>
                    <w:pStyle w:val="54"/>
                    <w:rPr>
                      <w:color w:val="auto"/>
                    </w:rPr>
                  </w:pPr>
                  <w:r>
                    <w:rPr>
                      <w:rFonts w:hint="eastAsia"/>
                      <w:color w:val="auto"/>
                    </w:rPr>
                    <w:t>正常运行</w:t>
                  </w:r>
                </w:p>
              </w:tc>
            </w:tr>
            <w:tr w14:paraId="1B33A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8" w:type="pct"/>
                  <w:vMerge w:val="continue"/>
                  <w:tcBorders>
                    <w:tl2br w:val="nil"/>
                    <w:tr2bl w:val="nil"/>
                  </w:tcBorders>
                  <w:vAlign w:val="center"/>
                </w:tcPr>
                <w:p w14:paraId="0EEB3558">
                  <w:pPr>
                    <w:pStyle w:val="54"/>
                    <w:rPr>
                      <w:color w:val="auto"/>
                    </w:rPr>
                  </w:pPr>
                </w:p>
              </w:tc>
              <w:tc>
                <w:tcPr>
                  <w:tcW w:w="199" w:type="pct"/>
                  <w:vMerge w:val="continue"/>
                  <w:tcBorders>
                    <w:tl2br w:val="nil"/>
                    <w:tr2bl w:val="nil"/>
                  </w:tcBorders>
                  <w:vAlign w:val="center"/>
                </w:tcPr>
                <w:p w14:paraId="1D0723C8">
                  <w:pPr>
                    <w:pStyle w:val="54"/>
                    <w:rPr>
                      <w:color w:val="auto"/>
                    </w:rPr>
                  </w:pPr>
                </w:p>
              </w:tc>
              <w:tc>
                <w:tcPr>
                  <w:tcW w:w="702" w:type="pct"/>
                  <w:tcBorders>
                    <w:tl2br w:val="nil"/>
                    <w:tr2bl w:val="nil"/>
                  </w:tcBorders>
                  <w:vAlign w:val="center"/>
                </w:tcPr>
                <w:p w14:paraId="6B10305C">
                  <w:pPr>
                    <w:pStyle w:val="54"/>
                    <w:rPr>
                      <w:color w:val="auto"/>
                    </w:rPr>
                  </w:pPr>
                  <w:r>
                    <w:rPr>
                      <w:rFonts w:hint="eastAsia"/>
                      <w:color w:val="auto"/>
                    </w:rPr>
                    <w:t>冷却、清洗废气（NMHC）</w:t>
                  </w:r>
                </w:p>
              </w:tc>
              <w:tc>
                <w:tcPr>
                  <w:tcW w:w="1205" w:type="pct"/>
                  <w:tcBorders>
                    <w:tl2br w:val="nil"/>
                    <w:tr2bl w:val="nil"/>
                  </w:tcBorders>
                  <w:tcMar>
                    <w:left w:w="0" w:type="dxa"/>
                    <w:right w:w="0" w:type="dxa"/>
                  </w:tcMar>
                  <w:vAlign w:val="center"/>
                </w:tcPr>
                <w:p w14:paraId="555B4A4D">
                  <w:pPr>
                    <w:pStyle w:val="54"/>
                    <w:rPr>
                      <w:color w:val="auto"/>
                    </w:rPr>
                  </w:pPr>
                  <w:r>
                    <w:rPr>
                      <w:rFonts w:hint="eastAsia"/>
                      <w:color w:val="auto"/>
                    </w:rPr>
                    <w:t>冷却、清洗工序产生的NMHC分别采用集气罩收集后由二级活性炭吸附装置处理后通过1根15m排气筒（DA002）排放</w:t>
                  </w:r>
                </w:p>
              </w:tc>
              <w:tc>
                <w:tcPr>
                  <w:tcW w:w="1205" w:type="pct"/>
                  <w:tcBorders>
                    <w:tl2br w:val="nil"/>
                    <w:tr2bl w:val="nil"/>
                  </w:tcBorders>
                  <w:tcMar>
                    <w:left w:w="0" w:type="dxa"/>
                    <w:right w:w="0" w:type="dxa"/>
                  </w:tcMar>
                  <w:vAlign w:val="center"/>
                </w:tcPr>
                <w:p w14:paraId="583FFA12">
                  <w:pPr>
                    <w:pStyle w:val="54"/>
                    <w:rPr>
                      <w:color w:val="auto"/>
                    </w:rPr>
                  </w:pPr>
                  <w:r>
                    <w:rPr>
                      <w:rFonts w:hint="eastAsia"/>
                      <w:color w:val="auto"/>
                    </w:rPr>
                    <w:t>/</w:t>
                  </w:r>
                </w:p>
              </w:tc>
              <w:tc>
                <w:tcPr>
                  <w:tcW w:w="1205" w:type="pct"/>
                  <w:tcBorders>
                    <w:tl2br w:val="nil"/>
                    <w:tr2bl w:val="nil"/>
                  </w:tcBorders>
                  <w:tcMar>
                    <w:left w:w="0" w:type="dxa"/>
                    <w:right w:w="0" w:type="dxa"/>
                  </w:tcMar>
                  <w:vAlign w:val="center"/>
                </w:tcPr>
                <w:p w14:paraId="7E0EE6DF">
                  <w:pPr>
                    <w:pStyle w:val="54"/>
                    <w:rPr>
                      <w:color w:val="auto"/>
                    </w:rPr>
                  </w:pPr>
                  <w:r>
                    <w:rPr>
                      <w:rFonts w:hint="eastAsia"/>
                      <w:color w:val="auto"/>
                    </w:rPr>
                    <w:t>冷却、清洗工序产生的NMHC分别采用集气罩收集后由二级活性炭吸附装置处理后通过1根15m排气筒（DA002）排放</w:t>
                  </w:r>
                </w:p>
              </w:tc>
              <w:tc>
                <w:tcPr>
                  <w:tcW w:w="271" w:type="pct"/>
                  <w:tcBorders>
                    <w:tl2br w:val="nil"/>
                    <w:tr2bl w:val="nil"/>
                  </w:tcBorders>
                  <w:tcMar>
                    <w:left w:w="0" w:type="dxa"/>
                    <w:right w:w="0" w:type="dxa"/>
                  </w:tcMar>
                  <w:vAlign w:val="center"/>
                </w:tcPr>
                <w:p w14:paraId="5A08E05D">
                  <w:pPr>
                    <w:pStyle w:val="54"/>
                    <w:rPr>
                      <w:color w:val="auto"/>
                    </w:rPr>
                  </w:pPr>
                  <w:r>
                    <w:rPr>
                      <w:rFonts w:hint="eastAsia"/>
                      <w:color w:val="auto"/>
                    </w:rPr>
                    <w:t>正常运行</w:t>
                  </w:r>
                </w:p>
              </w:tc>
            </w:tr>
            <w:tr w14:paraId="0FC78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8" w:type="pct"/>
                  <w:vMerge w:val="continue"/>
                  <w:tcBorders>
                    <w:tl2br w:val="nil"/>
                    <w:tr2bl w:val="nil"/>
                  </w:tcBorders>
                  <w:vAlign w:val="center"/>
                </w:tcPr>
                <w:p w14:paraId="3E9682C6">
                  <w:pPr>
                    <w:pStyle w:val="54"/>
                    <w:rPr>
                      <w:color w:val="auto"/>
                    </w:rPr>
                  </w:pPr>
                </w:p>
              </w:tc>
              <w:tc>
                <w:tcPr>
                  <w:tcW w:w="199" w:type="pct"/>
                  <w:vMerge w:val="continue"/>
                  <w:tcBorders>
                    <w:tl2br w:val="nil"/>
                    <w:tr2bl w:val="nil"/>
                  </w:tcBorders>
                  <w:vAlign w:val="center"/>
                </w:tcPr>
                <w:p w14:paraId="7E3C2ED4">
                  <w:pPr>
                    <w:pStyle w:val="54"/>
                    <w:rPr>
                      <w:color w:val="auto"/>
                    </w:rPr>
                  </w:pPr>
                </w:p>
              </w:tc>
              <w:tc>
                <w:tcPr>
                  <w:tcW w:w="702" w:type="pct"/>
                  <w:tcBorders>
                    <w:tl2br w:val="nil"/>
                    <w:tr2bl w:val="nil"/>
                  </w:tcBorders>
                  <w:vAlign w:val="center"/>
                </w:tcPr>
                <w:p w14:paraId="63F55F6E">
                  <w:pPr>
                    <w:pStyle w:val="54"/>
                    <w:rPr>
                      <w:color w:val="auto"/>
                    </w:rPr>
                  </w:pPr>
                  <w:r>
                    <w:rPr>
                      <w:rFonts w:hint="eastAsia"/>
                      <w:color w:val="auto"/>
                    </w:rPr>
                    <w:t>危废贮存废气（NMHC）</w:t>
                  </w:r>
                </w:p>
              </w:tc>
              <w:tc>
                <w:tcPr>
                  <w:tcW w:w="1205" w:type="pct"/>
                  <w:tcBorders>
                    <w:tl2br w:val="nil"/>
                    <w:tr2bl w:val="nil"/>
                  </w:tcBorders>
                  <w:tcMar>
                    <w:left w:w="0" w:type="dxa"/>
                    <w:right w:w="0" w:type="dxa"/>
                  </w:tcMar>
                  <w:vAlign w:val="center"/>
                </w:tcPr>
                <w:p w14:paraId="77B12DAF">
                  <w:pPr>
                    <w:pStyle w:val="54"/>
                    <w:rPr>
                      <w:color w:val="auto"/>
                    </w:rPr>
                  </w:pPr>
                  <w:r>
                    <w:rPr>
                      <w:rFonts w:hint="eastAsia"/>
                      <w:color w:val="auto"/>
                    </w:rPr>
                    <w:t>/</w:t>
                  </w:r>
                </w:p>
              </w:tc>
              <w:tc>
                <w:tcPr>
                  <w:tcW w:w="1205" w:type="pct"/>
                  <w:tcBorders>
                    <w:tl2br w:val="nil"/>
                    <w:tr2bl w:val="nil"/>
                  </w:tcBorders>
                  <w:tcMar>
                    <w:left w:w="0" w:type="dxa"/>
                    <w:right w:w="0" w:type="dxa"/>
                  </w:tcMar>
                  <w:vAlign w:val="center"/>
                </w:tcPr>
                <w:p w14:paraId="3E9AE1FF">
                  <w:pPr>
                    <w:pStyle w:val="54"/>
                    <w:rPr>
                      <w:color w:val="auto"/>
                    </w:rPr>
                  </w:pPr>
                  <w:r>
                    <w:rPr>
                      <w:rFonts w:hint="eastAsia"/>
                      <w:color w:val="auto"/>
                    </w:rPr>
                    <w:t>危废贮存工序产生的NMHC经负压风管收集后依托现有二级活性炭吸附装置处理后通过1根15m排气筒（DA002）排放</w:t>
                  </w:r>
                </w:p>
              </w:tc>
              <w:tc>
                <w:tcPr>
                  <w:tcW w:w="1205" w:type="pct"/>
                  <w:tcBorders>
                    <w:tl2br w:val="nil"/>
                    <w:tr2bl w:val="nil"/>
                  </w:tcBorders>
                  <w:tcMar>
                    <w:left w:w="0" w:type="dxa"/>
                    <w:right w:w="0" w:type="dxa"/>
                  </w:tcMar>
                  <w:vAlign w:val="center"/>
                </w:tcPr>
                <w:p w14:paraId="5FB1771A">
                  <w:pPr>
                    <w:pStyle w:val="54"/>
                    <w:rPr>
                      <w:color w:val="auto"/>
                    </w:rPr>
                  </w:pPr>
                  <w:r>
                    <w:rPr>
                      <w:rFonts w:hint="eastAsia"/>
                      <w:color w:val="auto"/>
                    </w:rPr>
                    <w:t>危废贮存工序产生的NMHC经负压风管收集后依托现有二级活性炭吸附装置处理后通过1根15m排气筒（DA002）排放</w:t>
                  </w:r>
                </w:p>
              </w:tc>
              <w:tc>
                <w:tcPr>
                  <w:tcW w:w="271" w:type="pct"/>
                  <w:tcBorders>
                    <w:tl2br w:val="nil"/>
                    <w:tr2bl w:val="nil"/>
                  </w:tcBorders>
                  <w:tcMar>
                    <w:left w:w="0" w:type="dxa"/>
                    <w:right w:w="0" w:type="dxa"/>
                  </w:tcMar>
                  <w:vAlign w:val="center"/>
                </w:tcPr>
                <w:p w14:paraId="24720235">
                  <w:pPr>
                    <w:pStyle w:val="54"/>
                    <w:rPr>
                      <w:color w:val="auto"/>
                    </w:rPr>
                  </w:pPr>
                  <w:r>
                    <w:rPr>
                      <w:rFonts w:hint="eastAsia"/>
                      <w:color w:val="auto"/>
                    </w:rPr>
                    <w:t>依托</w:t>
                  </w:r>
                </w:p>
                <w:p w14:paraId="4A1AE062">
                  <w:pPr>
                    <w:pStyle w:val="54"/>
                    <w:rPr>
                      <w:color w:val="auto"/>
                    </w:rPr>
                  </w:pPr>
                  <w:r>
                    <w:rPr>
                      <w:rFonts w:hint="eastAsia"/>
                      <w:color w:val="auto"/>
                    </w:rPr>
                    <w:t>现有</w:t>
                  </w:r>
                </w:p>
              </w:tc>
            </w:tr>
            <w:tr w14:paraId="529FC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8" w:type="pct"/>
                  <w:vMerge w:val="continue"/>
                  <w:tcBorders>
                    <w:tl2br w:val="nil"/>
                    <w:tr2bl w:val="nil"/>
                  </w:tcBorders>
                  <w:vAlign w:val="center"/>
                </w:tcPr>
                <w:p w14:paraId="4832F7E7">
                  <w:pPr>
                    <w:pStyle w:val="54"/>
                    <w:rPr>
                      <w:color w:val="auto"/>
                    </w:rPr>
                  </w:pPr>
                </w:p>
              </w:tc>
              <w:tc>
                <w:tcPr>
                  <w:tcW w:w="199" w:type="pct"/>
                  <w:vMerge w:val="continue"/>
                  <w:tcBorders>
                    <w:tl2br w:val="nil"/>
                    <w:tr2bl w:val="nil"/>
                  </w:tcBorders>
                  <w:vAlign w:val="center"/>
                </w:tcPr>
                <w:p w14:paraId="23DB2782">
                  <w:pPr>
                    <w:pStyle w:val="54"/>
                    <w:rPr>
                      <w:color w:val="auto"/>
                    </w:rPr>
                  </w:pPr>
                </w:p>
              </w:tc>
              <w:tc>
                <w:tcPr>
                  <w:tcW w:w="702" w:type="pct"/>
                  <w:tcBorders>
                    <w:tl2br w:val="nil"/>
                    <w:tr2bl w:val="nil"/>
                  </w:tcBorders>
                  <w:vAlign w:val="center"/>
                </w:tcPr>
                <w:p w14:paraId="7352D8B6">
                  <w:pPr>
                    <w:pStyle w:val="54"/>
                    <w:rPr>
                      <w:color w:val="auto"/>
                    </w:rPr>
                  </w:pPr>
                  <w:r>
                    <w:rPr>
                      <w:rFonts w:hint="eastAsia"/>
                      <w:color w:val="auto"/>
                    </w:rPr>
                    <w:t>金属熔化烟尘</w:t>
                  </w:r>
                </w:p>
                <w:p w14:paraId="15842CAC">
                  <w:pPr>
                    <w:pStyle w:val="54"/>
                    <w:rPr>
                      <w:color w:val="auto"/>
                    </w:rPr>
                  </w:pPr>
                  <w:r>
                    <w:rPr>
                      <w:rFonts w:hint="eastAsia"/>
                      <w:color w:val="auto"/>
                    </w:rPr>
                    <w:t>（颗粒物）</w:t>
                  </w:r>
                </w:p>
              </w:tc>
              <w:tc>
                <w:tcPr>
                  <w:tcW w:w="1205" w:type="pct"/>
                  <w:tcBorders>
                    <w:tl2br w:val="nil"/>
                    <w:tr2bl w:val="nil"/>
                  </w:tcBorders>
                  <w:tcMar>
                    <w:left w:w="0" w:type="dxa"/>
                    <w:right w:w="0" w:type="dxa"/>
                  </w:tcMar>
                  <w:vAlign w:val="center"/>
                </w:tcPr>
                <w:p w14:paraId="1E889FAD">
                  <w:pPr>
                    <w:pStyle w:val="54"/>
                    <w:rPr>
                      <w:color w:val="auto"/>
                    </w:rPr>
                  </w:pPr>
                  <w:r>
                    <w:rPr>
                      <w:rFonts w:hint="eastAsia"/>
                      <w:color w:val="auto"/>
                    </w:rPr>
                    <w:t>/</w:t>
                  </w:r>
                </w:p>
              </w:tc>
              <w:tc>
                <w:tcPr>
                  <w:tcW w:w="1205" w:type="pct"/>
                  <w:tcBorders>
                    <w:tl2br w:val="nil"/>
                    <w:tr2bl w:val="nil"/>
                  </w:tcBorders>
                  <w:tcMar>
                    <w:left w:w="0" w:type="dxa"/>
                    <w:right w:w="0" w:type="dxa"/>
                  </w:tcMar>
                  <w:vAlign w:val="center"/>
                </w:tcPr>
                <w:p w14:paraId="1C2EDCB8">
                  <w:pPr>
                    <w:pStyle w:val="54"/>
                    <w:rPr>
                      <w:color w:val="auto"/>
                    </w:rPr>
                  </w:pPr>
                  <w:r>
                    <w:rPr>
                      <w:rFonts w:hint="eastAsia"/>
                      <w:color w:val="auto"/>
                    </w:rPr>
                    <w:t>金属熔化工序产生的颗粒物经密闭管道收集后由脉冲布袋除尘器处理后通过1根15m高排气筒（DA003）排放</w:t>
                  </w:r>
                </w:p>
              </w:tc>
              <w:tc>
                <w:tcPr>
                  <w:tcW w:w="1205" w:type="pct"/>
                  <w:tcBorders>
                    <w:tl2br w:val="nil"/>
                    <w:tr2bl w:val="nil"/>
                  </w:tcBorders>
                  <w:tcMar>
                    <w:left w:w="0" w:type="dxa"/>
                    <w:right w:w="0" w:type="dxa"/>
                  </w:tcMar>
                  <w:vAlign w:val="center"/>
                </w:tcPr>
                <w:p w14:paraId="2CCACC52">
                  <w:pPr>
                    <w:pStyle w:val="54"/>
                    <w:rPr>
                      <w:color w:val="auto"/>
                    </w:rPr>
                  </w:pPr>
                  <w:r>
                    <w:rPr>
                      <w:rFonts w:hint="eastAsia"/>
                      <w:color w:val="auto"/>
                    </w:rPr>
                    <w:t>金属熔化工序产生的颗粒物经密闭管道收集后由脉冲布袋除尘器处理后通过1根15m高排气筒（DA003）排放</w:t>
                  </w:r>
                </w:p>
              </w:tc>
              <w:tc>
                <w:tcPr>
                  <w:tcW w:w="271" w:type="pct"/>
                  <w:tcBorders>
                    <w:tl2br w:val="nil"/>
                    <w:tr2bl w:val="nil"/>
                  </w:tcBorders>
                  <w:tcMar>
                    <w:left w:w="0" w:type="dxa"/>
                    <w:right w:w="0" w:type="dxa"/>
                  </w:tcMar>
                  <w:vAlign w:val="center"/>
                </w:tcPr>
                <w:p w14:paraId="6113CA43">
                  <w:pPr>
                    <w:pStyle w:val="54"/>
                    <w:rPr>
                      <w:color w:val="auto"/>
                    </w:rPr>
                  </w:pPr>
                  <w:r>
                    <w:rPr>
                      <w:rFonts w:hint="eastAsia"/>
                      <w:color w:val="auto"/>
                    </w:rPr>
                    <w:t>新建</w:t>
                  </w:r>
                </w:p>
              </w:tc>
            </w:tr>
            <w:tr w14:paraId="67D02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8" w:type="pct"/>
                  <w:vMerge w:val="continue"/>
                  <w:tcBorders>
                    <w:tl2br w:val="nil"/>
                    <w:tr2bl w:val="nil"/>
                  </w:tcBorders>
                  <w:vAlign w:val="center"/>
                </w:tcPr>
                <w:p w14:paraId="4CECC695">
                  <w:pPr>
                    <w:pStyle w:val="54"/>
                    <w:rPr>
                      <w:color w:val="auto"/>
                    </w:rPr>
                  </w:pPr>
                </w:p>
              </w:tc>
              <w:tc>
                <w:tcPr>
                  <w:tcW w:w="199" w:type="pct"/>
                  <w:tcBorders>
                    <w:tl2br w:val="nil"/>
                    <w:tr2bl w:val="nil"/>
                  </w:tcBorders>
                  <w:vAlign w:val="center"/>
                </w:tcPr>
                <w:p w14:paraId="09E6A572">
                  <w:pPr>
                    <w:pStyle w:val="54"/>
                    <w:rPr>
                      <w:color w:val="auto"/>
                    </w:rPr>
                  </w:pPr>
                  <w:r>
                    <w:rPr>
                      <w:rFonts w:hint="eastAsia"/>
                      <w:color w:val="auto"/>
                    </w:rPr>
                    <w:t>废水</w:t>
                  </w:r>
                </w:p>
              </w:tc>
              <w:tc>
                <w:tcPr>
                  <w:tcW w:w="702" w:type="pct"/>
                  <w:tcBorders>
                    <w:tl2br w:val="nil"/>
                    <w:tr2bl w:val="nil"/>
                  </w:tcBorders>
                  <w:vAlign w:val="center"/>
                </w:tcPr>
                <w:p w14:paraId="0D25B59D">
                  <w:pPr>
                    <w:pStyle w:val="54"/>
                    <w:rPr>
                      <w:color w:val="auto"/>
                    </w:rPr>
                  </w:pPr>
                  <w:r>
                    <w:rPr>
                      <w:rFonts w:hint="eastAsia"/>
                      <w:color w:val="auto"/>
                    </w:rPr>
                    <w:t>生活污水</w:t>
                  </w:r>
                </w:p>
              </w:tc>
              <w:tc>
                <w:tcPr>
                  <w:tcW w:w="1205" w:type="pct"/>
                  <w:tcBorders>
                    <w:tl2br w:val="nil"/>
                    <w:tr2bl w:val="nil"/>
                  </w:tcBorders>
                  <w:tcMar>
                    <w:left w:w="0" w:type="dxa"/>
                    <w:right w:w="0" w:type="dxa"/>
                  </w:tcMar>
                  <w:vAlign w:val="center"/>
                </w:tcPr>
                <w:p w14:paraId="74927C39">
                  <w:pPr>
                    <w:pStyle w:val="54"/>
                    <w:rPr>
                      <w:color w:val="auto"/>
                    </w:rPr>
                  </w:pPr>
                  <w:r>
                    <w:rPr>
                      <w:rFonts w:hint="eastAsia"/>
                      <w:color w:val="auto"/>
                    </w:rPr>
                    <w:t>生活污水经厂区化粪池预处理后接管至王集镇污水处理厂集中处理</w:t>
                  </w:r>
                </w:p>
              </w:tc>
              <w:tc>
                <w:tcPr>
                  <w:tcW w:w="1205" w:type="pct"/>
                  <w:tcBorders>
                    <w:tl2br w:val="nil"/>
                    <w:tr2bl w:val="nil"/>
                  </w:tcBorders>
                  <w:tcMar>
                    <w:left w:w="0" w:type="dxa"/>
                    <w:right w:w="0" w:type="dxa"/>
                  </w:tcMar>
                  <w:vAlign w:val="center"/>
                </w:tcPr>
                <w:p w14:paraId="30C7836F">
                  <w:pPr>
                    <w:pStyle w:val="54"/>
                    <w:rPr>
                      <w:color w:val="auto"/>
                    </w:rPr>
                  </w:pPr>
                  <w:r>
                    <w:rPr>
                      <w:rFonts w:hint="eastAsia"/>
                      <w:color w:val="auto"/>
                    </w:rPr>
                    <w:t>生活污水经厂区化粪池预处理后接管至王集镇污水处理厂集中处理</w:t>
                  </w:r>
                </w:p>
              </w:tc>
              <w:tc>
                <w:tcPr>
                  <w:tcW w:w="1205" w:type="pct"/>
                  <w:tcBorders>
                    <w:tl2br w:val="nil"/>
                    <w:tr2bl w:val="nil"/>
                  </w:tcBorders>
                  <w:tcMar>
                    <w:left w:w="0" w:type="dxa"/>
                    <w:right w:w="0" w:type="dxa"/>
                  </w:tcMar>
                  <w:vAlign w:val="center"/>
                </w:tcPr>
                <w:p w14:paraId="0C5795CB">
                  <w:pPr>
                    <w:pStyle w:val="54"/>
                    <w:rPr>
                      <w:color w:val="auto"/>
                    </w:rPr>
                  </w:pPr>
                  <w:r>
                    <w:rPr>
                      <w:rFonts w:hint="eastAsia"/>
                      <w:color w:val="auto"/>
                    </w:rPr>
                    <w:t>生活污水经厂区化粪池预处理后接管至王集镇污水处理厂集中处理</w:t>
                  </w:r>
                </w:p>
              </w:tc>
              <w:tc>
                <w:tcPr>
                  <w:tcW w:w="271" w:type="pct"/>
                  <w:tcBorders>
                    <w:tl2br w:val="nil"/>
                    <w:tr2bl w:val="nil"/>
                  </w:tcBorders>
                  <w:tcMar>
                    <w:left w:w="0" w:type="dxa"/>
                    <w:right w:w="0" w:type="dxa"/>
                  </w:tcMar>
                  <w:vAlign w:val="center"/>
                </w:tcPr>
                <w:p w14:paraId="15E5EE2B">
                  <w:pPr>
                    <w:pStyle w:val="54"/>
                    <w:rPr>
                      <w:color w:val="auto"/>
                    </w:rPr>
                  </w:pPr>
                  <w:r>
                    <w:rPr>
                      <w:rFonts w:hint="eastAsia"/>
                      <w:color w:val="auto"/>
                    </w:rPr>
                    <w:t>依托</w:t>
                  </w:r>
                </w:p>
                <w:p w14:paraId="4E9F382C">
                  <w:pPr>
                    <w:pStyle w:val="54"/>
                    <w:rPr>
                      <w:color w:val="auto"/>
                    </w:rPr>
                  </w:pPr>
                  <w:r>
                    <w:rPr>
                      <w:rFonts w:hint="eastAsia"/>
                      <w:color w:val="auto"/>
                    </w:rPr>
                    <w:t>现有</w:t>
                  </w:r>
                </w:p>
              </w:tc>
            </w:tr>
            <w:tr w14:paraId="476B99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8" w:type="pct"/>
                  <w:vMerge w:val="continue"/>
                  <w:tcBorders>
                    <w:tl2br w:val="nil"/>
                    <w:tr2bl w:val="nil"/>
                  </w:tcBorders>
                  <w:vAlign w:val="center"/>
                </w:tcPr>
                <w:p w14:paraId="61CACF4D">
                  <w:pPr>
                    <w:pStyle w:val="54"/>
                    <w:rPr>
                      <w:color w:val="auto"/>
                    </w:rPr>
                  </w:pPr>
                </w:p>
              </w:tc>
              <w:tc>
                <w:tcPr>
                  <w:tcW w:w="199" w:type="pct"/>
                  <w:vMerge w:val="restart"/>
                  <w:tcBorders>
                    <w:tl2br w:val="nil"/>
                    <w:tr2bl w:val="nil"/>
                  </w:tcBorders>
                  <w:vAlign w:val="center"/>
                </w:tcPr>
                <w:p w14:paraId="297F9BBF">
                  <w:pPr>
                    <w:pStyle w:val="54"/>
                    <w:rPr>
                      <w:color w:val="auto"/>
                    </w:rPr>
                  </w:pPr>
                  <w:r>
                    <w:rPr>
                      <w:rFonts w:hint="eastAsia"/>
                      <w:color w:val="auto"/>
                    </w:rPr>
                    <w:t>固废</w:t>
                  </w:r>
                </w:p>
              </w:tc>
              <w:tc>
                <w:tcPr>
                  <w:tcW w:w="702" w:type="pct"/>
                  <w:tcBorders>
                    <w:tl2br w:val="nil"/>
                    <w:tr2bl w:val="nil"/>
                  </w:tcBorders>
                  <w:vAlign w:val="center"/>
                </w:tcPr>
                <w:p w14:paraId="59DD6E58">
                  <w:pPr>
                    <w:pStyle w:val="54"/>
                    <w:rPr>
                      <w:color w:val="auto"/>
                    </w:rPr>
                  </w:pPr>
                  <w:r>
                    <w:rPr>
                      <w:rFonts w:hint="eastAsia"/>
                      <w:color w:val="auto"/>
                    </w:rPr>
                    <w:t>一般固废</w:t>
                  </w:r>
                </w:p>
              </w:tc>
              <w:tc>
                <w:tcPr>
                  <w:tcW w:w="1205" w:type="pct"/>
                  <w:tcBorders>
                    <w:tl2br w:val="nil"/>
                    <w:tr2bl w:val="nil"/>
                  </w:tcBorders>
                  <w:tcMar>
                    <w:left w:w="0" w:type="dxa"/>
                    <w:right w:w="0" w:type="dxa"/>
                  </w:tcMar>
                  <w:vAlign w:val="center"/>
                </w:tcPr>
                <w:p w14:paraId="6B00818B">
                  <w:pPr>
                    <w:pStyle w:val="54"/>
                    <w:rPr>
                      <w:color w:val="auto"/>
                    </w:rPr>
                  </w:pPr>
                  <w:r>
                    <w:rPr>
                      <w:rFonts w:hint="eastAsia"/>
                      <w:color w:val="auto"/>
                    </w:rPr>
                    <w:t>暂存一般固废库，定期外售鹰潭明泰金属材料有限公司综合利用。一般固废库位于1#厂房内西南侧、占地面积为200m</w:t>
                  </w:r>
                  <w:r>
                    <w:rPr>
                      <w:rFonts w:hint="eastAsia"/>
                      <w:color w:val="auto"/>
                      <w:vertAlign w:val="superscript"/>
                    </w:rPr>
                    <w:t>2</w:t>
                  </w:r>
                </w:p>
              </w:tc>
              <w:tc>
                <w:tcPr>
                  <w:tcW w:w="1205" w:type="pct"/>
                  <w:tcBorders>
                    <w:tl2br w:val="nil"/>
                    <w:tr2bl w:val="nil"/>
                  </w:tcBorders>
                  <w:tcMar>
                    <w:left w:w="0" w:type="dxa"/>
                    <w:right w:w="0" w:type="dxa"/>
                  </w:tcMar>
                  <w:vAlign w:val="center"/>
                </w:tcPr>
                <w:p w14:paraId="0235C80D">
                  <w:pPr>
                    <w:pStyle w:val="54"/>
                    <w:rPr>
                      <w:color w:val="auto"/>
                    </w:rPr>
                  </w:pPr>
                  <w:r>
                    <w:rPr>
                      <w:rFonts w:hint="eastAsia"/>
                      <w:color w:val="auto"/>
                    </w:rPr>
                    <w:t>暂存一般固废库，定期外售综合利用。一般固废库位于1#厂房内西南侧、占地面积为200m</w:t>
                  </w:r>
                  <w:r>
                    <w:rPr>
                      <w:rFonts w:hint="eastAsia"/>
                      <w:color w:val="auto"/>
                      <w:vertAlign w:val="superscript"/>
                    </w:rPr>
                    <w:t>2</w:t>
                  </w:r>
                </w:p>
              </w:tc>
              <w:tc>
                <w:tcPr>
                  <w:tcW w:w="1205" w:type="pct"/>
                  <w:tcBorders>
                    <w:tl2br w:val="nil"/>
                    <w:tr2bl w:val="nil"/>
                  </w:tcBorders>
                  <w:tcMar>
                    <w:left w:w="0" w:type="dxa"/>
                    <w:right w:w="0" w:type="dxa"/>
                  </w:tcMar>
                  <w:vAlign w:val="center"/>
                </w:tcPr>
                <w:p w14:paraId="4F5CEC14">
                  <w:pPr>
                    <w:pStyle w:val="54"/>
                    <w:rPr>
                      <w:color w:val="auto"/>
                    </w:rPr>
                  </w:pPr>
                  <w:r>
                    <w:rPr>
                      <w:rFonts w:hint="eastAsia"/>
                      <w:color w:val="auto"/>
                    </w:rPr>
                    <w:t>暂存一般固废库，定期外售综合利用。一般固废库位于1#厂房内西南侧、占地面积为200m</w:t>
                  </w:r>
                  <w:r>
                    <w:rPr>
                      <w:rFonts w:hint="eastAsia"/>
                      <w:color w:val="auto"/>
                      <w:vertAlign w:val="superscript"/>
                    </w:rPr>
                    <w:t>2</w:t>
                  </w:r>
                </w:p>
              </w:tc>
              <w:tc>
                <w:tcPr>
                  <w:tcW w:w="271" w:type="pct"/>
                  <w:tcBorders>
                    <w:tl2br w:val="nil"/>
                    <w:tr2bl w:val="nil"/>
                  </w:tcBorders>
                  <w:tcMar>
                    <w:left w:w="0" w:type="dxa"/>
                    <w:right w:w="0" w:type="dxa"/>
                  </w:tcMar>
                  <w:vAlign w:val="center"/>
                </w:tcPr>
                <w:p w14:paraId="5BACAB26">
                  <w:pPr>
                    <w:pStyle w:val="54"/>
                    <w:rPr>
                      <w:color w:val="auto"/>
                    </w:rPr>
                  </w:pPr>
                  <w:r>
                    <w:rPr>
                      <w:rFonts w:hint="eastAsia"/>
                      <w:color w:val="auto"/>
                    </w:rPr>
                    <w:t>依托</w:t>
                  </w:r>
                </w:p>
                <w:p w14:paraId="5544E222">
                  <w:pPr>
                    <w:pStyle w:val="54"/>
                    <w:rPr>
                      <w:color w:val="auto"/>
                    </w:rPr>
                  </w:pPr>
                  <w:r>
                    <w:rPr>
                      <w:rFonts w:hint="eastAsia"/>
                      <w:color w:val="auto"/>
                    </w:rPr>
                    <w:t>现有</w:t>
                  </w:r>
                </w:p>
              </w:tc>
            </w:tr>
            <w:tr w14:paraId="0A17E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8" w:type="pct"/>
                  <w:vMerge w:val="continue"/>
                  <w:tcBorders>
                    <w:tl2br w:val="nil"/>
                    <w:tr2bl w:val="nil"/>
                  </w:tcBorders>
                  <w:vAlign w:val="center"/>
                </w:tcPr>
                <w:p w14:paraId="6553F233">
                  <w:pPr>
                    <w:pStyle w:val="54"/>
                    <w:rPr>
                      <w:color w:val="auto"/>
                    </w:rPr>
                  </w:pPr>
                </w:p>
              </w:tc>
              <w:tc>
                <w:tcPr>
                  <w:tcW w:w="199" w:type="pct"/>
                  <w:vMerge w:val="continue"/>
                  <w:tcBorders>
                    <w:tl2br w:val="nil"/>
                    <w:tr2bl w:val="nil"/>
                  </w:tcBorders>
                  <w:vAlign w:val="center"/>
                </w:tcPr>
                <w:p w14:paraId="6C52060A">
                  <w:pPr>
                    <w:pStyle w:val="54"/>
                    <w:rPr>
                      <w:color w:val="auto"/>
                    </w:rPr>
                  </w:pPr>
                </w:p>
              </w:tc>
              <w:tc>
                <w:tcPr>
                  <w:tcW w:w="702" w:type="pct"/>
                  <w:tcBorders>
                    <w:tl2br w:val="nil"/>
                    <w:tr2bl w:val="nil"/>
                  </w:tcBorders>
                  <w:vAlign w:val="center"/>
                </w:tcPr>
                <w:p w14:paraId="5303D937">
                  <w:pPr>
                    <w:pStyle w:val="54"/>
                    <w:rPr>
                      <w:color w:val="auto"/>
                    </w:rPr>
                  </w:pPr>
                  <w:r>
                    <w:rPr>
                      <w:rFonts w:hint="eastAsia"/>
                      <w:color w:val="auto"/>
                    </w:rPr>
                    <w:t>危险固废</w:t>
                  </w:r>
                </w:p>
              </w:tc>
              <w:tc>
                <w:tcPr>
                  <w:tcW w:w="1205" w:type="pct"/>
                  <w:tcBorders>
                    <w:tl2br w:val="nil"/>
                    <w:tr2bl w:val="nil"/>
                  </w:tcBorders>
                  <w:tcMar>
                    <w:left w:w="0" w:type="dxa"/>
                    <w:right w:w="0" w:type="dxa"/>
                  </w:tcMar>
                  <w:vAlign w:val="center"/>
                </w:tcPr>
                <w:p w14:paraId="271B2086">
                  <w:pPr>
                    <w:pStyle w:val="54"/>
                    <w:rPr>
                      <w:color w:val="auto"/>
                    </w:rPr>
                  </w:pPr>
                  <w:r>
                    <w:rPr>
                      <w:rFonts w:hint="eastAsia"/>
                      <w:color w:val="auto"/>
                    </w:rPr>
                    <w:t>暂存危废库，定期委托江苏云果再生资源利用有限公司处置。危废库位于厂区东侧，占地面积为10m</w:t>
                  </w:r>
                  <w:r>
                    <w:rPr>
                      <w:rFonts w:hint="eastAsia"/>
                      <w:color w:val="auto"/>
                      <w:vertAlign w:val="superscript"/>
                    </w:rPr>
                    <w:t>2</w:t>
                  </w:r>
                </w:p>
              </w:tc>
              <w:tc>
                <w:tcPr>
                  <w:tcW w:w="1205" w:type="pct"/>
                  <w:tcBorders>
                    <w:tl2br w:val="nil"/>
                    <w:tr2bl w:val="nil"/>
                  </w:tcBorders>
                  <w:tcMar>
                    <w:left w:w="0" w:type="dxa"/>
                    <w:right w:w="0" w:type="dxa"/>
                  </w:tcMar>
                  <w:vAlign w:val="center"/>
                </w:tcPr>
                <w:p w14:paraId="0ADBDE9A">
                  <w:pPr>
                    <w:pStyle w:val="54"/>
                    <w:rPr>
                      <w:color w:val="auto"/>
                    </w:rPr>
                  </w:pPr>
                  <w:r>
                    <w:rPr>
                      <w:rFonts w:hint="eastAsia"/>
                      <w:color w:val="auto"/>
                    </w:rPr>
                    <w:t>暂存危废库，定期委托有资质单位处置。危废库位于厂区东侧，占地面积为10m</w:t>
                  </w:r>
                  <w:r>
                    <w:rPr>
                      <w:rFonts w:hint="eastAsia"/>
                      <w:color w:val="auto"/>
                      <w:vertAlign w:val="superscript"/>
                    </w:rPr>
                    <w:t>2</w:t>
                  </w:r>
                </w:p>
              </w:tc>
              <w:tc>
                <w:tcPr>
                  <w:tcW w:w="1205" w:type="pct"/>
                  <w:tcBorders>
                    <w:tl2br w:val="nil"/>
                    <w:tr2bl w:val="nil"/>
                  </w:tcBorders>
                  <w:tcMar>
                    <w:left w:w="0" w:type="dxa"/>
                    <w:right w:w="0" w:type="dxa"/>
                  </w:tcMar>
                  <w:vAlign w:val="center"/>
                </w:tcPr>
                <w:p w14:paraId="3F1936A6">
                  <w:pPr>
                    <w:pStyle w:val="54"/>
                    <w:rPr>
                      <w:color w:val="auto"/>
                    </w:rPr>
                  </w:pPr>
                  <w:r>
                    <w:rPr>
                      <w:rFonts w:hint="eastAsia"/>
                      <w:color w:val="auto"/>
                    </w:rPr>
                    <w:t>暂存危废库，定期委托有资质单位处置。危废库位于厂区东侧，占地面积为10m</w:t>
                  </w:r>
                  <w:r>
                    <w:rPr>
                      <w:rFonts w:hint="eastAsia"/>
                      <w:color w:val="auto"/>
                      <w:vertAlign w:val="superscript"/>
                    </w:rPr>
                    <w:t>2</w:t>
                  </w:r>
                </w:p>
              </w:tc>
              <w:tc>
                <w:tcPr>
                  <w:tcW w:w="271" w:type="pct"/>
                  <w:tcBorders>
                    <w:tl2br w:val="nil"/>
                    <w:tr2bl w:val="nil"/>
                  </w:tcBorders>
                  <w:tcMar>
                    <w:left w:w="0" w:type="dxa"/>
                    <w:right w:w="0" w:type="dxa"/>
                  </w:tcMar>
                  <w:vAlign w:val="center"/>
                </w:tcPr>
                <w:p w14:paraId="0A62BD04">
                  <w:pPr>
                    <w:pStyle w:val="54"/>
                    <w:rPr>
                      <w:color w:val="auto"/>
                    </w:rPr>
                  </w:pPr>
                  <w:r>
                    <w:rPr>
                      <w:rFonts w:hint="eastAsia"/>
                      <w:color w:val="auto"/>
                    </w:rPr>
                    <w:t>依托</w:t>
                  </w:r>
                </w:p>
                <w:p w14:paraId="53A92B8E">
                  <w:pPr>
                    <w:pStyle w:val="54"/>
                    <w:rPr>
                      <w:color w:val="auto"/>
                    </w:rPr>
                  </w:pPr>
                  <w:r>
                    <w:rPr>
                      <w:rFonts w:hint="eastAsia"/>
                      <w:color w:val="auto"/>
                    </w:rPr>
                    <w:t>现有</w:t>
                  </w:r>
                </w:p>
              </w:tc>
            </w:tr>
            <w:tr w14:paraId="269A5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8" w:type="pct"/>
                  <w:vMerge w:val="continue"/>
                  <w:tcBorders>
                    <w:tl2br w:val="nil"/>
                    <w:tr2bl w:val="nil"/>
                  </w:tcBorders>
                  <w:vAlign w:val="center"/>
                </w:tcPr>
                <w:p w14:paraId="3D3233F7">
                  <w:pPr>
                    <w:pStyle w:val="54"/>
                    <w:rPr>
                      <w:color w:val="auto"/>
                    </w:rPr>
                  </w:pPr>
                </w:p>
              </w:tc>
              <w:tc>
                <w:tcPr>
                  <w:tcW w:w="902" w:type="pct"/>
                  <w:gridSpan w:val="2"/>
                  <w:tcBorders>
                    <w:tl2br w:val="nil"/>
                    <w:tr2bl w:val="nil"/>
                  </w:tcBorders>
                  <w:vAlign w:val="center"/>
                </w:tcPr>
                <w:p w14:paraId="6CED9E66">
                  <w:pPr>
                    <w:pStyle w:val="54"/>
                    <w:rPr>
                      <w:color w:val="auto"/>
                    </w:rPr>
                  </w:pPr>
                  <w:r>
                    <w:rPr>
                      <w:rFonts w:hint="eastAsia"/>
                      <w:color w:val="auto"/>
                    </w:rPr>
                    <w:t>生活垃圾</w:t>
                  </w:r>
                </w:p>
              </w:tc>
              <w:tc>
                <w:tcPr>
                  <w:tcW w:w="1205" w:type="pct"/>
                  <w:tcBorders>
                    <w:tl2br w:val="nil"/>
                    <w:tr2bl w:val="nil"/>
                  </w:tcBorders>
                  <w:vAlign w:val="center"/>
                </w:tcPr>
                <w:p w14:paraId="4DD34565">
                  <w:pPr>
                    <w:pStyle w:val="54"/>
                    <w:rPr>
                      <w:color w:val="auto"/>
                    </w:rPr>
                  </w:pPr>
                  <w:r>
                    <w:rPr>
                      <w:rFonts w:hint="eastAsia"/>
                      <w:color w:val="auto"/>
                    </w:rPr>
                    <w:t>生活垃圾厂区垃圾桶收集，交由环卫部门统一清运处理</w:t>
                  </w:r>
                </w:p>
              </w:tc>
              <w:tc>
                <w:tcPr>
                  <w:tcW w:w="1205" w:type="pct"/>
                  <w:tcBorders>
                    <w:tl2br w:val="nil"/>
                    <w:tr2bl w:val="nil"/>
                  </w:tcBorders>
                  <w:vAlign w:val="center"/>
                </w:tcPr>
                <w:p w14:paraId="7119DCFD">
                  <w:pPr>
                    <w:pStyle w:val="54"/>
                    <w:rPr>
                      <w:color w:val="auto"/>
                    </w:rPr>
                  </w:pPr>
                  <w:r>
                    <w:rPr>
                      <w:rFonts w:hint="eastAsia"/>
                      <w:color w:val="auto"/>
                    </w:rPr>
                    <w:t>生活垃圾厂区垃圾桶收集，交由环卫部门统一清运处理</w:t>
                  </w:r>
                </w:p>
              </w:tc>
              <w:tc>
                <w:tcPr>
                  <w:tcW w:w="1205" w:type="pct"/>
                  <w:tcBorders>
                    <w:tl2br w:val="nil"/>
                    <w:tr2bl w:val="nil"/>
                  </w:tcBorders>
                  <w:vAlign w:val="center"/>
                </w:tcPr>
                <w:p w14:paraId="7446344D">
                  <w:pPr>
                    <w:pStyle w:val="54"/>
                    <w:rPr>
                      <w:color w:val="auto"/>
                    </w:rPr>
                  </w:pPr>
                  <w:r>
                    <w:rPr>
                      <w:rFonts w:hint="eastAsia"/>
                      <w:color w:val="auto"/>
                    </w:rPr>
                    <w:t>生活垃圾厂区垃圾桶收集，交由环卫部门统一清运处理</w:t>
                  </w:r>
                </w:p>
              </w:tc>
              <w:tc>
                <w:tcPr>
                  <w:tcW w:w="271" w:type="pct"/>
                  <w:tcBorders>
                    <w:tl2br w:val="nil"/>
                    <w:tr2bl w:val="nil"/>
                  </w:tcBorders>
                  <w:vAlign w:val="center"/>
                </w:tcPr>
                <w:p w14:paraId="25C9A931">
                  <w:pPr>
                    <w:pStyle w:val="54"/>
                    <w:rPr>
                      <w:color w:val="auto"/>
                    </w:rPr>
                  </w:pPr>
                  <w:r>
                    <w:rPr>
                      <w:rFonts w:hint="eastAsia"/>
                      <w:color w:val="auto"/>
                    </w:rPr>
                    <w:t>/</w:t>
                  </w:r>
                </w:p>
              </w:tc>
            </w:tr>
            <w:tr w14:paraId="47130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8" w:type="pct"/>
                  <w:vMerge w:val="continue"/>
                  <w:tcBorders>
                    <w:tl2br w:val="nil"/>
                    <w:tr2bl w:val="nil"/>
                  </w:tcBorders>
                  <w:vAlign w:val="center"/>
                </w:tcPr>
                <w:p w14:paraId="1EC28C98">
                  <w:pPr>
                    <w:pStyle w:val="54"/>
                    <w:rPr>
                      <w:color w:val="auto"/>
                    </w:rPr>
                  </w:pPr>
                </w:p>
              </w:tc>
              <w:tc>
                <w:tcPr>
                  <w:tcW w:w="902" w:type="pct"/>
                  <w:gridSpan w:val="2"/>
                  <w:tcBorders>
                    <w:tl2br w:val="nil"/>
                    <w:tr2bl w:val="nil"/>
                  </w:tcBorders>
                  <w:vAlign w:val="center"/>
                </w:tcPr>
                <w:p w14:paraId="48411C45">
                  <w:pPr>
                    <w:pStyle w:val="54"/>
                    <w:rPr>
                      <w:color w:val="auto"/>
                    </w:rPr>
                  </w:pPr>
                  <w:r>
                    <w:rPr>
                      <w:rFonts w:hint="eastAsia"/>
                      <w:color w:val="auto"/>
                    </w:rPr>
                    <w:t>噪声处理</w:t>
                  </w:r>
                </w:p>
              </w:tc>
              <w:tc>
                <w:tcPr>
                  <w:tcW w:w="1205" w:type="pct"/>
                  <w:tcBorders>
                    <w:tl2br w:val="nil"/>
                    <w:tr2bl w:val="nil"/>
                  </w:tcBorders>
                  <w:vAlign w:val="center"/>
                </w:tcPr>
                <w:p w14:paraId="43618D1F">
                  <w:pPr>
                    <w:pStyle w:val="54"/>
                    <w:rPr>
                      <w:color w:val="auto"/>
                    </w:rPr>
                  </w:pPr>
                  <w:r>
                    <w:rPr>
                      <w:rFonts w:hint="eastAsia"/>
                      <w:color w:val="auto"/>
                    </w:rPr>
                    <w:t>设备隔声减震、厂房隔声、绿化隔声等</w:t>
                  </w:r>
                </w:p>
              </w:tc>
              <w:tc>
                <w:tcPr>
                  <w:tcW w:w="1205" w:type="pct"/>
                  <w:tcBorders>
                    <w:tl2br w:val="nil"/>
                    <w:tr2bl w:val="nil"/>
                  </w:tcBorders>
                  <w:vAlign w:val="center"/>
                </w:tcPr>
                <w:p w14:paraId="0ABE9EEC">
                  <w:pPr>
                    <w:pStyle w:val="54"/>
                    <w:rPr>
                      <w:color w:val="auto"/>
                    </w:rPr>
                  </w:pPr>
                  <w:r>
                    <w:rPr>
                      <w:rFonts w:hint="eastAsia"/>
                      <w:color w:val="auto"/>
                    </w:rPr>
                    <w:t>设备隔声减震、厂房隔声、绿化隔声等</w:t>
                  </w:r>
                </w:p>
              </w:tc>
              <w:tc>
                <w:tcPr>
                  <w:tcW w:w="1205" w:type="pct"/>
                  <w:tcBorders>
                    <w:tl2br w:val="nil"/>
                    <w:tr2bl w:val="nil"/>
                  </w:tcBorders>
                  <w:vAlign w:val="center"/>
                </w:tcPr>
                <w:p w14:paraId="69B54534">
                  <w:pPr>
                    <w:pStyle w:val="54"/>
                    <w:rPr>
                      <w:color w:val="auto"/>
                    </w:rPr>
                  </w:pPr>
                  <w:r>
                    <w:rPr>
                      <w:rFonts w:hint="eastAsia"/>
                      <w:color w:val="auto"/>
                    </w:rPr>
                    <w:t>设备隔声减震、厂房隔声、绿化隔声等</w:t>
                  </w:r>
                </w:p>
              </w:tc>
              <w:tc>
                <w:tcPr>
                  <w:tcW w:w="271" w:type="pct"/>
                  <w:tcBorders>
                    <w:tl2br w:val="nil"/>
                    <w:tr2bl w:val="nil"/>
                  </w:tcBorders>
                  <w:vAlign w:val="center"/>
                </w:tcPr>
                <w:p w14:paraId="2A79F561">
                  <w:pPr>
                    <w:pStyle w:val="54"/>
                    <w:rPr>
                      <w:color w:val="auto"/>
                    </w:rPr>
                  </w:pPr>
                  <w:r>
                    <w:rPr>
                      <w:rFonts w:hint="eastAsia"/>
                      <w:color w:val="auto"/>
                    </w:rPr>
                    <w:t>/</w:t>
                  </w:r>
                </w:p>
              </w:tc>
            </w:tr>
            <w:tr w14:paraId="4C281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8" w:type="pct"/>
                  <w:tcBorders>
                    <w:tl2br w:val="nil"/>
                    <w:tr2bl w:val="nil"/>
                  </w:tcBorders>
                  <w:vAlign w:val="center"/>
                </w:tcPr>
                <w:p w14:paraId="4A12BE08">
                  <w:pPr>
                    <w:pStyle w:val="54"/>
                    <w:rPr>
                      <w:color w:val="auto"/>
                    </w:rPr>
                  </w:pPr>
                  <w:r>
                    <w:rPr>
                      <w:color w:val="auto"/>
                    </w:rPr>
                    <w:t>风险防范措施</w:t>
                  </w:r>
                </w:p>
              </w:tc>
              <w:tc>
                <w:tcPr>
                  <w:tcW w:w="902" w:type="pct"/>
                  <w:gridSpan w:val="2"/>
                  <w:tcBorders>
                    <w:tl2br w:val="nil"/>
                    <w:tr2bl w:val="nil"/>
                  </w:tcBorders>
                  <w:vAlign w:val="center"/>
                </w:tcPr>
                <w:p w14:paraId="1F46613C">
                  <w:pPr>
                    <w:pStyle w:val="54"/>
                    <w:rPr>
                      <w:color w:val="auto"/>
                    </w:rPr>
                  </w:pPr>
                  <w:r>
                    <w:rPr>
                      <w:rFonts w:hint="eastAsia"/>
                      <w:color w:val="auto"/>
                    </w:rPr>
                    <w:t>应急事故池</w:t>
                  </w:r>
                </w:p>
              </w:tc>
              <w:tc>
                <w:tcPr>
                  <w:tcW w:w="1205" w:type="pct"/>
                  <w:tcBorders>
                    <w:tl2br w:val="nil"/>
                    <w:tr2bl w:val="nil"/>
                  </w:tcBorders>
                  <w:tcMar>
                    <w:left w:w="0" w:type="dxa"/>
                    <w:right w:w="0" w:type="dxa"/>
                  </w:tcMar>
                  <w:vAlign w:val="center"/>
                </w:tcPr>
                <w:p w14:paraId="5363B8E9">
                  <w:pPr>
                    <w:pStyle w:val="54"/>
                    <w:rPr>
                      <w:color w:val="auto"/>
                    </w:rPr>
                  </w:pPr>
                  <w:r>
                    <w:rPr>
                      <w:rFonts w:hint="eastAsia"/>
                      <w:color w:val="auto"/>
                    </w:rPr>
                    <w:t>应急事故池</w:t>
                  </w:r>
                  <w:r>
                    <w:rPr>
                      <w:color w:val="auto"/>
                    </w:rPr>
                    <w:t>1座，</w:t>
                  </w:r>
                  <w:r>
                    <w:rPr>
                      <w:rFonts w:hint="eastAsia"/>
                      <w:color w:val="auto"/>
                    </w:rPr>
                    <w:t>容积为110</w:t>
                  </w:r>
                  <w:r>
                    <w:rPr>
                      <w:color w:val="auto"/>
                    </w:rPr>
                    <w:t>m</w:t>
                  </w:r>
                  <w:r>
                    <w:rPr>
                      <w:color w:val="auto"/>
                      <w:vertAlign w:val="superscript"/>
                    </w:rPr>
                    <w:t>3</w:t>
                  </w:r>
                </w:p>
              </w:tc>
              <w:tc>
                <w:tcPr>
                  <w:tcW w:w="1205" w:type="pct"/>
                  <w:tcBorders>
                    <w:tl2br w:val="nil"/>
                    <w:tr2bl w:val="nil"/>
                  </w:tcBorders>
                  <w:tcMar>
                    <w:left w:w="0" w:type="dxa"/>
                    <w:right w:w="0" w:type="dxa"/>
                  </w:tcMar>
                  <w:vAlign w:val="center"/>
                </w:tcPr>
                <w:p w14:paraId="61ECDDE1">
                  <w:pPr>
                    <w:pStyle w:val="54"/>
                    <w:rPr>
                      <w:color w:val="auto"/>
                    </w:rPr>
                  </w:pPr>
                  <w:r>
                    <w:rPr>
                      <w:rFonts w:hint="eastAsia"/>
                      <w:color w:val="auto"/>
                    </w:rPr>
                    <w:t>/</w:t>
                  </w:r>
                </w:p>
              </w:tc>
              <w:tc>
                <w:tcPr>
                  <w:tcW w:w="1205" w:type="pct"/>
                  <w:tcBorders>
                    <w:tl2br w:val="nil"/>
                    <w:tr2bl w:val="nil"/>
                  </w:tcBorders>
                  <w:tcMar>
                    <w:left w:w="0" w:type="dxa"/>
                    <w:right w:w="0" w:type="dxa"/>
                  </w:tcMar>
                  <w:vAlign w:val="center"/>
                </w:tcPr>
                <w:p w14:paraId="5D0A69C7">
                  <w:pPr>
                    <w:pStyle w:val="54"/>
                    <w:rPr>
                      <w:color w:val="auto"/>
                    </w:rPr>
                  </w:pPr>
                  <w:r>
                    <w:rPr>
                      <w:rFonts w:hint="eastAsia"/>
                      <w:color w:val="auto"/>
                    </w:rPr>
                    <w:t>应急事故池</w:t>
                  </w:r>
                  <w:r>
                    <w:rPr>
                      <w:color w:val="auto"/>
                    </w:rPr>
                    <w:t>1座，</w:t>
                  </w:r>
                  <w:r>
                    <w:rPr>
                      <w:rFonts w:hint="eastAsia"/>
                      <w:color w:val="auto"/>
                    </w:rPr>
                    <w:t>容积为110</w:t>
                  </w:r>
                  <w:r>
                    <w:rPr>
                      <w:color w:val="auto"/>
                    </w:rPr>
                    <w:t>m</w:t>
                  </w:r>
                  <w:r>
                    <w:rPr>
                      <w:color w:val="auto"/>
                      <w:vertAlign w:val="superscript"/>
                    </w:rPr>
                    <w:t>3</w:t>
                  </w:r>
                </w:p>
              </w:tc>
              <w:tc>
                <w:tcPr>
                  <w:tcW w:w="271" w:type="pct"/>
                  <w:tcBorders>
                    <w:tl2br w:val="nil"/>
                    <w:tr2bl w:val="nil"/>
                  </w:tcBorders>
                  <w:tcMar>
                    <w:left w:w="0" w:type="dxa"/>
                    <w:right w:w="0" w:type="dxa"/>
                  </w:tcMar>
                  <w:vAlign w:val="center"/>
                </w:tcPr>
                <w:p w14:paraId="4FEAB12D">
                  <w:pPr>
                    <w:pStyle w:val="54"/>
                    <w:rPr>
                      <w:color w:val="auto"/>
                    </w:rPr>
                  </w:pPr>
                  <w:r>
                    <w:rPr>
                      <w:rFonts w:hint="eastAsia"/>
                      <w:color w:val="auto"/>
                    </w:rPr>
                    <w:t>依托</w:t>
                  </w:r>
                </w:p>
                <w:p w14:paraId="7466651B">
                  <w:pPr>
                    <w:pStyle w:val="54"/>
                    <w:rPr>
                      <w:color w:val="auto"/>
                    </w:rPr>
                  </w:pPr>
                  <w:r>
                    <w:rPr>
                      <w:rFonts w:hint="eastAsia"/>
                      <w:color w:val="auto"/>
                    </w:rPr>
                    <w:t>现有</w:t>
                  </w:r>
                </w:p>
              </w:tc>
            </w:tr>
            <w:tr w14:paraId="19C50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gridSpan w:val="7"/>
                  <w:tcBorders>
                    <w:tl2br w:val="nil"/>
                    <w:tr2bl w:val="nil"/>
                  </w:tcBorders>
                  <w:vAlign w:val="center"/>
                </w:tcPr>
                <w:p w14:paraId="7B7EC450">
                  <w:pPr>
                    <w:pStyle w:val="54"/>
                    <w:jc w:val="left"/>
                    <w:rPr>
                      <w:color w:val="auto"/>
                    </w:rPr>
                  </w:pPr>
                  <w:r>
                    <w:rPr>
                      <w:rFonts w:hint="eastAsia"/>
                      <w:color w:val="auto"/>
                    </w:rPr>
                    <w:t>注：本扩建项目依托年产10万吨低氧铜杆项目的主体工程和环保设施等进行建设。</w:t>
                  </w:r>
                </w:p>
              </w:tc>
            </w:tr>
          </w:tbl>
          <w:p w14:paraId="6A1E7B64">
            <w:pPr>
              <w:pStyle w:val="50"/>
              <w:tabs>
                <w:tab w:val="left" w:pos="7403"/>
              </w:tabs>
              <w:ind w:firstLine="482"/>
              <w:rPr>
                <w:b/>
                <w:bCs/>
                <w:color w:val="auto"/>
              </w:rPr>
            </w:pPr>
            <w:r>
              <w:rPr>
                <w:rFonts w:hint="eastAsia"/>
                <w:b/>
                <w:bCs/>
                <w:color w:val="auto"/>
              </w:rPr>
              <w:t>4、</w:t>
            </w:r>
            <w:r>
              <w:rPr>
                <w:b/>
                <w:bCs/>
                <w:color w:val="auto"/>
              </w:rPr>
              <w:t>主要生产设施</w:t>
            </w:r>
          </w:p>
          <w:p w14:paraId="11AF319F">
            <w:pPr>
              <w:pStyle w:val="50"/>
              <w:ind w:firstLine="480"/>
              <w:rPr>
                <w:color w:val="auto"/>
              </w:rPr>
            </w:pPr>
            <w:r>
              <w:rPr>
                <w:color w:val="auto"/>
              </w:rPr>
              <w:t>本项目主要生产及环保设备见</w:t>
            </w:r>
            <w:r>
              <w:rPr>
                <w:color w:val="auto"/>
              </w:rPr>
              <w:fldChar w:fldCharType="begin"/>
            </w:r>
            <w:r>
              <w:rPr>
                <w:color w:val="auto"/>
              </w:rPr>
              <w:instrText xml:space="preserve"> REF _Ref30995 \h </w:instrText>
            </w:r>
            <w:r>
              <w:rPr>
                <w:color w:val="auto"/>
              </w:rPr>
              <w:fldChar w:fldCharType="separate"/>
            </w:r>
            <w:r>
              <w:rPr>
                <w:color w:val="auto"/>
              </w:rPr>
              <w:t>表2- 5</w:t>
            </w:r>
            <w:r>
              <w:rPr>
                <w:color w:val="auto"/>
              </w:rPr>
              <w:fldChar w:fldCharType="end"/>
            </w:r>
            <w:r>
              <w:rPr>
                <w:color w:val="auto"/>
              </w:rPr>
              <w:t>。</w:t>
            </w:r>
          </w:p>
          <w:p w14:paraId="22E308E3">
            <w:pPr>
              <w:pStyle w:val="7"/>
              <w:rPr>
                <w:color w:val="auto"/>
              </w:rPr>
            </w:pPr>
            <w:bookmarkStart w:id="29" w:name="_Ref18765"/>
            <w:bookmarkStart w:id="30" w:name="_Ref16501"/>
            <w:bookmarkStart w:id="31" w:name="_Ref14450"/>
            <w:bookmarkStart w:id="32" w:name="_Ref30995"/>
            <w:r>
              <w:rPr>
                <w:color w:val="auto"/>
              </w:rPr>
              <w:t xml:space="preserve">表2- </w:t>
            </w:r>
            <w:r>
              <w:rPr>
                <w:color w:val="auto"/>
              </w:rPr>
              <w:fldChar w:fldCharType="begin"/>
            </w:r>
            <w:r>
              <w:rPr>
                <w:color w:val="auto"/>
              </w:rPr>
              <w:instrText xml:space="preserve"> SEQ 表2- \* ARABIC </w:instrText>
            </w:r>
            <w:r>
              <w:rPr>
                <w:color w:val="auto"/>
              </w:rPr>
              <w:fldChar w:fldCharType="separate"/>
            </w:r>
            <w:r>
              <w:rPr>
                <w:color w:val="auto"/>
              </w:rPr>
              <w:t>5</w:t>
            </w:r>
            <w:r>
              <w:rPr>
                <w:color w:val="auto"/>
              </w:rPr>
              <w:fldChar w:fldCharType="end"/>
            </w:r>
            <w:bookmarkEnd w:id="29"/>
            <w:bookmarkEnd w:id="30"/>
            <w:bookmarkEnd w:id="31"/>
            <w:bookmarkEnd w:id="32"/>
            <w:r>
              <w:rPr>
                <w:color w:val="auto"/>
              </w:rPr>
              <w:t xml:space="preserve"> 项目主要生产及环保设备一览表</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8"/>
              <w:gridCol w:w="2106"/>
              <w:gridCol w:w="1187"/>
              <w:gridCol w:w="1162"/>
              <w:gridCol w:w="1163"/>
              <w:gridCol w:w="1350"/>
              <w:gridCol w:w="1037"/>
            </w:tblGrid>
            <w:tr w14:paraId="01FB7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8" w:type="dxa"/>
                  <w:vMerge w:val="restart"/>
                  <w:tcBorders>
                    <w:tl2br w:val="nil"/>
                    <w:tr2bl w:val="nil"/>
                  </w:tcBorders>
                  <w:vAlign w:val="center"/>
                </w:tcPr>
                <w:p w14:paraId="70262CB9">
                  <w:pPr>
                    <w:pStyle w:val="52"/>
                    <w:rPr>
                      <w:color w:val="auto"/>
                    </w:rPr>
                  </w:pPr>
                  <w:r>
                    <w:rPr>
                      <w:color w:val="auto"/>
                    </w:rPr>
                    <w:t>序号</w:t>
                  </w:r>
                </w:p>
              </w:tc>
              <w:tc>
                <w:tcPr>
                  <w:tcW w:w="2106" w:type="dxa"/>
                  <w:vMerge w:val="restart"/>
                  <w:tcBorders>
                    <w:tl2br w:val="nil"/>
                    <w:tr2bl w:val="nil"/>
                  </w:tcBorders>
                  <w:vAlign w:val="center"/>
                </w:tcPr>
                <w:p w14:paraId="2B3A5983">
                  <w:pPr>
                    <w:pStyle w:val="52"/>
                    <w:rPr>
                      <w:color w:val="auto"/>
                    </w:rPr>
                  </w:pPr>
                  <w:r>
                    <w:rPr>
                      <w:color w:val="auto"/>
                    </w:rPr>
                    <w:t>设备名称</w:t>
                  </w:r>
                </w:p>
              </w:tc>
              <w:tc>
                <w:tcPr>
                  <w:tcW w:w="1187" w:type="dxa"/>
                  <w:vMerge w:val="restart"/>
                  <w:tcBorders>
                    <w:tl2br w:val="nil"/>
                    <w:tr2bl w:val="nil"/>
                  </w:tcBorders>
                  <w:vAlign w:val="center"/>
                </w:tcPr>
                <w:p w14:paraId="3D80677F">
                  <w:pPr>
                    <w:pStyle w:val="52"/>
                    <w:rPr>
                      <w:color w:val="auto"/>
                    </w:rPr>
                  </w:pPr>
                  <w:r>
                    <w:rPr>
                      <w:color w:val="auto"/>
                    </w:rPr>
                    <w:t>型号</w:t>
                  </w:r>
                </w:p>
              </w:tc>
              <w:tc>
                <w:tcPr>
                  <w:tcW w:w="3675" w:type="dxa"/>
                  <w:gridSpan w:val="3"/>
                  <w:tcBorders>
                    <w:tl2br w:val="nil"/>
                    <w:tr2bl w:val="nil"/>
                  </w:tcBorders>
                  <w:vAlign w:val="center"/>
                </w:tcPr>
                <w:p w14:paraId="57B472D4">
                  <w:pPr>
                    <w:pStyle w:val="52"/>
                    <w:rPr>
                      <w:color w:val="auto"/>
                    </w:rPr>
                  </w:pPr>
                  <w:r>
                    <w:rPr>
                      <w:color w:val="auto"/>
                    </w:rPr>
                    <w:t>数量（台/条）</w:t>
                  </w:r>
                </w:p>
              </w:tc>
              <w:tc>
                <w:tcPr>
                  <w:tcW w:w="1037" w:type="dxa"/>
                  <w:vMerge w:val="restart"/>
                  <w:tcBorders>
                    <w:tl2br w:val="nil"/>
                    <w:tr2bl w:val="nil"/>
                  </w:tcBorders>
                  <w:vAlign w:val="center"/>
                </w:tcPr>
                <w:p w14:paraId="22214C3D">
                  <w:pPr>
                    <w:pStyle w:val="52"/>
                    <w:rPr>
                      <w:color w:val="auto"/>
                    </w:rPr>
                  </w:pPr>
                  <w:r>
                    <w:rPr>
                      <w:rFonts w:hint="eastAsia"/>
                      <w:color w:val="auto"/>
                    </w:rPr>
                    <w:t>变化量</w:t>
                  </w:r>
                </w:p>
                <w:p w14:paraId="036FCCBE">
                  <w:pPr>
                    <w:pStyle w:val="52"/>
                    <w:rPr>
                      <w:color w:val="auto"/>
                    </w:rPr>
                  </w:pPr>
                  <w:r>
                    <w:rPr>
                      <w:rFonts w:hint="eastAsia"/>
                      <w:color w:val="auto"/>
                    </w:rPr>
                    <w:t>（台/条）</w:t>
                  </w:r>
                </w:p>
              </w:tc>
            </w:tr>
            <w:tr w14:paraId="45485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8" w:type="dxa"/>
                  <w:vMerge w:val="continue"/>
                  <w:tcBorders>
                    <w:tl2br w:val="nil"/>
                    <w:tr2bl w:val="nil"/>
                  </w:tcBorders>
                  <w:vAlign w:val="center"/>
                </w:tcPr>
                <w:p w14:paraId="574A9F92">
                  <w:pPr>
                    <w:pStyle w:val="52"/>
                    <w:rPr>
                      <w:color w:val="auto"/>
                    </w:rPr>
                  </w:pPr>
                </w:p>
              </w:tc>
              <w:tc>
                <w:tcPr>
                  <w:tcW w:w="2106" w:type="dxa"/>
                  <w:vMerge w:val="continue"/>
                  <w:tcBorders>
                    <w:tl2br w:val="nil"/>
                    <w:tr2bl w:val="nil"/>
                  </w:tcBorders>
                  <w:vAlign w:val="center"/>
                </w:tcPr>
                <w:p w14:paraId="71FB3697">
                  <w:pPr>
                    <w:pStyle w:val="52"/>
                    <w:rPr>
                      <w:color w:val="auto"/>
                    </w:rPr>
                  </w:pPr>
                </w:p>
              </w:tc>
              <w:tc>
                <w:tcPr>
                  <w:tcW w:w="1187" w:type="dxa"/>
                  <w:vMerge w:val="continue"/>
                  <w:tcBorders>
                    <w:tl2br w:val="nil"/>
                    <w:tr2bl w:val="nil"/>
                  </w:tcBorders>
                  <w:vAlign w:val="center"/>
                </w:tcPr>
                <w:p w14:paraId="269D3450">
                  <w:pPr>
                    <w:pStyle w:val="52"/>
                    <w:rPr>
                      <w:color w:val="auto"/>
                    </w:rPr>
                  </w:pPr>
                </w:p>
              </w:tc>
              <w:tc>
                <w:tcPr>
                  <w:tcW w:w="1162" w:type="dxa"/>
                  <w:tcBorders>
                    <w:tl2br w:val="nil"/>
                    <w:tr2bl w:val="nil"/>
                  </w:tcBorders>
                  <w:vAlign w:val="center"/>
                </w:tcPr>
                <w:p w14:paraId="7D29D513">
                  <w:pPr>
                    <w:pStyle w:val="52"/>
                    <w:rPr>
                      <w:color w:val="auto"/>
                    </w:rPr>
                  </w:pPr>
                  <w:r>
                    <w:rPr>
                      <w:rFonts w:hint="eastAsia"/>
                      <w:color w:val="auto"/>
                    </w:rPr>
                    <w:t>现有项目</w:t>
                  </w:r>
                </w:p>
              </w:tc>
              <w:tc>
                <w:tcPr>
                  <w:tcW w:w="1163" w:type="dxa"/>
                  <w:tcBorders>
                    <w:tl2br w:val="nil"/>
                    <w:tr2bl w:val="nil"/>
                  </w:tcBorders>
                  <w:vAlign w:val="center"/>
                </w:tcPr>
                <w:p w14:paraId="39F2D4E7">
                  <w:pPr>
                    <w:pStyle w:val="52"/>
                    <w:rPr>
                      <w:color w:val="auto"/>
                    </w:rPr>
                  </w:pPr>
                  <w:r>
                    <w:rPr>
                      <w:rFonts w:hint="eastAsia"/>
                      <w:color w:val="auto"/>
                    </w:rPr>
                    <w:t>扩建项目</w:t>
                  </w:r>
                </w:p>
              </w:tc>
              <w:tc>
                <w:tcPr>
                  <w:tcW w:w="1350" w:type="dxa"/>
                  <w:tcBorders>
                    <w:tl2br w:val="nil"/>
                    <w:tr2bl w:val="nil"/>
                  </w:tcBorders>
                  <w:vAlign w:val="center"/>
                </w:tcPr>
                <w:p w14:paraId="7DC446A2">
                  <w:pPr>
                    <w:pStyle w:val="52"/>
                    <w:rPr>
                      <w:color w:val="auto"/>
                    </w:rPr>
                  </w:pPr>
                  <w:r>
                    <w:rPr>
                      <w:rFonts w:hint="eastAsia"/>
                      <w:color w:val="auto"/>
                    </w:rPr>
                    <w:t>扩建后全厂</w:t>
                  </w:r>
                </w:p>
              </w:tc>
              <w:tc>
                <w:tcPr>
                  <w:tcW w:w="1037" w:type="dxa"/>
                  <w:vMerge w:val="continue"/>
                  <w:tcBorders>
                    <w:tl2br w:val="nil"/>
                    <w:tr2bl w:val="nil"/>
                  </w:tcBorders>
                  <w:vAlign w:val="center"/>
                </w:tcPr>
                <w:p w14:paraId="3DBB3776">
                  <w:pPr>
                    <w:pStyle w:val="52"/>
                    <w:rPr>
                      <w:color w:val="auto"/>
                    </w:rPr>
                  </w:pPr>
                </w:p>
              </w:tc>
            </w:tr>
            <w:tr w14:paraId="7B190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8" w:type="dxa"/>
                  <w:tcBorders>
                    <w:tl2br w:val="nil"/>
                    <w:tr2bl w:val="nil"/>
                  </w:tcBorders>
                  <w:vAlign w:val="center"/>
                </w:tcPr>
                <w:p w14:paraId="7B522656">
                  <w:pPr>
                    <w:pStyle w:val="54"/>
                    <w:rPr>
                      <w:color w:val="auto"/>
                    </w:rPr>
                  </w:pPr>
                  <w:r>
                    <w:rPr>
                      <w:color w:val="auto"/>
                    </w:rPr>
                    <w:t>1</w:t>
                  </w:r>
                </w:p>
              </w:tc>
              <w:tc>
                <w:tcPr>
                  <w:tcW w:w="2106" w:type="dxa"/>
                  <w:tcBorders>
                    <w:tl2br w:val="nil"/>
                    <w:tr2bl w:val="nil"/>
                  </w:tcBorders>
                  <w:vAlign w:val="center"/>
                </w:tcPr>
                <w:p w14:paraId="23ADABCE">
                  <w:pPr>
                    <w:pStyle w:val="54"/>
                    <w:jc w:val="center"/>
                    <w:rPr>
                      <w:color w:val="auto"/>
                    </w:rPr>
                  </w:pPr>
                  <w:r>
                    <w:rPr>
                      <w:rFonts w:hint="eastAsia"/>
                      <w:color w:val="auto"/>
                    </w:rPr>
                    <w:t>熔化炉</w:t>
                  </w:r>
                </w:p>
              </w:tc>
              <w:tc>
                <w:tcPr>
                  <w:tcW w:w="1187" w:type="dxa"/>
                  <w:tcBorders>
                    <w:tl2br w:val="nil"/>
                    <w:tr2bl w:val="nil"/>
                  </w:tcBorders>
                  <w:vAlign w:val="center"/>
                </w:tcPr>
                <w:p w14:paraId="6187EC89">
                  <w:pPr>
                    <w:pStyle w:val="54"/>
                    <w:jc w:val="center"/>
                    <w:rPr>
                      <w:color w:val="auto"/>
                    </w:rPr>
                  </w:pPr>
                  <w:r>
                    <w:rPr>
                      <w:rFonts w:hint="eastAsia"/>
                      <w:color w:val="auto"/>
                    </w:rPr>
                    <w:t>180t</w:t>
                  </w:r>
                </w:p>
              </w:tc>
              <w:tc>
                <w:tcPr>
                  <w:tcW w:w="1162" w:type="dxa"/>
                  <w:tcBorders>
                    <w:tl2br w:val="nil"/>
                    <w:tr2bl w:val="nil"/>
                  </w:tcBorders>
                  <w:vAlign w:val="center"/>
                </w:tcPr>
                <w:p w14:paraId="2B712A70">
                  <w:pPr>
                    <w:pStyle w:val="54"/>
                    <w:jc w:val="center"/>
                    <w:rPr>
                      <w:color w:val="auto"/>
                    </w:rPr>
                  </w:pPr>
                  <w:r>
                    <w:rPr>
                      <w:rFonts w:hint="eastAsia"/>
                      <w:color w:val="auto"/>
                    </w:rPr>
                    <w:t>2</w:t>
                  </w:r>
                </w:p>
              </w:tc>
              <w:tc>
                <w:tcPr>
                  <w:tcW w:w="1163" w:type="dxa"/>
                  <w:tcBorders>
                    <w:tl2br w:val="nil"/>
                    <w:tr2bl w:val="nil"/>
                  </w:tcBorders>
                  <w:vAlign w:val="center"/>
                </w:tcPr>
                <w:p w14:paraId="16DB1229">
                  <w:pPr>
                    <w:pStyle w:val="54"/>
                    <w:jc w:val="center"/>
                    <w:rPr>
                      <w:color w:val="auto"/>
                    </w:rPr>
                  </w:pPr>
                  <w:r>
                    <w:rPr>
                      <w:rFonts w:hint="eastAsia"/>
                      <w:color w:val="auto"/>
                    </w:rPr>
                    <w:t>/</w:t>
                  </w:r>
                </w:p>
              </w:tc>
              <w:tc>
                <w:tcPr>
                  <w:tcW w:w="1350" w:type="dxa"/>
                  <w:tcBorders>
                    <w:tl2br w:val="nil"/>
                    <w:tr2bl w:val="nil"/>
                  </w:tcBorders>
                  <w:vAlign w:val="center"/>
                </w:tcPr>
                <w:p w14:paraId="161186E0">
                  <w:pPr>
                    <w:pStyle w:val="54"/>
                    <w:jc w:val="center"/>
                    <w:rPr>
                      <w:color w:val="auto"/>
                    </w:rPr>
                  </w:pPr>
                  <w:r>
                    <w:rPr>
                      <w:rFonts w:hint="eastAsia"/>
                      <w:color w:val="auto"/>
                    </w:rPr>
                    <w:t>2</w:t>
                  </w:r>
                </w:p>
              </w:tc>
              <w:tc>
                <w:tcPr>
                  <w:tcW w:w="1037" w:type="dxa"/>
                  <w:tcBorders>
                    <w:tl2br w:val="nil"/>
                    <w:tr2bl w:val="nil"/>
                  </w:tcBorders>
                  <w:vAlign w:val="center"/>
                </w:tcPr>
                <w:p w14:paraId="6763F8EF">
                  <w:pPr>
                    <w:pStyle w:val="54"/>
                    <w:jc w:val="center"/>
                    <w:rPr>
                      <w:color w:val="auto"/>
                    </w:rPr>
                  </w:pPr>
                  <w:r>
                    <w:rPr>
                      <w:rFonts w:hint="eastAsia"/>
                      <w:color w:val="auto"/>
                    </w:rPr>
                    <w:t>0</w:t>
                  </w:r>
                </w:p>
              </w:tc>
            </w:tr>
            <w:tr w14:paraId="2D409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8" w:type="dxa"/>
                  <w:tcBorders>
                    <w:tl2br w:val="nil"/>
                    <w:tr2bl w:val="nil"/>
                  </w:tcBorders>
                  <w:vAlign w:val="center"/>
                </w:tcPr>
                <w:p w14:paraId="65AF95DF">
                  <w:pPr>
                    <w:pStyle w:val="54"/>
                    <w:rPr>
                      <w:color w:val="auto"/>
                    </w:rPr>
                  </w:pPr>
                  <w:r>
                    <w:rPr>
                      <w:color w:val="auto"/>
                    </w:rPr>
                    <w:t>2</w:t>
                  </w:r>
                </w:p>
              </w:tc>
              <w:tc>
                <w:tcPr>
                  <w:tcW w:w="2106" w:type="dxa"/>
                  <w:tcBorders>
                    <w:tl2br w:val="nil"/>
                    <w:tr2bl w:val="nil"/>
                  </w:tcBorders>
                  <w:vAlign w:val="center"/>
                </w:tcPr>
                <w:p w14:paraId="10785EB5">
                  <w:pPr>
                    <w:pStyle w:val="54"/>
                    <w:jc w:val="center"/>
                    <w:rPr>
                      <w:color w:val="auto"/>
                    </w:rPr>
                  </w:pPr>
                  <w:r>
                    <w:rPr>
                      <w:rFonts w:hint="eastAsia"/>
                      <w:color w:val="auto"/>
                    </w:rPr>
                    <w:t>连铸连轧自动线</w:t>
                  </w:r>
                </w:p>
              </w:tc>
              <w:tc>
                <w:tcPr>
                  <w:tcW w:w="1187" w:type="dxa"/>
                  <w:tcBorders>
                    <w:tl2br w:val="nil"/>
                    <w:tr2bl w:val="nil"/>
                  </w:tcBorders>
                  <w:vAlign w:val="center"/>
                </w:tcPr>
                <w:p w14:paraId="2DEC8ED0">
                  <w:pPr>
                    <w:pStyle w:val="54"/>
                    <w:jc w:val="center"/>
                    <w:rPr>
                      <w:color w:val="auto"/>
                    </w:rPr>
                  </w:pPr>
                  <w:r>
                    <w:rPr>
                      <w:rFonts w:hint="eastAsia"/>
                      <w:color w:val="auto"/>
                    </w:rPr>
                    <w:t>/</w:t>
                  </w:r>
                </w:p>
              </w:tc>
              <w:tc>
                <w:tcPr>
                  <w:tcW w:w="1162" w:type="dxa"/>
                  <w:tcBorders>
                    <w:tl2br w:val="nil"/>
                    <w:tr2bl w:val="nil"/>
                  </w:tcBorders>
                  <w:vAlign w:val="center"/>
                </w:tcPr>
                <w:p w14:paraId="593131CB">
                  <w:pPr>
                    <w:pStyle w:val="54"/>
                    <w:jc w:val="center"/>
                    <w:rPr>
                      <w:color w:val="auto"/>
                    </w:rPr>
                  </w:pPr>
                  <w:r>
                    <w:rPr>
                      <w:rFonts w:hint="eastAsia"/>
                      <w:color w:val="auto"/>
                    </w:rPr>
                    <w:t>1</w:t>
                  </w:r>
                </w:p>
              </w:tc>
              <w:tc>
                <w:tcPr>
                  <w:tcW w:w="1163" w:type="dxa"/>
                  <w:tcBorders>
                    <w:tl2br w:val="nil"/>
                    <w:tr2bl w:val="nil"/>
                  </w:tcBorders>
                  <w:vAlign w:val="center"/>
                </w:tcPr>
                <w:p w14:paraId="4B8610F6">
                  <w:pPr>
                    <w:pStyle w:val="54"/>
                    <w:jc w:val="center"/>
                    <w:rPr>
                      <w:color w:val="auto"/>
                    </w:rPr>
                  </w:pPr>
                  <w:r>
                    <w:rPr>
                      <w:rFonts w:hint="eastAsia"/>
                      <w:color w:val="auto"/>
                    </w:rPr>
                    <w:t>/</w:t>
                  </w:r>
                </w:p>
              </w:tc>
              <w:tc>
                <w:tcPr>
                  <w:tcW w:w="1350" w:type="dxa"/>
                  <w:tcBorders>
                    <w:tl2br w:val="nil"/>
                    <w:tr2bl w:val="nil"/>
                  </w:tcBorders>
                  <w:vAlign w:val="center"/>
                </w:tcPr>
                <w:p w14:paraId="3E81F20F">
                  <w:pPr>
                    <w:pStyle w:val="54"/>
                    <w:jc w:val="center"/>
                    <w:rPr>
                      <w:color w:val="auto"/>
                    </w:rPr>
                  </w:pPr>
                  <w:r>
                    <w:rPr>
                      <w:rFonts w:hint="eastAsia"/>
                      <w:color w:val="auto"/>
                    </w:rPr>
                    <w:t>1</w:t>
                  </w:r>
                </w:p>
              </w:tc>
              <w:tc>
                <w:tcPr>
                  <w:tcW w:w="1037" w:type="dxa"/>
                  <w:tcBorders>
                    <w:tl2br w:val="nil"/>
                    <w:tr2bl w:val="nil"/>
                  </w:tcBorders>
                  <w:vAlign w:val="center"/>
                </w:tcPr>
                <w:p w14:paraId="38AFF0C1">
                  <w:pPr>
                    <w:pStyle w:val="54"/>
                    <w:jc w:val="center"/>
                    <w:rPr>
                      <w:color w:val="auto"/>
                    </w:rPr>
                  </w:pPr>
                  <w:r>
                    <w:rPr>
                      <w:rFonts w:hint="eastAsia"/>
                      <w:color w:val="auto"/>
                    </w:rPr>
                    <w:t>0</w:t>
                  </w:r>
                </w:p>
              </w:tc>
            </w:tr>
            <w:tr w14:paraId="34E74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8" w:type="dxa"/>
                  <w:tcBorders>
                    <w:tl2br w:val="nil"/>
                    <w:tr2bl w:val="nil"/>
                  </w:tcBorders>
                  <w:vAlign w:val="center"/>
                </w:tcPr>
                <w:p w14:paraId="0C96514B">
                  <w:pPr>
                    <w:pStyle w:val="54"/>
                    <w:rPr>
                      <w:color w:val="auto"/>
                    </w:rPr>
                  </w:pPr>
                  <w:r>
                    <w:rPr>
                      <w:color w:val="auto"/>
                    </w:rPr>
                    <w:t>3</w:t>
                  </w:r>
                </w:p>
              </w:tc>
              <w:tc>
                <w:tcPr>
                  <w:tcW w:w="2106" w:type="dxa"/>
                  <w:tcBorders>
                    <w:tl2br w:val="nil"/>
                    <w:tr2bl w:val="nil"/>
                  </w:tcBorders>
                  <w:vAlign w:val="center"/>
                </w:tcPr>
                <w:p w14:paraId="751D0EEB">
                  <w:pPr>
                    <w:pStyle w:val="54"/>
                    <w:jc w:val="center"/>
                    <w:rPr>
                      <w:color w:val="auto"/>
                    </w:rPr>
                  </w:pPr>
                  <w:r>
                    <w:rPr>
                      <w:rFonts w:hint="eastAsia"/>
                      <w:color w:val="auto"/>
                    </w:rPr>
                    <w:t>上引法无氧铜杆连铸机组</w:t>
                  </w:r>
                </w:p>
              </w:tc>
              <w:tc>
                <w:tcPr>
                  <w:tcW w:w="1187" w:type="dxa"/>
                  <w:tcBorders>
                    <w:tl2br w:val="nil"/>
                    <w:tr2bl w:val="nil"/>
                  </w:tcBorders>
                  <w:vAlign w:val="center"/>
                </w:tcPr>
                <w:p w14:paraId="7B753DF8">
                  <w:pPr>
                    <w:pStyle w:val="54"/>
                    <w:jc w:val="center"/>
                    <w:rPr>
                      <w:color w:val="auto"/>
                    </w:rPr>
                  </w:pPr>
                  <w:r>
                    <w:rPr>
                      <w:rFonts w:hint="eastAsia"/>
                      <w:color w:val="auto"/>
                    </w:rPr>
                    <w:t>SK16-Q-S-B-12.5/20</w:t>
                  </w:r>
                </w:p>
              </w:tc>
              <w:tc>
                <w:tcPr>
                  <w:tcW w:w="1162" w:type="dxa"/>
                  <w:tcBorders>
                    <w:tl2br w:val="nil"/>
                    <w:tr2bl w:val="nil"/>
                  </w:tcBorders>
                  <w:vAlign w:val="center"/>
                </w:tcPr>
                <w:p w14:paraId="27AF9CE1">
                  <w:pPr>
                    <w:pStyle w:val="54"/>
                    <w:jc w:val="center"/>
                    <w:rPr>
                      <w:color w:val="auto"/>
                    </w:rPr>
                  </w:pPr>
                  <w:r>
                    <w:rPr>
                      <w:rFonts w:hint="eastAsia"/>
                      <w:color w:val="auto"/>
                    </w:rPr>
                    <w:t>2</w:t>
                  </w:r>
                </w:p>
              </w:tc>
              <w:tc>
                <w:tcPr>
                  <w:tcW w:w="1163" w:type="dxa"/>
                  <w:tcBorders>
                    <w:tl2br w:val="nil"/>
                    <w:tr2bl w:val="nil"/>
                  </w:tcBorders>
                  <w:vAlign w:val="center"/>
                </w:tcPr>
                <w:p w14:paraId="12FBB5EF">
                  <w:pPr>
                    <w:pStyle w:val="54"/>
                    <w:jc w:val="center"/>
                    <w:rPr>
                      <w:rFonts w:hint="default" w:eastAsia="宋体"/>
                      <w:color w:val="auto"/>
                      <w:lang w:val="en-US" w:eastAsia="zh-CN"/>
                    </w:rPr>
                  </w:pPr>
                  <w:r>
                    <w:rPr>
                      <w:rFonts w:hint="eastAsia"/>
                      <w:color w:val="auto"/>
                      <w:lang w:val="en-US" w:eastAsia="zh-CN"/>
                    </w:rPr>
                    <w:t>2</w:t>
                  </w:r>
                </w:p>
              </w:tc>
              <w:tc>
                <w:tcPr>
                  <w:tcW w:w="1350" w:type="dxa"/>
                  <w:tcBorders>
                    <w:tl2br w:val="nil"/>
                    <w:tr2bl w:val="nil"/>
                  </w:tcBorders>
                  <w:vAlign w:val="center"/>
                </w:tcPr>
                <w:p w14:paraId="0F9F84BA">
                  <w:pPr>
                    <w:pStyle w:val="54"/>
                    <w:jc w:val="center"/>
                    <w:rPr>
                      <w:color w:val="auto"/>
                    </w:rPr>
                  </w:pPr>
                  <w:r>
                    <w:rPr>
                      <w:rFonts w:hint="eastAsia"/>
                      <w:color w:val="auto"/>
                    </w:rPr>
                    <w:t>4</w:t>
                  </w:r>
                </w:p>
              </w:tc>
              <w:tc>
                <w:tcPr>
                  <w:tcW w:w="1037" w:type="dxa"/>
                  <w:tcBorders>
                    <w:tl2br w:val="nil"/>
                    <w:tr2bl w:val="nil"/>
                  </w:tcBorders>
                  <w:vAlign w:val="center"/>
                </w:tcPr>
                <w:p w14:paraId="29F38D5F">
                  <w:pPr>
                    <w:pStyle w:val="54"/>
                    <w:jc w:val="center"/>
                    <w:rPr>
                      <w:color w:val="auto"/>
                    </w:rPr>
                  </w:pPr>
                  <w:r>
                    <w:rPr>
                      <w:rFonts w:hint="eastAsia"/>
                      <w:color w:val="auto"/>
                    </w:rPr>
                    <w:t>+2</w:t>
                  </w:r>
                </w:p>
              </w:tc>
            </w:tr>
            <w:tr w14:paraId="41F33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8" w:type="dxa"/>
                  <w:tcBorders>
                    <w:tl2br w:val="nil"/>
                    <w:tr2bl w:val="nil"/>
                  </w:tcBorders>
                  <w:vAlign w:val="center"/>
                </w:tcPr>
                <w:p w14:paraId="0B72F7E2">
                  <w:pPr>
                    <w:pStyle w:val="54"/>
                    <w:rPr>
                      <w:color w:val="auto"/>
                    </w:rPr>
                  </w:pPr>
                  <w:r>
                    <w:rPr>
                      <w:color w:val="auto"/>
                    </w:rPr>
                    <w:t>4</w:t>
                  </w:r>
                </w:p>
              </w:tc>
              <w:tc>
                <w:tcPr>
                  <w:tcW w:w="2106" w:type="dxa"/>
                  <w:tcBorders>
                    <w:tl2br w:val="nil"/>
                    <w:tr2bl w:val="nil"/>
                  </w:tcBorders>
                  <w:vAlign w:val="center"/>
                </w:tcPr>
                <w:p w14:paraId="14BAAA03">
                  <w:pPr>
                    <w:pStyle w:val="54"/>
                    <w:jc w:val="center"/>
                    <w:rPr>
                      <w:color w:val="auto"/>
                    </w:rPr>
                  </w:pPr>
                  <w:r>
                    <w:rPr>
                      <w:rFonts w:hint="eastAsia"/>
                      <w:color w:val="auto"/>
                    </w:rPr>
                    <w:t>冷却塔</w:t>
                  </w:r>
                </w:p>
              </w:tc>
              <w:tc>
                <w:tcPr>
                  <w:tcW w:w="1187" w:type="dxa"/>
                  <w:tcBorders>
                    <w:tl2br w:val="nil"/>
                    <w:tr2bl w:val="nil"/>
                  </w:tcBorders>
                  <w:vAlign w:val="center"/>
                </w:tcPr>
                <w:p w14:paraId="1AA75FE5">
                  <w:pPr>
                    <w:pStyle w:val="54"/>
                    <w:jc w:val="center"/>
                    <w:rPr>
                      <w:color w:val="auto"/>
                    </w:rPr>
                  </w:pPr>
                  <w:r>
                    <w:rPr>
                      <w:rFonts w:hint="eastAsia"/>
                      <w:color w:val="auto"/>
                    </w:rPr>
                    <w:t>/</w:t>
                  </w:r>
                </w:p>
              </w:tc>
              <w:tc>
                <w:tcPr>
                  <w:tcW w:w="1162" w:type="dxa"/>
                  <w:tcBorders>
                    <w:tl2br w:val="nil"/>
                    <w:tr2bl w:val="nil"/>
                  </w:tcBorders>
                  <w:vAlign w:val="center"/>
                </w:tcPr>
                <w:p w14:paraId="22C2DE9D">
                  <w:pPr>
                    <w:pStyle w:val="54"/>
                    <w:jc w:val="center"/>
                    <w:rPr>
                      <w:color w:val="auto"/>
                    </w:rPr>
                  </w:pPr>
                  <w:r>
                    <w:rPr>
                      <w:rFonts w:hint="eastAsia"/>
                      <w:color w:val="auto"/>
                    </w:rPr>
                    <w:t>4</w:t>
                  </w:r>
                </w:p>
              </w:tc>
              <w:tc>
                <w:tcPr>
                  <w:tcW w:w="1163" w:type="dxa"/>
                  <w:tcBorders>
                    <w:tl2br w:val="nil"/>
                    <w:tr2bl w:val="nil"/>
                  </w:tcBorders>
                  <w:vAlign w:val="center"/>
                </w:tcPr>
                <w:p w14:paraId="269BD2BF">
                  <w:pPr>
                    <w:pStyle w:val="54"/>
                    <w:jc w:val="center"/>
                    <w:rPr>
                      <w:rFonts w:hint="default" w:eastAsia="宋体"/>
                      <w:color w:val="auto"/>
                      <w:lang w:val="en-US" w:eastAsia="zh-CN"/>
                    </w:rPr>
                  </w:pPr>
                  <w:r>
                    <w:rPr>
                      <w:rFonts w:hint="eastAsia"/>
                      <w:color w:val="auto"/>
                      <w:lang w:val="en-US" w:eastAsia="zh-CN"/>
                    </w:rPr>
                    <w:t>1</w:t>
                  </w:r>
                </w:p>
              </w:tc>
              <w:tc>
                <w:tcPr>
                  <w:tcW w:w="1350" w:type="dxa"/>
                  <w:tcBorders>
                    <w:tl2br w:val="nil"/>
                    <w:tr2bl w:val="nil"/>
                  </w:tcBorders>
                  <w:vAlign w:val="center"/>
                </w:tcPr>
                <w:p w14:paraId="7C148830">
                  <w:pPr>
                    <w:pStyle w:val="54"/>
                    <w:jc w:val="center"/>
                    <w:rPr>
                      <w:color w:val="auto"/>
                    </w:rPr>
                  </w:pPr>
                  <w:r>
                    <w:rPr>
                      <w:rFonts w:hint="eastAsia"/>
                      <w:color w:val="auto"/>
                    </w:rPr>
                    <w:t>5</w:t>
                  </w:r>
                </w:p>
              </w:tc>
              <w:tc>
                <w:tcPr>
                  <w:tcW w:w="1037" w:type="dxa"/>
                  <w:tcBorders>
                    <w:tl2br w:val="nil"/>
                    <w:tr2bl w:val="nil"/>
                  </w:tcBorders>
                  <w:vAlign w:val="center"/>
                </w:tcPr>
                <w:p w14:paraId="02305625">
                  <w:pPr>
                    <w:pStyle w:val="54"/>
                    <w:jc w:val="center"/>
                    <w:rPr>
                      <w:color w:val="auto"/>
                    </w:rPr>
                  </w:pPr>
                  <w:r>
                    <w:rPr>
                      <w:rFonts w:hint="eastAsia"/>
                      <w:color w:val="auto"/>
                    </w:rPr>
                    <w:t>+1</w:t>
                  </w:r>
                </w:p>
              </w:tc>
            </w:tr>
            <w:tr w14:paraId="721CC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8" w:type="dxa"/>
                  <w:tcBorders>
                    <w:tl2br w:val="nil"/>
                    <w:tr2bl w:val="nil"/>
                  </w:tcBorders>
                  <w:vAlign w:val="center"/>
                </w:tcPr>
                <w:p w14:paraId="6179C8A7">
                  <w:pPr>
                    <w:pStyle w:val="54"/>
                    <w:rPr>
                      <w:color w:val="auto"/>
                    </w:rPr>
                  </w:pPr>
                  <w:r>
                    <w:rPr>
                      <w:color w:val="auto"/>
                    </w:rPr>
                    <w:t>5</w:t>
                  </w:r>
                </w:p>
              </w:tc>
              <w:tc>
                <w:tcPr>
                  <w:tcW w:w="2106" w:type="dxa"/>
                  <w:tcBorders>
                    <w:tl2br w:val="nil"/>
                    <w:tr2bl w:val="nil"/>
                  </w:tcBorders>
                  <w:vAlign w:val="center"/>
                </w:tcPr>
                <w:p w14:paraId="324A53C7">
                  <w:pPr>
                    <w:pStyle w:val="54"/>
                    <w:jc w:val="center"/>
                    <w:rPr>
                      <w:color w:val="auto"/>
                    </w:rPr>
                  </w:pPr>
                  <w:r>
                    <w:rPr>
                      <w:rFonts w:hint="eastAsia"/>
                      <w:color w:val="auto"/>
                    </w:rPr>
                    <w:t>冷却水池</w:t>
                  </w:r>
                </w:p>
              </w:tc>
              <w:tc>
                <w:tcPr>
                  <w:tcW w:w="1187" w:type="dxa"/>
                  <w:tcBorders>
                    <w:tl2br w:val="nil"/>
                    <w:tr2bl w:val="nil"/>
                  </w:tcBorders>
                  <w:vAlign w:val="center"/>
                </w:tcPr>
                <w:p w14:paraId="31CCE607">
                  <w:pPr>
                    <w:pStyle w:val="54"/>
                    <w:jc w:val="center"/>
                    <w:rPr>
                      <w:color w:val="auto"/>
                    </w:rPr>
                  </w:pPr>
                  <w:r>
                    <w:rPr>
                      <w:rFonts w:hint="eastAsia"/>
                      <w:color w:val="auto"/>
                    </w:rPr>
                    <w:t>/</w:t>
                  </w:r>
                </w:p>
              </w:tc>
              <w:tc>
                <w:tcPr>
                  <w:tcW w:w="1162" w:type="dxa"/>
                  <w:tcBorders>
                    <w:tl2br w:val="nil"/>
                    <w:tr2bl w:val="nil"/>
                  </w:tcBorders>
                  <w:vAlign w:val="center"/>
                </w:tcPr>
                <w:p w14:paraId="6D8A4EBF">
                  <w:pPr>
                    <w:pStyle w:val="54"/>
                    <w:jc w:val="center"/>
                    <w:rPr>
                      <w:color w:val="auto"/>
                    </w:rPr>
                  </w:pPr>
                  <w:r>
                    <w:rPr>
                      <w:rFonts w:hint="eastAsia"/>
                      <w:color w:val="auto"/>
                    </w:rPr>
                    <w:t>7</w:t>
                  </w:r>
                </w:p>
              </w:tc>
              <w:tc>
                <w:tcPr>
                  <w:tcW w:w="1163" w:type="dxa"/>
                  <w:tcBorders>
                    <w:tl2br w:val="nil"/>
                    <w:tr2bl w:val="nil"/>
                  </w:tcBorders>
                  <w:vAlign w:val="center"/>
                </w:tcPr>
                <w:p w14:paraId="0DED8FF7">
                  <w:pPr>
                    <w:pStyle w:val="54"/>
                    <w:jc w:val="center"/>
                    <w:rPr>
                      <w:rFonts w:hint="default" w:eastAsia="宋体"/>
                      <w:color w:val="auto"/>
                      <w:lang w:val="en-US" w:eastAsia="zh-CN"/>
                    </w:rPr>
                  </w:pPr>
                  <w:r>
                    <w:rPr>
                      <w:rFonts w:hint="eastAsia"/>
                      <w:color w:val="auto"/>
                      <w:lang w:val="en-US" w:eastAsia="zh-CN"/>
                    </w:rPr>
                    <w:t>1</w:t>
                  </w:r>
                </w:p>
              </w:tc>
              <w:tc>
                <w:tcPr>
                  <w:tcW w:w="1350" w:type="dxa"/>
                  <w:tcBorders>
                    <w:tl2br w:val="nil"/>
                    <w:tr2bl w:val="nil"/>
                  </w:tcBorders>
                  <w:vAlign w:val="center"/>
                </w:tcPr>
                <w:p w14:paraId="1B3FE9AD">
                  <w:pPr>
                    <w:pStyle w:val="54"/>
                    <w:jc w:val="center"/>
                    <w:rPr>
                      <w:color w:val="auto"/>
                    </w:rPr>
                  </w:pPr>
                  <w:r>
                    <w:rPr>
                      <w:rFonts w:hint="eastAsia"/>
                      <w:color w:val="auto"/>
                    </w:rPr>
                    <w:t>8</w:t>
                  </w:r>
                </w:p>
              </w:tc>
              <w:tc>
                <w:tcPr>
                  <w:tcW w:w="1037" w:type="dxa"/>
                  <w:tcBorders>
                    <w:tl2br w:val="nil"/>
                    <w:tr2bl w:val="nil"/>
                  </w:tcBorders>
                  <w:vAlign w:val="center"/>
                </w:tcPr>
                <w:p w14:paraId="07CBC976">
                  <w:pPr>
                    <w:pStyle w:val="54"/>
                    <w:jc w:val="center"/>
                    <w:rPr>
                      <w:color w:val="auto"/>
                    </w:rPr>
                  </w:pPr>
                  <w:r>
                    <w:rPr>
                      <w:rFonts w:hint="eastAsia"/>
                      <w:color w:val="auto"/>
                    </w:rPr>
                    <w:t>+1</w:t>
                  </w:r>
                </w:p>
              </w:tc>
            </w:tr>
            <w:tr w14:paraId="50EE1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428" w:type="dxa"/>
                  <w:tcBorders>
                    <w:tl2br w:val="nil"/>
                    <w:tr2bl w:val="nil"/>
                  </w:tcBorders>
                  <w:vAlign w:val="center"/>
                </w:tcPr>
                <w:p w14:paraId="14F60779">
                  <w:pPr>
                    <w:pStyle w:val="54"/>
                    <w:rPr>
                      <w:color w:val="auto"/>
                    </w:rPr>
                  </w:pPr>
                  <w:r>
                    <w:rPr>
                      <w:rFonts w:hint="eastAsia"/>
                      <w:color w:val="auto"/>
                    </w:rPr>
                    <w:t>6</w:t>
                  </w:r>
                </w:p>
              </w:tc>
              <w:tc>
                <w:tcPr>
                  <w:tcW w:w="2106" w:type="dxa"/>
                  <w:tcBorders>
                    <w:tl2br w:val="nil"/>
                    <w:tr2bl w:val="nil"/>
                  </w:tcBorders>
                  <w:vAlign w:val="center"/>
                </w:tcPr>
                <w:p w14:paraId="1DE31A2B">
                  <w:pPr>
                    <w:pStyle w:val="54"/>
                    <w:jc w:val="center"/>
                    <w:rPr>
                      <w:color w:val="auto"/>
                    </w:rPr>
                  </w:pPr>
                  <w:r>
                    <w:rPr>
                      <w:rFonts w:hint="eastAsia"/>
                      <w:color w:val="auto"/>
                    </w:rPr>
                    <w:t>乳化液通道</w:t>
                  </w:r>
                </w:p>
              </w:tc>
              <w:tc>
                <w:tcPr>
                  <w:tcW w:w="1187" w:type="dxa"/>
                  <w:tcBorders>
                    <w:tl2br w:val="nil"/>
                    <w:tr2bl w:val="nil"/>
                  </w:tcBorders>
                  <w:vAlign w:val="center"/>
                </w:tcPr>
                <w:p w14:paraId="19A5ED41">
                  <w:pPr>
                    <w:pStyle w:val="54"/>
                    <w:jc w:val="center"/>
                    <w:rPr>
                      <w:color w:val="auto"/>
                    </w:rPr>
                  </w:pPr>
                  <w:r>
                    <w:rPr>
                      <w:rFonts w:hint="eastAsia"/>
                      <w:color w:val="auto"/>
                    </w:rPr>
                    <w:t>/</w:t>
                  </w:r>
                </w:p>
              </w:tc>
              <w:tc>
                <w:tcPr>
                  <w:tcW w:w="1162" w:type="dxa"/>
                  <w:tcBorders>
                    <w:tl2br w:val="nil"/>
                    <w:tr2bl w:val="nil"/>
                  </w:tcBorders>
                  <w:vAlign w:val="center"/>
                </w:tcPr>
                <w:p w14:paraId="47D7A68F">
                  <w:pPr>
                    <w:pStyle w:val="54"/>
                    <w:jc w:val="center"/>
                    <w:rPr>
                      <w:color w:val="auto"/>
                    </w:rPr>
                  </w:pPr>
                  <w:r>
                    <w:rPr>
                      <w:rFonts w:hint="eastAsia"/>
                      <w:color w:val="auto"/>
                    </w:rPr>
                    <w:t>1</w:t>
                  </w:r>
                </w:p>
              </w:tc>
              <w:tc>
                <w:tcPr>
                  <w:tcW w:w="1163" w:type="dxa"/>
                  <w:tcBorders>
                    <w:tl2br w:val="nil"/>
                    <w:tr2bl w:val="nil"/>
                  </w:tcBorders>
                  <w:vAlign w:val="center"/>
                </w:tcPr>
                <w:p w14:paraId="45E0A5BD">
                  <w:pPr>
                    <w:pStyle w:val="54"/>
                    <w:jc w:val="center"/>
                    <w:rPr>
                      <w:color w:val="auto"/>
                    </w:rPr>
                  </w:pPr>
                  <w:r>
                    <w:rPr>
                      <w:rFonts w:hint="eastAsia"/>
                      <w:color w:val="auto"/>
                    </w:rPr>
                    <w:t>/</w:t>
                  </w:r>
                </w:p>
              </w:tc>
              <w:tc>
                <w:tcPr>
                  <w:tcW w:w="1350" w:type="dxa"/>
                  <w:tcBorders>
                    <w:tl2br w:val="nil"/>
                    <w:tr2bl w:val="nil"/>
                  </w:tcBorders>
                  <w:vAlign w:val="center"/>
                </w:tcPr>
                <w:p w14:paraId="13489E35">
                  <w:pPr>
                    <w:pStyle w:val="54"/>
                    <w:jc w:val="center"/>
                    <w:rPr>
                      <w:color w:val="auto"/>
                    </w:rPr>
                  </w:pPr>
                  <w:r>
                    <w:rPr>
                      <w:rFonts w:hint="eastAsia"/>
                      <w:color w:val="auto"/>
                    </w:rPr>
                    <w:t>1</w:t>
                  </w:r>
                </w:p>
              </w:tc>
              <w:tc>
                <w:tcPr>
                  <w:tcW w:w="1037" w:type="dxa"/>
                  <w:tcBorders>
                    <w:tl2br w:val="nil"/>
                    <w:tr2bl w:val="nil"/>
                  </w:tcBorders>
                  <w:vAlign w:val="center"/>
                </w:tcPr>
                <w:p w14:paraId="7662139D">
                  <w:pPr>
                    <w:pStyle w:val="54"/>
                    <w:jc w:val="center"/>
                    <w:rPr>
                      <w:color w:val="auto"/>
                    </w:rPr>
                  </w:pPr>
                  <w:r>
                    <w:rPr>
                      <w:rFonts w:hint="eastAsia"/>
                      <w:color w:val="auto"/>
                    </w:rPr>
                    <w:t>0</w:t>
                  </w:r>
                </w:p>
              </w:tc>
            </w:tr>
            <w:tr w14:paraId="19DF41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8" w:type="dxa"/>
                  <w:tcBorders>
                    <w:tl2br w:val="nil"/>
                    <w:tr2bl w:val="nil"/>
                  </w:tcBorders>
                  <w:vAlign w:val="center"/>
                </w:tcPr>
                <w:p w14:paraId="0375569F">
                  <w:pPr>
                    <w:pStyle w:val="54"/>
                    <w:rPr>
                      <w:color w:val="auto"/>
                    </w:rPr>
                  </w:pPr>
                  <w:r>
                    <w:rPr>
                      <w:rFonts w:hint="eastAsia"/>
                      <w:color w:val="auto"/>
                    </w:rPr>
                    <w:t>7</w:t>
                  </w:r>
                </w:p>
              </w:tc>
              <w:tc>
                <w:tcPr>
                  <w:tcW w:w="2106" w:type="dxa"/>
                  <w:tcBorders>
                    <w:tl2br w:val="nil"/>
                    <w:tr2bl w:val="nil"/>
                  </w:tcBorders>
                  <w:vAlign w:val="center"/>
                </w:tcPr>
                <w:p w14:paraId="65432186">
                  <w:pPr>
                    <w:pStyle w:val="54"/>
                    <w:jc w:val="center"/>
                    <w:rPr>
                      <w:color w:val="auto"/>
                    </w:rPr>
                  </w:pPr>
                  <w:r>
                    <w:rPr>
                      <w:rFonts w:hint="eastAsia"/>
                      <w:color w:val="auto"/>
                    </w:rPr>
                    <w:t>清洗液通道</w:t>
                  </w:r>
                </w:p>
              </w:tc>
              <w:tc>
                <w:tcPr>
                  <w:tcW w:w="1187" w:type="dxa"/>
                  <w:tcBorders>
                    <w:tl2br w:val="nil"/>
                    <w:tr2bl w:val="nil"/>
                  </w:tcBorders>
                  <w:vAlign w:val="center"/>
                </w:tcPr>
                <w:p w14:paraId="0C5AA911">
                  <w:pPr>
                    <w:pStyle w:val="54"/>
                    <w:jc w:val="center"/>
                    <w:rPr>
                      <w:color w:val="auto"/>
                    </w:rPr>
                  </w:pPr>
                  <w:r>
                    <w:rPr>
                      <w:rFonts w:hint="eastAsia"/>
                      <w:color w:val="auto"/>
                    </w:rPr>
                    <w:t>/</w:t>
                  </w:r>
                </w:p>
              </w:tc>
              <w:tc>
                <w:tcPr>
                  <w:tcW w:w="1162" w:type="dxa"/>
                  <w:tcBorders>
                    <w:tl2br w:val="nil"/>
                    <w:tr2bl w:val="nil"/>
                  </w:tcBorders>
                  <w:vAlign w:val="center"/>
                </w:tcPr>
                <w:p w14:paraId="5F306FE1">
                  <w:pPr>
                    <w:pStyle w:val="54"/>
                    <w:jc w:val="center"/>
                    <w:rPr>
                      <w:color w:val="auto"/>
                    </w:rPr>
                  </w:pPr>
                  <w:r>
                    <w:rPr>
                      <w:rFonts w:hint="eastAsia"/>
                      <w:color w:val="auto"/>
                    </w:rPr>
                    <w:t>1</w:t>
                  </w:r>
                </w:p>
              </w:tc>
              <w:tc>
                <w:tcPr>
                  <w:tcW w:w="1163" w:type="dxa"/>
                  <w:tcBorders>
                    <w:tl2br w:val="nil"/>
                    <w:tr2bl w:val="nil"/>
                  </w:tcBorders>
                  <w:vAlign w:val="center"/>
                </w:tcPr>
                <w:p w14:paraId="492AC762">
                  <w:pPr>
                    <w:pStyle w:val="54"/>
                    <w:jc w:val="center"/>
                    <w:rPr>
                      <w:color w:val="auto"/>
                    </w:rPr>
                  </w:pPr>
                  <w:r>
                    <w:rPr>
                      <w:rFonts w:hint="eastAsia"/>
                      <w:color w:val="auto"/>
                    </w:rPr>
                    <w:t>/</w:t>
                  </w:r>
                </w:p>
              </w:tc>
              <w:tc>
                <w:tcPr>
                  <w:tcW w:w="1350" w:type="dxa"/>
                  <w:tcBorders>
                    <w:tl2br w:val="nil"/>
                    <w:tr2bl w:val="nil"/>
                  </w:tcBorders>
                  <w:vAlign w:val="center"/>
                </w:tcPr>
                <w:p w14:paraId="0C94C270">
                  <w:pPr>
                    <w:pStyle w:val="54"/>
                    <w:jc w:val="center"/>
                    <w:rPr>
                      <w:color w:val="auto"/>
                    </w:rPr>
                  </w:pPr>
                  <w:r>
                    <w:rPr>
                      <w:rFonts w:hint="eastAsia"/>
                      <w:color w:val="auto"/>
                    </w:rPr>
                    <w:t>1</w:t>
                  </w:r>
                </w:p>
              </w:tc>
              <w:tc>
                <w:tcPr>
                  <w:tcW w:w="1037" w:type="dxa"/>
                  <w:tcBorders>
                    <w:tl2br w:val="nil"/>
                    <w:tr2bl w:val="nil"/>
                  </w:tcBorders>
                  <w:vAlign w:val="center"/>
                </w:tcPr>
                <w:p w14:paraId="53430027">
                  <w:pPr>
                    <w:pStyle w:val="54"/>
                    <w:jc w:val="center"/>
                    <w:rPr>
                      <w:color w:val="auto"/>
                    </w:rPr>
                  </w:pPr>
                  <w:r>
                    <w:rPr>
                      <w:rFonts w:hint="eastAsia"/>
                      <w:color w:val="auto"/>
                    </w:rPr>
                    <w:t>0</w:t>
                  </w:r>
                </w:p>
              </w:tc>
            </w:tr>
            <w:tr w14:paraId="35CB6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8" w:type="dxa"/>
                  <w:tcBorders>
                    <w:tl2br w:val="nil"/>
                    <w:tr2bl w:val="nil"/>
                  </w:tcBorders>
                  <w:vAlign w:val="center"/>
                </w:tcPr>
                <w:p w14:paraId="288010D7">
                  <w:pPr>
                    <w:pStyle w:val="54"/>
                    <w:rPr>
                      <w:color w:val="auto"/>
                    </w:rPr>
                  </w:pPr>
                  <w:r>
                    <w:rPr>
                      <w:rFonts w:hint="eastAsia"/>
                      <w:color w:val="auto"/>
                    </w:rPr>
                    <w:t>8</w:t>
                  </w:r>
                </w:p>
              </w:tc>
              <w:tc>
                <w:tcPr>
                  <w:tcW w:w="2106" w:type="dxa"/>
                  <w:tcBorders>
                    <w:tl2br w:val="nil"/>
                    <w:tr2bl w:val="nil"/>
                  </w:tcBorders>
                  <w:vAlign w:val="center"/>
                </w:tcPr>
                <w:p w14:paraId="4CD4FE80">
                  <w:pPr>
                    <w:pStyle w:val="54"/>
                    <w:jc w:val="center"/>
                    <w:rPr>
                      <w:color w:val="auto"/>
                    </w:rPr>
                  </w:pPr>
                  <w:r>
                    <w:rPr>
                      <w:rFonts w:hint="eastAsia"/>
                      <w:color w:val="auto"/>
                    </w:rPr>
                    <w:t>空压机</w:t>
                  </w:r>
                </w:p>
              </w:tc>
              <w:tc>
                <w:tcPr>
                  <w:tcW w:w="1187" w:type="dxa"/>
                  <w:tcBorders>
                    <w:tl2br w:val="nil"/>
                    <w:tr2bl w:val="nil"/>
                  </w:tcBorders>
                  <w:vAlign w:val="center"/>
                </w:tcPr>
                <w:p w14:paraId="24155822">
                  <w:pPr>
                    <w:pStyle w:val="54"/>
                    <w:jc w:val="center"/>
                    <w:rPr>
                      <w:color w:val="auto"/>
                    </w:rPr>
                  </w:pPr>
                  <w:r>
                    <w:rPr>
                      <w:rFonts w:hint="eastAsia"/>
                      <w:color w:val="auto"/>
                    </w:rPr>
                    <w:t>/</w:t>
                  </w:r>
                </w:p>
              </w:tc>
              <w:tc>
                <w:tcPr>
                  <w:tcW w:w="1162" w:type="dxa"/>
                  <w:tcBorders>
                    <w:tl2br w:val="nil"/>
                    <w:tr2bl w:val="nil"/>
                  </w:tcBorders>
                  <w:vAlign w:val="center"/>
                </w:tcPr>
                <w:p w14:paraId="165B2852">
                  <w:pPr>
                    <w:pStyle w:val="54"/>
                    <w:jc w:val="center"/>
                    <w:rPr>
                      <w:color w:val="auto"/>
                    </w:rPr>
                  </w:pPr>
                  <w:r>
                    <w:rPr>
                      <w:rFonts w:hint="eastAsia"/>
                      <w:color w:val="auto"/>
                    </w:rPr>
                    <w:t>3</w:t>
                  </w:r>
                </w:p>
              </w:tc>
              <w:tc>
                <w:tcPr>
                  <w:tcW w:w="1163" w:type="dxa"/>
                  <w:tcBorders>
                    <w:tl2br w:val="nil"/>
                    <w:tr2bl w:val="nil"/>
                  </w:tcBorders>
                  <w:vAlign w:val="center"/>
                </w:tcPr>
                <w:p w14:paraId="7D95C1DF">
                  <w:pPr>
                    <w:pStyle w:val="54"/>
                    <w:jc w:val="center"/>
                    <w:rPr>
                      <w:color w:val="auto"/>
                    </w:rPr>
                  </w:pPr>
                  <w:r>
                    <w:rPr>
                      <w:rFonts w:hint="eastAsia"/>
                      <w:color w:val="auto"/>
                    </w:rPr>
                    <w:t>/</w:t>
                  </w:r>
                </w:p>
              </w:tc>
              <w:tc>
                <w:tcPr>
                  <w:tcW w:w="1350" w:type="dxa"/>
                  <w:tcBorders>
                    <w:tl2br w:val="nil"/>
                    <w:tr2bl w:val="nil"/>
                  </w:tcBorders>
                  <w:vAlign w:val="center"/>
                </w:tcPr>
                <w:p w14:paraId="6FA52291">
                  <w:pPr>
                    <w:pStyle w:val="54"/>
                    <w:jc w:val="center"/>
                    <w:rPr>
                      <w:color w:val="auto"/>
                    </w:rPr>
                  </w:pPr>
                  <w:r>
                    <w:rPr>
                      <w:rFonts w:hint="eastAsia"/>
                      <w:color w:val="auto"/>
                    </w:rPr>
                    <w:t>3</w:t>
                  </w:r>
                </w:p>
              </w:tc>
              <w:tc>
                <w:tcPr>
                  <w:tcW w:w="1037" w:type="dxa"/>
                  <w:tcBorders>
                    <w:tl2br w:val="nil"/>
                    <w:tr2bl w:val="nil"/>
                  </w:tcBorders>
                  <w:vAlign w:val="center"/>
                </w:tcPr>
                <w:p w14:paraId="107084AD">
                  <w:pPr>
                    <w:pStyle w:val="54"/>
                    <w:jc w:val="center"/>
                    <w:rPr>
                      <w:color w:val="auto"/>
                    </w:rPr>
                  </w:pPr>
                  <w:r>
                    <w:rPr>
                      <w:rFonts w:hint="eastAsia"/>
                      <w:color w:val="auto"/>
                    </w:rPr>
                    <w:t>0</w:t>
                  </w:r>
                </w:p>
              </w:tc>
            </w:tr>
            <w:tr w14:paraId="26B94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8" w:type="dxa"/>
                  <w:tcBorders>
                    <w:tl2br w:val="nil"/>
                    <w:tr2bl w:val="nil"/>
                  </w:tcBorders>
                  <w:vAlign w:val="center"/>
                </w:tcPr>
                <w:p w14:paraId="71950E91">
                  <w:pPr>
                    <w:pStyle w:val="54"/>
                    <w:rPr>
                      <w:color w:val="auto"/>
                    </w:rPr>
                  </w:pPr>
                  <w:r>
                    <w:rPr>
                      <w:rFonts w:hint="eastAsia"/>
                      <w:color w:val="auto"/>
                    </w:rPr>
                    <w:t>9</w:t>
                  </w:r>
                </w:p>
              </w:tc>
              <w:tc>
                <w:tcPr>
                  <w:tcW w:w="2106" w:type="dxa"/>
                  <w:tcBorders>
                    <w:tl2br w:val="nil"/>
                    <w:tr2bl w:val="nil"/>
                  </w:tcBorders>
                  <w:vAlign w:val="center"/>
                </w:tcPr>
                <w:p w14:paraId="0792F03B">
                  <w:pPr>
                    <w:pStyle w:val="54"/>
                    <w:jc w:val="center"/>
                    <w:rPr>
                      <w:color w:val="auto"/>
                    </w:rPr>
                  </w:pPr>
                  <w:r>
                    <w:rPr>
                      <w:rFonts w:hint="eastAsia"/>
                      <w:color w:val="auto"/>
                    </w:rPr>
                    <w:t>液氧罐</w:t>
                  </w:r>
                </w:p>
              </w:tc>
              <w:tc>
                <w:tcPr>
                  <w:tcW w:w="1187" w:type="dxa"/>
                  <w:tcBorders>
                    <w:tl2br w:val="nil"/>
                    <w:tr2bl w:val="nil"/>
                  </w:tcBorders>
                  <w:vAlign w:val="center"/>
                </w:tcPr>
                <w:p w14:paraId="44E2BF52">
                  <w:pPr>
                    <w:pStyle w:val="54"/>
                    <w:jc w:val="center"/>
                    <w:rPr>
                      <w:color w:val="auto"/>
                    </w:rPr>
                  </w:pPr>
                  <w:r>
                    <w:rPr>
                      <w:rFonts w:hint="eastAsia"/>
                      <w:color w:val="auto"/>
                    </w:rPr>
                    <w:t>/</w:t>
                  </w:r>
                </w:p>
              </w:tc>
              <w:tc>
                <w:tcPr>
                  <w:tcW w:w="1162" w:type="dxa"/>
                  <w:tcBorders>
                    <w:tl2br w:val="nil"/>
                    <w:tr2bl w:val="nil"/>
                  </w:tcBorders>
                  <w:vAlign w:val="center"/>
                </w:tcPr>
                <w:p w14:paraId="003837BD">
                  <w:pPr>
                    <w:pStyle w:val="54"/>
                    <w:jc w:val="center"/>
                    <w:rPr>
                      <w:color w:val="auto"/>
                    </w:rPr>
                  </w:pPr>
                  <w:r>
                    <w:rPr>
                      <w:rFonts w:hint="eastAsia"/>
                      <w:color w:val="auto"/>
                    </w:rPr>
                    <w:t>1</w:t>
                  </w:r>
                </w:p>
              </w:tc>
              <w:tc>
                <w:tcPr>
                  <w:tcW w:w="1163" w:type="dxa"/>
                  <w:tcBorders>
                    <w:tl2br w:val="nil"/>
                    <w:tr2bl w:val="nil"/>
                  </w:tcBorders>
                  <w:vAlign w:val="center"/>
                </w:tcPr>
                <w:p w14:paraId="35203374">
                  <w:pPr>
                    <w:pStyle w:val="54"/>
                    <w:jc w:val="center"/>
                    <w:rPr>
                      <w:color w:val="auto"/>
                    </w:rPr>
                  </w:pPr>
                  <w:r>
                    <w:rPr>
                      <w:rFonts w:hint="eastAsia"/>
                      <w:color w:val="auto"/>
                    </w:rPr>
                    <w:t>/</w:t>
                  </w:r>
                </w:p>
              </w:tc>
              <w:tc>
                <w:tcPr>
                  <w:tcW w:w="1350" w:type="dxa"/>
                  <w:tcBorders>
                    <w:tl2br w:val="nil"/>
                    <w:tr2bl w:val="nil"/>
                  </w:tcBorders>
                  <w:vAlign w:val="center"/>
                </w:tcPr>
                <w:p w14:paraId="4A0B9BB7">
                  <w:pPr>
                    <w:pStyle w:val="54"/>
                    <w:jc w:val="center"/>
                    <w:rPr>
                      <w:color w:val="auto"/>
                    </w:rPr>
                  </w:pPr>
                  <w:r>
                    <w:rPr>
                      <w:rFonts w:hint="eastAsia"/>
                      <w:color w:val="auto"/>
                    </w:rPr>
                    <w:t>1</w:t>
                  </w:r>
                </w:p>
              </w:tc>
              <w:tc>
                <w:tcPr>
                  <w:tcW w:w="1037" w:type="dxa"/>
                  <w:tcBorders>
                    <w:tl2br w:val="nil"/>
                    <w:tr2bl w:val="nil"/>
                  </w:tcBorders>
                  <w:vAlign w:val="center"/>
                </w:tcPr>
                <w:p w14:paraId="6C56D181">
                  <w:pPr>
                    <w:pStyle w:val="54"/>
                    <w:jc w:val="center"/>
                    <w:rPr>
                      <w:color w:val="auto"/>
                    </w:rPr>
                  </w:pPr>
                  <w:r>
                    <w:rPr>
                      <w:rFonts w:hint="eastAsia"/>
                      <w:color w:val="auto"/>
                    </w:rPr>
                    <w:t>0</w:t>
                  </w:r>
                </w:p>
              </w:tc>
            </w:tr>
            <w:tr w14:paraId="6269B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8" w:type="dxa"/>
                  <w:tcBorders>
                    <w:tl2br w:val="nil"/>
                    <w:tr2bl w:val="nil"/>
                  </w:tcBorders>
                  <w:vAlign w:val="center"/>
                </w:tcPr>
                <w:p w14:paraId="3926CFB3">
                  <w:pPr>
                    <w:pStyle w:val="54"/>
                    <w:rPr>
                      <w:color w:val="auto"/>
                    </w:rPr>
                  </w:pPr>
                  <w:r>
                    <w:rPr>
                      <w:color w:val="auto"/>
                    </w:rPr>
                    <w:t>10</w:t>
                  </w:r>
                </w:p>
              </w:tc>
              <w:tc>
                <w:tcPr>
                  <w:tcW w:w="2106" w:type="dxa"/>
                  <w:tcBorders>
                    <w:tl2br w:val="nil"/>
                    <w:tr2bl w:val="nil"/>
                  </w:tcBorders>
                  <w:vAlign w:val="center"/>
                </w:tcPr>
                <w:p w14:paraId="190A887B">
                  <w:pPr>
                    <w:pStyle w:val="54"/>
                    <w:jc w:val="center"/>
                    <w:rPr>
                      <w:color w:val="auto"/>
                    </w:rPr>
                  </w:pPr>
                  <w:r>
                    <w:rPr>
                      <w:rFonts w:hint="eastAsia"/>
                      <w:color w:val="auto"/>
                    </w:rPr>
                    <w:t>液氧汽化器</w:t>
                  </w:r>
                </w:p>
              </w:tc>
              <w:tc>
                <w:tcPr>
                  <w:tcW w:w="1187" w:type="dxa"/>
                  <w:tcBorders>
                    <w:tl2br w:val="nil"/>
                    <w:tr2bl w:val="nil"/>
                  </w:tcBorders>
                  <w:vAlign w:val="center"/>
                </w:tcPr>
                <w:p w14:paraId="527FC78B">
                  <w:pPr>
                    <w:pStyle w:val="54"/>
                    <w:jc w:val="center"/>
                    <w:rPr>
                      <w:color w:val="auto"/>
                    </w:rPr>
                  </w:pPr>
                  <w:r>
                    <w:rPr>
                      <w:rFonts w:hint="eastAsia"/>
                      <w:color w:val="auto"/>
                    </w:rPr>
                    <w:t>/</w:t>
                  </w:r>
                </w:p>
              </w:tc>
              <w:tc>
                <w:tcPr>
                  <w:tcW w:w="1162" w:type="dxa"/>
                  <w:tcBorders>
                    <w:tl2br w:val="nil"/>
                    <w:tr2bl w:val="nil"/>
                  </w:tcBorders>
                  <w:vAlign w:val="center"/>
                </w:tcPr>
                <w:p w14:paraId="382A07AD">
                  <w:pPr>
                    <w:pStyle w:val="54"/>
                    <w:jc w:val="center"/>
                    <w:rPr>
                      <w:color w:val="auto"/>
                    </w:rPr>
                  </w:pPr>
                  <w:r>
                    <w:rPr>
                      <w:rFonts w:hint="eastAsia"/>
                      <w:color w:val="auto"/>
                    </w:rPr>
                    <w:t>2</w:t>
                  </w:r>
                </w:p>
              </w:tc>
              <w:tc>
                <w:tcPr>
                  <w:tcW w:w="1163" w:type="dxa"/>
                  <w:tcBorders>
                    <w:tl2br w:val="nil"/>
                    <w:tr2bl w:val="nil"/>
                  </w:tcBorders>
                  <w:vAlign w:val="center"/>
                </w:tcPr>
                <w:p w14:paraId="2F2AF174">
                  <w:pPr>
                    <w:pStyle w:val="54"/>
                    <w:jc w:val="center"/>
                    <w:rPr>
                      <w:color w:val="auto"/>
                    </w:rPr>
                  </w:pPr>
                  <w:r>
                    <w:rPr>
                      <w:rFonts w:hint="eastAsia"/>
                      <w:color w:val="auto"/>
                    </w:rPr>
                    <w:t>/</w:t>
                  </w:r>
                </w:p>
              </w:tc>
              <w:tc>
                <w:tcPr>
                  <w:tcW w:w="1350" w:type="dxa"/>
                  <w:tcBorders>
                    <w:tl2br w:val="nil"/>
                    <w:tr2bl w:val="nil"/>
                  </w:tcBorders>
                  <w:vAlign w:val="center"/>
                </w:tcPr>
                <w:p w14:paraId="29302F9F">
                  <w:pPr>
                    <w:pStyle w:val="54"/>
                    <w:jc w:val="center"/>
                    <w:rPr>
                      <w:color w:val="auto"/>
                    </w:rPr>
                  </w:pPr>
                  <w:r>
                    <w:rPr>
                      <w:rFonts w:hint="eastAsia"/>
                      <w:color w:val="auto"/>
                    </w:rPr>
                    <w:t>2</w:t>
                  </w:r>
                </w:p>
              </w:tc>
              <w:tc>
                <w:tcPr>
                  <w:tcW w:w="1037" w:type="dxa"/>
                  <w:tcBorders>
                    <w:tl2br w:val="nil"/>
                    <w:tr2bl w:val="nil"/>
                  </w:tcBorders>
                  <w:vAlign w:val="center"/>
                </w:tcPr>
                <w:p w14:paraId="5A66818B">
                  <w:pPr>
                    <w:pStyle w:val="54"/>
                    <w:jc w:val="center"/>
                    <w:rPr>
                      <w:color w:val="auto"/>
                    </w:rPr>
                  </w:pPr>
                  <w:r>
                    <w:rPr>
                      <w:rFonts w:hint="eastAsia"/>
                      <w:color w:val="auto"/>
                    </w:rPr>
                    <w:t>0</w:t>
                  </w:r>
                </w:p>
              </w:tc>
            </w:tr>
            <w:tr w14:paraId="635E4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8" w:type="dxa"/>
                  <w:tcBorders>
                    <w:tl2br w:val="nil"/>
                    <w:tr2bl w:val="nil"/>
                  </w:tcBorders>
                  <w:vAlign w:val="center"/>
                </w:tcPr>
                <w:p w14:paraId="752B698D">
                  <w:pPr>
                    <w:pStyle w:val="54"/>
                    <w:rPr>
                      <w:color w:val="auto"/>
                    </w:rPr>
                  </w:pPr>
                  <w:r>
                    <w:rPr>
                      <w:rFonts w:hint="eastAsia"/>
                      <w:color w:val="auto"/>
                    </w:rPr>
                    <w:t>11</w:t>
                  </w:r>
                </w:p>
              </w:tc>
              <w:tc>
                <w:tcPr>
                  <w:tcW w:w="2106" w:type="dxa"/>
                  <w:tcBorders>
                    <w:tl2br w:val="nil"/>
                    <w:tr2bl w:val="nil"/>
                  </w:tcBorders>
                  <w:vAlign w:val="center"/>
                </w:tcPr>
                <w:p w14:paraId="0421B49B">
                  <w:pPr>
                    <w:pStyle w:val="54"/>
                    <w:jc w:val="center"/>
                    <w:rPr>
                      <w:color w:val="auto"/>
                    </w:rPr>
                  </w:pPr>
                  <w:r>
                    <w:rPr>
                      <w:rFonts w:hint="eastAsia"/>
                      <w:color w:val="auto"/>
                    </w:rPr>
                    <w:t>叉车</w:t>
                  </w:r>
                </w:p>
              </w:tc>
              <w:tc>
                <w:tcPr>
                  <w:tcW w:w="1187" w:type="dxa"/>
                  <w:tcBorders>
                    <w:tl2br w:val="nil"/>
                    <w:tr2bl w:val="nil"/>
                  </w:tcBorders>
                  <w:vAlign w:val="center"/>
                </w:tcPr>
                <w:p w14:paraId="1A7204DD">
                  <w:pPr>
                    <w:pStyle w:val="54"/>
                    <w:jc w:val="center"/>
                    <w:rPr>
                      <w:color w:val="auto"/>
                    </w:rPr>
                  </w:pPr>
                  <w:r>
                    <w:rPr>
                      <w:rFonts w:hint="eastAsia"/>
                      <w:color w:val="auto"/>
                    </w:rPr>
                    <w:t>/</w:t>
                  </w:r>
                </w:p>
              </w:tc>
              <w:tc>
                <w:tcPr>
                  <w:tcW w:w="1162" w:type="dxa"/>
                  <w:tcBorders>
                    <w:tl2br w:val="nil"/>
                    <w:tr2bl w:val="nil"/>
                  </w:tcBorders>
                  <w:vAlign w:val="center"/>
                </w:tcPr>
                <w:p w14:paraId="0070C734">
                  <w:pPr>
                    <w:pStyle w:val="54"/>
                    <w:jc w:val="center"/>
                    <w:rPr>
                      <w:color w:val="auto"/>
                    </w:rPr>
                  </w:pPr>
                  <w:r>
                    <w:rPr>
                      <w:rFonts w:hint="eastAsia"/>
                      <w:color w:val="auto"/>
                    </w:rPr>
                    <w:t>8</w:t>
                  </w:r>
                </w:p>
              </w:tc>
              <w:tc>
                <w:tcPr>
                  <w:tcW w:w="1163" w:type="dxa"/>
                  <w:tcBorders>
                    <w:tl2br w:val="nil"/>
                    <w:tr2bl w:val="nil"/>
                  </w:tcBorders>
                  <w:vAlign w:val="center"/>
                </w:tcPr>
                <w:p w14:paraId="02DCF4CB">
                  <w:pPr>
                    <w:pStyle w:val="54"/>
                    <w:jc w:val="center"/>
                    <w:rPr>
                      <w:color w:val="auto"/>
                    </w:rPr>
                  </w:pPr>
                  <w:r>
                    <w:rPr>
                      <w:rFonts w:hint="eastAsia"/>
                      <w:color w:val="auto"/>
                    </w:rPr>
                    <w:t>/</w:t>
                  </w:r>
                </w:p>
              </w:tc>
              <w:tc>
                <w:tcPr>
                  <w:tcW w:w="1350" w:type="dxa"/>
                  <w:tcBorders>
                    <w:tl2br w:val="nil"/>
                    <w:tr2bl w:val="nil"/>
                  </w:tcBorders>
                  <w:vAlign w:val="center"/>
                </w:tcPr>
                <w:p w14:paraId="71E238BC">
                  <w:pPr>
                    <w:pStyle w:val="54"/>
                    <w:jc w:val="center"/>
                    <w:rPr>
                      <w:color w:val="auto"/>
                    </w:rPr>
                  </w:pPr>
                  <w:r>
                    <w:rPr>
                      <w:rFonts w:hint="eastAsia"/>
                      <w:color w:val="auto"/>
                    </w:rPr>
                    <w:t>8</w:t>
                  </w:r>
                </w:p>
              </w:tc>
              <w:tc>
                <w:tcPr>
                  <w:tcW w:w="1037" w:type="dxa"/>
                  <w:tcBorders>
                    <w:tl2br w:val="nil"/>
                    <w:tr2bl w:val="nil"/>
                  </w:tcBorders>
                  <w:vAlign w:val="center"/>
                </w:tcPr>
                <w:p w14:paraId="5C1DD931">
                  <w:pPr>
                    <w:pStyle w:val="54"/>
                    <w:jc w:val="center"/>
                    <w:rPr>
                      <w:color w:val="auto"/>
                    </w:rPr>
                  </w:pPr>
                  <w:r>
                    <w:rPr>
                      <w:rFonts w:hint="eastAsia"/>
                      <w:color w:val="auto"/>
                    </w:rPr>
                    <w:t>0</w:t>
                  </w:r>
                </w:p>
              </w:tc>
            </w:tr>
            <w:tr w14:paraId="15E1E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8" w:type="dxa"/>
                  <w:tcBorders>
                    <w:tl2br w:val="nil"/>
                    <w:tr2bl w:val="nil"/>
                  </w:tcBorders>
                  <w:vAlign w:val="center"/>
                </w:tcPr>
                <w:p w14:paraId="7D668B5C">
                  <w:pPr>
                    <w:pStyle w:val="54"/>
                    <w:rPr>
                      <w:color w:val="auto"/>
                    </w:rPr>
                  </w:pPr>
                  <w:r>
                    <w:rPr>
                      <w:rFonts w:hint="eastAsia"/>
                      <w:color w:val="auto"/>
                    </w:rPr>
                    <w:t>12</w:t>
                  </w:r>
                </w:p>
              </w:tc>
              <w:tc>
                <w:tcPr>
                  <w:tcW w:w="2106" w:type="dxa"/>
                  <w:tcBorders>
                    <w:tl2br w:val="nil"/>
                    <w:tr2bl w:val="nil"/>
                  </w:tcBorders>
                  <w:vAlign w:val="center"/>
                </w:tcPr>
                <w:p w14:paraId="4A7EE166">
                  <w:pPr>
                    <w:pStyle w:val="54"/>
                    <w:jc w:val="center"/>
                    <w:rPr>
                      <w:color w:val="auto"/>
                    </w:rPr>
                  </w:pPr>
                  <w:r>
                    <w:rPr>
                      <w:rFonts w:hint="eastAsia"/>
                      <w:color w:val="auto"/>
                    </w:rPr>
                    <w:t>列管冷却器+多管除尘器+旋风除尘器+布袋除尘器</w:t>
                  </w:r>
                </w:p>
              </w:tc>
              <w:tc>
                <w:tcPr>
                  <w:tcW w:w="1187" w:type="dxa"/>
                  <w:tcBorders>
                    <w:tl2br w:val="nil"/>
                    <w:tr2bl w:val="nil"/>
                  </w:tcBorders>
                  <w:vAlign w:val="center"/>
                </w:tcPr>
                <w:p w14:paraId="2BD3B09F">
                  <w:pPr>
                    <w:pStyle w:val="54"/>
                    <w:jc w:val="center"/>
                    <w:rPr>
                      <w:color w:val="auto"/>
                    </w:rPr>
                  </w:pPr>
                  <w:r>
                    <w:rPr>
                      <w:rFonts w:hint="eastAsia"/>
                      <w:color w:val="auto"/>
                    </w:rPr>
                    <w:t>/</w:t>
                  </w:r>
                </w:p>
              </w:tc>
              <w:tc>
                <w:tcPr>
                  <w:tcW w:w="1162" w:type="dxa"/>
                  <w:tcBorders>
                    <w:tl2br w:val="nil"/>
                    <w:tr2bl w:val="nil"/>
                  </w:tcBorders>
                  <w:vAlign w:val="center"/>
                </w:tcPr>
                <w:p w14:paraId="07083B6F">
                  <w:pPr>
                    <w:pStyle w:val="54"/>
                    <w:jc w:val="center"/>
                    <w:rPr>
                      <w:color w:val="auto"/>
                    </w:rPr>
                  </w:pPr>
                  <w:r>
                    <w:rPr>
                      <w:rFonts w:hint="eastAsia"/>
                      <w:color w:val="auto"/>
                    </w:rPr>
                    <w:t>1</w:t>
                  </w:r>
                </w:p>
              </w:tc>
              <w:tc>
                <w:tcPr>
                  <w:tcW w:w="1163" w:type="dxa"/>
                  <w:tcBorders>
                    <w:tl2br w:val="nil"/>
                    <w:tr2bl w:val="nil"/>
                  </w:tcBorders>
                  <w:vAlign w:val="center"/>
                </w:tcPr>
                <w:p w14:paraId="3865864C">
                  <w:pPr>
                    <w:pStyle w:val="54"/>
                    <w:jc w:val="center"/>
                    <w:rPr>
                      <w:color w:val="auto"/>
                    </w:rPr>
                  </w:pPr>
                  <w:r>
                    <w:rPr>
                      <w:rFonts w:hint="eastAsia"/>
                      <w:color w:val="auto"/>
                    </w:rPr>
                    <w:t>/</w:t>
                  </w:r>
                </w:p>
              </w:tc>
              <w:tc>
                <w:tcPr>
                  <w:tcW w:w="1350" w:type="dxa"/>
                  <w:tcBorders>
                    <w:tl2br w:val="nil"/>
                    <w:tr2bl w:val="nil"/>
                  </w:tcBorders>
                  <w:vAlign w:val="center"/>
                </w:tcPr>
                <w:p w14:paraId="119F8DD9">
                  <w:pPr>
                    <w:pStyle w:val="54"/>
                    <w:jc w:val="center"/>
                    <w:rPr>
                      <w:color w:val="auto"/>
                    </w:rPr>
                  </w:pPr>
                  <w:r>
                    <w:rPr>
                      <w:rFonts w:hint="eastAsia"/>
                      <w:color w:val="auto"/>
                    </w:rPr>
                    <w:t>1</w:t>
                  </w:r>
                </w:p>
              </w:tc>
              <w:tc>
                <w:tcPr>
                  <w:tcW w:w="1037" w:type="dxa"/>
                  <w:tcBorders>
                    <w:tl2br w:val="nil"/>
                    <w:tr2bl w:val="nil"/>
                  </w:tcBorders>
                  <w:vAlign w:val="center"/>
                </w:tcPr>
                <w:p w14:paraId="519E5C6E">
                  <w:pPr>
                    <w:pStyle w:val="54"/>
                    <w:jc w:val="center"/>
                    <w:rPr>
                      <w:color w:val="auto"/>
                    </w:rPr>
                  </w:pPr>
                  <w:r>
                    <w:rPr>
                      <w:rFonts w:hint="eastAsia"/>
                      <w:color w:val="auto"/>
                    </w:rPr>
                    <w:t>0</w:t>
                  </w:r>
                </w:p>
              </w:tc>
            </w:tr>
            <w:tr w14:paraId="6C050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8" w:type="dxa"/>
                  <w:tcBorders>
                    <w:tl2br w:val="nil"/>
                    <w:tr2bl w:val="nil"/>
                  </w:tcBorders>
                  <w:vAlign w:val="center"/>
                </w:tcPr>
                <w:p w14:paraId="2AD4CE69">
                  <w:pPr>
                    <w:pStyle w:val="54"/>
                    <w:rPr>
                      <w:color w:val="auto"/>
                    </w:rPr>
                  </w:pPr>
                  <w:r>
                    <w:rPr>
                      <w:rFonts w:hint="eastAsia"/>
                      <w:color w:val="auto"/>
                    </w:rPr>
                    <w:t>13</w:t>
                  </w:r>
                </w:p>
              </w:tc>
              <w:tc>
                <w:tcPr>
                  <w:tcW w:w="2106" w:type="dxa"/>
                  <w:tcBorders>
                    <w:tl2br w:val="nil"/>
                    <w:tr2bl w:val="nil"/>
                  </w:tcBorders>
                  <w:vAlign w:val="center"/>
                </w:tcPr>
                <w:p w14:paraId="3EC88246">
                  <w:pPr>
                    <w:pStyle w:val="54"/>
                    <w:jc w:val="center"/>
                    <w:rPr>
                      <w:color w:val="auto"/>
                    </w:rPr>
                  </w:pPr>
                  <w:r>
                    <w:rPr>
                      <w:rFonts w:hint="eastAsia"/>
                      <w:color w:val="auto"/>
                    </w:rPr>
                    <w:t>二级活性炭吸附装置</w:t>
                  </w:r>
                </w:p>
              </w:tc>
              <w:tc>
                <w:tcPr>
                  <w:tcW w:w="1187" w:type="dxa"/>
                  <w:tcBorders>
                    <w:tl2br w:val="nil"/>
                    <w:tr2bl w:val="nil"/>
                  </w:tcBorders>
                  <w:vAlign w:val="center"/>
                </w:tcPr>
                <w:p w14:paraId="58B03B1C">
                  <w:pPr>
                    <w:pStyle w:val="54"/>
                    <w:jc w:val="center"/>
                    <w:rPr>
                      <w:color w:val="auto"/>
                    </w:rPr>
                  </w:pPr>
                  <w:r>
                    <w:rPr>
                      <w:rFonts w:hint="eastAsia"/>
                      <w:color w:val="auto"/>
                    </w:rPr>
                    <w:t>/</w:t>
                  </w:r>
                </w:p>
              </w:tc>
              <w:tc>
                <w:tcPr>
                  <w:tcW w:w="1162" w:type="dxa"/>
                  <w:tcBorders>
                    <w:tl2br w:val="nil"/>
                    <w:tr2bl w:val="nil"/>
                  </w:tcBorders>
                  <w:vAlign w:val="center"/>
                </w:tcPr>
                <w:p w14:paraId="3B286056">
                  <w:pPr>
                    <w:pStyle w:val="54"/>
                    <w:jc w:val="center"/>
                    <w:rPr>
                      <w:color w:val="auto"/>
                    </w:rPr>
                  </w:pPr>
                  <w:r>
                    <w:rPr>
                      <w:rFonts w:hint="eastAsia"/>
                      <w:color w:val="auto"/>
                    </w:rPr>
                    <w:t>1</w:t>
                  </w:r>
                </w:p>
              </w:tc>
              <w:tc>
                <w:tcPr>
                  <w:tcW w:w="1163" w:type="dxa"/>
                  <w:tcBorders>
                    <w:tl2br w:val="nil"/>
                    <w:tr2bl w:val="nil"/>
                  </w:tcBorders>
                  <w:vAlign w:val="center"/>
                </w:tcPr>
                <w:p w14:paraId="10D7F40F">
                  <w:pPr>
                    <w:pStyle w:val="54"/>
                    <w:jc w:val="center"/>
                    <w:rPr>
                      <w:color w:val="auto"/>
                    </w:rPr>
                  </w:pPr>
                  <w:r>
                    <w:rPr>
                      <w:rFonts w:hint="eastAsia"/>
                      <w:color w:val="auto"/>
                    </w:rPr>
                    <w:t>/</w:t>
                  </w:r>
                </w:p>
              </w:tc>
              <w:tc>
                <w:tcPr>
                  <w:tcW w:w="1350" w:type="dxa"/>
                  <w:tcBorders>
                    <w:tl2br w:val="nil"/>
                    <w:tr2bl w:val="nil"/>
                  </w:tcBorders>
                  <w:vAlign w:val="center"/>
                </w:tcPr>
                <w:p w14:paraId="030FDCA5">
                  <w:pPr>
                    <w:pStyle w:val="54"/>
                    <w:jc w:val="center"/>
                    <w:rPr>
                      <w:color w:val="auto"/>
                    </w:rPr>
                  </w:pPr>
                  <w:r>
                    <w:rPr>
                      <w:rFonts w:hint="eastAsia"/>
                      <w:color w:val="auto"/>
                    </w:rPr>
                    <w:t>1</w:t>
                  </w:r>
                </w:p>
              </w:tc>
              <w:tc>
                <w:tcPr>
                  <w:tcW w:w="1037" w:type="dxa"/>
                  <w:tcBorders>
                    <w:tl2br w:val="nil"/>
                    <w:tr2bl w:val="nil"/>
                  </w:tcBorders>
                  <w:vAlign w:val="center"/>
                </w:tcPr>
                <w:p w14:paraId="040D2CFE">
                  <w:pPr>
                    <w:pStyle w:val="54"/>
                    <w:jc w:val="center"/>
                    <w:rPr>
                      <w:color w:val="auto"/>
                    </w:rPr>
                  </w:pPr>
                  <w:r>
                    <w:rPr>
                      <w:rFonts w:hint="eastAsia"/>
                      <w:color w:val="auto"/>
                    </w:rPr>
                    <w:t>0</w:t>
                  </w:r>
                </w:p>
              </w:tc>
            </w:tr>
            <w:tr w14:paraId="04A0CE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8" w:type="dxa"/>
                  <w:tcBorders>
                    <w:tl2br w:val="nil"/>
                    <w:tr2bl w:val="nil"/>
                  </w:tcBorders>
                  <w:vAlign w:val="center"/>
                </w:tcPr>
                <w:p w14:paraId="45A69E3B">
                  <w:pPr>
                    <w:pStyle w:val="54"/>
                    <w:rPr>
                      <w:color w:val="auto"/>
                    </w:rPr>
                  </w:pPr>
                  <w:r>
                    <w:rPr>
                      <w:rFonts w:hint="eastAsia"/>
                      <w:color w:val="auto"/>
                    </w:rPr>
                    <w:t>14</w:t>
                  </w:r>
                </w:p>
              </w:tc>
              <w:tc>
                <w:tcPr>
                  <w:tcW w:w="2106" w:type="dxa"/>
                  <w:tcBorders>
                    <w:tl2br w:val="nil"/>
                    <w:tr2bl w:val="nil"/>
                  </w:tcBorders>
                  <w:vAlign w:val="center"/>
                </w:tcPr>
                <w:p w14:paraId="687D67BA">
                  <w:pPr>
                    <w:pStyle w:val="54"/>
                    <w:jc w:val="center"/>
                    <w:rPr>
                      <w:color w:val="auto"/>
                    </w:rPr>
                  </w:pPr>
                  <w:r>
                    <w:rPr>
                      <w:rFonts w:hint="eastAsia"/>
                      <w:color w:val="auto"/>
                    </w:rPr>
                    <w:t>布袋除尘器</w:t>
                  </w:r>
                </w:p>
              </w:tc>
              <w:tc>
                <w:tcPr>
                  <w:tcW w:w="1187" w:type="dxa"/>
                  <w:tcBorders>
                    <w:tl2br w:val="nil"/>
                    <w:tr2bl w:val="nil"/>
                  </w:tcBorders>
                  <w:vAlign w:val="center"/>
                </w:tcPr>
                <w:p w14:paraId="6F0EF454">
                  <w:pPr>
                    <w:pStyle w:val="54"/>
                    <w:jc w:val="center"/>
                    <w:rPr>
                      <w:color w:val="auto"/>
                    </w:rPr>
                  </w:pPr>
                  <w:r>
                    <w:rPr>
                      <w:rFonts w:hint="eastAsia"/>
                      <w:color w:val="auto"/>
                    </w:rPr>
                    <w:t>/</w:t>
                  </w:r>
                </w:p>
              </w:tc>
              <w:tc>
                <w:tcPr>
                  <w:tcW w:w="1162" w:type="dxa"/>
                  <w:tcBorders>
                    <w:tl2br w:val="nil"/>
                    <w:tr2bl w:val="nil"/>
                  </w:tcBorders>
                  <w:vAlign w:val="center"/>
                </w:tcPr>
                <w:p w14:paraId="53008B2F">
                  <w:pPr>
                    <w:pStyle w:val="54"/>
                    <w:jc w:val="center"/>
                    <w:rPr>
                      <w:color w:val="auto"/>
                    </w:rPr>
                  </w:pPr>
                  <w:r>
                    <w:rPr>
                      <w:rFonts w:hint="eastAsia"/>
                      <w:color w:val="auto"/>
                    </w:rPr>
                    <w:t>1</w:t>
                  </w:r>
                </w:p>
              </w:tc>
              <w:tc>
                <w:tcPr>
                  <w:tcW w:w="1163" w:type="dxa"/>
                  <w:tcBorders>
                    <w:tl2br w:val="nil"/>
                    <w:tr2bl w:val="nil"/>
                  </w:tcBorders>
                  <w:vAlign w:val="center"/>
                </w:tcPr>
                <w:p w14:paraId="6789A410">
                  <w:pPr>
                    <w:pStyle w:val="54"/>
                    <w:jc w:val="center"/>
                    <w:rPr>
                      <w:color w:val="auto"/>
                    </w:rPr>
                  </w:pPr>
                  <w:r>
                    <w:rPr>
                      <w:rFonts w:hint="eastAsia"/>
                      <w:color w:val="auto"/>
                    </w:rPr>
                    <w:t>1</w:t>
                  </w:r>
                </w:p>
              </w:tc>
              <w:tc>
                <w:tcPr>
                  <w:tcW w:w="1350" w:type="dxa"/>
                  <w:tcBorders>
                    <w:tl2br w:val="nil"/>
                    <w:tr2bl w:val="nil"/>
                  </w:tcBorders>
                  <w:vAlign w:val="center"/>
                </w:tcPr>
                <w:p w14:paraId="28183FDD">
                  <w:pPr>
                    <w:pStyle w:val="54"/>
                    <w:jc w:val="center"/>
                    <w:rPr>
                      <w:color w:val="auto"/>
                    </w:rPr>
                  </w:pPr>
                  <w:r>
                    <w:rPr>
                      <w:rFonts w:hint="eastAsia"/>
                      <w:color w:val="auto"/>
                    </w:rPr>
                    <w:t>1</w:t>
                  </w:r>
                </w:p>
              </w:tc>
              <w:tc>
                <w:tcPr>
                  <w:tcW w:w="1037" w:type="dxa"/>
                  <w:tcBorders>
                    <w:tl2br w:val="nil"/>
                    <w:tr2bl w:val="nil"/>
                  </w:tcBorders>
                  <w:vAlign w:val="center"/>
                </w:tcPr>
                <w:p w14:paraId="61149D00">
                  <w:pPr>
                    <w:pStyle w:val="54"/>
                    <w:jc w:val="center"/>
                    <w:rPr>
                      <w:color w:val="auto"/>
                    </w:rPr>
                  </w:pPr>
                  <w:r>
                    <w:rPr>
                      <w:rFonts w:hint="eastAsia"/>
                      <w:color w:val="auto"/>
                    </w:rPr>
                    <w:t>0</w:t>
                  </w:r>
                </w:p>
              </w:tc>
            </w:tr>
            <w:tr w14:paraId="59A6B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33" w:type="dxa"/>
                  <w:gridSpan w:val="7"/>
                  <w:tcBorders>
                    <w:tl2br w:val="nil"/>
                    <w:tr2bl w:val="nil"/>
                  </w:tcBorders>
                  <w:vAlign w:val="center"/>
                </w:tcPr>
                <w:p w14:paraId="5EC8CCC0">
                  <w:pPr>
                    <w:pStyle w:val="54"/>
                    <w:jc w:val="both"/>
                    <w:rPr>
                      <w:color w:val="auto"/>
                    </w:rPr>
                  </w:pPr>
                  <w:r>
                    <w:rPr>
                      <w:rFonts w:hint="eastAsia"/>
                      <w:color w:val="auto"/>
                    </w:rPr>
                    <w:t>注：本扩建项目将利用现有年产16000吨无氧铜杆项目生产设备，并新增部分设备进行生产。</w:t>
                  </w:r>
                </w:p>
              </w:tc>
            </w:tr>
          </w:tbl>
          <w:p w14:paraId="74ED33C7">
            <w:pPr>
              <w:pStyle w:val="50"/>
              <w:ind w:firstLine="482"/>
              <w:rPr>
                <w:b/>
                <w:bCs/>
                <w:color w:val="auto"/>
              </w:rPr>
            </w:pPr>
            <w:r>
              <w:rPr>
                <w:rFonts w:hint="eastAsia"/>
                <w:b/>
                <w:bCs/>
                <w:color w:val="auto"/>
              </w:rPr>
              <w:t>5</w:t>
            </w:r>
            <w:r>
              <w:rPr>
                <w:b/>
                <w:bCs/>
                <w:color w:val="auto"/>
              </w:rPr>
              <w:t>、主要原辅材料</w:t>
            </w:r>
          </w:p>
          <w:p w14:paraId="0CD37AEF">
            <w:pPr>
              <w:pStyle w:val="50"/>
              <w:ind w:firstLine="480"/>
              <w:rPr>
                <w:color w:val="auto"/>
              </w:rPr>
            </w:pPr>
            <w:r>
              <w:rPr>
                <w:color w:val="auto"/>
              </w:rPr>
              <w:t>本项目主要原辅材料用量情况见</w:t>
            </w:r>
            <w:r>
              <w:rPr>
                <w:color w:val="auto"/>
              </w:rPr>
              <w:fldChar w:fldCharType="begin"/>
            </w:r>
            <w:r>
              <w:rPr>
                <w:color w:val="auto"/>
              </w:rPr>
              <w:instrText xml:space="preserve"> REF _Ref32755 \h </w:instrText>
            </w:r>
            <w:r>
              <w:rPr>
                <w:color w:val="auto"/>
              </w:rPr>
              <w:fldChar w:fldCharType="separate"/>
            </w:r>
            <w:r>
              <w:rPr>
                <w:color w:val="auto"/>
              </w:rPr>
              <w:t>表2- 6</w:t>
            </w:r>
            <w:r>
              <w:rPr>
                <w:color w:val="auto"/>
              </w:rPr>
              <w:fldChar w:fldCharType="end"/>
            </w:r>
            <w:r>
              <w:rPr>
                <w:rFonts w:hint="eastAsia"/>
                <w:color w:val="auto"/>
              </w:rPr>
              <w:t>，项目</w:t>
            </w:r>
            <w:r>
              <w:rPr>
                <w:color w:val="auto"/>
              </w:rPr>
              <w:t>原辅材料理化性质详见</w:t>
            </w:r>
            <w:r>
              <w:rPr>
                <w:color w:val="auto"/>
              </w:rPr>
              <w:fldChar w:fldCharType="begin"/>
            </w:r>
            <w:r>
              <w:rPr>
                <w:color w:val="auto"/>
              </w:rPr>
              <w:instrText xml:space="preserve"> REF _Ref4103 \h </w:instrText>
            </w:r>
            <w:r>
              <w:rPr>
                <w:color w:val="auto"/>
              </w:rPr>
              <w:fldChar w:fldCharType="separate"/>
            </w:r>
            <w:r>
              <w:rPr>
                <w:color w:val="auto"/>
              </w:rPr>
              <w:t>表2- 7</w:t>
            </w:r>
            <w:r>
              <w:rPr>
                <w:color w:val="auto"/>
              </w:rPr>
              <w:fldChar w:fldCharType="end"/>
            </w:r>
            <w:r>
              <w:rPr>
                <w:color w:val="auto"/>
              </w:rPr>
              <w:t>。</w:t>
            </w:r>
          </w:p>
          <w:p w14:paraId="334FD562">
            <w:pPr>
              <w:pStyle w:val="7"/>
              <w:rPr>
                <w:color w:val="auto"/>
              </w:rPr>
            </w:pPr>
            <w:bookmarkStart w:id="33" w:name="_Ref32755"/>
            <w:bookmarkStart w:id="34" w:name="_Ref25540"/>
            <w:r>
              <w:rPr>
                <w:color w:val="auto"/>
              </w:rPr>
              <w:t xml:space="preserve">表2- </w:t>
            </w:r>
            <w:r>
              <w:rPr>
                <w:color w:val="auto"/>
              </w:rPr>
              <w:fldChar w:fldCharType="begin"/>
            </w:r>
            <w:r>
              <w:rPr>
                <w:color w:val="auto"/>
              </w:rPr>
              <w:instrText xml:space="preserve"> SEQ 表2- \* ARABIC </w:instrText>
            </w:r>
            <w:r>
              <w:rPr>
                <w:color w:val="auto"/>
              </w:rPr>
              <w:fldChar w:fldCharType="separate"/>
            </w:r>
            <w:r>
              <w:rPr>
                <w:color w:val="auto"/>
              </w:rPr>
              <w:t>6</w:t>
            </w:r>
            <w:r>
              <w:rPr>
                <w:color w:val="auto"/>
              </w:rPr>
              <w:fldChar w:fldCharType="end"/>
            </w:r>
            <w:bookmarkEnd w:id="33"/>
            <w:bookmarkEnd w:id="34"/>
            <w:r>
              <w:rPr>
                <w:color w:val="auto"/>
              </w:rPr>
              <w:t xml:space="preserve"> 项目主要原辅材料用量情况一览表</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0"/>
              <w:gridCol w:w="984"/>
              <w:gridCol w:w="1025"/>
              <w:gridCol w:w="1000"/>
              <w:gridCol w:w="1213"/>
              <w:gridCol w:w="762"/>
              <w:gridCol w:w="956"/>
              <w:gridCol w:w="763"/>
              <w:gridCol w:w="1330"/>
            </w:tblGrid>
            <w:tr w14:paraId="6859F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400" w:type="dxa"/>
                  <w:vMerge w:val="restart"/>
                  <w:tcBorders>
                    <w:tl2br w:val="nil"/>
                    <w:tr2bl w:val="nil"/>
                  </w:tcBorders>
                  <w:tcMar>
                    <w:top w:w="0" w:type="dxa"/>
                    <w:left w:w="57" w:type="dxa"/>
                    <w:bottom w:w="0" w:type="dxa"/>
                    <w:right w:w="57" w:type="dxa"/>
                  </w:tcMar>
                  <w:vAlign w:val="center"/>
                </w:tcPr>
                <w:p w14:paraId="38F6A5AB">
                  <w:pPr>
                    <w:pStyle w:val="52"/>
                    <w:rPr>
                      <w:color w:val="auto"/>
                    </w:rPr>
                  </w:pPr>
                  <w:r>
                    <w:rPr>
                      <w:color w:val="auto"/>
                    </w:rPr>
                    <w:t>序号</w:t>
                  </w:r>
                </w:p>
              </w:tc>
              <w:tc>
                <w:tcPr>
                  <w:tcW w:w="984" w:type="dxa"/>
                  <w:vMerge w:val="restart"/>
                  <w:tcBorders>
                    <w:tl2br w:val="nil"/>
                    <w:tr2bl w:val="nil"/>
                  </w:tcBorders>
                  <w:tcMar>
                    <w:top w:w="0" w:type="dxa"/>
                    <w:left w:w="57" w:type="dxa"/>
                    <w:bottom w:w="0" w:type="dxa"/>
                    <w:right w:w="57" w:type="dxa"/>
                  </w:tcMar>
                  <w:vAlign w:val="center"/>
                </w:tcPr>
                <w:p w14:paraId="3478ED52">
                  <w:pPr>
                    <w:pStyle w:val="52"/>
                    <w:rPr>
                      <w:color w:val="auto"/>
                    </w:rPr>
                  </w:pPr>
                  <w:r>
                    <w:rPr>
                      <w:color w:val="auto"/>
                    </w:rPr>
                    <w:t>原辅料</w:t>
                  </w:r>
                </w:p>
              </w:tc>
              <w:tc>
                <w:tcPr>
                  <w:tcW w:w="3238" w:type="dxa"/>
                  <w:gridSpan w:val="3"/>
                  <w:tcBorders>
                    <w:tl2br w:val="nil"/>
                    <w:tr2bl w:val="nil"/>
                  </w:tcBorders>
                  <w:tcMar>
                    <w:top w:w="0" w:type="dxa"/>
                    <w:left w:w="57" w:type="dxa"/>
                    <w:bottom w:w="0" w:type="dxa"/>
                    <w:right w:w="57" w:type="dxa"/>
                  </w:tcMar>
                  <w:vAlign w:val="center"/>
                </w:tcPr>
                <w:p w14:paraId="5F9BCC6C">
                  <w:pPr>
                    <w:pStyle w:val="52"/>
                    <w:rPr>
                      <w:color w:val="auto"/>
                    </w:rPr>
                  </w:pPr>
                  <w:r>
                    <w:rPr>
                      <w:color w:val="auto"/>
                    </w:rPr>
                    <w:t>用量</w:t>
                  </w:r>
                </w:p>
              </w:tc>
              <w:tc>
                <w:tcPr>
                  <w:tcW w:w="762" w:type="dxa"/>
                  <w:vMerge w:val="restart"/>
                  <w:tcBorders>
                    <w:tl2br w:val="nil"/>
                    <w:tr2bl w:val="nil"/>
                  </w:tcBorders>
                  <w:tcMar>
                    <w:top w:w="0" w:type="dxa"/>
                    <w:left w:w="57" w:type="dxa"/>
                    <w:bottom w:w="0" w:type="dxa"/>
                    <w:right w:w="57" w:type="dxa"/>
                  </w:tcMar>
                  <w:vAlign w:val="center"/>
                </w:tcPr>
                <w:p w14:paraId="1F5D4D35">
                  <w:pPr>
                    <w:pStyle w:val="52"/>
                    <w:rPr>
                      <w:color w:val="auto"/>
                    </w:rPr>
                  </w:pPr>
                  <w:r>
                    <w:rPr>
                      <w:rFonts w:hint="eastAsia"/>
                      <w:color w:val="auto"/>
                    </w:rPr>
                    <w:t>变化量</w:t>
                  </w:r>
                </w:p>
              </w:tc>
              <w:tc>
                <w:tcPr>
                  <w:tcW w:w="956" w:type="dxa"/>
                  <w:vMerge w:val="restart"/>
                  <w:tcBorders>
                    <w:tl2br w:val="nil"/>
                    <w:tr2bl w:val="nil"/>
                  </w:tcBorders>
                  <w:tcMar>
                    <w:top w:w="0" w:type="dxa"/>
                    <w:left w:w="57" w:type="dxa"/>
                    <w:bottom w:w="0" w:type="dxa"/>
                    <w:right w:w="57" w:type="dxa"/>
                  </w:tcMar>
                  <w:vAlign w:val="center"/>
                </w:tcPr>
                <w:p w14:paraId="0F660903">
                  <w:pPr>
                    <w:pStyle w:val="52"/>
                    <w:rPr>
                      <w:color w:val="auto"/>
                    </w:rPr>
                  </w:pPr>
                  <w:r>
                    <w:rPr>
                      <w:rFonts w:hint="eastAsia"/>
                      <w:color w:val="auto"/>
                    </w:rPr>
                    <w:t>规格</w:t>
                  </w:r>
                </w:p>
              </w:tc>
              <w:tc>
                <w:tcPr>
                  <w:tcW w:w="763" w:type="dxa"/>
                  <w:vMerge w:val="restart"/>
                  <w:tcBorders>
                    <w:tl2br w:val="nil"/>
                    <w:tr2bl w:val="nil"/>
                  </w:tcBorders>
                  <w:tcMar>
                    <w:top w:w="0" w:type="dxa"/>
                    <w:left w:w="57" w:type="dxa"/>
                    <w:bottom w:w="0" w:type="dxa"/>
                    <w:right w:w="57" w:type="dxa"/>
                  </w:tcMar>
                  <w:vAlign w:val="center"/>
                </w:tcPr>
                <w:p w14:paraId="49F5D565">
                  <w:pPr>
                    <w:pStyle w:val="52"/>
                    <w:rPr>
                      <w:color w:val="auto"/>
                    </w:rPr>
                  </w:pPr>
                  <w:r>
                    <w:rPr>
                      <w:color w:val="auto"/>
                    </w:rPr>
                    <w:t>暂存量</w:t>
                  </w:r>
                </w:p>
                <w:p w14:paraId="651A891D">
                  <w:pPr>
                    <w:pStyle w:val="52"/>
                    <w:rPr>
                      <w:color w:val="auto"/>
                    </w:rPr>
                  </w:pPr>
                  <w:r>
                    <w:rPr>
                      <w:rFonts w:hint="eastAsia"/>
                      <w:color w:val="auto"/>
                    </w:rPr>
                    <w:t>（t）</w:t>
                  </w:r>
                </w:p>
              </w:tc>
              <w:tc>
                <w:tcPr>
                  <w:tcW w:w="1330" w:type="dxa"/>
                  <w:vMerge w:val="restart"/>
                  <w:tcBorders>
                    <w:tl2br w:val="nil"/>
                    <w:tr2bl w:val="nil"/>
                  </w:tcBorders>
                  <w:tcMar>
                    <w:top w:w="0" w:type="dxa"/>
                    <w:left w:w="57" w:type="dxa"/>
                    <w:bottom w:w="0" w:type="dxa"/>
                    <w:right w:w="57" w:type="dxa"/>
                  </w:tcMar>
                  <w:vAlign w:val="center"/>
                </w:tcPr>
                <w:p w14:paraId="438F0A92">
                  <w:pPr>
                    <w:pStyle w:val="52"/>
                    <w:rPr>
                      <w:color w:val="auto"/>
                    </w:rPr>
                  </w:pPr>
                  <w:r>
                    <w:rPr>
                      <w:rFonts w:hint="eastAsia"/>
                      <w:color w:val="auto"/>
                    </w:rPr>
                    <w:t>备注</w:t>
                  </w:r>
                </w:p>
              </w:tc>
            </w:tr>
            <w:tr w14:paraId="3F3B7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400" w:type="dxa"/>
                  <w:vMerge w:val="continue"/>
                  <w:tcBorders>
                    <w:tl2br w:val="nil"/>
                    <w:tr2bl w:val="nil"/>
                  </w:tcBorders>
                  <w:tcMar>
                    <w:top w:w="0" w:type="dxa"/>
                    <w:left w:w="57" w:type="dxa"/>
                    <w:bottom w:w="0" w:type="dxa"/>
                    <w:right w:w="57" w:type="dxa"/>
                  </w:tcMar>
                  <w:vAlign w:val="center"/>
                </w:tcPr>
                <w:p w14:paraId="5B3C1992">
                  <w:pPr>
                    <w:pStyle w:val="52"/>
                    <w:rPr>
                      <w:color w:val="auto"/>
                    </w:rPr>
                  </w:pPr>
                </w:p>
              </w:tc>
              <w:tc>
                <w:tcPr>
                  <w:tcW w:w="984" w:type="dxa"/>
                  <w:vMerge w:val="continue"/>
                  <w:tcBorders>
                    <w:tl2br w:val="nil"/>
                    <w:tr2bl w:val="nil"/>
                  </w:tcBorders>
                  <w:tcMar>
                    <w:top w:w="0" w:type="dxa"/>
                    <w:left w:w="57" w:type="dxa"/>
                    <w:bottom w:w="0" w:type="dxa"/>
                    <w:right w:w="57" w:type="dxa"/>
                  </w:tcMar>
                  <w:vAlign w:val="center"/>
                </w:tcPr>
                <w:p w14:paraId="39476415">
                  <w:pPr>
                    <w:pStyle w:val="52"/>
                    <w:rPr>
                      <w:color w:val="auto"/>
                    </w:rPr>
                  </w:pPr>
                </w:p>
              </w:tc>
              <w:tc>
                <w:tcPr>
                  <w:tcW w:w="1025" w:type="dxa"/>
                  <w:tcBorders>
                    <w:tl2br w:val="nil"/>
                    <w:tr2bl w:val="nil"/>
                  </w:tcBorders>
                  <w:tcMar>
                    <w:top w:w="0" w:type="dxa"/>
                    <w:left w:w="57" w:type="dxa"/>
                    <w:bottom w:w="0" w:type="dxa"/>
                    <w:right w:w="57" w:type="dxa"/>
                  </w:tcMar>
                  <w:vAlign w:val="center"/>
                </w:tcPr>
                <w:p w14:paraId="7EF8C257">
                  <w:pPr>
                    <w:pStyle w:val="52"/>
                    <w:rPr>
                      <w:color w:val="auto"/>
                    </w:rPr>
                  </w:pPr>
                  <w:r>
                    <w:rPr>
                      <w:rFonts w:hint="eastAsia"/>
                      <w:color w:val="auto"/>
                    </w:rPr>
                    <w:t>现有项目</w:t>
                  </w:r>
                </w:p>
              </w:tc>
              <w:tc>
                <w:tcPr>
                  <w:tcW w:w="1000" w:type="dxa"/>
                  <w:tcBorders>
                    <w:tl2br w:val="nil"/>
                    <w:tr2bl w:val="nil"/>
                  </w:tcBorders>
                  <w:tcMar>
                    <w:top w:w="0" w:type="dxa"/>
                    <w:left w:w="57" w:type="dxa"/>
                    <w:bottom w:w="0" w:type="dxa"/>
                    <w:right w:w="57" w:type="dxa"/>
                  </w:tcMar>
                  <w:vAlign w:val="center"/>
                </w:tcPr>
                <w:p w14:paraId="28515932">
                  <w:pPr>
                    <w:pStyle w:val="52"/>
                    <w:rPr>
                      <w:color w:val="auto"/>
                    </w:rPr>
                  </w:pPr>
                  <w:r>
                    <w:rPr>
                      <w:rFonts w:hint="eastAsia"/>
                      <w:color w:val="auto"/>
                    </w:rPr>
                    <w:t>扩建项目</w:t>
                  </w:r>
                </w:p>
              </w:tc>
              <w:tc>
                <w:tcPr>
                  <w:tcW w:w="1213" w:type="dxa"/>
                  <w:tcBorders>
                    <w:tl2br w:val="nil"/>
                    <w:tr2bl w:val="nil"/>
                  </w:tcBorders>
                  <w:tcMar>
                    <w:top w:w="0" w:type="dxa"/>
                    <w:left w:w="57" w:type="dxa"/>
                    <w:bottom w:w="0" w:type="dxa"/>
                    <w:right w:w="57" w:type="dxa"/>
                  </w:tcMar>
                  <w:vAlign w:val="center"/>
                </w:tcPr>
                <w:p w14:paraId="5404DE19">
                  <w:pPr>
                    <w:pStyle w:val="52"/>
                    <w:rPr>
                      <w:color w:val="auto"/>
                    </w:rPr>
                  </w:pPr>
                  <w:r>
                    <w:rPr>
                      <w:rFonts w:hint="eastAsia"/>
                      <w:color w:val="auto"/>
                    </w:rPr>
                    <w:t>扩建后全厂</w:t>
                  </w:r>
                </w:p>
              </w:tc>
              <w:tc>
                <w:tcPr>
                  <w:tcW w:w="762" w:type="dxa"/>
                  <w:vMerge w:val="continue"/>
                  <w:tcBorders>
                    <w:tl2br w:val="nil"/>
                    <w:tr2bl w:val="nil"/>
                  </w:tcBorders>
                  <w:tcMar>
                    <w:top w:w="0" w:type="dxa"/>
                    <w:left w:w="57" w:type="dxa"/>
                    <w:bottom w:w="0" w:type="dxa"/>
                    <w:right w:w="57" w:type="dxa"/>
                  </w:tcMar>
                  <w:vAlign w:val="center"/>
                </w:tcPr>
                <w:p w14:paraId="0A8433A7">
                  <w:pPr>
                    <w:pStyle w:val="52"/>
                    <w:rPr>
                      <w:color w:val="auto"/>
                    </w:rPr>
                  </w:pPr>
                </w:p>
              </w:tc>
              <w:tc>
                <w:tcPr>
                  <w:tcW w:w="956" w:type="dxa"/>
                  <w:vMerge w:val="continue"/>
                  <w:tcBorders>
                    <w:tl2br w:val="nil"/>
                    <w:tr2bl w:val="nil"/>
                  </w:tcBorders>
                  <w:tcMar>
                    <w:top w:w="0" w:type="dxa"/>
                    <w:left w:w="57" w:type="dxa"/>
                    <w:bottom w:w="0" w:type="dxa"/>
                    <w:right w:w="57" w:type="dxa"/>
                  </w:tcMar>
                  <w:vAlign w:val="center"/>
                </w:tcPr>
                <w:p w14:paraId="25111258">
                  <w:pPr>
                    <w:pStyle w:val="52"/>
                    <w:rPr>
                      <w:color w:val="auto"/>
                    </w:rPr>
                  </w:pPr>
                </w:p>
              </w:tc>
              <w:tc>
                <w:tcPr>
                  <w:tcW w:w="763" w:type="dxa"/>
                  <w:vMerge w:val="continue"/>
                  <w:tcBorders>
                    <w:tl2br w:val="nil"/>
                    <w:tr2bl w:val="nil"/>
                  </w:tcBorders>
                  <w:tcMar>
                    <w:top w:w="0" w:type="dxa"/>
                    <w:left w:w="57" w:type="dxa"/>
                    <w:bottom w:w="0" w:type="dxa"/>
                    <w:right w:w="57" w:type="dxa"/>
                  </w:tcMar>
                  <w:vAlign w:val="center"/>
                </w:tcPr>
                <w:p w14:paraId="51EBE5AF">
                  <w:pPr>
                    <w:pStyle w:val="52"/>
                    <w:rPr>
                      <w:color w:val="auto"/>
                    </w:rPr>
                  </w:pPr>
                </w:p>
              </w:tc>
              <w:tc>
                <w:tcPr>
                  <w:tcW w:w="1330" w:type="dxa"/>
                  <w:vMerge w:val="continue"/>
                  <w:tcBorders>
                    <w:tl2br w:val="nil"/>
                    <w:tr2bl w:val="nil"/>
                  </w:tcBorders>
                  <w:tcMar>
                    <w:top w:w="0" w:type="dxa"/>
                    <w:left w:w="57" w:type="dxa"/>
                    <w:bottom w:w="0" w:type="dxa"/>
                    <w:right w:w="57" w:type="dxa"/>
                  </w:tcMar>
                  <w:vAlign w:val="center"/>
                </w:tcPr>
                <w:p w14:paraId="2595D2E7">
                  <w:pPr>
                    <w:pStyle w:val="52"/>
                    <w:rPr>
                      <w:color w:val="auto"/>
                    </w:rPr>
                  </w:pPr>
                </w:p>
              </w:tc>
            </w:tr>
            <w:tr w14:paraId="07A1A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tblHeader/>
                <w:jc w:val="center"/>
              </w:trPr>
              <w:tc>
                <w:tcPr>
                  <w:tcW w:w="400" w:type="dxa"/>
                  <w:tcBorders>
                    <w:tl2br w:val="nil"/>
                    <w:tr2bl w:val="nil"/>
                  </w:tcBorders>
                  <w:shd w:val="clear" w:color="auto" w:fill="auto"/>
                  <w:tcMar>
                    <w:top w:w="0" w:type="dxa"/>
                    <w:left w:w="57" w:type="dxa"/>
                    <w:bottom w:w="0" w:type="dxa"/>
                    <w:right w:w="57" w:type="dxa"/>
                  </w:tcMar>
                  <w:vAlign w:val="center"/>
                </w:tcPr>
                <w:p w14:paraId="616EB145">
                  <w:pPr>
                    <w:pStyle w:val="54"/>
                    <w:bidi w:val="0"/>
                    <w:rPr>
                      <w:color w:val="auto"/>
                    </w:rPr>
                  </w:pPr>
                  <w:r>
                    <w:rPr>
                      <w:color w:val="auto"/>
                    </w:rPr>
                    <w:t>1</w:t>
                  </w:r>
                </w:p>
              </w:tc>
              <w:tc>
                <w:tcPr>
                  <w:tcW w:w="984" w:type="dxa"/>
                  <w:tcBorders>
                    <w:tl2br w:val="nil"/>
                    <w:tr2bl w:val="nil"/>
                  </w:tcBorders>
                  <w:shd w:val="clear" w:color="auto" w:fill="auto"/>
                  <w:tcMar>
                    <w:top w:w="0" w:type="dxa"/>
                    <w:left w:w="57" w:type="dxa"/>
                    <w:bottom w:w="0" w:type="dxa"/>
                    <w:right w:w="57" w:type="dxa"/>
                  </w:tcMar>
                  <w:vAlign w:val="center"/>
                </w:tcPr>
                <w:p w14:paraId="1BFDCF13">
                  <w:pPr>
                    <w:pStyle w:val="54"/>
                    <w:bidi w:val="0"/>
                    <w:rPr>
                      <w:color w:val="auto"/>
                    </w:rPr>
                  </w:pPr>
                  <w:r>
                    <w:rPr>
                      <w:rFonts w:hint="eastAsia"/>
                      <w:color w:val="auto"/>
                    </w:rPr>
                    <w:t>高纯度铜</w:t>
                  </w:r>
                </w:p>
              </w:tc>
              <w:tc>
                <w:tcPr>
                  <w:tcW w:w="1025" w:type="dxa"/>
                  <w:tcBorders>
                    <w:tl2br w:val="nil"/>
                    <w:tr2bl w:val="nil"/>
                  </w:tcBorders>
                  <w:shd w:val="clear" w:color="auto" w:fill="auto"/>
                  <w:tcMar>
                    <w:top w:w="0" w:type="dxa"/>
                    <w:left w:w="57" w:type="dxa"/>
                    <w:bottom w:w="0" w:type="dxa"/>
                    <w:right w:w="57" w:type="dxa"/>
                  </w:tcMar>
                  <w:vAlign w:val="center"/>
                </w:tcPr>
                <w:p w14:paraId="32A18864">
                  <w:pPr>
                    <w:pStyle w:val="54"/>
                    <w:bidi w:val="0"/>
                    <w:rPr>
                      <w:rFonts w:hint="default"/>
                      <w:color w:val="auto"/>
                      <w:lang w:val="en-US" w:eastAsia="zh-CN"/>
                    </w:rPr>
                  </w:pPr>
                  <w:r>
                    <w:rPr>
                      <w:rFonts w:hint="eastAsia"/>
                      <w:color w:val="auto"/>
                    </w:rPr>
                    <w:t>1002</w:t>
                  </w:r>
                  <w:r>
                    <w:rPr>
                      <w:rFonts w:hint="eastAsia"/>
                      <w:color w:val="auto"/>
                      <w:lang w:val="en-US" w:eastAsia="zh-CN"/>
                    </w:rPr>
                    <w:t>48</w:t>
                  </w:r>
                </w:p>
              </w:tc>
              <w:tc>
                <w:tcPr>
                  <w:tcW w:w="1000" w:type="dxa"/>
                  <w:tcBorders>
                    <w:tl2br w:val="nil"/>
                    <w:tr2bl w:val="nil"/>
                  </w:tcBorders>
                  <w:shd w:val="clear" w:color="auto" w:fill="auto"/>
                  <w:tcMar>
                    <w:top w:w="0" w:type="dxa"/>
                    <w:left w:w="57" w:type="dxa"/>
                    <w:bottom w:w="0" w:type="dxa"/>
                    <w:right w:w="57" w:type="dxa"/>
                  </w:tcMar>
                  <w:vAlign w:val="center"/>
                </w:tcPr>
                <w:p w14:paraId="6B0D213B">
                  <w:pPr>
                    <w:pStyle w:val="54"/>
                    <w:bidi w:val="0"/>
                    <w:rPr>
                      <w:color w:val="auto"/>
                    </w:rPr>
                  </w:pPr>
                  <w:r>
                    <w:rPr>
                      <w:rFonts w:hint="eastAsia"/>
                      <w:color w:val="auto"/>
                    </w:rPr>
                    <w:t>32013</w:t>
                  </w:r>
                </w:p>
              </w:tc>
              <w:tc>
                <w:tcPr>
                  <w:tcW w:w="1213" w:type="dxa"/>
                  <w:tcBorders>
                    <w:tl2br w:val="nil"/>
                    <w:tr2bl w:val="nil"/>
                  </w:tcBorders>
                  <w:shd w:val="clear" w:color="auto" w:fill="auto"/>
                  <w:tcMar>
                    <w:top w:w="0" w:type="dxa"/>
                    <w:left w:w="57" w:type="dxa"/>
                    <w:bottom w:w="0" w:type="dxa"/>
                    <w:right w:w="57" w:type="dxa"/>
                  </w:tcMar>
                  <w:vAlign w:val="center"/>
                </w:tcPr>
                <w:p w14:paraId="4605D8AB">
                  <w:pPr>
                    <w:pStyle w:val="54"/>
                    <w:bidi w:val="0"/>
                    <w:rPr>
                      <w:rFonts w:hint="eastAsia"/>
                      <w:color w:val="auto"/>
                      <w:lang w:val="en-US" w:eastAsia="zh-CN"/>
                    </w:rPr>
                  </w:pPr>
                  <w:r>
                    <w:rPr>
                      <w:rFonts w:hint="eastAsia"/>
                      <w:color w:val="auto"/>
                      <w:lang w:val="en-US" w:eastAsia="zh-CN"/>
                    </w:rPr>
                    <w:t>132261</w:t>
                  </w:r>
                </w:p>
              </w:tc>
              <w:tc>
                <w:tcPr>
                  <w:tcW w:w="762" w:type="dxa"/>
                  <w:tcBorders>
                    <w:tl2br w:val="nil"/>
                    <w:tr2bl w:val="nil"/>
                  </w:tcBorders>
                  <w:shd w:val="clear" w:color="auto" w:fill="auto"/>
                  <w:tcMar>
                    <w:top w:w="0" w:type="dxa"/>
                    <w:left w:w="57" w:type="dxa"/>
                    <w:bottom w:w="0" w:type="dxa"/>
                    <w:right w:w="57" w:type="dxa"/>
                  </w:tcMar>
                  <w:vAlign w:val="center"/>
                </w:tcPr>
                <w:p w14:paraId="19074F45">
                  <w:pPr>
                    <w:pStyle w:val="54"/>
                    <w:bidi w:val="0"/>
                    <w:rPr>
                      <w:rFonts w:hint="default"/>
                      <w:color w:val="auto"/>
                      <w:lang w:val="en-US" w:eastAsia="zh-CN"/>
                    </w:rPr>
                  </w:pPr>
                  <w:r>
                    <w:rPr>
                      <w:rFonts w:hint="eastAsia"/>
                      <w:color w:val="auto"/>
                    </w:rPr>
                    <w:t>+</w:t>
                  </w:r>
                  <w:r>
                    <w:rPr>
                      <w:rFonts w:hint="eastAsia"/>
                      <w:color w:val="auto"/>
                      <w:lang w:val="en-US" w:eastAsia="zh-CN"/>
                    </w:rPr>
                    <w:t>32013</w:t>
                  </w:r>
                </w:p>
              </w:tc>
              <w:tc>
                <w:tcPr>
                  <w:tcW w:w="956" w:type="dxa"/>
                  <w:tcBorders>
                    <w:tl2br w:val="nil"/>
                    <w:tr2bl w:val="nil"/>
                  </w:tcBorders>
                  <w:shd w:val="clear" w:color="auto" w:fill="auto"/>
                  <w:tcMar>
                    <w:top w:w="0" w:type="dxa"/>
                    <w:left w:w="57" w:type="dxa"/>
                    <w:bottom w:w="0" w:type="dxa"/>
                    <w:right w:w="57" w:type="dxa"/>
                  </w:tcMar>
                  <w:vAlign w:val="center"/>
                </w:tcPr>
                <w:p w14:paraId="06FCA1AD">
                  <w:pPr>
                    <w:pStyle w:val="54"/>
                    <w:bidi w:val="0"/>
                    <w:rPr>
                      <w:color w:val="auto"/>
                    </w:rPr>
                  </w:pPr>
                  <w:r>
                    <w:rPr>
                      <w:rFonts w:hint="eastAsia"/>
                      <w:color w:val="auto"/>
                    </w:rPr>
                    <w:t>4</w:t>
                  </w:r>
                  <w:r>
                    <w:rPr>
                      <w:color w:val="auto"/>
                    </w:rPr>
                    <w:t>t/盘</w:t>
                  </w:r>
                </w:p>
              </w:tc>
              <w:tc>
                <w:tcPr>
                  <w:tcW w:w="763" w:type="dxa"/>
                  <w:tcBorders>
                    <w:tl2br w:val="nil"/>
                    <w:tr2bl w:val="nil"/>
                  </w:tcBorders>
                  <w:shd w:val="clear" w:color="auto" w:fill="auto"/>
                  <w:tcMar>
                    <w:top w:w="0" w:type="dxa"/>
                    <w:left w:w="57" w:type="dxa"/>
                    <w:bottom w:w="0" w:type="dxa"/>
                    <w:right w:w="57" w:type="dxa"/>
                  </w:tcMar>
                  <w:vAlign w:val="center"/>
                </w:tcPr>
                <w:p w14:paraId="55F81CC9">
                  <w:pPr>
                    <w:pStyle w:val="54"/>
                    <w:bidi w:val="0"/>
                    <w:rPr>
                      <w:color w:val="auto"/>
                    </w:rPr>
                  </w:pPr>
                  <w:r>
                    <w:rPr>
                      <w:rFonts w:hint="eastAsia"/>
                      <w:color w:val="auto"/>
                    </w:rPr>
                    <w:t>2000</w:t>
                  </w:r>
                </w:p>
              </w:tc>
              <w:tc>
                <w:tcPr>
                  <w:tcW w:w="1330" w:type="dxa"/>
                  <w:tcBorders>
                    <w:tl2br w:val="nil"/>
                    <w:tr2bl w:val="nil"/>
                  </w:tcBorders>
                  <w:shd w:val="clear" w:color="auto" w:fill="auto"/>
                  <w:tcMar>
                    <w:top w:w="0" w:type="dxa"/>
                    <w:left w:w="57" w:type="dxa"/>
                    <w:bottom w:w="0" w:type="dxa"/>
                    <w:right w:w="57" w:type="dxa"/>
                  </w:tcMar>
                  <w:vAlign w:val="center"/>
                </w:tcPr>
                <w:p w14:paraId="1F1A1AB6">
                  <w:pPr>
                    <w:pStyle w:val="54"/>
                    <w:bidi w:val="0"/>
                    <w:rPr>
                      <w:color w:val="auto"/>
                    </w:rPr>
                  </w:pPr>
                  <w:r>
                    <w:rPr>
                      <w:rFonts w:hint="eastAsia"/>
                      <w:color w:val="auto"/>
                    </w:rPr>
                    <w:t>符合《阴极铜》（</w:t>
                  </w:r>
                  <w:r>
                    <w:rPr>
                      <w:color w:val="auto"/>
                    </w:rPr>
                    <w:t>GB/</w:t>
                  </w:r>
                  <w:r>
                    <w:rPr>
                      <w:rFonts w:hint="eastAsia"/>
                      <w:color w:val="auto"/>
                    </w:rPr>
                    <w:t xml:space="preserve">T </w:t>
                  </w:r>
                  <w:r>
                    <w:rPr>
                      <w:color w:val="auto"/>
                    </w:rPr>
                    <w:t>467-2010</w:t>
                  </w:r>
                  <w:r>
                    <w:rPr>
                      <w:rFonts w:hint="eastAsia"/>
                      <w:color w:val="auto"/>
                    </w:rPr>
                    <w:t>标准），铜含量达</w:t>
                  </w:r>
                  <w:r>
                    <w:rPr>
                      <w:color w:val="auto"/>
                    </w:rPr>
                    <w:t>99.9%以上</w:t>
                  </w:r>
                </w:p>
              </w:tc>
            </w:tr>
            <w:tr w14:paraId="40A535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tblHeader/>
                <w:jc w:val="center"/>
              </w:trPr>
              <w:tc>
                <w:tcPr>
                  <w:tcW w:w="400" w:type="dxa"/>
                  <w:tcBorders>
                    <w:tl2br w:val="nil"/>
                    <w:tr2bl w:val="nil"/>
                  </w:tcBorders>
                  <w:shd w:val="clear" w:color="auto" w:fill="auto"/>
                  <w:tcMar>
                    <w:top w:w="0" w:type="dxa"/>
                    <w:left w:w="57" w:type="dxa"/>
                    <w:bottom w:w="0" w:type="dxa"/>
                    <w:right w:w="57" w:type="dxa"/>
                  </w:tcMar>
                  <w:vAlign w:val="center"/>
                </w:tcPr>
                <w:p w14:paraId="5E244C8B">
                  <w:pPr>
                    <w:pStyle w:val="54"/>
                    <w:rPr>
                      <w:color w:val="auto"/>
                    </w:rPr>
                  </w:pPr>
                  <w:r>
                    <w:rPr>
                      <w:color w:val="auto"/>
                    </w:rPr>
                    <w:t>2</w:t>
                  </w:r>
                </w:p>
              </w:tc>
              <w:tc>
                <w:tcPr>
                  <w:tcW w:w="984" w:type="dxa"/>
                  <w:tcBorders>
                    <w:tl2br w:val="nil"/>
                    <w:tr2bl w:val="nil"/>
                  </w:tcBorders>
                  <w:shd w:val="clear" w:color="auto" w:fill="auto"/>
                  <w:tcMar>
                    <w:top w:w="0" w:type="dxa"/>
                    <w:left w:w="57" w:type="dxa"/>
                    <w:bottom w:w="0" w:type="dxa"/>
                    <w:right w:w="57" w:type="dxa"/>
                  </w:tcMar>
                  <w:vAlign w:val="center"/>
                </w:tcPr>
                <w:p w14:paraId="47ED0C8C">
                  <w:pPr>
                    <w:pStyle w:val="54"/>
                    <w:rPr>
                      <w:color w:val="auto"/>
                    </w:rPr>
                  </w:pPr>
                  <w:r>
                    <w:rPr>
                      <w:rFonts w:hint="eastAsia"/>
                      <w:color w:val="auto"/>
                    </w:rPr>
                    <w:t>木炭</w:t>
                  </w:r>
                </w:p>
              </w:tc>
              <w:tc>
                <w:tcPr>
                  <w:tcW w:w="1025" w:type="dxa"/>
                  <w:tcBorders>
                    <w:tl2br w:val="nil"/>
                    <w:tr2bl w:val="nil"/>
                  </w:tcBorders>
                  <w:shd w:val="clear" w:color="auto" w:fill="auto"/>
                  <w:tcMar>
                    <w:top w:w="0" w:type="dxa"/>
                    <w:left w:w="57" w:type="dxa"/>
                    <w:bottom w:w="0" w:type="dxa"/>
                    <w:right w:w="57" w:type="dxa"/>
                  </w:tcMar>
                  <w:vAlign w:val="center"/>
                </w:tcPr>
                <w:p w14:paraId="1F38775D">
                  <w:pPr>
                    <w:pStyle w:val="54"/>
                    <w:rPr>
                      <w:color w:val="auto"/>
                    </w:rPr>
                  </w:pPr>
                  <w:r>
                    <w:rPr>
                      <w:rFonts w:hint="eastAsia"/>
                      <w:color w:val="auto"/>
                    </w:rPr>
                    <w:t>2.6</w:t>
                  </w:r>
                </w:p>
              </w:tc>
              <w:tc>
                <w:tcPr>
                  <w:tcW w:w="1000" w:type="dxa"/>
                  <w:tcBorders>
                    <w:tl2br w:val="nil"/>
                    <w:tr2bl w:val="nil"/>
                  </w:tcBorders>
                  <w:shd w:val="clear" w:color="auto" w:fill="auto"/>
                  <w:tcMar>
                    <w:top w:w="0" w:type="dxa"/>
                    <w:left w:w="57" w:type="dxa"/>
                    <w:bottom w:w="0" w:type="dxa"/>
                    <w:right w:w="57" w:type="dxa"/>
                  </w:tcMar>
                  <w:vAlign w:val="center"/>
                </w:tcPr>
                <w:p w14:paraId="6F6C8586">
                  <w:pPr>
                    <w:pStyle w:val="54"/>
                    <w:rPr>
                      <w:rFonts w:hint="default" w:eastAsia="宋体"/>
                      <w:color w:val="auto"/>
                      <w:lang w:val="en-US" w:eastAsia="zh-CN"/>
                    </w:rPr>
                  </w:pPr>
                  <w:r>
                    <w:rPr>
                      <w:rFonts w:hint="eastAsia"/>
                      <w:color w:val="auto"/>
                      <w:lang w:val="en-US" w:eastAsia="zh-CN"/>
                    </w:rPr>
                    <w:t>160</w:t>
                  </w:r>
                </w:p>
              </w:tc>
              <w:tc>
                <w:tcPr>
                  <w:tcW w:w="1213" w:type="dxa"/>
                  <w:tcBorders>
                    <w:tl2br w:val="nil"/>
                    <w:tr2bl w:val="nil"/>
                  </w:tcBorders>
                  <w:shd w:val="clear" w:color="auto" w:fill="auto"/>
                  <w:tcMar>
                    <w:top w:w="0" w:type="dxa"/>
                    <w:left w:w="57" w:type="dxa"/>
                    <w:bottom w:w="0" w:type="dxa"/>
                    <w:right w:w="57" w:type="dxa"/>
                  </w:tcMar>
                  <w:vAlign w:val="center"/>
                </w:tcPr>
                <w:p w14:paraId="6BEE131F">
                  <w:pPr>
                    <w:pStyle w:val="54"/>
                    <w:rPr>
                      <w:rFonts w:hint="default" w:eastAsia="宋体"/>
                      <w:color w:val="auto"/>
                      <w:lang w:val="en-US" w:eastAsia="zh-CN"/>
                    </w:rPr>
                  </w:pPr>
                  <w:r>
                    <w:rPr>
                      <w:rFonts w:hint="eastAsia"/>
                      <w:color w:val="auto"/>
                      <w:lang w:val="en-US" w:eastAsia="zh-CN"/>
                    </w:rPr>
                    <w:t>162.6</w:t>
                  </w:r>
                </w:p>
              </w:tc>
              <w:tc>
                <w:tcPr>
                  <w:tcW w:w="762" w:type="dxa"/>
                  <w:tcBorders>
                    <w:tl2br w:val="nil"/>
                    <w:tr2bl w:val="nil"/>
                  </w:tcBorders>
                  <w:shd w:val="clear" w:color="auto" w:fill="auto"/>
                  <w:tcMar>
                    <w:top w:w="0" w:type="dxa"/>
                    <w:left w:w="57" w:type="dxa"/>
                    <w:bottom w:w="0" w:type="dxa"/>
                    <w:right w:w="57" w:type="dxa"/>
                  </w:tcMar>
                  <w:vAlign w:val="center"/>
                </w:tcPr>
                <w:p w14:paraId="0E434D61">
                  <w:pPr>
                    <w:pStyle w:val="54"/>
                    <w:rPr>
                      <w:rFonts w:hint="default" w:eastAsia="宋体"/>
                      <w:color w:val="auto"/>
                      <w:lang w:val="en-US" w:eastAsia="zh-CN"/>
                    </w:rPr>
                  </w:pPr>
                  <w:r>
                    <w:rPr>
                      <w:rFonts w:hint="eastAsia"/>
                      <w:color w:val="auto"/>
                    </w:rPr>
                    <w:t>+</w:t>
                  </w:r>
                  <w:r>
                    <w:rPr>
                      <w:rFonts w:hint="eastAsia"/>
                      <w:color w:val="auto"/>
                      <w:lang w:val="en-US" w:eastAsia="zh-CN"/>
                    </w:rPr>
                    <w:t>160</w:t>
                  </w:r>
                </w:p>
              </w:tc>
              <w:tc>
                <w:tcPr>
                  <w:tcW w:w="956" w:type="dxa"/>
                  <w:tcBorders>
                    <w:tl2br w:val="nil"/>
                    <w:tr2bl w:val="nil"/>
                  </w:tcBorders>
                  <w:shd w:val="clear" w:color="auto" w:fill="auto"/>
                  <w:tcMar>
                    <w:top w:w="0" w:type="dxa"/>
                    <w:left w:w="57" w:type="dxa"/>
                    <w:bottom w:w="0" w:type="dxa"/>
                    <w:right w:w="57" w:type="dxa"/>
                  </w:tcMar>
                  <w:vAlign w:val="center"/>
                </w:tcPr>
                <w:p w14:paraId="68DD917D">
                  <w:pPr>
                    <w:pStyle w:val="54"/>
                    <w:rPr>
                      <w:color w:val="auto"/>
                    </w:rPr>
                  </w:pPr>
                  <w:r>
                    <w:rPr>
                      <w:color w:val="auto"/>
                    </w:rPr>
                    <w:t>50kg/袋</w:t>
                  </w:r>
                </w:p>
              </w:tc>
              <w:tc>
                <w:tcPr>
                  <w:tcW w:w="763" w:type="dxa"/>
                  <w:tcBorders>
                    <w:tl2br w:val="nil"/>
                    <w:tr2bl w:val="nil"/>
                  </w:tcBorders>
                  <w:shd w:val="clear" w:color="auto" w:fill="auto"/>
                  <w:tcMar>
                    <w:top w:w="0" w:type="dxa"/>
                    <w:left w:w="57" w:type="dxa"/>
                    <w:bottom w:w="0" w:type="dxa"/>
                    <w:right w:w="57" w:type="dxa"/>
                  </w:tcMar>
                  <w:vAlign w:val="center"/>
                </w:tcPr>
                <w:p w14:paraId="221DD3CC">
                  <w:pPr>
                    <w:pStyle w:val="54"/>
                    <w:rPr>
                      <w:color w:val="auto"/>
                    </w:rPr>
                  </w:pPr>
                  <w:r>
                    <w:rPr>
                      <w:rFonts w:hint="eastAsia"/>
                      <w:color w:val="auto"/>
                    </w:rPr>
                    <w:t>10</w:t>
                  </w:r>
                </w:p>
              </w:tc>
              <w:tc>
                <w:tcPr>
                  <w:tcW w:w="1330" w:type="dxa"/>
                  <w:tcBorders>
                    <w:tl2br w:val="nil"/>
                    <w:tr2bl w:val="nil"/>
                  </w:tcBorders>
                  <w:shd w:val="clear" w:color="auto" w:fill="auto"/>
                  <w:tcMar>
                    <w:top w:w="0" w:type="dxa"/>
                    <w:left w:w="57" w:type="dxa"/>
                    <w:bottom w:w="0" w:type="dxa"/>
                    <w:right w:w="57" w:type="dxa"/>
                  </w:tcMar>
                  <w:vAlign w:val="center"/>
                </w:tcPr>
                <w:p w14:paraId="2B7136F9">
                  <w:pPr>
                    <w:pStyle w:val="54"/>
                    <w:rPr>
                      <w:color w:val="auto"/>
                    </w:rPr>
                  </w:pPr>
                  <w:r>
                    <w:rPr>
                      <w:rFonts w:hint="eastAsia"/>
                      <w:color w:val="auto"/>
                    </w:rPr>
                    <w:t>/</w:t>
                  </w:r>
                </w:p>
              </w:tc>
            </w:tr>
            <w:tr w14:paraId="17F10D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400" w:type="dxa"/>
                  <w:tcBorders>
                    <w:tl2br w:val="nil"/>
                    <w:tr2bl w:val="nil"/>
                  </w:tcBorders>
                  <w:shd w:val="clear" w:color="auto" w:fill="auto"/>
                  <w:tcMar>
                    <w:top w:w="0" w:type="dxa"/>
                    <w:left w:w="57" w:type="dxa"/>
                    <w:bottom w:w="0" w:type="dxa"/>
                    <w:right w:w="57" w:type="dxa"/>
                  </w:tcMar>
                  <w:vAlign w:val="center"/>
                </w:tcPr>
                <w:p w14:paraId="0D642264">
                  <w:pPr>
                    <w:pStyle w:val="54"/>
                    <w:rPr>
                      <w:color w:val="auto"/>
                    </w:rPr>
                  </w:pPr>
                  <w:r>
                    <w:rPr>
                      <w:rFonts w:hint="eastAsia"/>
                      <w:color w:val="auto"/>
                    </w:rPr>
                    <w:t>3</w:t>
                  </w:r>
                </w:p>
              </w:tc>
              <w:tc>
                <w:tcPr>
                  <w:tcW w:w="984" w:type="dxa"/>
                  <w:tcBorders>
                    <w:tl2br w:val="nil"/>
                    <w:tr2bl w:val="nil"/>
                  </w:tcBorders>
                  <w:shd w:val="clear" w:color="auto" w:fill="auto"/>
                  <w:tcMar>
                    <w:top w:w="0" w:type="dxa"/>
                    <w:left w:w="57" w:type="dxa"/>
                    <w:bottom w:w="0" w:type="dxa"/>
                    <w:right w:w="57" w:type="dxa"/>
                  </w:tcMar>
                  <w:vAlign w:val="center"/>
                </w:tcPr>
                <w:p w14:paraId="7EE45FDF">
                  <w:pPr>
                    <w:pStyle w:val="54"/>
                    <w:rPr>
                      <w:color w:val="auto"/>
                    </w:rPr>
                  </w:pPr>
                  <w:r>
                    <w:rPr>
                      <w:rFonts w:hint="eastAsia"/>
                      <w:color w:val="auto"/>
                    </w:rPr>
                    <w:t>石墨鳞片</w:t>
                  </w:r>
                </w:p>
              </w:tc>
              <w:tc>
                <w:tcPr>
                  <w:tcW w:w="1025" w:type="dxa"/>
                  <w:tcBorders>
                    <w:tl2br w:val="nil"/>
                    <w:tr2bl w:val="nil"/>
                  </w:tcBorders>
                  <w:shd w:val="clear" w:color="auto" w:fill="auto"/>
                  <w:tcMar>
                    <w:top w:w="0" w:type="dxa"/>
                    <w:left w:w="57" w:type="dxa"/>
                    <w:bottom w:w="0" w:type="dxa"/>
                    <w:right w:w="57" w:type="dxa"/>
                  </w:tcMar>
                  <w:vAlign w:val="center"/>
                </w:tcPr>
                <w:p w14:paraId="77FF8CE6">
                  <w:pPr>
                    <w:pStyle w:val="54"/>
                    <w:rPr>
                      <w:color w:val="auto"/>
                    </w:rPr>
                  </w:pPr>
                  <w:r>
                    <w:rPr>
                      <w:rFonts w:hint="eastAsia"/>
                      <w:color w:val="auto"/>
                    </w:rPr>
                    <w:t>/</w:t>
                  </w:r>
                </w:p>
              </w:tc>
              <w:tc>
                <w:tcPr>
                  <w:tcW w:w="1000" w:type="dxa"/>
                  <w:tcBorders>
                    <w:tl2br w:val="nil"/>
                    <w:tr2bl w:val="nil"/>
                  </w:tcBorders>
                  <w:shd w:val="clear" w:color="auto" w:fill="auto"/>
                  <w:tcMar>
                    <w:top w:w="0" w:type="dxa"/>
                    <w:left w:w="57" w:type="dxa"/>
                    <w:bottom w:w="0" w:type="dxa"/>
                    <w:right w:w="57" w:type="dxa"/>
                  </w:tcMar>
                  <w:vAlign w:val="center"/>
                </w:tcPr>
                <w:p w14:paraId="714D2703">
                  <w:pPr>
                    <w:pStyle w:val="54"/>
                    <w:rPr>
                      <w:rFonts w:hint="eastAsia" w:eastAsia="宋体"/>
                      <w:color w:val="auto"/>
                      <w:lang w:eastAsia="zh-CN"/>
                    </w:rPr>
                  </w:pPr>
                  <w:r>
                    <w:rPr>
                      <w:rFonts w:hint="eastAsia"/>
                      <w:color w:val="auto"/>
                      <w:lang w:val="en-US" w:eastAsia="zh-CN"/>
                    </w:rPr>
                    <w:t>5</w:t>
                  </w:r>
                </w:p>
              </w:tc>
              <w:tc>
                <w:tcPr>
                  <w:tcW w:w="1213" w:type="dxa"/>
                  <w:tcBorders>
                    <w:tl2br w:val="nil"/>
                    <w:tr2bl w:val="nil"/>
                  </w:tcBorders>
                  <w:shd w:val="clear" w:color="auto" w:fill="auto"/>
                  <w:tcMar>
                    <w:top w:w="0" w:type="dxa"/>
                    <w:left w:w="57" w:type="dxa"/>
                    <w:bottom w:w="0" w:type="dxa"/>
                    <w:right w:w="57" w:type="dxa"/>
                  </w:tcMar>
                  <w:vAlign w:val="center"/>
                </w:tcPr>
                <w:p w14:paraId="2CE31C91">
                  <w:pPr>
                    <w:pStyle w:val="54"/>
                    <w:rPr>
                      <w:rFonts w:hint="eastAsia" w:eastAsia="宋体"/>
                      <w:color w:val="auto"/>
                      <w:lang w:eastAsia="zh-CN"/>
                    </w:rPr>
                  </w:pPr>
                  <w:r>
                    <w:rPr>
                      <w:rFonts w:hint="eastAsia"/>
                      <w:color w:val="auto"/>
                      <w:lang w:val="en-US" w:eastAsia="zh-CN"/>
                    </w:rPr>
                    <w:t>5</w:t>
                  </w:r>
                </w:p>
              </w:tc>
              <w:tc>
                <w:tcPr>
                  <w:tcW w:w="762" w:type="dxa"/>
                  <w:tcBorders>
                    <w:tl2br w:val="nil"/>
                    <w:tr2bl w:val="nil"/>
                  </w:tcBorders>
                  <w:shd w:val="clear" w:color="auto" w:fill="auto"/>
                  <w:tcMar>
                    <w:top w:w="0" w:type="dxa"/>
                    <w:left w:w="57" w:type="dxa"/>
                    <w:bottom w:w="0" w:type="dxa"/>
                    <w:right w:w="57" w:type="dxa"/>
                  </w:tcMar>
                  <w:vAlign w:val="center"/>
                </w:tcPr>
                <w:p w14:paraId="29A23F92">
                  <w:pPr>
                    <w:pStyle w:val="54"/>
                    <w:rPr>
                      <w:rFonts w:hint="eastAsia" w:eastAsia="宋体"/>
                      <w:color w:val="auto"/>
                      <w:lang w:eastAsia="zh-CN"/>
                    </w:rPr>
                  </w:pPr>
                  <w:r>
                    <w:rPr>
                      <w:rFonts w:hint="eastAsia"/>
                      <w:color w:val="auto"/>
                    </w:rPr>
                    <w:t>+</w:t>
                  </w:r>
                  <w:r>
                    <w:rPr>
                      <w:rFonts w:hint="eastAsia"/>
                      <w:color w:val="auto"/>
                      <w:lang w:val="en-US" w:eastAsia="zh-CN"/>
                    </w:rPr>
                    <w:t>5</w:t>
                  </w:r>
                </w:p>
              </w:tc>
              <w:tc>
                <w:tcPr>
                  <w:tcW w:w="956" w:type="dxa"/>
                  <w:tcBorders>
                    <w:tl2br w:val="nil"/>
                    <w:tr2bl w:val="nil"/>
                  </w:tcBorders>
                  <w:shd w:val="clear" w:color="auto" w:fill="auto"/>
                  <w:tcMar>
                    <w:top w:w="0" w:type="dxa"/>
                    <w:left w:w="57" w:type="dxa"/>
                    <w:bottom w:w="0" w:type="dxa"/>
                    <w:right w:w="57" w:type="dxa"/>
                  </w:tcMar>
                  <w:vAlign w:val="center"/>
                </w:tcPr>
                <w:p w14:paraId="55540717">
                  <w:pPr>
                    <w:pStyle w:val="54"/>
                    <w:rPr>
                      <w:color w:val="auto"/>
                    </w:rPr>
                  </w:pPr>
                  <w:r>
                    <w:rPr>
                      <w:rFonts w:hint="eastAsia"/>
                      <w:color w:val="auto"/>
                    </w:rPr>
                    <w:t>50kg/袋</w:t>
                  </w:r>
                </w:p>
              </w:tc>
              <w:tc>
                <w:tcPr>
                  <w:tcW w:w="763" w:type="dxa"/>
                  <w:tcBorders>
                    <w:tl2br w:val="nil"/>
                    <w:tr2bl w:val="nil"/>
                  </w:tcBorders>
                  <w:shd w:val="clear" w:color="auto" w:fill="auto"/>
                  <w:tcMar>
                    <w:top w:w="0" w:type="dxa"/>
                    <w:left w:w="57" w:type="dxa"/>
                    <w:bottom w:w="0" w:type="dxa"/>
                    <w:right w:w="57" w:type="dxa"/>
                  </w:tcMar>
                  <w:vAlign w:val="center"/>
                </w:tcPr>
                <w:p w14:paraId="566EB93E">
                  <w:pPr>
                    <w:pStyle w:val="54"/>
                    <w:rPr>
                      <w:rFonts w:hint="default" w:eastAsia="宋体"/>
                      <w:color w:val="auto"/>
                      <w:lang w:val="en-US" w:eastAsia="zh-CN"/>
                    </w:rPr>
                  </w:pPr>
                  <w:r>
                    <w:rPr>
                      <w:rFonts w:hint="eastAsia"/>
                      <w:color w:val="auto"/>
                      <w:lang w:val="en-US" w:eastAsia="zh-CN"/>
                    </w:rPr>
                    <w:t>1.5</w:t>
                  </w:r>
                </w:p>
              </w:tc>
              <w:tc>
                <w:tcPr>
                  <w:tcW w:w="1330" w:type="dxa"/>
                  <w:tcBorders>
                    <w:tl2br w:val="nil"/>
                    <w:tr2bl w:val="nil"/>
                  </w:tcBorders>
                  <w:shd w:val="clear" w:color="auto" w:fill="auto"/>
                  <w:tcMar>
                    <w:top w:w="0" w:type="dxa"/>
                    <w:left w:w="57" w:type="dxa"/>
                    <w:bottom w:w="0" w:type="dxa"/>
                    <w:right w:w="57" w:type="dxa"/>
                  </w:tcMar>
                  <w:vAlign w:val="center"/>
                </w:tcPr>
                <w:p w14:paraId="70A1091E">
                  <w:pPr>
                    <w:pStyle w:val="54"/>
                    <w:rPr>
                      <w:color w:val="auto"/>
                    </w:rPr>
                  </w:pPr>
                  <w:r>
                    <w:rPr>
                      <w:rFonts w:hint="eastAsia"/>
                      <w:color w:val="auto"/>
                    </w:rPr>
                    <w:t>/</w:t>
                  </w:r>
                </w:p>
              </w:tc>
            </w:tr>
            <w:tr w14:paraId="7F91B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400" w:type="dxa"/>
                  <w:tcBorders>
                    <w:tl2br w:val="nil"/>
                    <w:tr2bl w:val="nil"/>
                  </w:tcBorders>
                  <w:shd w:val="clear" w:color="auto" w:fill="auto"/>
                  <w:tcMar>
                    <w:top w:w="0" w:type="dxa"/>
                    <w:left w:w="57" w:type="dxa"/>
                    <w:bottom w:w="0" w:type="dxa"/>
                    <w:right w:w="57" w:type="dxa"/>
                  </w:tcMar>
                  <w:vAlign w:val="center"/>
                </w:tcPr>
                <w:p w14:paraId="21EB5744">
                  <w:pPr>
                    <w:pStyle w:val="54"/>
                    <w:rPr>
                      <w:color w:val="auto"/>
                    </w:rPr>
                  </w:pPr>
                  <w:r>
                    <w:rPr>
                      <w:rFonts w:hint="eastAsia"/>
                      <w:color w:val="auto"/>
                    </w:rPr>
                    <w:t>4</w:t>
                  </w:r>
                </w:p>
              </w:tc>
              <w:tc>
                <w:tcPr>
                  <w:tcW w:w="984" w:type="dxa"/>
                  <w:tcBorders>
                    <w:tl2br w:val="nil"/>
                    <w:tr2bl w:val="nil"/>
                  </w:tcBorders>
                  <w:shd w:val="clear" w:color="auto" w:fill="auto"/>
                  <w:tcMar>
                    <w:top w:w="0" w:type="dxa"/>
                    <w:left w:w="57" w:type="dxa"/>
                    <w:bottom w:w="0" w:type="dxa"/>
                    <w:right w:w="57" w:type="dxa"/>
                  </w:tcMar>
                  <w:vAlign w:val="center"/>
                </w:tcPr>
                <w:p w14:paraId="14CDF532">
                  <w:pPr>
                    <w:pStyle w:val="54"/>
                    <w:rPr>
                      <w:color w:val="auto"/>
                    </w:rPr>
                  </w:pPr>
                  <w:r>
                    <w:rPr>
                      <w:rFonts w:hint="eastAsia"/>
                      <w:color w:val="auto"/>
                    </w:rPr>
                    <w:t>乙炔</w:t>
                  </w:r>
                </w:p>
              </w:tc>
              <w:tc>
                <w:tcPr>
                  <w:tcW w:w="1025" w:type="dxa"/>
                  <w:tcBorders>
                    <w:tl2br w:val="nil"/>
                    <w:tr2bl w:val="nil"/>
                  </w:tcBorders>
                  <w:shd w:val="clear" w:color="auto" w:fill="auto"/>
                  <w:tcMar>
                    <w:top w:w="0" w:type="dxa"/>
                    <w:left w:w="57" w:type="dxa"/>
                    <w:bottom w:w="0" w:type="dxa"/>
                    <w:right w:w="57" w:type="dxa"/>
                  </w:tcMar>
                  <w:vAlign w:val="center"/>
                </w:tcPr>
                <w:p w14:paraId="3A8BBE4E">
                  <w:pPr>
                    <w:pStyle w:val="54"/>
                    <w:rPr>
                      <w:color w:val="auto"/>
                    </w:rPr>
                  </w:pPr>
                  <w:r>
                    <w:rPr>
                      <w:rFonts w:hint="eastAsia"/>
                      <w:color w:val="auto"/>
                    </w:rPr>
                    <w:t>1</w:t>
                  </w:r>
                </w:p>
              </w:tc>
              <w:tc>
                <w:tcPr>
                  <w:tcW w:w="1000" w:type="dxa"/>
                  <w:tcBorders>
                    <w:tl2br w:val="nil"/>
                    <w:tr2bl w:val="nil"/>
                  </w:tcBorders>
                  <w:shd w:val="clear" w:color="auto" w:fill="auto"/>
                  <w:tcMar>
                    <w:top w:w="0" w:type="dxa"/>
                    <w:left w:w="57" w:type="dxa"/>
                    <w:bottom w:w="0" w:type="dxa"/>
                    <w:right w:w="57" w:type="dxa"/>
                  </w:tcMar>
                  <w:vAlign w:val="center"/>
                </w:tcPr>
                <w:p w14:paraId="72225F3D">
                  <w:pPr>
                    <w:pStyle w:val="54"/>
                    <w:rPr>
                      <w:color w:val="auto"/>
                    </w:rPr>
                  </w:pPr>
                  <w:r>
                    <w:rPr>
                      <w:rFonts w:hint="eastAsia"/>
                      <w:color w:val="auto"/>
                    </w:rPr>
                    <w:t>/</w:t>
                  </w:r>
                </w:p>
              </w:tc>
              <w:tc>
                <w:tcPr>
                  <w:tcW w:w="1213" w:type="dxa"/>
                  <w:tcBorders>
                    <w:tl2br w:val="nil"/>
                    <w:tr2bl w:val="nil"/>
                  </w:tcBorders>
                  <w:shd w:val="clear" w:color="auto" w:fill="auto"/>
                  <w:tcMar>
                    <w:top w:w="0" w:type="dxa"/>
                    <w:left w:w="57" w:type="dxa"/>
                    <w:bottom w:w="0" w:type="dxa"/>
                    <w:right w:w="57" w:type="dxa"/>
                  </w:tcMar>
                  <w:vAlign w:val="center"/>
                </w:tcPr>
                <w:p w14:paraId="38BB1E29">
                  <w:pPr>
                    <w:pStyle w:val="54"/>
                    <w:rPr>
                      <w:color w:val="auto"/>
                    </w:rPr>
                  </w:pPr>
                  <w:r>
                    <w:rPr>
                      <w:color w:val="auto"/>
                    </w:rPr>
                    <w:t>1</w:t>
                  </w:r>
                </w:p>
              </w:tc>
              <w:tc>
                <w:tcPr>
                  <w:tcW w:w="762" w:type="dxa"/>
                  <w:tcBorders>
                    <w:tl2br w:val="nil"/>
                    <w:tr2bl w:val="nil"/>
                  </w:tcBorders>
                  <w:shd w:val="clear" w:color="auto" w:fill="auto"/>
                  <w:tcMar>
                    <w:top w:w="0" w:type="dxa"/>
                    <w:left w:w="57" w:type="dxa"/>
                    <w:bottom w:w="0" w:type="dxa"/>
                    <w:right w:w="57" w:type="dxa"/>
                  </w:tcMar>
                  <w:vAlign w:val="center"/>
                </w:tcPr>
                <w:p w14:paraId="160FDFBC">
                  <w:pPr>
                    <w:pStyle w:val="54"/>
                    <w:rPr>
                      <w:color w:val="auto"/>
                    </w:rPr>
                  </w:pPr>
                  <w:r>
                    <w:rPr>
                      <w:rFonts w:hint="eastAsia"/>
                      <w:color w:val="auto"/>
                    </w:rPr>
                    <w:t>0</w:t>
                  </w:r>
                </w:p>
              </w:tc>
              <w:tc>
                <w:tcPr>
                  <w:tcW w:w="956" w:type="dxa"/>
                  <w:tcBorders>
                    <w:tl2br w:val="nil"/>
                    <w:tr2bl w:val="nil"/>
                  </w:tcBorders>
                  <w:shd w:val="clear" w:color="auto" w:fill="auto"/>
                  <w:tcMar>
                    <w:top w:w="0" w:type="dxa"/>
                    <w:left w:w="57" w:type="dxa"/>
                    <w:bottom w:w="0" w:type="dxa"/>
                    <w:right w:w="57" w:type="dxa"/>
                  </w:tcMar>
                  <w:vAlign w:val="center"/>
                </w:tcPr>
                <w:p w14:paraId="2D2BAABF">
                  <w:pPr>
                    <w:pStyle w:val="54"/>
                    <w:rPr>
                      <w:color w:val="auto"/>
                    </w:rPr>
                  </w:pPr>
                  <w:r>
                    <w:rPr>
                      <w:color w:val="auto"/>
                    </w:rPr>
                    <w:t>+5kg/瓶</w:t>
                  </w:r>
                </w:p>
              </w:tc>
              <w:tc>
                <w:tcPr>
                  <w:tcW w:w="763" w:type="dxa"/>
                  <w:tcBorders>
                    <w:tl2br w:val="nil"/>
                    <w:tr2bl w:val="nil"/>
                  </w:tcBorders>
                  <w:shd w:val="clear" w:color="auto" w:fill="auto"/>
                  <w:tcMar>
                    <w:top w:w="0" w:type="dxa"/>
                    <w:left w:w="57" w:type="dxa"/>
                    <w:bottom w:w="0" w:type="dxa"/>
                    <w:right w:w="57" w:type="dxa"/>
                  </w:tcMar>
                  <w:vAlign w:val="center"/>
                </w:tcPr>
                <w:p w14:paraId="6E0785BC">
                  <w:pPr>
                    <w:pStyle w:val="54"/>
                    <w:rPr>
                      <w:color w:val="auto"/>
                    </w:rPr>
                  </w:pPr>
                  <w:r>
                    <w:rPr>
                      <w:rFonts w:hint="eastAsia"/>
                      <w:color w:val="auto"/>
                    </w:rPr>
                    <w:t>0.25</w:t>
                  </w:r>
                </w:p>
              </w:tc>
              <w:tc>
                <w:tcPr>
                  <w:tcW w:w="1330" w:type="dxa"/>
                  <w:tcBorders>
                    <w:tl2br w:val="nil"/>
                    <w:tr2bl w:val="nil"/>
                  </w:tcBorders>
                  <w:shd w:val="clear" w:color="auto" w:fill="auto"/>
                  <w:tcMar>
                    <w:top w:w="0" w:type="dxa"/>
                    <w:left w:w="57" w:type="dxa"/>
                    <w:bottom w:w="0" w:type="dxa"/>
                    <w:right w:w="57" w:type="dxa"/>
                  </w:tcMar>
                  <w:vAlign w:val="center"/>
                </w:tcPr>
                <w:p w14:paraId="4166C999">
                  <w:pPr>
                    <w:pStyle w:val="54"/>
                    <w:rPr>
                      <w:color w:val="auto"/>
                    </w:rPr>
                  </w:pPr>
                  <w:r>
                    <w:rPr>
                      <w:rFonts w:hint="eastAsia"/>
                      <w:color w:val="auto"/>
                    </w:rPr>
                    <w:t>/</w:t>
                  </w:r>
                </w:p>
              </w:tc>
            </w:tr>
            <w:tr w14:paraId="65F46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400" w:type="dxa"/>
                  <w:tcBorders>
                    <w:tl2br w:val="nil"/>
                    <w:tr2bl w:val="nil"/>
                  </w:tcBorders>
                  <w:shd w:val="clear" w:color="auto" w:fill="auto"/>
                  <w:tcMar>
                    <w:top w:w="0" w:type="dxa"/>
                    <w:left w:w="57" w:type="dxa"/>
                    <w:bottom w:w="0" w:type="dxa"/>
                    <w:right w:w="57" w:type="dxa"/>
                  </w:tcMar>
                  <w:vAlign w:val="center"/>
                </w:tcPr>
                <w:p w14:paraId="555C0EC4">
                  <w:pPr>
                    <w:pStyle w:val="54"/>
                    <w:rPr>
                      <w:color w:val="auto"/>
                    </w:rPr>
                  </w:pPr>
                  <w:r>
                    <w:rPr>
                      <w:color w:val="auto"/>
                    </w:rPr>
                    <w:t>5</w:t>
                  </w:r>
                </w:p>
              </w:tc>
              <w:tc>
                <w:tcPr>
                  <w:tcW w:w="984" w:type="dxa"/>
                  <w:tcBorders>
                    <w:tl2br w:val="nil"/>
                    <w:tr2bl w:val="nil"/>
                  </w:tcBorders>
                  <w:shd w:val="clear" w:color="auto" w:fill="auto"/>
                  <w:tcMar>
                    <w:top w:w="0" w:type="dxa"/>
                    <w:left w:w="57" w:type="dxa"/>
                    <w:bottom w:w="0" w:type="dxa"/>
                    <w:right w:w="57" w:type="dxa"/>
                  </w:tcMar>
                  <w:vAlign w:val="center"/>
                </w:tcPr>
                <w:p w14:paraId="7EEB46FF">
                  <w:pPr>
                    <w:pStyle w:val="54"/>
                    <w:rPr>
                      <w:color w:val="auto"/>
                    </w:rPr>
                  </w:pPr>
                  <w:r>
                    <w:rPr>
                      <w:rFonts w:hint="eastAsia"/>
                      <w:color w:val="auto"/>
                    </w:rPr>
                    <w:t>钢带</w:t>
                  </w:r>
                </w:p>
              </w:tc>
              <w:tc>
                <w:tcPr>
                  <w:tcW w:w="1025" w:type="dxa"/>
                  <w:tcBorders>
                    <w:tl2br w:val="nil"/>
                    <w:tr2bl w:val="nil"/>
                  </w:tcBorders>
                  <w:shd w:val="clear" w:color="auto" w:fill="auto"/>
                  <w:tcMar>
                    <w:top w:w="0" w:type="dxa"/>
                    <w:left w:w="57" w:type="dxa"/>
                    <w:bottom w:w="0" w:type="dxa"/>
                    <w:right w:w="57" w:type="dxa"/>
                  </w:tcMar>
                  <w:vAlign w:val="center"/>
                </w:tcPr>
                <w:p w14:paraId="778D6D44">
                  <w:pPr>
                    <w:pStyle w:val="54"/>
                    <w:rPr>
                      <w:rFonts w:hint="eastAsia" w:eastAsia="宋体"/>
                      <w:color w:val="auto"/>
                      <w:lang w:eastAsia="zh-CN"/>
                    </w:rPr>
                  </w:pPr>
                  <w:r>
                    <w:rPr>
                      <w:rFonts w:hint="eastAsia"/>
                      <w:color w:val="auto"/>
                      <w:lang w:val="en-US" w:eastAsia="zh-CN"/>
                    </w:rPr>
                    <w:t>7</w:t>
                  </w:r>
                </w:p>
              </w:tc>
              <w:tc>
                <w:tcPr>
                  <w:tcW w:w="1000" w:type="dxa"/>
                  <w:tcBorders>
                    <w:tl2br w:val="nil"/>
                    <w:tr2bl w:val="nil"/>
                  </w:tcBorders>
                  <w:shd w:val="clear" w:color="auto" w:fill="auto"/>
                  <w:tcMar>
                    <w:top w:w="0" w:type="dxa"/>
                    <w:left w:w="57" w:type="dxa"/>
                    <w:bottom w:w="0" w:type="dxa"/>
                    <w:right w:w="57" w:type="dxa"/>
                  </w:tcMar>
                  <w:vAlign w:val="center"/>
                </w:tcPr>
                <w:p w14:paraId="46CBD8A4">
                  <w:pPr>
                    <w:pStyle w:val="54"/>
                    <w:rPr>
                      <w:color w:val="auto"/>
                    </w:rPr>
                  </w:pPr>
                  <w:r>
                    <w:rPr>
                      <w:rFonts w:hint="eastAsia"/>
                      <w:color w:val="auto"/>
                    </w:rPr>
                    <w:t>/</w:t>
                  </w:r>
                </w:p>
              </w:tc>
              <w:tc>
                <w:tcPr>
                  <w:tcW w:w="1213" w:type="dxa"/>
                  <w:tcBorders>
                    <w:tl2br w:val="nil"/>
                    <w:tr2bl w:val="nil"/>
                  </w:tcBorders>
                  <w:shd w:val="clear" w:color="auto" w:fill="auto"/>
                  <w:tcMar>
                    <w:top w:w="0" w:type="dxa"/>
                    <w:left w:w="57" w:type="dxa"/>
                    <w:bottom w:w="0" w:type="dxa"/>
                    <w:right w:w="57" w:type="dxa"/>
                  </w:tcMar>
                  <w:vAlign w:val="center"/>
                </w:tcPr>
                <w:p w14:paraId="2D63F422">
                  <w:pPr>
                    <w:pStyle w:val="54"/>
                    <w:rPr>
                      <w:rFonts w:hint="eastAsia" w:eastAsia="宋体"/>
                      <w:color w:val="auto"/>
                      <w:lang w:eastAsia="zh-CN"/>
                    </w:rPr>
                  </w:pPr>
                  <w:r>
                    <w:rPr>
                      <w:rFonts w:hint="eastAsia"/>
                      <w:color w:val="auto"/>
                      <w:lang w:val="en-US" w:eastAsia="zh-CN"/>
                    </w:rPr>
                    <w:t>7</w:t>
                  </w:r>
                </w:p>
              </w:tc>
              <w:tc>
                <w:tcPr>
                  <w:tcW w:w="762" w:type="dxa"/>
                  <w:tcBorders>
                    <w:tl2br w:val="nil"/>
                    <w:tr2bl w:val="nil"/>
                  </w:tcBorders>
                  <w:shd w:val="clear" w:color="auto" w:fill="auto"/>
                  <w:tcMar>
                    <w:top w:w="0" w:type="dxa"/>
                    <w:left w:w="57" w:type="dxa"/>
                    <w:bottom w:w="0" w:type="dxa"/>
                    <w:right w:w="57" w:type="dxa"/>
                  </w:tcMar>
                  <w:vAlign w:val="center"/>
                </w:tcPr>
                <w:p w14:paraId="6921C568">
                  <w:pPr>
                    <w:pStyle w:val="54"/>
                    <w:rPr>
                      <w:color w:val="auto"/>
                    </w:rPr>
                  </w:pPr>
                  <w:r>
                    <w:rPr>
                      <w:rFonts w:hint="eastAsia"/>
                      <w:color w:val="auto"/>
                    </w:rPr>
                    <w:t>0</w:t>
                  </w:r>
                </w:p>
              </w:tc>
              <w:tc>
                <w:tcPr>
                  <w:tcW w:w="956" w:type="dxa"/>
                  <w:tcBorders>
                    <w:tl2br w:val="nil"/>
                    <w:tr2bl w:val="nil"/>
                  </w:tcBorders>
                  <w:shd w:val="clear" w:color="auto" w:fill="auto"/>
                  <w:tcMar>
                    <w:top w:w="0" w:type="dxa"/>
                    <w:left w:w="57" w:type="dxa"/>
                    <w:bottom w:w="0" w:type="dxa"/>
                    <w:right w:w="57" w:type="dxa"/>
                  </w:tcMar>
                  <w:vAlign w:val="center"/>
                </w:tcPr>
                <w:p w14:paraId="44CF07E4">
                  <w:pPr>
                    <w:pStyle w:val="54"/>
                    <w:rPr>
                      <w:color w:val="auto"/>
                    </w:rPr>
                  </w:pPr>
                  <w:r>
                    <w:rPr>
                      <w:rFonts w:hint="eastAsia"/>
                      <w:color w:val="auto"/>
                    </w:rPr>
                    <w:t>2</w:t>
                  </w:r>
                  <w:r>
                    <w:rPr>
                      <w:color w:val="auto"/>
                    </w:rPr>
                    <w:t>00kg/盘</w:t>
                  </w:r>
                </w:p>
              </w:tc>
              <w:tc>
                <w:tcPr>
                  <w:tcW w:w="763" w:type="dxa"/>
                  <w:tcBorders>
                    <w:tl2br w:val="nil"/>
                    <w:tr2bl w:val="nil"/>
                  </w:tcBorders>
                  <w:shd w:val="clear" w:color="auto" w:fill="auto"/>
                  <w:tcMar>
                    <w:top w:w="0" w:type="dxa"/>
                    <w:left w:w="57" w:type="dxa"/>
                    <w:bottom w:w="0" w:type="dxa"/>
                    <w:right w:w="57" w:type="dxa"/>
                  </w:tcMar>
                  <w:vAlign w:val="center"/>
                </w:tcPr>
                <w:p w14:paraId="7AED742E">
                  <w:pPr>
                    <w:pStyle w:val="54"/>
                    <w:rPr>
                      <w:rFonts w:hint="eastAsia" w:eastAsia="宋体"/>
                      <w:color w:val="auto"/>
                      <w:lang w:eastAsia="zh-CN"/>
                    </w:rPr>
                  </w:pPr>
                  <w:r>
                    <w:rPr>
                      <w:rFonts w:hint="eastAsia"/>
                      <w:color w:val="auto"/>
                      <w:lang w:val="en-US" w:eastAsia="zh-CN"/>
                    </w:rPr>
                    <w:t>1</w:t>
                  </w:r>
                </w:p>
              </w:tc>
              <w:tc>
                <w:tcPr>
                  <w:tcW w:w="1330" w:type="dxa"/>
                  <w:tcBorders>
                    <w:tl2br w:val="nil"/>
                    <w:tr2bl w:val="nil"/>
                  </w:tcBorders>
                  <w:shd w:val="clear" w:color="auto" w:fill="auto"/>
                  <w:tcMar>
                    <w:top w:w="0" w:type="dxa"/>
                    <w:left w:w="57" w:type="dxa"/>
                    <w:bottom w:w="0" w:type="dxa"/>
                    <w:right w:w="57" w:type="dxa"/>
                  </w:tcMar>
                  <w:vAlign w:val="center"/>
                </w:tcPr>
                <w:p w14:paraId="740F9B07">
                  <w:pPr>
                    <w:pStyle w:val="54"/>
                    <w:rPr>
                      <w:color w:val="auto"/>
                    </w:rPr>
                  </w:pPr>
                  <w:r>
                    <w:rPr>
                      <w:rFonts w:hint="eastAsia"/>
                      <w:color w:val="auto"/>
                    </w:rPr>
                    <w:t>/</w:t>
                  </w:r>
                </w:p>
              </w:tc>
            </w:tr>
            <w:tr w14:paraId="52F5F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400" w:type="dxa"/>
                  <w:tcBorders>
                    <w:tl2br w:val="nil"/>
                    <w:tr2bl w:val="nil"/>
                  </w:tcBorders>
                  <w:shd w:val="clear" w:color="auto" w:fill="auto"/>
                  <w:tcMar>
                    <w:top w:w="0" w:type="dxa"/>
                    <w:left w:w="57" w:type="dxa"/>
                    <w:bottom w:w="0" w:type="dxa"/>
                    <w:right w:w="57" w:type="dxa"/>
                  </w:tcMar>
                  <w:vAlign w:val="center"/>
                </w:tcPr>
                <w:p w14:paraId="3CD17C92">
                  <w:pPr>
                    <w:pStyle w:val="54"/>
                    <w:rPr>
                      <w:color w:val="auto"/>
                      <w:highlight w:val="none"/>
                    </w:rPr>
                  </w:pPr>
                  <w:r>
                    <w:rPr>
                      <w:rFonts w:hint="eastAsia"/>
                      <w:color w:val="auto"/>
                      <w:highlight w:val="none"/>
                    </w:rPr>
                    <w:t>6</w:t>
                  </w:r>
                </w:p>
              </w:tc>
              <w:tc>
                <w:tcPr>
                  <w:tcW w:w="984" w:type="dxa"/>
                  <w:tcBorders>
                    <w:tl2br w:val="nil"/>
                    <w:tr2bl w:val="nil"/>
                  </w:tcBorders>
                  <w:shd w:val="clear" w:color="auto" w:fill="auto"/>
                  <w:tcMar>
                    <w:top w:w="0" w:type="dxa"/>
                    <w:left w:w="57" w:type="dxa"/>
                    <w:bottom w:w="0" w:type="dxa"/>
                    <w:right w:w="57" w:type="dxa"/>
                  </w:tcMar>
                  <w:vAlign w:val="center"/>
                </w:tcPr>
                <w:p w14:paraId="4795794A">
                  <w:pPr>
                    <w:pStyle w:val="54"/>
                    <w:rPr>
                      <w:color w:val="auto"/>
                      <w:highlight w:val="none"/>
                    </w:rPr>
                  </w:pPr>
                  <w:r>
                    <w:rPr>
                      <w:rFonts w:hint="eastAsia"/>
                      <w:color w:val="auto"/>
                      <w:highlight w:val="none"/>
                    </w:rPr>
                    <w:t>乳化液</w:t>
                  </w:r>
                </w:p>
              </w:tc>
              <w:tc>
                <w:tcPr>
                  <w:tcW w:w="1025" w:type="dxa"/>
                  <w:tcBorders>
                    <w:tl2br w:val="nil"/>
                    <w:tr2bl w:val="nil"/>
                  </w:tcBorders>
                  <w:shd w:val="clear" w:color="auto" w:fill="auto"/>
                  <w:tcMar>
                    <w:top w:w="0" w:type="dxa"/>
                    <w:left w:w="57" w:type="dxa"/>
                    <w:bottom w:w="0" w:type="dxa"/>
                    <w:right w:w="57" w:type="dxa"/>
                  </w:tcMar>
                  <w:vAlign w:val="center"/>
                </w:tcPr>
                <w:p w14:paraId="768EE514">
                  <w:pPr>
                    <w:pStyle w:val="54"/>
                    <w:rPr>
                      <w:rFonts w:hint="eastAsia" w:eastAsia="宋体"/>
                      <w:color w:val="auto"/>
                      <w:highlight w:val="none"/>
                      <w:lang w:eastAsia="zh-CN"/>
                    </w:rPr>
                  </w:pPr>
                  <w:r>
                    <w:rPr>
                      <w:rFonts w:hint="eastAsia"/>
                      <w:color w:val="auto"/>
                      <w:highlight w:val="none"/>
                      <w:lang w:val="en-US" w:eastAsia="zh-CN"/>
                    </w:rPr>
                    <w:t>3</w:t>
                  </w:r>
                </w:p>
              </w:tc>
              <w:tc>
                <w:tcPr>
                  <w:tcW w:w="1000" w:type="dxa"/>
                  <w:tcBorders>
                    <w:tl2br w:val="nil"/>
                    <w:tr2bl w:val="nil"/>
                  </w:tcBorders>
                  <w:shd w:val="clear" w:color="auto" w:fill="auto"/>
                  <w:tcMar>
                    <w:top w:w="0" w:type="dxa"/>
                    <w:left w:w="57" w:type="dxa"/>
                    <w:bottom w:w="0" w:type="dxa"/>
                    <w:right w:w="57" w:type="dxa"/>
                  </w:tcMar>
                  <w:vAlign w:val="center"/>
                </w:tcPr>
                <w:p w14:paraId="0ADB0522">
                  <w:pPr>
                    <w:pStyle w:val="54"/>
                    <w:rPr>
                      <w:color w:val="auto"/>
                      <w:highlight w:val="none"/>
                    </w:rPr>
                  </w:pPr>
                  <w:r>
                    <w:rPr>
                      <w:rFonts w:hint="eastAsia"/>
                      <w:color w:val="auto"/>
                      <w:highlight w:val="none"/>
                    </w:rPr>
                    <w:t>/</w:t>
                  </w:r>
                </w:p>
              </w:tc>
              <w:tc>
                <w:tcPr>
                  <w:tcW w:w="1213" w:type="dxa"/>
                  <w:tcBorders>
                    <w:tl2br w:val="nil"/>
                    <w:tr2bl w:val="nil"/>
                  </w:tcBorders>
                  <w:shd w:val="clear" w:color="auto" w:fill="auto"/>
                  <w:tcMar>
                    <w:top w:w="0" w:type="dxa"/>
                    <w:left w:w="57" w:type="dxa"/>
                    <w:bottom w:w="0" w:type="dxa"/>
                    <w:right w:w="57" w:type="dxa"/>
                  </w:tcMar>
                  <w:vAlign w:val="center"/>
                </w:tcPr>
                <w:p w14:paraId="158FDC49">
                  <w:pPr>
                    <w:pStyle w:val="54"/>
                    <w:rPr>
                      <w:rFonts w:hint="eastAsia" w:eastAsia="宋体"/>
                      <w:color w:val="auto"/>
                      <w:highlight w:val="none"/>
                      <w:lang w:eastAsia="zh-CN"/>
                    </w:rPr>
                  </w:pPr>
                  <w:r>
                    <w:rPr>
                      <w:rFonts w:hint="eastAsia"/>
                      <w:color w:val="auto"/>
                      <w:highlight w:val="none"/>
                      <w:lang w:val="en-US" w:eastAsia="zh-CN"/>
                    </w:rPr>
                    <w:t>3</w:t>
                  </w:r>
                </w:p>
              </w:tc>
              <w:tc>
                <w:tcPr>
                  <w:tcW w:w="762" w:type="dxa"/>
                  <w:tcBorders>
                    <w:tl2br w:val="nil"/>
                    <w:tr2bl w:val="nil"/>
                  </w:tcBorders>
                  <w:shd w:val="clear" w:color="auto" w:fill="auto"/>
                  <w:tcMar>
                    <w:top w:w="0" w:type="dxa"/>
                    <w:left w:w="57" w:type="dxa"/>
                    <w:bottom w:w="0" w:type="dxa"/>
                    <w:right w:w="57" w:type="dxa"/>
                  </w:tcMar>
                  <w:vAlign w:val="center"/>
                </w:tcPr>
                <w:p w14:paraId="1238282E">
                  <w:pPr>
                    <w:pStyle w:val="54"/>
                    <w:rPr>
                      <w:color w:val="auto"/>
                      <w:highlight w:val="none"/>
                    </w:rPr>
                  </w:pPr>
                  <w:r>
                    <w:rPr>
                      <w:rFonts w:hint="eastAsia"/>
                      <w:color w:val="auto"/>
                      <w:highlight w:val="none"/>
                    </w:rPr>
                    <w:t>0</w:t>
                  </w:r>
                </w:p>
              </w:tc>
              <w:tc>
                <w:tcPr>
                  <w:tcW w:w="956" w:type="dxa"/>
                  <w:tcBorders>
                    <w:tl2br w:val="nil"/>
                    <w:tr2bl w:val="nil"/>
                  </w:tcBorders>
                  <w:shd w:val="clear" w:color="auto" w:fill="auto"/>
                  <w:tcMar>
                    <w:top w:w="0" w:type="dxa"/>
                    <w:left w:w="57" w:type="dxa"/>
                    <w:bottom w:w="0" w:type="dxa"/>
                    <w:right w:w="57" w:type="dxa"/>
                  </w:tcMar>
                  <w:vAlign w:val="center"/>
                </w:tcPr>
                <w:p w14:paraId="64279E99">
                  <w:pPr>
                    <w:pStyle w:val="54"/>
                    <w:rPr>
                      <w:color w:val="auto"/>
                      <w:highlight w:val="none"/>
                    </w:rPr>
                  </w:pPr>
                  <w:r>
                    <w:rPr>
                      <w:color w:val="auto"/>
                      <w:highlight w:val="none"/>
                    </w:rPr>
                    <w:t>50kg/桶</w:t>
                  </w:r>
                </w:p>
              </w:tc>
              <w:tc>
                <w:tcPr>
                  <w:tcW w:w="763" w:type="dxa"/>
                  <w:tcBorders>
                    <w:tl2br w:val="nil"/>
                    <w:tr2bl w:val="nil"/>
                  </w:tcBorders>
                  <w:shd w:val="clear" w:color="auto" w:fill="auto"/>
                  <w:tcMar>
                    <w:top w:w="0" w:type="dxa"/>
                    <w:left w:w="57" w:type="dxa"/>
                    <w:bottom w:w="0" w:type="dxa"/>
                    <w:right w:w="57" w:type="dxa"/>
                  </w:tcMar>
                  <w:vAlign w:val="center"/>
                </w:tcPr>
                <w:p w14:paraId="088C8D6E">
                  <w:pPr>
                    <w:pStyle w:val="54"/>
                    <w:rPr>
                      <w:rFonts w:hint="eastAsia" w:eastAsia="宋体"/>
                      <w:color w:val="auto"/>
                      <w:highlight w:val="none"/>
                      <w:lang w:eastAsia="zh-CN"/>
                    </w:rPr>
                  </w:pPr>
                  <w:r>
                    <w:rPr>
                      <w:rFonts w:hint="eastAsia"/>
                      <w:color w:val="auto"/>
                      <w:highlight w:val="none"/>
                      <w:lang w:val="en-US" w:eastAsia="zh-CN"/>
                    </w:rPr>
                    <w:t>1</w:t>
                  </w:r>
                </w:p>
              </w:tc>
              <w:tc>
                <w:tcPr>
                  <w:tcW w:w="1330" w:type="dxa"/>
                  <w:tcBorders>
                    <w:tl2br w:val="nil"/>
                    <w:tr2bl w:val="nil"/>
                  </w:tcBorders>
                  <w:shd w:val="clear" w:color="auto" w:fill="auto"/>
                  <w:tcMar>
                    <w:top w:w="0" w:type="dxa"/>
                    <w:left w:w="57" w:type="dxa"/>
                    <w:bottom w:w="0" w:type="dxa"/>
                    <w:right w:w="57" w:type="dxa"/>
                  </w:tcMar>
                  <w:vAlign w:val="center"/>
                </w:tcPr>
                <w:p w14:paraId="0C2DB905">
                  <w:pPr>
                    <w:pStyle w:val="54"/>
                    <w:rPr>
                      <w:color w:val="auto"/>
                      <w:highlight w:val="none"/>
                    </w:rPr>
                  </w:pPr>
                  <w:r>
                    <w:rPr>
                      <w:rFonts w:hint="eastAsia"/>
                      <w:color w:val="auto"/>
                      <w:highlight w:val="none"/>
                    </w:rPr>
                    <w:t>/</w:t>
                  </w:r>
                </w:p>
              </w:tc>
            </w:tr>
            <w:tr w14:paraId="653C8E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400" w:type="dxa"/>
                  <w:tcBorders>
                    <w:tl2br w:val="nil"/>
                    <w:tr2bl w:val="nil"/>
                  </w:tcBorders>
                  <w:shd w:val="clear" w:color="auto" w:fill="auto"/>
                  <w:tcMar>
                    <w:top w:w="0" w:type="dxa"/>
                    <w:left w:w="57" w:type="dxa"/>
                    <w:bottom w:w="0" w:type="dxa"/>
                    <w:right w:w="57" w:type="dxa"/>
                  </w:tcMar>
                  <w:vAlign w:val="center"/>
                </w:tcPr>
                <w:p w14:paraId="49028BEF">
                  <w:pPr>
                    <w:pStyle w:val="54"/>
                    <w:rPr>
                      <w:color w:val="auto"/>
                      <w:highlight w:val="none"/>
                    </w:rPr>
                  </w:pPr>
                  <w:bookmarkStart w:id="35" w:name="_Ref25557"/>
                  <w:r>
                    <w:rPr>
                      <w:rFonts w:hint="eastAsia"/>
                      <w:color w:val="auto"/>
                      <w:highlight w:val="none"/>
                    </w:rPr>
                    <w:t>7</w:t>
                  </w:r>
                </w:p>
              </w:tc>
              <w:tc>
                <w:tcPr>
                  <w:tcW w:w="984" w:type="dxa"/>
                  <w:tcBorders>
                    <w:tl2br w:val="nil"/>
                    <w:tr2bl w:val="nil"/>
                  </w:tcBorders>
                  <w:shd w:val="clear" w:color="auto" w:fill="auto"/>
                  <w:tcMar>
                    <w:top w:w="0" w:type="dxa"/>
                    <w:left w:w="57" w:type="dxa"/>
                    <w:bottom w:w="0" w:type="dxa"/>
                    <w:right w:w="57" w:type="dxa"/>
                  </w:tcMar>
                  <w:vAlign w:val="center"/>
                </w:tcPr>
                <w:p w14:paraId="7F0C53C7">
                  <w:pPr>
                    <w:pStyle w:val="54"/>
                    <w:rPr>
                      <w:color w:val="auto"/>
                      <w:highlight w:val="none"/>
                    </w:rPr>
                  </w:pPr>
                  <w:r>
                    <w:rPr>
                      <w:rFonts w:hint="eastAsia"/>
                      <w:color w:val="auto"/>
                      <w:highlight w:val="none"/>
                    </w:rPr>
                    <w:t>清洗液</w:t>
                  </w:r>
                </w:p>
              </w:tc>
              <w:tc>
                <w:tcPr>
                  <w:tcW w:w="1025" w:type="dxa"/>
                  <w:tcBorders>
                    <w:tl2br w:val="nil"/>
                    <w:tr2bl w:val="nil"/>
                  </w:tcBorders>
                  <w:shd w:val="clear" w:color="auto" w:fill="auto"/>
                  <w:tcMar>
                    <w:top w:w="0" w:type="dxa"/>
                    <w:left w:w="57" w:type="dxa"/>
                    <w:bottom w:w="0" w:type="dxa"/>
                    <w:right w:w="57" w:type="dxa"/>
                  </w:tcMar>
                  <w:vAlign w:val="center"/>
                </w:tcPr>
                <w:p w14:paraId="1AE7CC94">
                  <w:pPr>
                    <w:pStyle w:val="54"/>
                    <w:rPr>
                      <w:rFonts w:hint="eastAsia" w:eastAsia="宋体"/>
                      <w:color w:val="auto"/>
                      <w:highlight w:val="none"/>
                      <w:lang w:eastAsia="zh-CN"/>
                    </w:rPr>
                  </w:pPr>
                  <w:r>
                    <w:rPr>
                      <w:rFonts w:hint="eastAsia"/>
                      <w:color w:val="auto"/>
                      <w:highlight w:val="none"/>
                      <w:lang w:val="en-US" w:eastAsia="zh-CN"/>
                    </w:rPr>
                    <w:t>4</w:t>
                  </w:r>
                </w:p>
              </w:tc>
              <w:tc>
                <w:tcPr>
                  <w:tcW w:w="1000" w:type="dxa"/>
                  <w:tcBorders>
                    <w:tl2br w:val="nil"/>
                    <w:tr2bl w:val="nil"/>
                  </w:tcBorders>
                  <w:shd w:val="clear" w:color="auto" w:fill="auto"/>
                  <w:tcMar>
                    <w:top w:w="0" w:type="dxa"/>
                    <w:left w:w="57" w:type="dxa"/>
                    <w:bottom w:w="0" w:type="dxa"/>
                    <w:right w:w="57" w:type="dxa"/>
                  </w:tcMar>
                  <w:vAlign w:val="center"/>
                </w:tcPr>
                <w:p w14:paraId="417855FA">
                  <w:pPr>
                    <w:pStyle w:val="54"/>
                    <w:rPr>
                      <w:color w:val="auto"/>
                      <w:highlight w:val="none"/>
                    </w:rPr>
                  </w:pPr>
                  <w:r>
                    <w:rPr>
                      <w:rFonts w:hint="eastAsia"/>
                      <w:color w:val="auto"/>
                      <w:highlight w:val="none"/>
                    </w:rPr>
                    <w:t>/</w:t>
                  </w:r>
                </w:p>
              </w:tc>
              <w:tc>
                <w:tcPr>
                  <w:tcW w:w="1213" w:type="dxa"/>
                  <w:tcBorders>
                    <w:tl2br w:val="nil"/>
                    <w:tr2bl w:val="nil"/>
                  </w:tcBorders>
                  <w:shd w:val="clear" w:color="auto" w:fill="auto"/>
                  <w:tcMar>
                    <w:top w:w="0" w:type="dxa"/>
                    <w:left w:w="57" w:type="dxa"/>
                    <w:bottom w:w="0" w:type="dxa"/>
                    <w:right w:w="57" w:type="dxa"/>
                  </w:tcMar>
                  <w:vAlign w:val="center"/>
                </w:tcPr>
                <w:p w14:paraId="5C9ADD22">
                  <w:pPr>
                    <w:pStyle w:val="54"/>
                    <w:rPr>
                      <w:rFonts w:hint="eastAsia" w:eastAsia="宋体"/>
                      <w:color w:val="auto"/>
                      <w:highlight w:val="none"/>
                      <w:lang w:eastAsia="zh-CN"/>
                    </w:rPr>
                  </w:pPr>
                  <w:r>
                    <w:rPr>
                      <w:rFonts w:hint="eastAsia"/>
                      <w:color w:val="auto"/>
                      <w:highlight w:val="none"/>
                      <w:lang w:val="en-US" w:eastAsia="zh-CN"/>
                    </w:rPr>
                    <w:t>4</w:t>
                  </w:r>
                </w:p>
              </w:tc>
              <w:tc>
                <w:tcPr>
                  <w:tcW w:w="762" w:type="dxa"/>
                  <w:tcBorders>
                    <w:tl2br w:val="nil"/>
                    <w:tr2bl w:val="nil"/>
                  </w:tcBorders>
                  <w:shd w:val="clear" w:color="auto" w:fill="auto"/>
                  <w:tcMar>
                    <w:top w:w="0" w:type="dxa"/>
                    <w:left w:w="57" w:type="dxa"/>
                    <w:bottom w:w="0" w:type="dxa"/>
                    <w:right w:w="57" w:type="dxa"/>
                  </w:tcMar>
                  <w:vAlign w:val="center"/>
                </w:tcPr>
                <w:p w14:paraId="5B762F0A">
                  <w:pPr>
                    <w:pStyle w:val="54"/>
                    <w:rPr>
                      <w:color w:val="auto"/>
                      <w:highlight w:val="none"/>
                    </w:rPr>
                  </w:pPr>
                  <w:r>
                    <w:rPr>
                      <w:rFonts w:hint="eastAsia"/>
                      <w:color w:val="auto"/>
                      <w:highlight w:val="none"/>
                    </w:rPr>
                    <w:t>0</w:t>
                  </w:r>
                </w:p>
              </w:tc>
              <w:tc>
                <w:tcPr>
                  <w:tcW w:w="956" w:type="dxa"/>
                  <w:tcBorders>
                    <w:tl2br w:val="nil"/>
                    <w:tr2bl w:val="nil"/>
                  </w:tcBorders>
                  <w:shd w:val="clear" w:color="auto" w:fill="auto"/>
                  <w:tcMar>
                    <w:top w:w="0" w:type="dxa"/>
                    <w:left w:w="57" w:type="dxa"/>
                    <w:bottom w:w="0" w:type="dxa"/>
                    <w:right w:w="57" w:type="dxa"/>
                  </w:tcMar>
                  <w:vAlign w:val="center"/>
                </w:tcPr>
                <w:p w14:paraId="78291988">
                  <w:pPr>
                    <w:pStyle w:val="54"/>
                    <w:rPr>
                      <w:color w:val="auto"/>
                      <w:highlight w:val="none"/>
                    </w:rPr>
                  </w:pPr>
                  <w:r>
                    <w:rPr>
                      <w:color w:val="auto"/>
                      <w:highlight w:val="none"/>
                    </w:rPr>
                    <w:t>50kg/桶</w:t>
                  </w:r>
                </w:p>
              </w:tc>
              <w:tc>
                <w:tcPr>
                  <w:tcW w:w="763" w:type="dxa"/>
                  <w:tcBorders>
                    <w:tl2br w:val="nil"/>
                    <w:tr2bl w:val="nil"/>
                  </w:tcBorders>
                  <w:shd w:val="clear" w:color="auto" w:fill="auto"/>
                  <w:tcMar>
                    <w:top w:w="0" w:type="dxa"/>
                    <w:left w:w="57" w:type="dxa"/>
                    <w:bottom w:w="0" w:type="dxa"/>
                    <w:right w:w="57" w:type="dxa"/>
                  </w:tcMar>
                  <w:vAlign w:val="center"/>
                </w:tcPr>
                <w:p w14:paraId="493D35EB">
                  <w:pPr>
                    <w:pStyle w:val="54"/>
                    <w:rPr>
                      <w:rFonts w:hint="eastAsia" w:eastAsia="宋体"/>
                      <w:color w:val="auto"/>
                      <w:highlight w:val="none"/>
                      <w:lang w:eastAsia="zh-CN"/>
                    </w:rPr>
                  </w:pPr>
                  <w:r>
                    <w:rPr>
                      <w:rFonts w:hint="eastAsia"/>
                      <w:color w:val="auto"/>
                      <w:highlight w:val="none"/>
                      <w:lang w:val="en-US" w:eastAsia="zh-CN"/>
                    </w:rPr>
                    <w:t>1</w:t>
                  </w:r>
                </w:p>
              </w:tc>
              <w:tc>
                <w:tcPr>
                  <w:tcW w:w="1330" w:type="dxa"/>
                  <w:tcBorders>
                    <w:tl2br w:val="nil"/>
                    <w:tr2bl w:val="nil"/>
                  </w:tcBorders>
                  <w:shd w:val="clear" w:color="auto" w:fill="auto"/>
                  <w:tcMar>
                    <w:top w:w="0" w:type="dxa"/>
                    <w:left w:w="57" w:type="dxa"/>
                    <w:bottom w:w="0" w:type="dxa"/>
                    <w:right w:w="57" w:type="dxa"/>
                  </w:tcMar>
                  <w:vAlign w:val="center"/>
                </w:tcPr>
                <w:p w14:paraId="6C03D585">
                  <w:pPr>
                    <w:pStyle w:val="54"/>
                    <w:rPr>
                      <w:color w:val="auto"/>
                      <w:highlight w:val="none"/>
                    </w:rPr>
                  </w:pPr>
                  <w:r>
                    <w:rPr>
                      <w:rFonts w:hint="eastAsia"/>
                      <w:color w:val="auto"/>
                      <w:highlight w:val="none"/>
                    </w:rPr>
                    <w:t>/</w:t>
                  </w:r>
                </w:p>
              </w:tc>
            </w:tr>
            <w:tr w14:paraId="6946C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blHeader/>
                <w:jc w:val="center"/>
              </w:trPr>
              <w:tc>
                <w:tcPr>
                  <w:tcW w:w="400" w:type="dxa"/>
                  <w:tcBorders>
                    <w:tl2br w:val="nil"/>
                    <w:tr2bl w:val="nil"/>
                  </w:tcBorders>
                  <w:shd w:val="clear" w:color="auto" w:fill="auto"/>
                  <w:tcMar>
                    <w:top w:w="0" w:type="dxa"/>
                    <w:left w:w="57" w:type="dxa"/>
                    <w:bottom w:w="0" w:type="dxa"/>
                    <w:right w:w="57" w:type="dxa"/>
                  </w:tcMar>
                  <w:vAlign w:val="center"/>
                </w:tcPr>
                <w:p w14:paraId="76E3CC8D">
                  <w:pPr>
                    <w:pStyle w:val="54"/>
                    <w:rPr>
                      <w:color w:val="auto"/>
                    </w:rPr>
                  </w:pPr>
                  <w:r>
                    <w:rPr>
                      <w:rFonts w:hint="eastAsia"/>
                      <w:color w:val="auto"/>
                    </w:rPr>
                    <w:t>8</w:t>
                  </w:r>
                </w:p>
              </w:tc>
              <w:tc>
                <w:tcPr>
                  <w:tcW w:w="984" w:type="dxa"/>
                  <w:tcBorders>
                    <w:tl2br w:val="nil"/>
                    <w:tr2bl w:val="nil"/>
                  </w:tcBorders>
                  <w:shd w:val="clear" w:color="auto" w:fill="auto"/>
                  <w:tcMar>
                    <w:top w:w="0" w:type="dxa"/>
                    <w:left w:w="57" w:type="dxa"/>
                    <w:bottom w:w="0" w:type="dxa"/>
                    <w:right w:w="57" w:type="dxa"/>
                  </w:tcMar>
                  <w:vAlign w:val="center"/>
                </w:tcPr>
                <w:p w14:paraId="04F6CCB8">
                  <w:pPr>
                    <w:pStyle w:val="54"/>
                    <w:rPr>
                      <w:color w:val="auto"/>
                    </w:rPr>
                  </w:pPr>
                  <w:r>
                    <w:rPr>
                      <w:rFonts w:hint="eastAsia"/>
                      <w:color w:val="auto"/>
                    </w:rPr>
                    <w:t>天然气</w:t>
                  </w:r>
                </w:p>
              </w:tc>
              <w:tc>
                <w:tcPr>
                  <w:tcW w:w="1025" w:type="dxa"/>
                  <w:tcBorders>
                    <w:tl2br w:val="nil"/>
                    <w:tr2bl w:val="nil"/>
                  </w:tcBorders>
                  <w:shd w:val="clear" w:color="auto" w:fill="auto"/>
                  <w:tcMar>
                    <w:top w:w="0" w:type="dxa"/>
                    <w:left w:w="57" w:type="dxa"/>
                    <w:bottom w:w="0" w:type="dxa"/>
                    <w:right w:w="57" w:type="dxa"/>
                  </w:tcMar>
                  <w:vAlign w:val="center"/>
                </w:tcPr>
                <w:p w14:paraId="4EB53D08">
                  <w:pPr>
                    <w:pStyle w:val="54"/>
                    <w:rPr>
                      <w:color w:val="auto"/>
                    </w:rPr>
                  </w:pPr>
                  <w:r>
                    <w:rPr>
                      <w:rFonts w:hint="eastAsia"/>
                      <w:color w:val="auto"/>
                    </w:rPr>
                    <w:t>198万m</w:t>
                  </w:r>
                  <w:r>
                    <w:rPr>
                      <w:rFonts w:hint="eastAsia"/>
                      <w:color w:val="auto"/>
                      <w:vertAlign w:val="superscript"/>
                    </w:rPr>
                    <w:t>3</w:t>
                  </w:r>
                  <w:r>
                    <w:rPr>
                      <w:rFonts w:hint="eastAsia"/>
                      <w:color w:val="auto"/>
                    </w:rPr>
                    <w:t>/a</w:t>
                  </w:r>
                </w:p>
              </w:tc>
              <w:tc>
                <w:tcPr>
                  <w:tcW w:w="1000" w:type="dxa"/>
                  <w:tcBorders>
                    <w:tl2br w:val="nil"/>
                    <w:tr2bl w:val="nil"/>
                  </w:tcBorders>
                  <w:shd w:val="clear" w:color="auto" w:fill="auto"/>
                  <w:tcMar>
                    <w:top w:w="0" w:type="dxa"/>
                    <w:left w:w="57" w:type="dxa"/>
                    <w:bottom w:w="0" w:type="dxa"/>
                    <w:right w:w="57" w:type="dxa"/>
                  </w:tcMar>
                  <w:vAlign w:val="center"/>
                </w:tcPr>
                <w:p w14:paraId="526AA49E">
                  <w:pPr>
                    <w:pStyle w:val="54"/>
                    <w:rPr>
                      <w:color w:val="auto"/>
                    </w:rPr>
                  </w:pPr>
                  <w:r>
                    <w:rPr>
                      <w:rFonts w:hint="eastAsia"/>
                      <w:color w:val="auto"/>
                    </w:rPr>
                    <w:t>/</w:t>
                  </w:r>
                </w:p>
              </w:tc>
              <w:tc>
                <w:tcPr>
                  <w:tcW w:w="1213" w:type="dxa"/>
                  <w:tcBorders>
                    <w:tl2br w:val="nil"/>
                    <w:tr2bl w:val="nil"/>
                  </w:tcBorders>
                  <w:shd w:val="clear" w:color="auto" w:fill="auto"/>
                  <w:tcMar>
                    <w:top w:w="0" w:type="dxa"/>
                    <w:left w:w="57" w:type="dxa"/>
                    <w:bottom w:w="0" w:type="dxa"/>
                    <w:right w:w="57" w:type="dxa"/>
                  </w:tcMar>
                  <w:vAlign w:val="center"/>
                </w:tcPr>
                <w:p w14:paraId="7C540025">
                  <w:pPr>
                    <w:pStyle w:val="54"/>
                    <w:rPr>
                      <w:color w:val="auto"/>
                    </w:rPr>
                  </w:pPr>
                  <w:r>
                    <w:rPr>
                      <w:rFonts w:hint="eastAsia"/>
                      <w:color w:val="auto"/>
                    </w:rPr>
                    <w:t>198万m</w:t>
                  </w:r>
                  <w:r>
                    <w:rPr>
                      <w:rFonts w:hint="eastAsia"/>
                      <w:color w:val="auto"/>
                      <w:vertAlign w:val="superscript"/>
                    </w:rPr>
                    <w:t>3</w:t>
                  </w:r>
                  <w:r>
                    <w:rPr>
                      <w:rFonts w:hint="eastAsia"/>
                      <w:color w:val="auto"/>
                    </w:rPr>
                    <w:t>/a</w:t>
                  </w:r>
                </w:p>
              </w:tc>
              <w:tc>
                <w:tcPr>
                  <w:tcW w:w="762" w:type="dxa"/>
                  <w:tcBorders>
                    <w:tl2br w:val="nil"/>
                    <w:tr2bl w:val="nil"/>
                  </w:tcBorders>
                  <w:shd w:val="clear" w:color="auto" w:fill="auto"/>
                  <w:tcMar>
                    <w:top w:w="0" w:type="dxa"/>
                    <w:left w:w="57" w:type="dxa"/>
                    <w:bottom w:w="0" w:type="dxa"/>
                    <w:right w:w="57" w:type="dxa"/>
                  </w:tcMar>
                  <w:vAlign w:val="center"/>
                </w:tcPr>
                <w:p w14:paraId="00F7F6DE">
                  <w:pPr>
                    <w:pStyle w:val="54"/>
                    <w:rPr>
                      <w:color w:val="auto"/>
                    </w:rPr>
                  </w:pPr>
                  <w:r>
                    <w:rPr>
                      <w:rFonts w:hint="eastAsia"/>
                      <w:color w:val="auto"/>
                    </w:rPr>
                    <w:t>0</w:t>
                  </w:r>
                </w:p>
              </w:tc>
              <w:tc>
                <w:tcPr>
                  <w:tcW w:w="956" w:type="dxa"/>
                  <w:tcBorders>
                    <w:tl2br w:val="nil"/>
                    <w:tr2bl w:val="nil"/>
                  </w:tcBorders>
                  <w:shd w:val="clear" w:color="auto" w:fill="auto"/>
                  <w:tcMar>
                    <w:top w:w="0" w:type="dxa"/>
                    <w:left w:w="57" w:type="dxa"/>
                    <w:bottom w:w="0" w:type="dxa"/>
                    <w:right w:w="57" w:type="dxa"/>
                  </w:tcMar>
                  <w:vAlign w:val="center"/>
                </w:tcPr>
                <w:p w14:paraId="74AC8D62">
                  <w:pPr>
                    <w:pStyle w:val="54"/>
                    <w:rPr>
                      <w:color w:val="auto"/>
                    </w:rPr>
                  </w:pPr>
                  <w:r>
                    <w:rPr>
                      <w:color w:val="auto"/>
                    </w:rPr>
                    <w:t>/</w:t>
                  </w:r>
                </w:p>
              </w:tc>
              <w:tc>
                <w:tcPr>
                  <w:tcW w:w="763" w:type="dxa"/>
                  <w:tcBorders>
                    <w:tl2br w:val="nil"/>
                    <w:tr2bl w:val="nil"/>
                  </w:tcBorders>
                  <w:shd w:val="clear" w:color="auto" w:fill="auto"/>
                  <w:tcMar>
                    <w:top w:w="0" w:type="dxa"/>
                    <w:left w:w="57" w:type="dxa"/>
                    <w:bottom w:w="0" w:type="dxa"/>
                    <w:right w:w="57" w:type="dxa"/>
                  </w:tcMar>
                  <w:vAlign w:val="center"/>
                </w:tcPr>
                <w:p w14:paraId="221256F7">
                  <w:pPr>
                    <w:pStyle w:val="54"/>
                    <w:rPr>
                      <w:color w:val="auto"/>
                    </w:rPr>
                  </w:pPr>
                  <w:r>
                    <w:rPr>
                      <w:rFonts w:hint="eastAsia"/>
                      <w:color w:val="auto"/>
                    </w:rPr>
                    <w:t>8.62</w:t>
                  </w:r>
                  <w:r>
                    <w:rPr>
                      <w:color w:val="auto"/>
                    </w:rPr>
                    <w:t>×</w:t>
                  </w:r>
                </w:p>
                <w:p w14:paraId="70C1E385">
                  <w:pPr>
                    <w:pStyle w:val="54"/>
                    <w:rPr>
                      <w:color w:val="auto"/>
                    </w:rPr>
                  </w:pPr>
                  <w:r>
                    <w:rPr>
                      <w:rFonts w:hint="eastAsia"/>
                      <w:color w:val="auto"/>
                    </w:rPr>
                    <w:t>10</w:t>
                  </w:r>
                  <w:r>
                    <w:rPr>
                      <w:rFonts w:hint="eastAsia"/>
                      <w:color w:val="auto"/>
                      <w:vertAlign w:val="superscript"/>
                    </w:rPr>
                    <w:t>-3</w:t>
                  </w:r>
                </w:p>
              </w:tc>
              <w:tc>
                <w:tcPr>
                  <w:tcW w:w="1330" w:type="dxa"/>
                  <w:tcBorders>
                    <w:tl2br w:val="nil"/>
                    <w:tr2bl w:val="nil"/>
                  </w:tcBorders>
                  <w:shd w:val="clear" w:color="auto" w:fill="auto"/>
                  <w:tcMar>
                    <w:top w:w="0" w:type="dxa"/>
                    <w:left w:w="57" w:type="dxa"/>
                    <w:bottom w:w="0" w:type="dxa"/>
                    <w:right w:w="57" w:type="dxa"/>
                  </w:tcMar>
                  <w:vAlign w:val="center"/>
                </w:tcPr>
                <w:p w14:paraId="22557E0C">
                  <w:pPr>
                    <w:pStyle w:val="54"/>
                    <w:rPr>
                      <w:color w:val="auto"/>
                    </w:rPr>
                  </w:pPr>
                  <w:r>
                    <w:rPr>
                      <w:rFonts w:hint="eastAsia"/>
                      <w:color w:val="auto"/>
                    </w:rPr>
                    <w:t>/</w:t>
                  </w:r>
                </w:p>
              </w:tc>
            </w:tr>
            <w:tr w14:paraId="3BF27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400" w:type="dxa"/>
                  <w:tcBorders>
                    <w:tl2br w:val="nil"/>
                    <w:tr2bl w:val="nil"/>
                  </w:tcBorders>
                  <w:shd w:val="clear" w:color="auto" w:fill="auto"/>
                  <w:tcMar>
                    <w:top w:w="0" w:type="dxa"/>
                    <w:left w:w="57" w:type="dxa"/>
                    <w:bottom w:w="0" w:type="dxa"/>
                    <w:right w:w="57" w:type="dxa"/>
                  </w:tcMar>
                  <w:vAlign w:val="center"/>
                </w:tcPr>
                <w:p w14:paraId="4F1521E2">
                  <w:pPr>
                    <w:pStyle w:val="54"/>
                    <w:rPr>
                      <w:color w:val="auto"/>
                    </w:rPr>
                  </w:pPr>
                  <w:r>
                    <w:rPr>
                      <w:rFonts w:hint="eastAsia"/>
                      <w:color w:val="auto"/>
                    </w:rPr>
                    <w:t>9</w:t>
                  </w:r>
                </w:p>
              </w:tc>
              <w:tc>
                <w:tcPr>
                  <w:tcW w:w="984" w:type="dxa"/>
                  <w:tcBorders>
                    <w:tl2br w:val="nil"/>
                    <w:tr2bl w:val="nil"/>
                  </w:tcBorders>
                  <w:shd w:val="clear" w:color="auto" w:fill="auto"/>
                  <w:tcMar>
                    <w:top w:w="0" w:type="dxa"/>
                    <w:left w:w="57" w:type="dxa"/>
                    <w:bottom w:w="0" w:type="dxa"/>
                    <w:right w:w="57" w:type="dxa"/>
                  </w:tcMar>
                  <w:vAlign w:val="center"/>
                </w:tcPr>
                <w:p w14:paraId="02A6504E">
                  <w:pPr>
                    <w:pStyle w:val="54"/>
                    <w:rPr>
                      <w:color w:val="auto"/>
                    </w:rPr>
                  </w:pPr>
                  <w:r>
                    <w:rPr>
                      <w:rFonts w:hint="eastAsia"/>
                      <w:color w:val="auto"/>
                    </w:rPr>
                    <w:t>氧气</w:t>
                  </w:r>
                </w:p>
              </w:tc>
              <w:tc>
                <w:tcPr>
                  <w:tcW w:w="1025" w:type="dxa"/>
                  <w:tcBorders>
                    <w:tl2br w:val="nil"/>
                    <w:tr2bl w:val="nil"/>
                  </w:tcBorders>
                  <w:shd w:val="clear" w:color="auto" w:fill="auto"/>
                  <w:tcMar>
                    <w:top w:w="0" w:type="dxa"/>
                    <w:left w:w="57" w:type="dxa"/>
                    <w:bottom w:w="0" w:type="dxa"/>
                    <w:right w:w="57" w:type="dxa"/>
                  </w:tcMar>
                  <w:vAlign w:val="center"/>
                </w:tcPr>
                <w:p w14:paraId="7D1547DC">
                  <w:pPr>
                    <w:pStyle w:val="54"/>
                    <w:rPr>
                      <w:color w:val="auto"/>
                    </w:rPr>
                  </w:pPr>
                  <w:r>
                    <w:rPr>
                      <w:rFonts w:hint="eastAsia"/>
                      <w:color w:val="auto"/>
                    </w:rPr>
                    <w:t>90万m</w:t>
                  </w:r>
                  <w:r>
                    <w:rPr>
                      <w:rFonts w:hint="eastAsia"/>
                      <w:color w:val="auto"/>
                      <w:vertAlign w:val="superscript"/>
                    </w:rPr>
                    <w:t>3</w:t>
                  </w:r>
                  <w:r>
                    <w:rPr>
                      <w:rFonts w:hint="eastAsia"/>
                      <w:color w:val="auto"/>
                    </w:rPr>
                    <w:t>/a</w:t>
                  </w:r>
                </w:p>
              </w:tc>
              <w:tc>
                <w:tcPr>
                  <w:tcW w:w="1000" w:type="dxa"/>
                  <w:tcBorders>
                    <w:tl2br w:val="nil"/>
                    <w:tr2bl w:val="nil"/>
                  </w:tcBorders>
                  <w:shd w:val="clear" w:color="auto" w:fill="auto"/>
                  <w:tcMar>
                    <w:top w:w="0" w:type="dxa"/>
                    <w:left w:w="57" w:type="dxa"/>
                    <w:bottom w:w="0" w:type="dxa"/>
                    <w:right w:w="57" w:type="dxa"/>
                  </w:tcMar>
                  <w:vAlign w:val="center"/>
                </w:tcPr>
                <w:p w14:paraId="391712A1">
                  <w:pPr>
                    <w:pStyle w:val="54"/>
                    <w:rPr>
                      <w:color w:val="auto"/>
                    </w:rPr>
                  </w:pPr>
                  <w:r>
                    <w:rPr>
                      <w:rFonts w:hint="eastAsia"/>
                      <w:color w:val="auto"/>
                    </w:rPr>
                    <w:t>/</w:t>
                  </w:r>
                </w:p>
              </w:tc>
              <w:tc>
                <w:tcPr>
                  <w:tcW w:w="1213" w:type="dxa"/>
                  <w:tcBorders>
                    <w:tl2br w:val="nil"/>
                    <w:tr2bl w:val="nil"/>
                  </w:tcBorders>
                  <w:shd w:val="clear" w:color="auto" w:fill="auto"/>
                  <w:tcMar>
                    <w:top w:w="0" w:type="dxa"/>
                    <w:left w:w="57" w:type="dxa"/>
                    <w:bottom w:w="0" w:type="dxa"/>
                    <w:right w:w="57" w:type="dxa"/>
                  </w:tcMar>
                  <w:vAlign w:val="center"/>
                </w:tcPr>
                <w:p w14:paraId="1224F9F0">
                  <w:pPr>
                    <w:pStyle w:val="54"/>
                    <w:rPr>
                      <w:color w:val="auto"/>
                    </w:rPr>
                  </w:pPr>
                  <w:r>
                    <w:rPr>
                      <w:rFonts w:hint="eastAsia"/>
                      <w:color w:val="auto"/>
                    </w:rPr>
                    <w:t>90万m</w:t>
                  </w:r>
                  <w:r>
                    <w:rPr>
                      <w:rFonts w:hint="eastAsia"/>
                      <w:color w:val="auto"/>
                      <w:vertAlign w:val="superscript"/>
                    </w:rPr>
                    <w:t>3</w:t>
                  </w:r>
                  <w:r>
                    <w:rPr>
                      <w:rFonts w:hint="eastAsia"/>
                      <w:color w:val="auto"/>
                    </w:rPr>
                    <w:t>/a</w:t>
                  </w:r>
                </w:p>
              </w:tc>
              <w:tc>
                <w:tcPr>
                  <w:tcW w:w="762" w:type="dxa"/>
                  <w:tcBorders>
                    <w:tl2br w:val="nil"/>
                    <w:tr2bl w:val="nil"/>
                  </w:tcBorders>
                  <w:shd w:val="clear" w:color="auto" w:fill="auto"/>
                  <w:tcMar>
                    <w:top w:w="0" w:type="dxa"/>
                    <w:left w:w="57" w:type="dxa"/>
                    <w:bottom w:w="0" w:type="dxa"/>
                    <w:right w:w="57" w:type="dxa"/>
                  </w:tcMar>
                  <w:vAlign w:val="center"/>
                </w:tcPr>
                <w:p w14:paraId="396A2A6F">
                  <w:pPr>
                    <w:pStyle w:val="54"/>
                    <w:rPr>
                      <w:color w:val="auto"/>
                    </w:rPr>
                  </w:pPr>
                  <w:r>
                    <w:rPr>
                      <w:rFonts w:hint="eastAsia"/>
                      <w:color w:val="auto"/>
                    </w:rPr>
                    <w:t>0</w:t>
                  </w:r>
                </w:p>
              </w:tc>
              <w:tc>
                <w:tcPr>
                  <w:tcW w:w="956" w:type="dxa"/>
                  <w:tcBorders>
                    <w:tl2br w:val="nil"/>
                    <w:tr2bl w:val="nil"/>
                  </w:tcBorders>
                  <w:shd w:val="clear" w:color="auto" w:fill="auto"/>
                  <w:tcMar>
                    <w:top w:w="0" w:type="dxa"/>
                    <w:left w:w="57" w:type="dxa"/>
                    <w:bottom w:w="0" w:type="dxa"/>
                    <w:right w:w="57" w:type="dxa"/>
                  </w:tcMar>
                  <w:vAlign w:val="center"/>
                </w:tcPr>
                <w:p w14:paraId="5B2E93A7">
                  <w:pPr>
                    <w:pStyle w:val="54"/>
                    <w:rPr>
                      <w:color w:val="auto"/>
                    </w:rPr>
                  </w:pPr>
                  <w:r>
                    <w:rPr>
                      <w:rFonts w:hint="eastAsia"/>
                      <w:color w:val="auto"/>
                    </w:rPr>
                    <w:t>50</w:t>
                  </w:r>
                  <w:r>
                    <w:rPr>
                      <w:color w:val="auto"/>
                    </w:rPr>
                    <w:t>m</w:t>
                  </w:r>
                  <w:r>
                    <w:rPr>
                      <w:color w:val="auto"/>
                      <w:vertAlign w:val="superscript"/>
                    </w:rPr>
                    <w:t>3</w:t>
                  </w:r>
                  <w:r>
                    <w:rPr>
                      <w:color w:val="auto"/>
                    </w:rPr>
                    <w:t>/罐</w:t>
                  </w:r>
                </w:p>
              </w:tc>
              <w:tc>
                <w:tcPr>
                  <w:tcW w:w="763" w:type="dxa"/>
                  <w:tcBorders>
                    <w:tl2br w:val="nil"/>
                    <w:tr2bl w:val="nil"/>
                  </w:tcBorders>
                  <w:shd w:val="clear" w:color="auto" w:fill="auto"/>
                  <w:tcMar>
                    <w:top w:w="0" w:type="dxa"/>
                    <w:left w:w="57" w:type="dxa"/>
                    <w:bottom w:w="0" w:type="dxa"/>
                    <w:right w:w="57" w:type="dxa"/>
                  </w:tcMar>
                  <w:vAlign w:val="center"/>
                </w:tcPr>
                <w:p w14:paraId="1F812FB3">
                  <w:pPr>
                    <w:pStyle w:val="54"/>
                    <w:rPr>
                      <w:color w:val="auto"/>
                    </w:rPr>
                  </w:pPr>
                  <w:r>
                    <w:rPr>
                      <w:rFonts w:hint="eastAsia"/>
                      <w:color w:val="auto"/>
                    </w:rPr>
                    <w:t>50</w:t>
                  </w:r>
                  <w:r>
                    <w:rPr>
                      <w:color w:val="auto"/>
                    </w:rPr>
                    <w:t>m</w:t>
                  </w:r>
                  <w:r>
                    <w:rPr>
                      <w:color w:val="auto"/>
                      <w:vertAlign w:val="superscript"/>
                    </w:rPr>
                    <w:t>3</w:t>
                  </w:r>
                </w:p>
              </w:tc>
              <w:tc>
                <w:tcPr>
                  <w:tcW w:w="1330" w:type="dxa"/>
                  <w:tcBorders>
                    <w:tl2br w:val="nil"/>
                    <w:tr2bl w:val="nil"/>
                  </w:tcBorders>
                  <w:shd w:val="clear" w:color="auto" w:fill="auto"/>
                  <w:tcMar>
                    <w:top w:w="0" w:type="dxa"/>
                    <w:left w:w="57" w:type="dxa"/>
                    <w:bottom w:w="0" w:type="dxa"/>
                    <w:right w:w="57" w:type="dxa"/>
                  </w:tcMar>
                  <w:vAlign w:val="center"/>
                </w:tcPr>
                <w:p w14:paraId="63F6997A">
                  <w:pPr>
                    <w:pStyle w:val="54"/>
                    <w:rPr>
                      <w:color w:val="auto"/>
                    </w:rPr>
                  </w:pPr>
                  <w:r>
                    <w:rPr>
                      <w:rFonts w:hint="eastAsia"/>
                      <w:color w:val="auto"/>
                    </w:rPr>
                    <w:t>/</w:t>
                  </w:r>
                </w:p>
              </w:tc>
            </w:tr>
            <w:tr w14:paraId="67B8A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 w:hRule="atLeast"/>
                <w:tblHeader/>
                <w:jc w:val="center"/>
              </w:trPr>
              <w:tc>
                <w:tcPr>
                  <w:tcW w:w="400" w:type="dxa"/>
                  <w:tcBorders>
                    <w:tl2br w:val="nil"/>
                    <w:tr2bl w:val="nil"/>
                  </w:tcBorders>
                  <w:shd w:val="clear" w:color="auto" w:fill="auto"/>
                  <w:tcMar>
                    <w:top w:w="0" w:type="dxa"/>
                    <w:left w:w="57" w:type="dxa"/>
                    <w:bottom w:w="0" w:type="dxa"/>
                    <w:right w:w="57" w:type="dxa"/>
                  </w:tcMar>
                  <w:vAlign w:val="center"/>
                </w:tcPr>
                <w:p w14:paraId="6C53DD85">
                  <w:pPr>
                    <w:pStyle w:val="54"/>
                    <w:rPr>
                      <w:color w:val="auto"/>
                    </w:rPr>
                  </w:pPr>
                  <w:r>
                    <w:rPr>
                      <w:rFonts w:hint="eastAsia"/>
                      <w:color w:val="auto"/>
                    </w:rPr>
                    <w:t>10</w:t>
                  </w:r>
                </w:p>
              </w:tc>
              <w:tc>
                <w:tcPr>
                  <w:tcW w:w="984" w:type="dxa"/>
                  <w:tcBorders>
                    <w:tl2br w:val="nil"/>
                    <w:tr2bl w:val="nil"/>
                  </w:tcBorders>
                  <w:shd w:val="clear" w:color="auto" w:fill="auto"/>
                  <w:tcMar>
                    <w:top w:w="0" w:type="dxa"/>
                    <w:left w:w="57" w:type="dxa"/>
                    <w:bottom w:w="0" w:type="dxa"/>
                    <w:right w:w="57" w:type="dxa"/>
                  </w:tcMar>
                  <w:vAlign w:val="center"/>
                </w:tcPr>
                <w:p w14:paraId="4AF6DF19">
                  <w:pPr>
                    <w:pStyle w:val="54"/>
                    <w:rPr>
                      <w:color w:val="auto"/>
                    </w:rPr>
                  </w:pPr>
                  <w:r>
                    <w:rPr>
                      <w:rFonts w:hint="eastAsia"/>
                      <w:color w:val="auto"/>
                    </w:rPr>
                    <w:t>润滑油</w:t>
                  </w:r>
                </w:p>
              </w:tc>
              <w:tc>
                <w:tcPr>
                  <w:tcW w:w="1025" w:type="dxa"/>
                  <w:tcBorders>
                    <w:tl2br w:val="nil"/>
                    <w:tr2bl w:val="nil"/>
                  </w:tcBorders>
                  <w:shd w:val="clear" w:color="auto" w:fill="auto"/>
                  <w:tcMar>
                    <w:top w:w="0" w:type="dxa"/>
                    <w:left w:w="57" w:type="dxa"/>
                    <w:bottom w:w="0" w:type="dxa"/>
                    <w:right w:w="57" w:type="dxa"/>
                  </w:tcMar>
                  <w:vAlign w:val="center"/>
                </w:tcPr>
                <w:p w14:paraId="3FAE0798">
                  <w:pPr>
                    <w:pStyle w:val="54"/>
                    <w:rPr>
                      <w:color w:val="auto"/>
                    </w:rPr>
                  </w:pPr>
                  <w:r>
                    <w:rPr>
                      <w:rFonts w:hint="eastAsia"/>
                      <w:color w:val="auto"/>
                    </w:rPr>
                    <w:t>0.5</w:t>
                  </w:r>
                </w:p>
              </w:tc>
              <w:tc>
                <w:tcPr>
                  <w:tcW w:w="1000" w:type="dxa"/>
                  <w:tcBorders>
                    <w:tl2br w:val="nil"/>
                    <w:tr2bl w:val="nil"/>
                  </w:tcBorders>
                  <w:shd w:val="clear" w:color="auto" w:fill="auto"/>
                  <w:tcMar>
                    <w:top w:w="0" w:type="dxa"/>
                    <w:left w:w="57" w:type="dxa"/>
                    <w:bottom w:w="0" w:type="dxa"/>
                    <w:right w:w="57" w:type="dxa"/>
                  </w:tcMar>
                  <w:vAlign w:val="center"/>
                </w:tcPr>
                <w:p w14:paraId="071D8BB4">
                  <w:pPr>
                    <w:pStyle w:val="54"/>
                    <w:rPr>
                      <w:rFonts w:hint="default" w:eastAsia="宋体"/>
                      <w:color w:val="auto"/>
                      <w:lang w:val="en-US" w:eastAsia="zh-CN"/>
                    </w:rPr>
                  </w:pPr>
                  <w:r>
                    <w:rPr>
                      <w:rFonts w:hint="eastAsia"/>
                      <w:color w:val="auto"/>
                      <w:lang w:val="en-US" w:eastAsia="zh-CN"/>
                    </w:rPr>
                    <w:t>0.5</w:t>
                  </w:r>
                </w:p>
              </w:tc>
              <w:tc>
                <w:tcPr>
                  <w:tcW w:w="1213" w:type="dxa"/>
                  <w:tcBorders>
                    <w:tl2br w:val="nil"/>
                    <w:tr2bl w:val="nil"/>
                  </w:tcBorders>
                  <w:shd w:val="clear" w:color="auto" w:fill="auto"/>
                  <w:tcMar>
                    <w:top w:w="0" w:type="dxa"/>
                    <w:left w:w="57" w:type="dxa"/>
                    <w:bottom w:w="0" w:type="dxa"/>
                    <w:right w:w="57" w:type="dxa"/>
                  </w:tcMar>
                  <w:vAlign w:val="center"/>
                </w:tcPr>
                <w:p w14:paraId="0558F5BE">
                  <w:pPr>
                    <w:pStyle w:val="54"/>
                    <w:rPr>
                      <w:rFonts w:hint="default" w:eastAsia="宋体"/>
                      <w:color w:val="auto"/>
                      <w:lang w:val="en-US" w:eastAsia="zh-CN"/>
                    </w:rPr>
                  </w:pPr>
                  <w:r>
                    <w:rPr>
                      <w:rFonts w:hint="eastAsia"/>
                      <w:color w:val="auto"/>
                      <w:lang w:val="en-US" w:eastAsia="zh-CN"/>
                    </w:rPr>
                    <w:t>1</w:t>
                  </w:r>
                </w:p>
              </w:tc>
              <w:tc>
                <w:tcPr>
                  <w:tcW w:w="762" w:type="dxa"/>
                  <w:tcBorders>
                    <w:tl2br w:val="nil"/>
                    <w:tr2bl w:val="nil"/>
                  </w:tcBorders>
                  <w:shd w:val="clear" w:color="auto" w:fill="auto"/>
                  <w:tcMar>
                    <w:top w:w="0" w:type="dxa"/>
                    <w:left w:w="57" w:type="dxa"/>
                    <w:bottom w:w="0" w:type="dxa"/>
                    <w:right w:w="57" w:type="dxa"/>
                  </w:tcMar>
                  <w:vAlign w:val="center"/>
                </w:tcPr>
                <w:p w14:paraId="686ABEF3">
                  <w:pPr>
                    <w:pStyle w:val="54"/>
                    <w:rPr>
                      <w:rFonts w:hint="default" w:eastAsia="宋体"/>
                      <w:color w:val="auto"/>
                      <w:lang w:val="en-US" w:eastAsia="zh-CN"/>
                    </w:rPr>
                  </w:pPr>
                  <w:r>
                    <w:rPr>
                      <w:rFonts w:hint="eastAsia"/>
                      <w:color w:val="auto"/>
                      <w:lang w:val="en-US" w:eastAsia="zh-CN"/>
                    </w:rPr>
                    <w:t>0.5</w:t>
                  </w:r>
                </w:p>
              </w:tc>
              <w:tc>
                <w:tcPr>
                  <w:tcW w:w="956" w:type="dxa"/>
                  <w:tcBorders>
                    <w:tl2br w:val="nil"/>
                    <w:tr2bl w:val="nil"/>
                  </w:tcBorders>
                  <w:shd w:val="clear" w:color="auto" w:fill="auto"/>
                  <w:tcMar>
                    <w:top w:w="0" w:type="dxa"/>
                    <w:left w:w="57" w:type="dxa"/>
                    <w:bottom w:w="0" w:type="dxa"/>
                    <w:right w:w="57" w:type="dxa"/>
                  </w:tcMar>
                  <w:vAlign w:val="center"/>
                </w:tcPr>
                <w:p w14:paraId="36075998">
                  <w:pPr>
                    <w:pStyle w:val="54"/>
                    <w:rPr>
                      <w:color w:val="auto"/>
                    </w:rPr>
                  </w:pPr>
                  <w:r>
                    <w:rPr>
                      <w:color w:val="auto"/>
                    </w:rPr>
                    <w:t>20kg/桶</w:t>
                  </w:r>
                </w:p>
              </w:tc>
              <w:tc>
                <w:tcPr>
                  <w:tcW w:w="763" w:type="dxa"/>
                  <w:tcBorders>
                    <w:tl2br w:val="nil"/>
                    <w:tr2bl w:val="nil"/>
                  </w:tcBorders>
                  <w:shd w:val="clear" w:color="auto" w:fill="auto"/>
                  <w:tcMar>
                    <w:top w:w="0" w:type="dxa"/>
                    <w:left w:w="57" w:type="dxa"/>
                    <w:bottom w:w="0" w:type="dxa"/>
                    <w:right w:w="57" w:type="dxa"/>
                  </w:tcMar>
                  <w:vAlign w:val="center"/>
                </w:tcPr>
                <w:p w14:paraId="50F4822E">
                  <w:pPr>
                    <w:pStyle w:val="54"/>
                    <w:rPr>
                      <w:color w:val="auto"/>
                    </w:rPr>
                  </w:pPr>
                  <w:r>
                    <w:rPr>
                      <w:color w:val="auto"/>
                    </w:rPr>
                    <w:t>0.2</w:t>
                  </w:r>
                </w:p>
              </w:tc>
              <w:tc>
                <w:tcPr>
                  <w:tcW w:w="1330" w:type="dxa"/>
                  <w:tcBorders>
                    <w:tl2br w:val="nil"/>
                    <w:tr2bl w:val="nil"/>
                  </w:tcBorders>
                  <w:shd w:val="clear" w:color="auto" w:fill="auto"/>
                  <w:tcMar>
                    <w:top w:w="0" w:type="dxa"/>
                    <w:left w:w="57" w:type="dxa"/>
                    <w:bottom w:w="0" w:type="dxa"/>
                    <w:right w:w="57" w:type="dxa"/>
                  </w:tcMar>
                  <w:vAlign w:val="center"/>
                </w:tcPr>
                <w:p w14:paraId="78B9DE56">
                  <w:pPr>
                    <w:pStyle w:val="54"/>
                    <w:rPr>
                      <w:color w:val="auto"/>
                    </w:rPr>
                  </w:pPr>
                  <w:r>
                    <w:rPr>
                      <w:rFonts w:hint="eastAsia"/>
                      <w:color w:val="auto"/>
                    </w:rPr>
                    <w:t>/</w:t>
                  </w:r>
                </w:p>
              </w:tc>
            </w:tr>
            <w:tr w14:paraId="0CCA9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400" w:type="dxa"/>
                  <w:tcBorders>
                    <w:tl2br w:val="nil"/>
                    <w:tr2bl w:val="nil"/>
                  </w:tcBorders>
                  <w:shd w:val="clear" w:color="auto" w:fill="auto"/>
                  <w:tcMar>
                    <w:top w:w="0" w:type="dxa"/>
                    <w:left w:w="57" w:type="dxa"/>
                    <w:bottom w:w="0" w:type="dxa"/>
                    <w:right w:w="57" w:type="dxa"/>
                  </w:tcMar>
                  <w:vAlign w:val="center"/>
                </w:tcPr>
                <w:p w14:paraId="4F297FDD">
                  <w:pPr>
                    <w:pStyle w:val="54"/>
                    <w:rPr>
                      <w:color w:val="auto"/>
                    </w:rPr>
                  </w:pPr>
                  <w:r>
                    <w:rPr>
                      <w:rFonts w:hint="eastAsia"/>
                      <w:color w:val="auto"/>
                    </w:rPr>
                    <w:t>11</w:t>
                  </w:r>
                </w:p>
              </w:tc>
              <w:tc>
                <w:tcPr>
                  <w:tcW w:w="984" w:type="dxa"/>
                  <w:tcBorders>
                    <w:tl2br w:val="nil"/>
                    <w:tr2bl w:val="nil"/>
                  </w:tcBorders>
                  <w:shd w:val="clear" w:color="auto" w:fill="auto"/>
                  <w:tcMar>
                    <w:top w:w="0" w:type="dxa"/>
                    <w:left w:w="57" w:type="dxa"/>
                    <w:bottom w:w="0" w:type="dxa"/>
                    <w:right w:w="57" w:type="dxa"/>
                  </w:tcMar>
                  <w:vAlign w:val="center"/>
                </w:tcPr>
                <w:p w14:paraId="0D3D6017">
                  <w:pPr>
                    <w:pStyle w:val="54"/>
                    <w:rPr>
                      <w:color w:val="auto"/>
                    </w:rPr>
                  </w:pPr>
                  <w:r>
                    <w:rPr>
                      <w:rFonts w:hint="eastAsia"/>
                      <w:color w:val="auto"/>
                    </w:rPr>
                    <w:t>液压油</w:t>
                  </w:r>
                </w:p>
              </w:tc>
              <w:tc>
                <w:tcPr>
                  <w:tcW w:w="1025" w:type="dxa"/>
                  <w:tcBorders>
                    <w:tl2br w:val="nil"/>
                    <w:tr2bl w:val="nil"/>
                  </w:tcBorders>
                  <w:shd w:val="clear" w:color="auto" w:fill="auto"/>
                  <w:tcMar>
                    <w:top w:w="0" w:type="dxa"/>
                    <w:left w:w="57" w:type="dxa"/>
                    <w:bottom w:w="0" w:type="dxa"/>
                    <w:right w:w="57" w:type="dxa"/>
                  </w:tcMar>
                  <w:vAlign w:val="center"/>
                </w:tcPr>
                <w:p w14:paraId="3928D53B">
                  <w:pPr>
                    <w:pStyle w:val="54"/>
                    <w:rPr>
                      <w:color w:val="auto"/>
                    </w:rPr>
                  </w:pPr>
                  <w:r>
                    <w:rPr>
                      <w:rFonts w:hint="eastAsia"/>
                      <w:color w:val="auto"/>
                    </w:rPr>
                    <w:t>/</w:t>
                  </w:r>
                </w:p>
              </w:tc>
              <w:tc>
                <w:tcPr>
                  <w:tcW w:w="1000" w:type="dxa"/>
                  <w:tcBorders>
                    <w:tl2br w:val="nil"/>
                    <w:tr2bl w:val="nil"/>
                  </w:tcBorders>
                  <w:shd w:val="clear" w:color="auto" w:fill="auto"/>
                  <w:tcMar>
                    <w:top w:w="0" w:type="dxa"/>
                    <w:left w:w="57" w:type="dxa"/>
                    <w:bottom w:w="0" w:type="dxa"/>
                    <w:right w:w="57" w:type="dxa"/>
                  </w:tcMar>
                  <w:vAlign w:val="center"/>
                </w:tcPr>
                <w:p w14:paraId="5A871938">
                  <w:pPr>
                    <w:pStyle w:val="54"/>
                    <w:rPr>
                      <w:rFonts w:hint="default" w:eastAsia="宋体"/>
                      <w:color w:val="auto"/>
                      <w:lang w:val="en-US" w:eastAsia="zh-CN"/>
                    </w:rPr>
                  </w:pPr>
                  <w:r>
                    <w:rPr>
                      <w:rFonts w:hint="eastAsia"/>
                      <w:color w:val="auto"/>
                      <w:lang w:val="en-US" w:eastAsia="zh-CN"/>
                    </w:rPr>
                    <w:t>0.025</w:t>
                  </w:r>
                </w:p>
              </w:tc>
              <w:tc>
                <w:tcPr>
                  <w:tcW w:w="1213" w:type="dxa"/>
                  <w:tcBorders>
                    <w:tl2br w:val="nil"/>
                    <w:tr2bl w:val="nil"/>
                  </w:tcBorders>
                  <w:shd w:val="clear" w:color="auto" w:fill="auto"/>
                  <w:tcMar>
                    <w:top w:w="0" w:type="dxa"/>
                    <w:left w:w="57" w:type="dxa"/>
                    <w:bottom w:w="0" w:type="dxa"/>
                    <w:right w:w="57" w:type="dxa"/>
                  </w:tcMar>
                  <w:vAlign w:val="center"/>
                </w:tcPr>
                <w:p w14:paraId="3D0C619B">
                  <w:pPr>
                    <w:pStyle w:val="54"/>
                    <w:rPr>
                      <w:rFonts w:hint="default" w:eastAsia="宋体"/>
                      <w:color w:val="auto"/>
                      <w:lang w:val="en-US" w:eastAsia="zh-CN"/>
                    </w:rPr>
                  </w:pPr>
                  <w:r>
                    <w:rPr>
                      <w:rFonts w:hint="eastAsia"/>
                      <w:color w:val="auto"/>
                      <w:lang w:val="en-US" w:eastAsia="zh-CN"/>
                    </w:rPr>
                    <w:t>0.025</w:t>
                  </w:r>
                </w:p>
              </w:tc>
              <w:tc>
                <w:tcPr>
                  <w:tcW w:w="762" w:type="dxa"/>
                  <w:tcBorders>
                    <w:tl2br w:val="nil"/>
                    <w:tr2bl w:val="nil"/>
                  </w:tcBorders>
                  <w:shd w:val="clear" w:color="auto" w:fill="auto"/>
                  <w:tcMar>
                    <w:top w:w="0" w:type="dxa"/>
                    <w:left w:w="57" w:type="dxa"/>
                    <w:bottom w:w="0" w:type="dxa"/>
                    <w:right w:w="57" w:type="dxa"/>
                  </w:tcMar>
                  <w:vAlign w:val="center"/>
                </w:tcPr>
                <w:p w14:paraId="61D014CA">
                  <w:pPr>
                    <w:pStyle w:val="54"/>
                    <w:rPr>
                      <w:rFonts w:hint="default" w:eastAsia="宋体"/>
                      <w:color w:val="auto"/>
                      <w:lang w:val="en-US" w:eastAsia="zh-CN"/>
                    </w:rPr>
                  </w:pPr>
                  <w:r>
                    <w:rPr>
                      <w:rFonts w:hint="eastAsia"/>
                      <w:color w:val="auto"/>
                      <w:lang w:val="en-US" w:eastAsia="zh-CN"/>
                    </w:rPr>
                    <w:t>0.025</w:t>
                  </w:r>
                </w:p>
              </w:tc>
              <w:tc>
                <w:tcPr>
                  <w:tcW w:w="956" w:type="dxa"/>
                  <w:tcBorders>
                    <w:tl2br w:val="nil"/>
                    <w:tr2bl w:val="nil"/>
                  </w:tcBorders>
                  <w:shd w:val="clear" w:color="auto" w:fill="auto"/>
                  <w:tcMar>
                    <w:top w:w="0" w:type="dxa"/>
                    <w:left w:w="57" w:type="dxa"/>
                    <w:bottom w:w="0" w:type="dxa"/>
                    <w:right w:w="57" w:type="dxa"/>
                  </w:tcMar>
                  <w:vAlign w:val="center"/>
                </w:tcPr>
                <w:p w14:paraId="7073F62C">
                  <w:pPr>
                    <w:pStyle w:val="54"/>
                    <w:rPr>
                      <w:color w:val="auto"/>
                    </w:rPr>
                  </w:pPr>
                  <w:r>
                    <w:rPr>
                      <w:color w:val="auto"/>
                    </w:rPr>
                    <w:t>25kg/桶</w:t>
                  </w:r>
                </w:p>
              </w:tc>
              <w:tc>
                <w:tcPr>
                  <w:tcW w:w="763" w:type="dxa"/>
                  <w:tcBorders>
                    <w:tl2br w:val="nil"/>
                    <w:tr2bl w:val="nil"/>
                  </w:tcBorders>
                  <w:shd w:val="clear" w:color="auto" w:fill="auto"/>
                  <w:tcMar>
                    <w:top w:w="0" w:type="dxa"/>
                    <w:left w:w="57" w:type="dxa"/>
                    <w:bottom w:w="0" w:type="dxa"/>
                    <w:right w:w="57" w:type="dxa"/>
                  </w:tcMar>
                  <w:vAlign w:val="center"/>
                </w:tcPr>
                <w:p w14:paraId="7ECB8CA9">
                  <w:pPr>
                    <w:pStyle w:val="54"/>
                    <w:rPr>
                      <w:rFonts w:hint="default" w:eastAsia="宋体"/>
                      <w:color w:val="auto"/>
                      <w:lang w:val="en-US" w:eastAsia="zh-CN"/>
                    </w:rPr>
                  </w:pPr>
                  <w:r>
                    <w:rPr>
                      <w:color w:val="auto"/>
                    </w:rPr>
                    <w:t>0.</w:t>
                  </w:r>
                  <w:r>
                    <w:rPr>
                      <w:rFonts w:hint="eastAsia"/>
                      <w:color w:val="auto"/>
                      <w:lang w:val="en-US" w:eastAsia="zh-CN"/>
                    </w:rPr>
                    <w:t>025</w:t>
                  </w:r>
                </w:p>
              </w:tc>
              <w:tc>
                <w:tcPr>
                  <w:tcW w:w="1330" w:type="dxa"/>
                  <w:tcBorders>
                    <w:tl2br w:val="nil"/>
                    <w:tr2bl w:val="nil"/>
                  </w:tcBorders>
                  <w:shd w:val="clear" w:color="auto" w:fill="auto"/>
                  <w:tcMar>
                    <w:top w:w="0" w:type="dxa"/>
                    <w:left w:w="57" w:type="dxa"/>
                    <w:bottom w:w="0" w:type="dxa"/>
                    <w:right w:w="57" w:type="dxa"/>
                  </w:tcMar>
                  <w:vAlign w:val="center"/>
                </w:tcPr>
                <w:p w14:paraId="14F2959D">
                  <w:pPr>
                    <w:pStyle w:val="54"/>
                    <w:rPr>
                      <w:color w:val="auto"/>
                    </w:rPr>
                  </w:pPr>
                  <w:r>
                    <w:rPr>
                      <w:rFonts w:hint="eastAsia"/>
                      <w:color w:val="auto"/>
                    </w:rPr>
                    <w:t>/</w:t>
                  </w:r>
                </w:p>
              </w:tc>
            </w:tr>
            <w:tr w14:paraId="27326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400" w:type="dxa"/>
                  <w:tcBorders>
                    <w:tl2br w:val="nil"/>
                    <w:tr2bl w:val="nil"/>
                  </w:tcBorders>
                  <w:shd w:val="clear" w:color="auto" w:fill="auto"/>
                  <w:tcMar>
                    <w:top w:w="0" w:type="dxa"/>
                    <w:left w:w="57" w:type="dxa"/>
                    <w:bottom w:w="0" w:type="dxa"/>
                    <w:right w:w="57" w:type="dxa"/>
                  </w:tcMar>
                  <w:vAlign w:val="center"/>
                </w:tcPr>
                <w:p w14:paraId="46987A0A">
                  <w:pPr>
                    <w:pStyle w:val="54"/>
                    <w:rPr>
                      <w:color w:val="auto"/>
                    </w:rPr>
                  </w:pPr>
                  <w:r>
                    <w:rPr>
                      <w:rFonts w:hint="eastAsia"/>
                      <w:color w:val="auto"/>
                    </w:rPr>
                    <w:t>12</w:t>
                  </w:r>
                </w:p>
              </w:tc>
              <w:tc>
                <w:tcPr>
                  <w:tcW w:w="984" w:type="dxa"/>
                  <w:tcBorders>
                    <w:tl2br w:val="nil"/>
                    <w:tr2bl w:val="nil"/>
                  </w:tcBorders>
                  <w:shd w:val="clear" w:color="auto" w:fill="auto"/>
                  <w:tcMar>
                    <w:top w:w="0" w:type="dxa"/>
                    <w:left w:w="57" w:type="dxa"/>
                    <w:bottom w:w="0" w:type="dxa"/>
                    <w:right w:w="57" w:type="dxa"/>
                  </w:tcMar>
                  <w:vAlign w:val="center"/>
                </w:tcPr>
                <w:p w14:paraId="1775D49F">
                  <w:pPr>
                    <w:pStyle w:val="54"/>
                    <w:rPr>
                      <w:color w:val="auto"/>
                    </w:rPr>
                  </w:pPr>
                  <w:r>
                    <w:rPr>
                      <w:rFonts w:hint="eastAsia"/>
                      <w:color w:val="auto"/>
                    </w:rPr>
                    <w:t>机油</w:t>
                  </w:r>
                </w:p>
              </w:tc>
              <w:tc>
                <w:tcPr>
                  <w:tcW w:w="1025" w:type="dxa"/>
                  <w:tcBorders>
                    <w:tl2br w:val="nil"/>
                    <w:tr2bl w:val="nil"/>
                  </w:tcBorders>
                  <w:shd w:val="clear" w:color="auto" w:fill="auto"/>
                  <w:tcMar>
                    <w:top w:w="0" w:type="dxa"/>
                    <w:left w:w="57" w:type="dxa"/>
                    <w:bottom w:w="0" w:type="dxa"/>
                    <w:right w:w="57" w:type="dxa"/>
                  </w:tcMar>
                  <w:vAlign w:val="center"/>
                </w:tcPr>
                <w:p w14:paraId="2D5F69E3">
                  <w:pPr>
                    <w:pStyle w:val="54"/>
                    <w:rPr>
                      <w:rFonts w:hint="default" w:eastAsia="宋体"/>
                      <w:color w:val="auto"/>
                      <w:lang w:val="en-US" w:eastAsia="zh-CN"/>
                    </w:rPr>
                  </w:pPr>
                  <w:r>
                    <w:rPr>
                      <w:rFonts w:hint="eastAsia"/>
                      <w:color w:val="auto"/>
                      <w:lang w:val="en-US" w:eastAsia="zh-CN"/>
                    </w:rPr>
                    <w:t>0.25</w:t>
                  </w:r>
                </w:p>
              </w:tc>
              <w:tc>
                <w:tcPr>
                  <w:tcW w:w="1000" w:type="dxa"/>
                  <w:tcBorders>
                    <w:tl2br w:val="nil"/>
                    <w:tr2bl w:val="nil"/>
                  </w:tcBorders>
                  <w:shd w:val="clear" w:color="auto" w:fill="auto"/>
                  <w:tcMar>
                    <w:top w:w="0" w:type="dxa"/>
                    <w:left w:w="57" w:type="dxa"/>
                    <w:bottom w:w="0" w:type="dxa"/>
                    <w:right w:w="57" w:type="dxa"/>
                  </w:tcMar>
                  <w:vAlign w:val="center"/>
                </w:tcPr>
                <w:p w14:paraId="28EA1157">
                  <w:pPr>
                    <w:pStyle w:val="54"/>
                    <w:rPr>
                      <w:color w:val="auto"/>
                    </w:rPr>
                  </w:pPr>
                  <w:r>
                    <w:rPr>
                      <w:rFonts w:hint="eastAsia"/>
                      <w:color w:val="auto"/>
                    </w:rPr>
                    <w:t>/</w:t>
                  </w:r>
                </w:p>
              </w:tc>
              <w:tc>
                <w:tcPr>
                  <w:tcW w:w="1213" w:type="dxa"/>
                  <w:tcBorders>
                    <w:tl2br w:val="nil"/>
                    <w:tr2bl w:val="nil"/>
                  </w:tcBorders>
                  <w:shd w:val="clear" w:color="auto" w:fill="auto"/>
                  <w:tcMar>
                    <w:top w:w="0" w:type="dxa"/>
                    <w:left w:w="57" w:type="dxa"/>
                    <w:bottom w:w="0" w:type="dxa"/>
                    <w:right w:w="57" w:type="dxa"/>
                  </w:tcMar>
                  <w:vAlign w:val="center"/>
                </w:tcPr>
                <w:p w14:paraId="4DF6C8B7">
                  <w:pPr>
                    <w:pStyle w:val="54"/>
                    <w:rPr>
                      <w:rFonts w:hint="default" w:eastAsia="宋体"/>
                      <w:color w:val="auto"/>
                      <w:lang w:val="en-US" w:eastAsia="zh-CN"/>
                    </w:rPr>
                  </w:pPr>
                  <w:r>
                    <w:rPr>
                      <w:rFonts w:hint="eastAsia"/>
                      <w:color w:val="auto"/>
                      <w:lang w:val="en-US" w:eastAsia="zh-CN"/>
                    </w:rPr>
                    <w:t>0.25</w:t>
                  </w:r>
                </w:p>
              </w:tc>
              <w:tc>
                <w:tcPr>
                  <w:tcW w:w="762" w:type="dxa"/>
                  <w:tcBorders>
                    <w:tl2br w:val="nil"/>
                    <w:tr2bl w:val="nil"/>
                  </w:tcBorders>
                  <w:shd w:val="clear" w:color="auto" w:fill="auto"/>
                  <w:tcMar>
                    <w:top w:w="0" w:type="dxa"/>
                    <w:left w:w="57" w:type="dxa"/>
                    <w:bottom w:w="0" w:type="dxa"/>
                    <w:right w:w="57" w:type="dxa"/>
                  </w:tcMar>
                  <w:vAlign w:val="center"/>
                </w:tcPr>
                <w:p w14:paraId="7DFB77D3">
                  <w:pPr>
                    <w:pStyle w:val="54"/>
                    <w:rPr>
                      <w:color w:val="auto"/>
                    </w:rPr>
                  </w:pPr>
                  <w:r>
                    <w:rPr>
                      <w:rFonts w:hint="eastAsia"/>
                      <w:color w:val="auto"/>
                    </w:rPr>
                    <w:t>0</w:t>
                  </w:r>
                </w:p>
              </w:tc>
              <w:tc>
                <w:tcPr>
                  <w:tcW w:w="956" w:type="dxa"/>
                  <w:tcBorders>
                    <w:tl2br w:val="nil"/>
                    <w:tr2bl w:val="nil"/>
                  </w:tcBorders>
                  <w:shd w:val="clear" w:color="auto" w:fill="auto"/>
                  <w:tcMar>
                    <w:top w:w="0" w:type="dxa"/>
                    <w:left w:w="57" w:type="dxa"/>
                    <w:bottom w:w="0" w:type="dxa"/>
                    <w:right w:w="57" w:type="dxa"/>
                  </w:tcMar>
                  <w:vAlign w:val="center"/>
                </w:tcPr>
                <w:p w14:paraId="761EEAAB">
                  <w:pPr>
                    <w:pStyle w:val="54"/>
                    <w:rPr>
                      <w:color w:val="auto"/>
                    </w:rPr>
                  </w:pPr>
                  <w:r>
                    <w:rPr>
                      <w:color w:val="auto"/>
                    </w:rPr>
                    <w:t>25kg/桶</w:t>
                  </w:r>
                </w:p>
              </w:tc>
              <w:tc>
                <w:tcPr>
                  <w:tcW w:w="763" w:type="dxa"/>
                  <w:tcBorders>
                    <w:tl2br w:val="nil"/>
                    <w:tr2bl w:val="nil"/>
                  </w:tcBorders>
                  <w:shd w:val="clear" w:color="auto" w:fill="auto"/>
                  <w:tcMar>
                    <w:top w:w="0" w:type="dxa"/>
                    <w:left w:w="57" w:type="dxa"/>
                    <w:bottom w:w="0" w:type="dxa"/>
                    <w:right w:w="57" w:type="dxa"/>
                  </w:tcMar>
                  <w:vAlign w:val="center"/>
                </w:tcPr>
                <w:p w14:paraId="7003E486">
                  <w:pPr>
                    <w:pStyle w:val="54"/>
                    <w:rPr>
                      <w:rFonts w:hint="default" w:eastAsia="宋体"/>
                      <w:color w:val="auto"/>
                      <w:lang w:val="en-US" w:eastAsia="zh-CN"/>
                    </w:rPr>
                  </w:pPr>
                  <w:r>
                    <w:rPr>
                      <w:rFonts w:hint="eastAsia"/>
                      <w:color w:val="auto"/>
                      <w:lang w:val="en-US" w:eastAsia="zh-CN"/>
                    </w:rPr>
                    <w:t>0.25</w:t>
                  </w:r>
                </w:p>
              </w:tc>
              <w:tc>
                <w:tcPr>
                  <w:tcW w:w="1330" w:type="dxa"/>
                  <w:tcBorders>
                    <w:tl2br w:val="nil"/>
                    <w:tr2bl w:val="nil"/>
                  </w:tcBorders>
                  <w:shd w:val="clear" w:color="auto" w:fill="auto"/>
                  <w:tcMar>
                    <w:top w:w="0" w:type="dxa"/>
                    <w:left w:w="57" w:type="dxa"/>
                    <w:bottom w:w="0" w:type="dxa"/>
                    <w:right w:w="57" w:type="dxa"/>
                  </w:tcMar>
                  <w:vAlign w:val="center"/>
                </w:tcPr>
                <w:p w14:paraId="467AB175">
                  <w:pPr>
                    <w:pStyle w:val="54"/>
                    <w:rPr>
                      <w:color w:val="auto"/>
                    </w:rPr>
                  </w:pPr>
                  <w:r>
                    <w:rPr>
                      <w:rFonts w:hint="eastAsia"/>
                      <w:color w:val="auto"/>
                    </w:rPr>
                    <w:t>/</w:t>
                  </w:r>
                </w:p>
              </w:tc>
            </w:tr>
            <w:bookmarkEnd w:id="35"/>
          </w:tbl>
          <w:p w14:paraId="2E420D5D">
            <w:pPr>
              <w:pStyle w:val="7"/>
              <w:rPr>
                <w:color w:val="auto"/>
              </w:rPr>
            </w:pPr>
            <w:bookmarkStart w:id="36" w:name="_Ref4103"/>
            <w:r>
              <w:rPr>
                <w:color w:val="auto"/>
              </w:rPr>
              <w:t xml:space="preserve">表2- </w:t>
            </w:r>
            <w:r>
              <w:rPr>
                <w:color w:val="auto"/>
              </w:rPr>
              <w:fldChar w:fldCharType="begin"/>
            </w:r>
            <w:r>
              <w:rPr>
                <w:color w:val="auto"/>
              </w:rPr>
              <w:instrText xml:space="preserve"> SEQ 表2- \* ARABIC </w:instrText>
            </w:r>
            <w:r>
              <w:rPr>
                <w:color w:val="auto"/>
              </w:rPr>
              <w:fldChar w:fldCharType="separate"/>
            </w:r>
            <w:r>
              <w:rPr>
                <w:color w:val="auto"/>
              </w:rPr>
              <w:t>7</w:t>
            </w:r>
            <w:r>
              <w:rPr>
                <w:color w:val="auto"/>
              </w:rPr>
              <w:fldChar w:fldCharType="end"/>
            </w:r>
            <w:bookmarkEnd w:id="36"/>
            <w:r>
              <w:rPr>
                <w:color w:val="auto"/>
              </w:rPr>
              <w:t xml:space="preserve"> 项目主要原辅料理化性质</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5"/>
              <w:gridCol w:w="5961"/>
              <w:gridCol w:w="805"/>
              <w:gridCol w:w="652"/>
            </w:tblGrid>
            <w:tr w14:paraId="65A3D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15" w:type="dxa"/>
                  <w:tcBorders>
                    <w:tl2br w:val="nil"/>
                    <w:tr2bl w:val="nil"/>
                  </w:tcBorders>
                  <w:tcMar>
                    <w:top w:w="0" w:type="dxa"/>
                    <w:left w:w="57" w:type="dxa"/>
                    <w:bottom w:w="0" w:type="dxa"/>
                    <w:right w:w="57" w:type="dxa"/>
                  </w:tcMar>
                  <w:vAlign w:val="center"/>
                </w:tcPr>
                <w:p w14:paraId="2A3CE64D">
                  <w:pPr>
                    <w:pStyle w:val="52"/>
                    <w:rPr>
                      <w:color w:val="auto"/>
                    </w:rPr>
                  </w:pPr>
                  <w:r>
                    <w:rPr>
                      <w:color w:val="auto"/>
                    </w:rPr>
                    <w:t>原辅料</w:t>
                  </w:r>
                </w:p>
              </w:tc>
              <w:tc>
                <w:tcPr>
                  <w:tcW w:w="5961" w:type="dxa"/>
                  <w:tcBorders>
                    <w:tl2br w:val="nil"/>
                    <w:tr2bl w:val="nil"/>
                  </w:tcBorders>
                  <w:tcMar>
                    <w:top w:w="0" w:type="dxa"/>
                    <w:left w:w="57" w:type="dxa"/>
                    <w:bottom w:w="0" w:type="dxa"/>
                    <w:right w:w="57" w:type="dxa"/>
                  </w:tcMar>
                  <w:vAlign w:val="center"/>
                </w:tcPr>
                <w:p w14:paraId="4CE8A8BB">
                  <w:pPr>
                    <w:pStyle w:val="52"/>
                    <w:rPr>
                      <w:color w:val="auto"/>
                    </w:rPr>
                  </w:pPr>
                  <w:r>
                    <w:rPr>
                      <w:color w:val="auto"/>
                    </w:rPr>
                    <w:t>理化性质</w:t>
                  </w:r>
                </w:p>
              </w:tc>
              <w:tc>
                <w:tcPr>
                  <w:tcW w:w="805" w:type="dxa"/>
                  <w:tcBorders>
                    <w:tl2br w:val="nil"/>
                    <w:tr2bl w:val="nil"/>
                  </w:tcBorders>
                  <w:tcMar>
                    <w:top w:w="0" w:type="dxa"/>
                    <w:left w:w="57" w:type="dxa"/>
                    <w:bottom w:w="0" w:type="dxa"/>
                    <w:right w:w="57" w:type="dxa"/>
                  </w:tcMar>
                  <w:vAlign w:val="center"/>
                </w:tcPr>
                <w:p w14:paraId="5ADE58A7">
                  <w:pPr>
                    <w:pStyle w:val="52"/>
                    <w:rPr>
                      <w:color w:val="auto"/>
                    </w:rPr>
                  </w:pPr>
                  <w:r>
                    <w:rPr>
                      <w:color w:val="auto"/>
                    </w:rPr>
                    <w:t>易燃易爆性</w:t>
                  </w:r>
                </w:p>
              </w:tc>
              <w:tc>
                <w:tcPr>
                  <w:tcW w:w="652" w:type="dxa"/>
                  <w:tcBorders>
                    <w:tl2br w:val="nil"/>
                    <w:tr2bl w:val="nil"/>
                  </w:tcBorders>
                  <w:tcMar>
                    <w:top w:w="0" w:type="dxa"/>
                    <w:left w:w="57" w:type="dxa"/>
                    <w:bottom w:w="0" w:type="dxa"/>
                    <w:right w:w="57" w:type="dxa"/>
                  </w:tcMar>
                  <w:vAlign w:val="center"/>
                </w:tcPr>
                <w:p w14:paraId="10A5C654">
                  <w:pPr>
                    <w:pStyle w:val="52"/>
                    <w:rPr>
                      <w:color w:val="auto"/>
                    </w:rPr>
                  </w:pPr>
                  <w:r>
                    <w:rPr>
                      <w:color w:val="auto"/>
                    </w:rPr>
                    <w:t>毒理毒性</w:t>
                  </w:r>
                </w:p>
              </w:tc>
            </w:tr>
            <w:tr w14:paraId="64C84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15" w:type="dxa"/>
                  <w:tcBorders>
                    <w:tl2br w:val="nil"/>
                    <w:tr2bl w:val="nil"/>
                  </w:tcBorders>
                  <w:tcMar>
                    <w:top w:w="0" w:type="dxa"/>
                    <w:left w:w="57" w:type="dxa"/>
                    <w:bottom w:w="0" w:type="dxa"/>
                    <w:right w:w="57" w:type="dxa"/>
                  </w:tcMar>
                  <w:vAlign w:val="center"/>
                </w:tcPr>
                <w:p w14:paraId="300DE554">
                  <w:pPr>
                    <w:pStyle w:val="54"/>
                    <w:rPr>
                      <w:color w:val="auto"/>
                    </w:rPr>
                  </w:pPr>
                  <w:r>
                    <w:rPr>
                      <w:color w:val="auto"/>
                    </w:rPr>
                    <w:t>石墨鳞片</w:t>
                  </w:r>
                </w:p>
              </w:tc>
              <w:tc>
                <w:tcPr>
                  <w:tcW w:w="5961" w:type="dxa"/>
                  <w:tcBorders>
                    <w:tl2br w:val="nil"/>
                    <w:tr2bl w:val="nil"/>
                  </w:tcBorders>
                  <w:tcMar>
                    <w:top w:w="0" w:type="dxa"/>
                    <w:left w:w="57" w:type="dxa"/>
                    <w:bottom w:w="0" w:type="dxa"/>
                    <w:right w:w="57" w:type="dxa"/>
                  </w:tcMar>
                  <w:vAlign w:val="center"/>
                </w:tcPr>
                <w:p w14:paraId="1B07BC2F">
                  <w:pPr>
                    <w:pStyle w:val="54"/>
                    <w:rPr>
                      <w:color w:val="auto"/>
                    </w:rPr>
                  </w:pPr>
                  <w:r>
                    <w:rPr>
                      <w:color w:val="auto"/>
                    </w:rPr>
                    <w:t>形态：固体，为天然的碳的结晶矿物，质软，黑色或钢灰色，触摸有滑润、油脂感，呈鳞片状；熔点：3850℃；沸点：4250℃；可燃性：不可燃，在空气中约900℃开始氧化；摩擦系数：小于0.1；溶解性：不溶于水及各种溶剂</w:t>
                  </w:r>
                </w:p>
              </w:tc>
              <w:tc>
                <w:tcPr>
                  <w:tcW w:w="805" w:type="dxa"/>
                  <w:tcBorders>
                    <w:tl2br w:val="nil"/>
                    <w:tr2bl w:val="nil"/>
                  </w:tcBorders>
                  <w:tcMar>
                    <w:top w:w="0" w:type="dxa"/>
                    <w:left w:w="57" w:type="dxa"/>
                    <w:bottom w:w="0" w:type="dxa"/>
                    <w:right w:w="57" w:type="dxa"/>
                  </w:tcMar>
                  <w:vAlign w:val="center"/>
                </w:tcPr>
                <w:p w14:paraId="545D44BD">
                  <w:pPr>
                    <w:pStyle w:val="54"/>
                    <w:rPr>
                      <w:color w:val="auto"/>
                    </w:rPr>
                  </w:pPr>
                  <w:r>
                    <w:rPr>
                      <w:color w:val="auto"/>
                    </w:rPr>
                    <w:t>无</w:t>
                  </w:r>
                </w:p>
              </w:tc>
              <w:tc>
                <w:tcPr>
                  <w:tcW w:w="652" w:type="dxa"/>
                  <w:tcBorders>
                    <w:tl2br w:val="nil"/>
                    <w:tr2bl w:val="nil"/>
                  </w:tcBorders>
                  <w:tcMar>
                    <w:top w:w="0" w:type="dxa"/>
                    <w:left w:w="57" w:type="dxa"/>
                    <w:bottom w:w="0" w:type="dxa"/>
                    <w:right w:w="57" w:type="dxa"/>
                  </w:tcMar>
                  <w:vAlign w:val="center"/>
                </w:tcPr>
                <w:p w14:paraId="265E1501">
                  <w:pPr>
                    <w:pStyle w:val="54"/>
                    <w:rPr>
                      <w:color w:val="auto"/>
                    </w:rPr>
                  </w:pPr>
                  <w:r>
                    <w:rPr>
                      <w:color w:val="auto"/>
                    </w:rPr>
                    <w:t>无</w:t>
                  </w:r>
                </w:p>
              </w:tc>
            </w:tr>
          </w:tbl>
          <w:p w14:paraId="35701DD8">
            <w:pPr>
              <w:pStyle w:val="50"/>
              <w:ind w:firstLine="482"/>
              <w:rPr>
                <w:b/>
                <w:bCs/>
                <w:color w:val="auto"/>
              </w:rPr>
            </w:pPr>
            <w:r>
              <w:rPr>
                <w:rFonts w:hint="eastAsia"/>
                <w:b/>
                <w:bCs/>
                <w:color w:val="auto"/>
              </w:rPr>
              <w:t>6</w:t>
            </w:r>
            <w:r>
              <w:rPr>
                <w:b/>
                <w:bCs/>
                <w:color w:val="auto"/>
              </w:rPr>
              <w:t>、职工定员及工作制度</w:t>
            </w:r>
          </w:p>
          <w:p w14:paraId="79B4F19B">
            <w:pPr>
              <w:pStyle w:val="50"/>
              <w:ind w:firstLine="480"/>
              <w:rPr>
                <w:color w:val="auto"/>
              </w:rPr>
            </w:pPr>
            <w:r>
              <w:rPr>
                <w:color w:val="auto"/>
              </w:rPr>
              <w:t>本</w:t>
            </w:r>
            <w:r>
              <w:rPr>
                <w:rFonts w:hint="eastAsia"/>
                <w:color w:val="auto"/>
              </w:rPr>
              <w:t>扩建</w:t>
            </w:r>
            <w:r>
              <w:rPr>
                <w:color w:val="auto"/>
              </w:rPr>
              <w:t>项目</w:t>
            </w:r>
            <w:r>
              <w:rPr>
                <w:rFonts w:hint="eastAsia"/>
                <w:color w:val="auto"/>
              </w:rPr>
              <w:t>共新增员工30</w:t>
            </w:r>
            <w:r>
              <w:rPr>
                <w:color w:val="auto"/>
              </w:rPr>
              <w:t>人</w:t>
            </w:r>
            <w:r>
              <w:rPr>
                <w:rFonts w:hint="eastAsia"/>
                <w:color w:val="auto"/>
              </w:rPr>
              <w:t>，</w:t>
            </w:r>
            <w:r>
              <w:rPr>
                <w:color w:val="auto"/>
              </w:rPr>
              <w:t>采用三班制，每</w:t>
            </w:r>
            <w:r>
              <w:rPr>
                <w:rFonts w:hint="eastAsia"/>
                <w:color w:val="auto"/>
              </w:rPr>
              <w:t>班</w:t>
            </w:r>
            <w:r>
              <w:rPr>
                <w:color w:val="auto"/>
              </w:rPr>
              <w:t>工作8h，年工作时间为300天。</w:t>
            </w:r>
          </w:p>
          <w:p w14:paraId="647666F4">
            <w:pPr>
              <w:pStyle w:val="50"/>
              <w:ind w:firstLine="482"/>
              <w:rPr>
                <w:b/>
                <w:bCs/>
                <w:color w:val="auto"/>
              </w:rPr>
            </w:pPr>
            <w:r>
              <w:rPr>
                <w:b/>
                <w:bCs/>
                <w:color w:val="auto"/>
              </w:rPr>
              <w:t>7、水平衡</w:t>
            </w:r>
          </w:p>
          <w:p w14:paraId="4CE35755">
            <w:pPr>
              <w:pStyle w:val="50"/>
              <w:ind w:firstLine="480"/>
              <w:rPr>
                <w:color w:val="auto"/>
              </w:rPr>
            </w:pPr>
            <w:r>
              <w:rPr>
                <w:color w:val="auto"/>
              </w:rPr>
              <w:t>本</w:t>
            </w:r>
            <w:r>
              <w:rPr>
                <w:rFonts w:hint="eastAsia"/>
                <w:color w:val="auto"/>
              </w:rPr>
              <w:t>扩建</w:t>
            </w:r>
            <w:r>
              <w:rPr>
                <w:color w:val="auto"/>
              </w:rPr>
              <w:t>项目用水主要为职工生活用水、</w:t>
            </w:r>
            <w:r>
              <w:rPr>
                <w:rFonts w:hint="eastAsia"/>
                <w:color w:val="auto"/>
              </w:rPr>
              <w:t>循环冷却水</w:t>
            </w:r>
            <w:r>
              <w:rPr>
                <w:color w:val="auto"/>
              </w:rPr>
              <w:t>。其中仅职工生活污水外排。</w:t>
            </w:r>
            <w:r>
              <w:rPr>
                <w:rFonts w:hint="eastAsia"/>
                <w:color w:val="auto"/>
              </w:rPr>
              <w:t>本扩建</w:t>
            </w:r>
            <w:r>
              <w:rPr>
                <w:color w:val="auto"/>
              </w:rPr>
              <w:t>项目水平衡图见</w:t>
            </w:r>
            <w:r>
              <w:rPr>
                <w:color w:val="auto"/>
              </w:rPr>
              <w:fldChar w:fldCharType="begin"/>
            </w:r>
            <w:r>
              <w:rPr>
                <w:color w:val="auto"/>
              </w:rPr>
              <w:instrText xml:space="preserve"> REF _Ref29935 \h </w:instrText>
            </w:r>
            <w:r>
              <w:rPr>
                <w:color w:val="auto"/>
              </w:rPr>
              <w:fldChar w:fldCharType="separate"/>
            </w:r>
            <w:r>
              <w:rPr>
                <w:color w:val="auto"/>
              </w:rPr>
              <w:t>图2- 1</w:t>
            </w:r>
            <w:r>
              <w:rPr>
                <w:color w:val="auto"/>
              </w:rPr>
              <w:fldChar w:fldCharType="end"/>
            </w:r>
            <w:r>
              <w:rPr>
                <w:rFonts w:hint="eastAsia"/>
                <w:color w:val="auto"/>
              </w:rPr>
              <w:t>，扩建后全厂</w:t>
            </w:r>
            <w:r>
              <w:rPr>
                <w:color w:val="auto"/>
              </w:rPr>
              <w:t>水平衡图</w:t>
            </w:r>
            <w:r>
              <w:rPr>
                <w:rFonts w:hint="eastAsia"/>
                <w:color w:val="auto"/>
              </w:rPr>
              <w:t>见</w:t>
            </w:r>
            <w:r>
              <w:rPr>
                <w:rFonts w:hint="eastAsia"/>
                <w:color w:val="auto"/>
              </w:rPr>
              <w:fldChar w:fldCharType="begin"/>
            </w:r>
            <w:r>
              <w:rPr>
                <w:rFonts w:hint="eastAsia"/>
                <w:color w:val="auto"/>
              </w:rPr>
              <w:instrText xml:space="preserve"> REF _Ref5131 \h </w:instrText>
            </w:r>
            <w:r>
              <w:rPr>
                <w:rFonts w:hint="eastAsia"/>
                <w:color w:val="auto"/>
              </w:rPr>
              <w:fldChar w:fldCharType="separate"/>
            </w:r>
            <w:r>
              <w:rPr>
                <w:color w:val="auto"/>
                <w:highlight w:val="none"/>
              </w:rPr>
              <w:t>图2- 2</w:t>
            </w:r>
            <w:r>
              <w:rPr>
                <w:rFonts w:hint="eastAsia"/>
                <w:color w:val="auto"/>
              </w:rPr>
              <w:fldChar w:fldCharType="end"/>
            </w:r>
            <w:r>
              <w:rPr>
                <w:color w:val="auto"/>
              </w:rPr>
              <w:t>。</w:t>
            </w:r>
          </w:p>
          <w:p w14:paraId="30B7789D">
            <w:pPr>
              <w:pStyle w:val="50"/>
              <w:ind w:firstLine="482"/>
              <w:rPr>
                <w:b/>
                <w:bCs/>
                <w:color w:val="auto"/>
              </w:rPr>
            </w:pPr>
            <w:r>
              <w:rPr>
                <w:b/>
                <w:bCs/>
                <w:color w:val="auto"/>
              </w:rPr>
              <w:t>（1）职工生活用水</w:t>
            </w:r>
          </w:p>
          <w:p w14:paraId="6B5D02EE">
            <w:pPr>
              <w:pStyle w:val="50"/>
              <w:ind w:firstLine="480"/>
              <w:rPr>
                <w:color w:val="auto"/>
              </w:rPr>
            </w:pPr>
            <w:r>
              <w:rPr>
                <w:color w:val="auto"/>
              </w:rPr>
              <w:t>本</w:t>
            </w:r>
            <w:r>
              <w:rPr>
                <w:rFonts w:hint="eastAsia"/>
                <w:color w:val="auto"/>
              </w:rPr>
              <w:t>扩建</w:t>
            </w:r>
            <w:r>
              <w:rPr>
                <w:color w:val="auto"/>
              </w:rPr>
              <w:t>项目</w:t>
            </w:r>
            <w:r>
              <w:rPr>
                <w:rFonts w:hint="eastAsia"/>
                <w:color w:val="auto"/>
              </w:rPr>
              <w:t>新增</w:t>
            </w:r>
            <w:r>
              <w:rPr>
                <w:color w:val="auto"/>
              </w:rPr>
              <w:t>员工</w:t>
            </w:r>
            <w:r>
              <w:rPr>
                <w:rFonts w:hint="eastAsia"/>
                <w:color w:val="auto"/>
              </w:rPr>
              <w:t>30</w:t>
            </w:r>
            <w:r>
              <w:rPr>
                <w:color w:val="auto"/>
              </w:rPr>
              <w:t>人</w:t>
            </w:r>
            <w:r>
              <w:rPr>
                <w:rFonts w:hint="eastAsia"/>
                <w:color w:val="auto"/>
              </w:rPr>
              <w:t>，提供食堂和宿舍；现有项目员工30人，无食堂和宿舍。扩建项目建成后全厂员工均使用食堂和宿舍</w:t>
            </w:r>
            <w:r>
              <w:rPr>
                <w:color w:val="auto"/>
              </w:rPr>
              <w:t>。根据</w:t>
            </w:r>
            <w:r>
              <w:rPr>
                <w:rFonts w:hint="eastAsia"/>
                <w:color w:val="auto"/>
              </w:rPr>
              <w:t>《省水利厅省市场监督管理局关于发布实施〈江苏省工业、建筑业、服务业、生活和农业用水定额（2025年修订）〉的通知》（苏水节〔2025〕2号）</w:t>
            </w:r>
            <w:r>
              <w:rPr>
                <w:color w:val="auto"/>
              </w:rPr>
              <w:t>，用水定额取</w:t>
            </w:r>
            <w:r>
              <w:rPr>
                <w:rFonts w:hint="eastAsia"/>
                <w:color w:val="auto"/>
              </w:rPr>
              <w:t>150</w:t>
            </w:r>
            <w:r>
              <w:rPr>
                <w:color w:val="auto"/>
              </w:rPr>
              <w:t>L/人·d，则职工生活用水量为</w:t>
            </w:r>
            <w:r>
              <w:rPr>
                <w:rFonts w:hint="eastAsia"/>
                <w:color w:val="auto"/>
              </w:rPr>
              <w:t>2700</w:t>
            </w:r>
            <w:r>
              <w:rPr>
                <w:color w:val="auto"/>
              </w:rPr>
              <w:t>m</w:t>
            </w:r>
            <w:r>
              <w:rPr>
                <w:color w:val="auto"/>
                <w:vertAlign w:val="superscript"/>
              </w:rPr>
              <w:t>3</w:t>
            </w:r>
            <w:r>
              <w:rPr>
                <w:color w:val="auto"/>
              </w:rPr>
              <w:t>/a。职工生活用水产污系数为0.8，则职工生活污水产生量为</w:t>
            </w:r>
            <w:r>
              <w:rPr>
                <w:rFonts w:hint="eastAsia"/>
                <w:color w:val="auto"/>
              </w:rPr>
              <w:t>2160</w:t>
            </w:r>
            <w:r>
              <w:rPr>
                <w:color w:val="auto"/>
              </w:rPr>
              <w:t>m</w:t>
            </w:r>
            <w:r>
              <w:rPr>
                <w:color w:val="auto"/>
                <w:vertAlign w:val="superscript"/>
              </w:rPr>
              <w:t>3</w:t>
            </w:r>
            <w:r>
              <w:rPr>
                <w:color w:val="auto"/>
              </w:rPr>
              <w:t>/a。</w:t>
            </w:r>
            <w:r>
              <w:rPr>
                <w:rFonts w:hint="eastAsia"/>
                <w:color w:val="auto"/>
              </w:rPr>
              <w:t>职工生活污水经厂区内化粪池预处理后接管至</w:t>
            </w:r>
            <w:r>
              <w:rPr>
                <w:rFonts w:hint="eastAsia"/>
                <w:color w:val="auto"/>
                <w:lang w:val="en-US" w:eastAsia="zh-CN"/>
              </w:rPr>
              <w:t>王集镇</w:t>
            </w:r>
            <w:r>
              <w:rPr>
                <w:rFonts w:hint="eastAsia"/>
                <w:color w:val="auto"/>
              </w:rPr>
              <w:t>污水处理厂集中处理。</w:t>
            </w:r>
          </w:p>
          <w:p w14:paraId="545FA2AB">
            <w:pPr>
              <w:pStyle w:val="50"/>
              <w:ind w:firstLine="482"/>
              <w:rPr>
                <w:b/>
                <w:bCs/>
                <w:color w:val="auto"/>
              </w:rPr>
            </w:pPr>
            <w:r>
              <w:rPr>
                <w:b/>
                <w:bCs/>
                <w:color w:val="auto"/>
              </w:rPr>
              <w:t>（2）</w:t>
            </w:r>
            <w:r>
              <w:rPr>
                <w:rFonts w:hint="eastAsia"/>
                <w:b/>
                <w:bCs/>
                <w:color w:val="auto"/>
              </w:rPr>
              <w:t>上引连铸机用冷却水</w:t>
            </w:r>
          </w:p>
          <w:p w14:paraId="5BE4CAF6">
            <w:pPr>
              <w:pStyle w:val="50"/>
              <w:ind w:firstLine="480"/>
              <w:rPr>
                <w:color w:val="auto"/>
              </w:rPr>
            </w:pPr>
            <w:r>
              <w:rPr>
                <w:color w:val="auto"/>
              </w:rPr>
              <w:t>本扩建项目上引连铸机的结晶器、感应器的水套和线圈均采用冷却水间接冷却，冷却水循环使用，不外排。冷却水共用一套循环冷却水系统（冷却塔和冷却池）。冷却水因高温蒸发会损耗</w:t>
            </w:r>
            <w:r>
              <w:rPr>
                <w:rFonts w:hint="eastAsia"/>
                <w:color w:val="auto"/>
              </w:rPr>
              <w:t>部分水分</w:t>
            </w:r>
            <w:r>
              <w:rPr>
                <w:color w:val="auto"/>
              </w:rPr>
              <w:t>，损耗量按</w:t>
            </w:r>
            <w:r>
              <w:rPr>
                <w:rFonts w:hint="eastAsia"/>
                <w:color w:val="auto"/>
              </w:rPr>
              <w:t>5</w:t>
            </w:r>
            <w:r>
              <w:rPr>
                <w:color w:val="auto"/>
              </w:rPr>
              <w:t>%计。</w:t>
            </w:r>
            <w:r>
              <w:rPr>
                <w:rFonts w:hint="eastAsia"/>
                <w:color w:val="auto"/>
              </w:rPr>
              <w:t>本扩建项目</w:t>
            </w:r>
            <w:r>
              <w:rPr>
                <w:color w:val="auto"/>
              </w:rPr>
              <w:t>冷却水循环水量为</w:t>
            </w:r>
            <w:r>
              <w:rPr>
                <w:rFonts w:hint="eastAsia"/>
                <w:color w:val="auto"/>
              </w:rPr>
              <w:t>80</w:t>
            </w:r>
            <w:r>
              <w:rPr>
                <w:color w:val="auto"/>
              </w:rPr>
              <w:t>m</w:t>
            </w:r>
            <w:r>
              <w:rPr>
                <w:color w:val="auto"/>
                <w:vertAlign w:val="superscript"/>
              </w:rPr>
              <w:t>3</w:t>
            </w:r>
            <w:r>
              <w:rPr>
                <w:color w:val="auto"/>
              </w:rPr>
              <w:t>/h，则补充水量为</w:t>
            </w:r>
            <w:r>
              <w:rPr>
                <w:rFonts w:hint="eastAsia"/>
                <w:color w:val="auto"/>
              </w:rPr>
              <w:t>288</w:t>
            </w:r>
            <w:r>
              <w:rPr>
                <w:color w:val="auto"/>
              </w:rPr>
              <w:t>00m</w:t>
            </w:r>
            <w:r>
              <w:rPr>
                <w:color w:val="auto"/>
                <w:vertAlign w:val="superscript"/>
              </w:rPr>
              <w:t>3</w:t>
            </w:r>
            <w:r>
              <w:rPr>
                <w:color w:val="auto"/>
              </w:rPr>
              <w:t>/a。</w:t>
            </w:r>
          </w:p>
          <w:p w14:paraId="6CCFBEAF">
            <w:pPr>
              <w:pStyle w:val="7"/>
              <w:rPr>
                <w:color w:val="auto"/>
              </w:rPr>
            </w:pPr>
            <w:r>
              <w:rPr>
                <w:color w:val="auto"/>
              </w:rPr>
              <w:drawing>
                <wp:inline distT="0" distB="0" distL="114300" distR="114300">
                  <wp:extent cx="4067810" cy="1033780"/>
                  <wp:effectExtent l="0" t="0" r="8890" b="13970"/>
                  <wp:docPr id="10"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3"/>
                          <pic:cNvPicPr>
                            <a:picLocks noChangeAspect="1"/>
                          </pic:cNvPicPr>
                        </pic:nvPicPr>
                        <pic:blipFill>
                          <a:blip r:embed="rId11"/>
                          <a:srcRect l="8285" t="28394" r="14531" b="38358"/>
                          <a:stretch>
                            <a:fillRect/>
                          </a:stretch>
                        </pic:blipFill>
                        <pic:spPr>
                          <a:xfrm>
                            <a:off x="0" y="0"/>
                            <a:ext cx="4067810" cy="1033780"/>
                          </a:xfrm>
                          <a:prstGeom prst="rect">
                            <a:avLst/>
                          </a:prstGeom>
                          <a:noFill/>
                          <a:ln>
                            <a:noFill/>
                          </a:ln>
                        </pic:spPr>
                      </pic:pic>
                    </a:graphicData>
                  </a:graphic>
                </wp:inline>
              </w:drawing>
            </w:r>
          </w:p>
          <w:p w14:paraId="1992349E">
            <w:pPr>
              <w:pStyle w:val="7"/>
              <w:rPr>
                <w:color w:val="auto"/>
              </w:rPr>
            </w:pPr>
            <w:bookmarkStart w:id="37" w:name="_Ref29935"/>
            <w:r>
              <w:rPr>
                <w:color w:val="auto"/>
              </w:rPr>
              <w:t xml:space="preserve">图2- </w:t>
            </w:r>
            <w:r>
              <w:rPr>
                <w:color w:val="auto"/>
              </w:rPr>
              <w:fldChar w:fldCharType="begin"/>
            </w:r>
            <w:r>
              <w:rPr>
                <w:color w:val="auto"/>
              </w:rPr>
              <w:instrText xml:space="preserve"> SEQ 图2- \* ARABIC </w:instrText>
            </w:r>
            <w:r>
              <w:rPr>
                <w:color w:val="auto"/>
              </w:rPr>
              <w:fldChar w:fldCharType="separate"/>
            </w:r>
            <w:r>
              <w:rPr>
                <w:color w:val="auto"/>
              </w:rPr>
              <w:t>1</w:t>
            </w:r>
            <w:r>
              <w:rPr>
                <w:color w:val="auto"/>
              </w:rPr>
              <w:fldChar w:fldCharType="end"/>
            </w:r>
            <w:bookmarkEnd w:id="37"/>
            <w:r>
              <w:rPr>
                <w:color w:val="auto"/>
              </w:rPr>
              <w:t xml:space="preserve"> 项目水平衡图（单位：m</w:t>
            </w:r>
            <w:r>
              <w:rPr>
                <w:color w:val="auto"/>
                <w:vertAlign w:val="superscript"/>
              </w:rPr>
              <w:t>3</w:t>
            </w:r>
            <w:r>
              <w:rPr>
                <w:color w:val="auto"/>
              </w:rPr>
              <w:t>/</w:t>
            </w:r>
            <w:r>
              <w:rPr>
                <w:rFonts w:hint="eastAsia"/>
                <w:color w:val="auto"/>
              </w:rPr>
              <w:t>a</w:t>
            </w:r>
            <w:r>
              <w:rPr>
                <w:color w:val="auto"/>
              </w:rPr>
              <w:t>）</w:t>
            </w:r>
          </w:p>
          <w:p w14:paraId="3121EC6E">
            <w:pPr>
              <w:pStyle w:val="7"/>
              <w:rPr>
                <w:color w:val="auto"/>
              </w:rPr>
            </w:pPr>
            <w:r>
              <w:rPr>
                <w:color w:val="auto"/>
              </w:rPr>
              <w:drawing>
                <wp:inline distT="0" distB="0" distL="114300" distR="114300">
                  <wp:extent cx="4067810" cy="2807335"/>
                  <wp:effectExtent l="0" t="0" r="8890" b="12065"/>
                  <wp:docPr id="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1"/>
                          <pic:cNvPicPr>
                            <a:picLocks noChangeAspect="1"/>
                          </pic:cNvPicPr>
                        </pic:nvPicPr>
                        <pic:blipFill>
                          <a:blip r:embed="rId12"/>
                          <a:srcRect l="734" t="6757" r="3710" b="10957"/>
                          <a:stretch>
                            <a:fillRect/>
                          </a:stretch>
                        </pic:blipFill>
                        <pic:spPr>
                          <a:xfrm>
                            <a:off x="0" y="0"/>
                            <a:ext cx="4067810" cy="2807335"/>
                          </a:xfrm>
                          <a:prstGeom prst="rect">
                            <a:avLst/>
                          </a:prstGeom>
                          <a:noFill/>
                          <a:ln>
                            <a:noFill/>
                          </a:ln>
                        </pic:spPr>
                      </pic:pic>
                    </a:graphicData>
                  </a:graphic>
                </wp:inline>
              </w:drawing>
            </w:r>
          </w:p>
          <w:p w14:paraId="13B2AF52">
            <w:pPr>
              <w:pStyle w:val="7"/>
              <w:rPr>
                <w:color w:val="auto"/>
                <w:highlight w:val="none"/>
              </w:rPr>
            </w:pPr>
            <w:bookmarkStart w:id="38" w:name="_Ref5131"/>
            <w:r>
              <w:rPr>
                <w:color w:val="auto"/>
                <w:highlight w:val="none"/>
              </w:rPr>
              <w:t xml:space="preserve">图2- </w:t>
            </w:r>
            <w:r>
              <w:rPr>
                <w:color w:val="auto"/>
                <w:highlight w:val="none"/>
              </w:rPr>
              <w:fldChar w:fldCharType="begin"/>
            </w:r>
            <w:r>
              <w:rPr>
                <w:color w:val="auto"/>
                <w:highlight w:val="none"/>
              </w:rPr>
              <w:instrText xml:space="preserve"> SEQ 图2- \* ARABIC </w:instrText>
            </w:r>
            <w:r>
              <w:rPr>
                <w:color w:val="auto"/>
                <w:highlight w:val="none"/>
              </w:rPr>
              <w:fldChar w:fldCharType="separate"/>
            </w:r>
            <w:r>
              <w:rPr>
                <w:color w:val="auto"/>
                <w:highlight w:val="none"/>
              </w:rPr>
              <w:t>2</w:t>
            </w:r>
            <w:r>
              <w:rPr>
                <w:color w:val="auto"/>
                <w:highlight w:val="none"/>
              </w:rPr>
              <w:fldChar w:fldCharType="end"/>
            </w:r>
            <w:bookmarkEnd w:id="38"/>
            <w:r>
              <w:rPr>
                <w:color w:val="auto"/>
                <w:highlight w:val="none"/>
              </w:rPr>
              <w:t xml:space="preserve"> </w:t>
            </w:r>
            <w:r>
              <w:rPr>
                <w:rFonts w:hint="eastAsia"/>
                <w:color w:val="auto"/>
                <w:highlight w:val="none"/>
              </w:rPr>
              <w:t>扩建后全厂</w:t>
            </w:r>
            <w:r>
              <w:rPr>
                <w:color w:val="auto"/>
                <w:highlight w:val="none"/>
              </w:rPr>
              <w:t>水平衡图（单位：m</w:t>
            </w:r>
            <w:r>
              <w:rPr>
                <w:color w:val="auto"/>
                <w:highlight w:val="none"/>
                <w:vertAlign w:val="superscript"/>
              </w:rPr>
              <w:t>3</w:t>
            </w:r>
            <w:r>
              <w:rPr>
                <w:color w:val="auto"/>
                <w:highlight w:val="none"/>
              </w:rPr>
              <w:t>/</w:t>
            </w:r>
            <w:r>
              <w:rPr>
                <w:rFonts w:hint="eastAsia"/>
                <w:color w:val="auto"/>
                <w:highlight w:val="none"/>
              </w:rPr>
              <w:t>a</w:t>
            </w:r>
            <w:r>
              <w:rPr>
                <w:color w:val="auto"/>
                <w:highlight w:val="none"/>
              </w:rPr>
              <w:t>）</w:t>
            </w:r>
          </w:p>
          <w:p w14:paraId="3B1555EB">
            <w:pPr>
              <w:pStyle w:val="50"/>
              <w:ind w:firstLine="482"/>
              <w:rPr>
                <w:b/>
                <w:bCs/>
                <w:color w:val="auto"/>
              </w:rPr>
            </w:pPr>
            <w:r>
              <w:rPr>
                <w:b/>
                <w:bCs/>
                <w:color w:val="auto"/>
              </w:rPr>
              <w:t>8、厂区平面布置及周边环境概况</w:t>
            </w:r>
          </w:p>
          <w:p w14:paraId="1113093A">
            <w:pPr>
              <w:pStyle w:val="50"/>
              <w:ind w:firstLine="480"/>
              <w:rPr>
                <w:color w:val="auto"/>
              </w:rPr>
            </w:pPr>
            <w:r>
              <w:rPr>
                <w:color w:val="auto"/>
              </w:rPr>
              <w:t>本</w:t>
            </w:r>
            <w:r>
              <w:rPr>
                <w:rFonts w:hint="eastAsia"/>
                <w:color w:val="auto"/>
              </w:rPr>
              <w:t>扩建</w:t>
            </w:r>
            <w:r>
              <w:rPr>
                <w:color w:val="auto"/>
              </w:rPr>
              <w:t>项目位于</w:t>
            </w:r>
            <w:r>
              <w:rPr>
                <w:rFonts w:hint="eastAsia"/>
                <w:color w:val="auto"/>
              </w:rPr>
              <w:t>宿迁市</w:t>
            </w:r>
            <w:r>
              <w:rPr>
                <w:color w:val="auto"/>
              </w:rPr>
              <w:t>泗阳县王集镇发展大道东路8号，</w:t>
            </w:r>
            <w:r>
              <w:rPr>
                <w:rFonts w:hint="eastAsia"/>
                <w:color w:val="auto"/>
              </w:rPr>
              <w:t>项目东侧为泗阳远鹏服饰有限公司、南侧间隔广州路为空地、西侧为废弃厂房、北侧为空地</w:t>
            </w:r>
            <w:r>
              <w:rPr>
                <w:color w:val="auto"/>
              </w:rPr>
              <w:t>。项目地理位置见附图1，项目周边概况见附图2。</w:t>
            </w:r>
          </w:p>
          <w:p w14:paraId="6B9E4F60">
            <w:pPr>
              <w:pStyle w:val="50"/>
              <w:ind w:firstLine="480"/>
              <w:rPr>
                <w:color w:val="auto"/>
              </w:rPr>
            </w:pPr>
            <w:r>
              <w:rPr>
                <w:rFonts w:hint="eastAsia"/>
                <w:color w:val="auto"/>
              </w:rPr>
              <w:t>本项目厂区呈长方形，总占地面积</w:t>
            </w:r>
            <w:r>
              <w:rPr>
                <w:color w:val="auto"/>
              </w:rPr>
              <w:t>约为</w:t>
            </w:r>
            <w:r>
              <w:rPr>
                <w:rFonts w:hint="eastAsia"/>
                <w:color w:val="auto"/>
              </w:rPr>
              <w:t>61755.05</w:t>
            </w:r>
            <w:r>
              <w:rPr>
                <w:color w:val="auto"/>
              </w:rPr>
              <w:t>m</w:t>
            </w:r>
            <w:r>
              <w:rPr>
                <w:color w:val="auto"/>
                <w:vertAlign w:val="superscript"/>
              </w:rPr>
              <w:t>2</w:t>
            </w:r>
            <w:r>
              <w:rPr>
                <w:color w:val="auto"/>
              </w:rPr>
              <w:t>。厂区北侧出入口靠近发展大道，南侧出入口靠近广州路。厂区内1#厂房位于东侧</w:t>
            </w:r>
            <w:r>
              <w:rPr>
                <w:rFonts w:hint="eastAsia"/>
                <w:color w:val="auto"/>
              </w:rPr>
              <w:t>，</w:t>
            </w:r>
            <w:r>
              <w:rPr>
                <w:color w:val="auto"/>
              </w:rPr>
              <w:t>办公楼位于东南侧、综合楼位于西南侧。项目平面布局不仅考虑生产各功能区单独使用功能，还考虑整个项目各功能区间的相互联系，以满足工艺要求为前提，满足物料输送尽可能顺畅、方便，同时考虑节约用地、环保等各方面的要求。项目总平面布置合理规范，符合实际生产要求。项目厂区平面布置详见附图4。</w:t>
            </w:r>
          </w:p>
        </w:tc>
      </w:tr>
      <w:tr w14:paraId="1D41F4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865" w:type="dxa"/>
            <w:vAlign w:val="center"/>
          </w:tcPr>
          <w:p w14:paraId="4DA6500C">
            <w:pPr>
              <w:jc w:val="center"/>
              <w:rPr>
                <w:color w:val="auto"/>
              </w:rPr>
            </w:pPr>
            <w:bookmarkStart w:id="39" w:name="_Toc13380"/>
            <w:r>
              <w:rPr>
                <w:rFonts w:eastAsiaTheme="minorEastAsia"/>
                <w:color w:val="auto"/>
                <w:sz w:val="24"/>
              </w:rPr>
              <w:t>工艺流程和产排污环节</w:t>
            </w:r>
          </w:p>
        </w:tc>
        <w:tc>
          <w:tcPr>
            <w:tcW w:w="8659" w:type="dxa"/>
          </w:tcPr>
          <w:p w14:paraId="23DCCE09">
            <w:pPr>
              <w:pStyle w:val="50"/>
              <w:ind w:firstLine="482"/>
              <w:rPr>
                <w:b/>
                <w:bCs/>
                <w:color w:val="auto"/>
              </w:rPr>
            </w:pPr>
            <w:r>
              <w:rPr>
                <w:b/>
                <w:bCs/>
                <w:color w:val="auto"/>
              </w:rPr>
              <w:t>1、施工期</w:t>
            </w:r>
          </w:p>
          <w:p w14:paraId="382CC98C">
            <w:pPr>
              <w:pStyle w:val="50"/>
              <w:ind w:firstLine="480"/>
              <w:rPr>
                <w:color w:val="auto"/>
              </w:rPr>
            </w:pPr>
            <w:r>
              <w:rPr>
                <w:color w:val="auto"/>
              </w:rPr>
              <w:t>本扩建项目</w:t>
            </w:r>
            <w:r>
              <w:rPr>
                <w:rFonts w:hint="eastAsia"/>
                <w:color w:val="auto"/>
              </w:rPr>
              <w:t>在已建1#</w:t>
            </w:r>
            <w:r>
              <w:rPr>
                <w:color w:val="auto"/>
              </w:rPr>
              <w:t>厂房</w:t>
            </w:r>
            <w:r>
              <w:rPr>
                <w:rFonts w:hint="eastAsia"/>
                <w:color w:val="auto"/>
              </w:rPr>
              <w:t>内</w:t>
            </w:r>
            <w:r>
              <w:rPr>
                <w:color w:val="auto"/>
              </w:rPr>
              <w:t>进行生产，只需进行简单装修和设备安装，施工期为3个月。施工阶段污染物主要为设备安装时期工人产生的极少量生活污水和生活垃圾。</w:t>
            </w:r>
          </w:p>
          <w:p w14:paraId="4AAA4914">
            <w:pPr>
              <w:pStyle w:val="50"/>
              <w:ind w:firstLine="482"/>
              <w:rPr>
                <w:b/>
                <w:bCs/>
                <w:color w:val="auto"/>
              </w:rPr>
            </w:pPr>
            <w:r>
              <w:rPr>
                <w:b/>
                <w:bCs/>
                <w:color w:val="auto"/>
              </w:rPr>
              <w:t>2、生产工艺流程及产污环节图</w:t>
            </w:r>
          </w:p>
          <w:p w14:paraId="4A6AFE81">
            <w:pPr>
              <w:pStyle w:val="50"/>
              <w:ind w:firstLine="480"/>
              <w:rPr>
                <w:color w:val="auto"/>
              </w:rPr>
            </w:pPr>
            <w:r>
              <w:rPr>
                <w:color w:val="auto"/>
              </w:rPr>
              <w:t>本</w:t>
            </w:r>
            <w:r>
              <w:rPr>
                <w:rFonts w:hint="eastAsia"/>
                <w:color w:val="auto"/>
              </w:rPr>
              <w:t>扩建</w:t>
            </w:r>
            <w:r>
              <w:rPr>
                <w:color w:val="auto"/>
              </w:rPr>
              <w:t>项目运营期生产工艺及流程如</w:t>
            </w:r>
            <w:r>
              <w:rPr>
                <w:color w:val="auto"/>
              </w:rPr>
              <w:fldChar w:fldCharType="begin"/>
            </w:r>
            <w:r>
              <w:rPr>
                <w:color w:val="auto"/>
              </w:rPr>
              <w:instrText xml:space="preserve"> REF _Ref30049 \h </w:instrText>
            </w:r>
            <w:r>
              <w:rPr>
                <w:color w:val="auto"/>
              </w:rPr>
              <w:fldChar w:fldCharType="separate"/>
            </w:r>
            <w:r>
              <w:rPr>
                <w:color w:val="auto"/>
              </w:rPr>
              <w:t>图2- 3</w:t>
            </w:r>
            <w:r>
              <w:rPr>
                <w:color w:val="auto"/>
              </w:rPr>
              <w:fldChar w:fldCharType="end"/>
            </w:r>
            <w:r>
              <w:rPr>
                <w:color w:val="auto"/>
              </w:rPr>
              <w:t>。</w:t>
            </w:r>
          </w:p>
          <w:p w14:paraId="2F20F680">
            <w:pPr>
              <w:pStyle w:val="7"/>
              <w:rPr>
                <w:color w:val="auto"/>
              </w:rPr>
            </w:pPr>
            <w:r>
              <w:rPr>
                <w:color w:val="auto"/>
              </w:rPr>
              <w:drawing>
                <wp:inline distT="0" distB="0" distL="114300" distR="114300">
                  <wp:extent cx="2700020" cy="2395855"/>
                  <wp:effectExtent l="0" t="0" r="5080" b="4445"/>
                  <wp:docPr id="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2"/>
                          <pic:cNvPicPr>
                            <a:picLocks noChangeAspect="1"/>
                          </pic:cNvPicPr>
                        </pic:nvPicPr>
                        <pic:blipFill>
                          <a:blip r:embed="rId13"/>
                          <a:srcRect l="15972" t="15088" r="25101" b="11582"/>
                          <a:stretch>
                            <a:fillRect/>
                          </a:stretch>
                        </pic:blipFill>
                        <pic:spPr>
                          <a:xfrm>
                            <a:off x="0" y="0"/>
                            <a:ext cx="2700020" cy="2395855"/>
                          </a:xfrm>
                          <a:prstGeom prst="rect">
                            <a:avLst/>
                          </a:prstGeom>
                          <a:noFill/>
                          <a:ln>
                            <a:noFill/>
                          </a:ln>
                        </pic:spPr>
                      </pic:pic>
                    </a:graphicData>
                  </a:graphic>
                </wp:inline>
              </w:drawing>
            </w:r>
          </w:p>
          <w:p w14:paraId="28E3B780">
            <w:pPr>
              <w:pStyle w:val="7"/>
              <w:rPr>
                <w:color w:val="auto"/>
              </w:rPr>
            </w:pPr>
            <w:bookmarkStart w:id="40" w:name="_Ref30049"/>
            <w:r>
              <w:rPr>
                <w:color w:val="auto"/>
              </w:rPr>
              <w:t xml:space="preserve">图2- </w:t>
            </w:r>
            <w:r>
              <w:rPr>
                <w:color w:val="auto"/>
              </w:rPr>
              <w:fldChar w:fldCharType="begin"/>
            </w:r>
            <w:r>
              <w:rPr>
                <w:color w:val="auto"/>
              </w:rPr>
              <w:instrText xml:space="preserve"> SEQ 图2- \* ARABIC </w:instrText>
            </w:r>
            <w:r>
              <w:rPr>
                <w:color w:val="auto"/>
              </w:rPr>
              <w:fldChar w:fldCharType="separate"/>
            </w:r>
            <w:r>
              <w:rPr>
                <w:color w:val="auto"/>
              </w:rPr>
              <w:t>3</w:t>
            </w:r>
            <w:r>
              <w:rPr>
                <w:color w:val="auto"/>
              </w:rPr>
              <w:fldChar w:fldCharType="end"/>
            </w:r>
            <w:bookmarkEnd w:id="40"/>
            <w:r>
              <w:rPr>
                <w:color w:val="auto"/>
              </w:rPr>
              <w:t xml:space="preserve"> 生产工艺流程及产污环节图</w:t>
            </w:r>
          </w:p>
          <w:p w14:paraId="736EAE7F">
            <w:pPr>
              <w:pStyle w:val="50"/>
              <w:ind w:firstLine="482"/>
              <w:rPr>
                <w:b/>
                <w:bCs/>
                <w:color w:val="auto"/>
              </w:rPr>
            </w:pPr>
            <w:r>
              <w:rPr>
                <w:b/>
                <w:bCs/>
                <w:color w:val="auto"/>
              </w:rPr>
              <w:t>生产工艺流程简述：</w:t>
            </w:r>
          </w:p>
          <w:p w14:paraId="6DFCF2D6">
            <w:pPr>
              <w:pStyle w:val="50"/>
              <w:ind w:firstLine="482"/>
              <w:rPr>
                <w:b/>
                <w:bCs/>
                <w:color w:val="auto"/>
              </w:rPr>
            </w:pPr>
            <w:r>
              <w:rPr>
                <w:b/>
                <w:bCs/>
                <w:color w:val="auto"/>
              </w:rPr>
              <w:t>（1）</w:t>
            </w:r>
            <w:r>
              <w:rPr>
                <w:rFonts w:hint="eastAsia"/>
                <w:b/>
                <w:bCs/>
                <w:color w:val="auto"/>
              </w:rPr>
              <w:t>熔化</w:t>
            </w:r>
          </w:p>
          <w:p w14:paraId="1A5CC7DE">
            <w:pPr>
              <w:pStyle w:val="50"/>
              <w:ind w:firstLine="480"/>
              <w:rPr>
                <w:color w:val="auto"/>
              </w:rPr>
            </w:pPr>
            <w:r>
              <w:rPr>
                <w:color w:val="auto"/>
              </w:rPr>
              <w:t>高纯度铜原料由加料机构加入工频熔化炉中，经工频感应后熔化成铜液。</w:t>
            </w:r>
            <w:r>
              <w:rPr>
                <w:rFonts w:hint="eastAsia"/>
                <w:color w:val="auto"/>
                <w:lang w:val="en-US" w:eastAsia="zh-CN"/>
              </w:rPr>
              <w:t>工频感应炉使用电能，利用电磁感应原理将电能转化为热能，</w:t>
            </w:r>
            <w:r>
              <w:rPr>
                <w:color w:val="auto"/>
              </w:rPr>
              <w:t>熔化温度为1150℃±5℃。由于高纯度铜中含有杂质，铜经高温熔化会产生金属熔化烟尘。</w:t>
            </w:r>
          </w:p>
          <w:p w14:paraId="5B274468">
            <w:pPr>
              <w:pStyle w:val="50"/>
              <w:ind w:firstLine="480"/>
              <w:rPr>
                <w:color w:val="auto"/>
              </w:rPr>
            </w:pPr>
            <w:r>
              <w:rPr>
                <w:rFonts w:hint="eastAsia"/>
                <w:color w:val="auto"/>
              </w:rPr>
              <w:t>工频熔化感应器主要由炉体、炉架和感应器三大部分组成。炉体外壳为钢结构，内部由耐火砖、保温砖、硅质捣打料和保温材料砌筑而成；炉架起支撑炉体的作用，通过地脚螺栓固定在地坪基础上；感应器由外壳、线圈、水套、口字铁芯以及熔沟组成。感应器的高压侧由线圈组成，低压侧由短路的线圈熔沟组成，通电后，在电磁感应器的作用下熔沟内部产生大电流，低电压使含铜原料熔化并让铜液在熔沟内定向高速流动，形成充分的热交换。感应器的水套和线圈需采用冷却水间接冷却，冷却水循环使用、不外排。</w:t>
            </w:r>
          </w:p>
          <w:p w14:paraId="0EEF57CD">
            <w:pPr>
              <w:pStyle w:val="50"/>
              <w:ind w:firstLine="480"/>
              <w:rPr>
                <w:color w:val="auto"/>
              </w:rPr>
            </w:pPr>
            <w:r>
              <w:rPr>
                <w:rFonts w:hint="eastAsia"/>
                <w:color w:val="auto"/>
              </w:rPr>
              <w:t>熔化过程中，铜液表面覆盖一层木炭，避免铜液直接接触空气。木炭与高温铜液接触会发生燃烧，木炭燃烧后易呈粉末状结块，定期进行扒渣。木炭与铜液接触燃烧时间较长且充分，木炭燃烧后主要以CO</w:t>
            </w:r>
            <w:r>
              <w:rPr>
                <w:rFonts w:hint="eastAsia"/>
                <w:color w:val="auto"/>
                <w:vertAlign w:val="subscript"/>
              </w:rPr>
              <w:t>2</w:t>
            </w:r>
            <w:r>
              <w:rPr>
                <w:rFonts w:hint="eastAsia"/>
                <w:color w:val="auto"/>
              </w:rPr>
              <w:t>的形式排放，几乎无CO排放。</w:t>
            </w:r>
          </w:p>
          <w:p w14:paraId="48501AAA">
            <w:pPr>
              <w:pStyle w:val="50"/>
              <w:ind w:firstLine="480"/>
              <w:rPr>
                <w:color w:val="auto"/>
              </w:rPr>
            </w:pPr>
            <w:r>
              <w:rPr>
                <w:rFonts w:hint="eastAsia"/>
                <w:color w:val="auto"/>
              </w:rPr>
              <w:t>该过程会产生金属熔化烟尘G</w:t>
            </w:r>
            <w:r>
              <w:rPr>
                <w:rFonts w:hint="eastAsia"/>
                <w:color w:val="auto"/>
                <w:vertAlign w:val="subscript"/>
              </w:rPr>
              <w:t>1</w:t>
            </w:r>
            <w:r>
              <w:rPr>
                <w:rFonts w:hint="eastAsia"/>
                <w:color w:val="auto"/>
              </w:rPr>
              <w:t>、炉渣S</w:t>
            </w:r>
            <w:r>
              <w:rPr>
                <w:rFonts w:hint="eastAsia"/>
                <w:color w:val="auto"/>
                <w:vertAlign w:val="subscript"/>
              </w:rPr>
              <w:t>1</w:t>
            </w:r>
            <w:r>
              <w:rPr>
                <w:rFonts w:hint="eastAsia"/>
                <w:color w:val="auto"/>
              </w:rPr>
              <w:t>、设备噪声N。</w:t>
            </w:r>
          </w:p>
          <w:p w14:paraId="0175BA32">
            <w:pPr>
              <w:pStyle w:val="50"/>
              <w:ind w:firstLine="482"/>
              <w:rPr>
                <w:b/>
                <w:bCs/>
                <w:color w:val="auto"/>
              </w:rPr>
            </w:pPr>
            <w:r>
              <w:rPr>
                <w:rFonts w:hint="eastAsia"/>
                <w:b/>
                <w:bCs/>
                <w:color w:val="auto"/>
              </w:rPr>
              <w:t>（2）保温</w:t>
            </w:r>
          </w:p>
          <w:p w14:paraId="02587975">
            <w:pPr>
              <w:pStyle w:val="50"/>
              <w:ind w:firstLine="480"/>
              <w:rPr>
                <w:color w:val="auto"/>
              </w:rPr>
            </w:pPr>
            <w:r>
              <w:rPr>
                <w:rFonts w:hint="eastAsia"/>
                <w:color w:val="auto"/>
              </w:rPr>
              <w:t>熔化后铜液经过过滤仓自动平稳地溢流到保温炉中。保温过程中，铜液表面覆盖一层石墨鳞片，避免铜液直接接触空气发生氧化。石墨鳞片为高温材料，与铜液接触不会燃烧。但石墨鳞片与铜液长期接触会结块，需定期进行扒渣。</w:t>
            </w:r>
          </w:p>
          <w:p w14:paraId="544D9BA8">
            <w:pPr>
              <w:pStyle w:val="50"/>
              <w:ind w:firstLine="480"/>
              <w:rPr>
                <w:color w:val="auto"/>
              </w:rPr>
            </w:pPr>
            <w:r>
              <w:rPr>
                <w:rFonts w:hint="eastAsia"/>
                <w:color w:val="auto"/>
              </w:rPr>
              <w:t>该过程会产生炉渣S</w:t>
            </w:r>
            <w:r>
              <w:rPr>
                <w:rFonts w:hint="eastAsia"/>
                <w:color w:val="auto"/>
                <w:vertAlign w:val="subscript"/>
              </w:rPr>
              <w:t>2</w:t>
            </w:r>
            <w:r>
              <w:rPr>
                <w:rFonts w:hint="eastAsia"/>
                <w:color w:val="auto"/>
              </w:rPr>
              <w:t>、设备噪声N。</w:t>
            </w:r>
          </w:p>
          <w:p w14:paraId="4C38F1FE">
            <w:pPr>
              <w:pStyle w:val="50"/>
              <w:ind w:firstLine="482"/>
              <w:rPr>
                <w:b/>
                <w:bCs/>
                <w:color w:val="auto"/>
              </w:rPr>
            </w:pPr>
            <w:r>
              <w:rPr>
                <w:rFonts w:hint="eastAsia"/>
                <w:b/>
                <w:bCs/>
                <w:color w:val="auto"/>
              </w:rPr>
              <w:t>（3）连铸</w:t>
            </w:r>
          </w:p>
          <w:p w14:paraId="3E2E955D">
            <w:pPr>
              <w:pStyle w:val="50"/>
              <w:ind w:firstLine="480"/>
              <w:rPr>
                <w:color w:val="auto"/>
              </w:rPr>
            </w:pPr>
            <w:r>
              <w:rPr>
                <w:rFonts w:hint="eastAsia"/>
                <w:color w:val="auto"/>
              </w:rPr>
              <w:t>铜液通过上引连铸机中的结晶快速结晶成铜杆。结晶器需采用冷却水间接冷却，冷却水循环使用、不外排。上引连铸机的结晶器、感应器的水套和线圈共用一套循环冷却水系统（冷却塔和冷却池）。</w:t>
            </w:r>
          </w:p>
          <w:p w14:paraId="075FC9A2">
            <w:pPr>
              <w:pStyle w:val="50"/>
              <w:ind w:firstLine="480"/>
              <w:rPr>
                <w:color w:val="auto"/>
              </w:rPr>
            </w:pPr>
            <w:r>
              <w:rPr>
                <w:rFonts w:hint="eastAsia"/>
                <w:color w:val="auto"/>
              </w:rPr>
              <w:t>上引连铸机是实现上引连铸铜杆的主要设备，主要由四立柱机架、上引牵引机构、液位跟踪系统、结晶器及升降机构组成。</w:t>
            </w:r>
          </w:p>
          <w:p w14:paraId="22D463EE">
            <w:pPr>
              <w:pStyle w:val="50"/>
              <w:ind w:firstLine="480"/>
              <w:rPr>
                <w:color w:val="auto"/>
              </w:rPr>
            </w:pPr>
            <w:r>
              <w:rPr>
                <w:rFonts w:hint="eastAsia"/>
                <w:color w:val="auto"/>
              </w:rPr>
              <w:t>牵引机构由两侧伺服电机、减速机构和牵引辊轮、同步带等组成。二组牵引机构可实现每分钟0~800次、节距3~100mm的高速间隙运动，并通过牵引辊轮将铸杆连续不断地向上引出铜杆，每组牵引机构可带动8付牵引辊轮，分别牵引8根铸杆。更换结晶器即可上引</w:t>
            </w:r>
            <w:r>
              <w:rPr>
                <w:color w:val="auto"/>
              </w:rPr>
              <w:t>Φ</w:t>
            </w:r>
            <w:r>
              <w:rPr>
                <w:rFonts w:hint="eastAsia"/>
                <w:color w:val="auto"/>
              </w:rPr>
              <w:t>8~</w:t>
            </w:r>
            <w:r>
              <w:rPr>
                <w:color w:val="auto"/>
              </w:rPr>
              <w:t>Φ</w:t>
            </w:r>
            <w:r>
              <w:rPr>
                <w:rFonts w:hint="eastAsia"/>
                <w:color w:val="auto"/>
              </w:rPr>
              <w:t>17mm范围内不同规格铸杆。</w:t>
            </w:r>
          </w:p>
          <w:p w14:paraId="24B1231B">
            <w:pPr>
              <w:pStyle w:val="50"/>
              <w:ind w:firstLine="480"/>
              <w:rPr>
                <w:color w:val="auto"/>
              </w:rPr>
            </w:pPr>
            <w:r>
              <w:rPr>
                <w:rFonts w:hint="eastAsia"/>
                <w:color w:val="auto"/>
              </w:rPr>
              <w:t>结晶器是上引连铸关键部件，其作用是将液态的铜结晶器快速冷却结晶成固态铜，并实现热交换。十二根结晶器分两排安装在连铸机安装板的两侧，随安装板上升和下降。每根结晶器可单独更换而不影响其他结晶器的正常工作。配有快速提出铜液的提升装置。</w:t>
            </w:r>
          </w:p>
          <w:p w14:paraId="00B0B619">
            <w:pPr>
              <w:pStyle w:val="50"/>
              <w:ind w:firstLine="480"/>
              <w:rPr>
                <w:color w:val="auto"/>
              </w:rPr>
            </w:pPr>
            <w:r>
              <w:rPr>
                <w:rFonts w:hint="eastAsia"/>
                <w:color w:val="auto"/>
              </w:rPr>
              <w:t>液位跟踪系统由液态跟踪装置和液态跟踪传动装置组成，随着液态高低而升降的碳化硅浮子通过撞块和微动开关作用，传出电信号来实现液态跟踪自动控制，以保证石墨模和热电偶插入铜液的深度相对稳定，确保连铸生产连续性。</w:t>
            </w:r>
          </w:p>
          <w:p w14:paraId="66820E1F">
            <w:pPr>
              <w:pStyle w:val="50"/>
              <w:ind w:firstLine="480"/>
              <w:rPr>
                <w:color w:val="auto"/>
              </w:rPr>
            </w:pPr>
            <w:r>
              <w:rPr>
                <w:rFonts w:hint="eastAsia"/>
                <w:color w:val="auto"/>
              </w:rPr>
              <w:t>该过程会产生设备噪声N。</w:t>
            </w:r>
          </w:p>
          <w:p w14:paraId="520C84FF">
            <w:pPr>
              <w:pStyle w:val="50"/>
              <w:ind w:firstLine="482"/>
              <w:rPr>
                <w:b/>
                <w:bCs/>
                <w:color w:val="auto"/>
              </w:rPr>
            </w:pPr>
            <w:r>
              <w:rPr>
                <w:rFonts w:hint="eastAsia"/>
                <w:b/>
                <w:bCs/>
                <w:color w:val="auto"/>
              </w:rPr>
              <w:t>（4）收线</w:t>
            </w:r>
          </w:p>
          <w:p w14:paraId="5DD823D7">
            <w:pPr>
              <w:pStyle w:val="50"/>
              <w:ind w:firstLine="480"/>
              <w:rPr>
                <w:color w:val="auto"/>
              </w:rPr>
            </w:pPr>
            <w:r>
              <w:rPr>
                <w:rFonts w:hint="eastAsia"/>
                <w:color w:val="auto"/>
              </w:rPr>
              <w:t>铜杆从连铸机牵引机中牵出后，经导轮架、中间托架、收线限位装置导入收线机。</w:t>
            </w:r>
          </w:p>
          <w:p w14:paraId="715E57B3">
            <w:pPr>
              <w:pStyle w:val="50"/>
              <w:ind w:firstLine="480"/>
              <w:rPr>
                <w:color w:val="auto"/>
              </w:rPr>
            </w:pPr>
            <w:r>
              <w:rPr>
                <w:rFonts w:hint="eastAsia"/>
                <w:color w:val="auto"/>
              </w:rPr>
              <w:t>导轮架布置在连铸机的上方，主要由支架、竖导轮和滚筒组成，它使铸杆能平滑地导入各收线机，互不干扰。</w:t>
            </w:r>
          </w:p>
          <w:p w14:paraId="352D77D1">
            <w:pPr>
              <w:pStyle w:val="50"/>
              <w:ind w:firstLine="480"/>
              <w:rPr>
                <w:color w:val="auto"/>
              </w:rPr>
            </w:pPr>
            <w:r>
              <w:rPr>
                <w:rFonts w:hint="eastAsia"/>
                <w:color w:val="auto"/>
              </w:rPr>
              <w:t>中间托架安装在导轮架与收线同步装置之间，由支架、托辊、竖导轮组成，其作用使铸杆互不干扰，平滑地导入各收线机。</w:t>
            </w:r>
          </w:p>
          <w:p w14:paraId="4BCFC322">
            <w:pPr>
              <w:pStyle w:val="50"/>
              <w:ind w:firstLine="480"/>
              <w:rPr>
                <w:color w:val="auto"/>
              </w:rPr>
            </w:pPr>
            <w:r>
              <w:rPr>
                <w:rFonts w:hint="eastAsia"/>
                <w:color w:val="auto"/>
              </w:rPr>
              <w:t>收线机前上下各安装一台张力式限位装置，其作用实现上引牵引速度与收线机牵引速度同步。由机架、张力机构、电位器组成，铸杆经导轮架、中间托架进入张力机构。张力机构根据铸杆位置，控制电位器。</w:t>
            </w:r>
          </w:p>
          <w:p w14:paraId="61D7BD5C">
            <w:pPr>
              <w:pStyle w:val="50"/>
              <w:ind w:firstLine="480"/>
              <w:rPr>
                <w:color w:val="auto"/>
              </w:rPr>
            </w:pPr>
            <w:r>
              <w:rPr>
                <w:rFonts w:hint="eastAsia"/>
                <w:color w:val="auto"/>
              </w:rPr>
              <w:t>收线机为双头收线机。由收线牵引、成圈装置和收线转盘组成。工作时，收线电机通过减速机带动牵引辊轮，将铸杆收入收线架，卷绕成圈。</w:t>
            </w:r>
            <w:r>
              <w:rPr>
                <w:color w:val="auto"/>
              </w:rPr>
              <w:t>Φ</w:t>
            </w:r>
            <w:r>
              <w:rPr>
                <w:rFonts w:hint="eastAsia"/>
                <w:color w:val="auto"/>
              </w:rPr>
              <w:t>12~</w:t>
            </w:r>
            <w:r>
              <w:rPr>
                <w:color w:val="auto"/>
              </w:rPr>
              <w:t>Φ</w:t>
            </w:r>
            <w:r>
              <w:rPr>
                <w:rFonts w:hint="eastAsia"/>
                <w:color w:val="auto"/>
              </w:rPr>
              <w:t>20mm收线通过伺服电机的驱动器发出信号，自动控制收线牵引电机转速，使收线速度达到上引速度同步，其中产生的累计误差由限位装置修正，盘由快到慢、由慢到快有规则转动，使</w:t>
            </w:r>
            <w:r>
              <w:rPr>
                <w:color w:val="auto"/>
              </w:rPr>
              <w:t>Φ</w:t>
            </w:r>
            <w:r>
              <w:rPr>
                <w:rFonts w:hint="eastAsia"/>
                <w:color w:val="auto"/>
              </w:rPr>
              <w:t>12~</w:t>
            </w:r>
            <w:r>
              <w:rPr>
                <w:color w:val="auto"/>
              </w:rPr>
              <w:t>Φ</w:t>
            </w:r>
            <w:r>
              <w:rPr>
                <w:rFonts w:hint="eastAsia"/>
                <w:color w:val="auto"/>
              </w:rPr>
              <w:t>20mm铸杆在寿险盘中由外圈到内圈、由内圈到外圈螺旋式一层一层成圈有序排列，达到自动排线功能。收线重量达4吨，此收线机为压紧形式，手动螺杆压紧。</w:t>
            </w:r>
          </w:p>
          <w:p w14:paraId="46DBB09C">
            <w:pPr>
              <w:pStyle w:val="50"/>
              <w:ind w:firstLine="480"/>
              <w:rPr>
                <w:color w:val="auto"/>
              </w:rPr>
            </w:pPr>
            <w:r>
              <w:rPr>
                <w:rFonts w:hint="eastAsia"/>
                <w:color w:val="auto"/>
              </w:rPr>
              <w:t>无氧铜杆产品经检验合格后直接外售，不合格产品全部回用于熔化工序。</w:t>
            </w:r>
          </w:p>
          <w:p w14:paraId="1609A255">
            <w:pPr>
              <w:pStyle w:val="50"/>
              <w:ind w:firstLine="482"/>
              <w:rPr>
                <w:b/>
                <w:bCs/>
                <w:color w:val="auto"/>
              </w:rPr>
            </w:pPr>
            <w:r>
              <w:rPr>
                <w:b/>
                <w:bCs/>
                <w:color w:val="auto"/>
              </w:rPr>
              <w:t>产排污环节：</w:t>
            </w:r>
          </w:p>
          <w:p w14:paraId="302CAE84">
            <w:pPr>
              <w:pStyle w:val="50"/>
              <w:ind w:firstLine="480"/>
              <w:rPr>
                <w:color w:val="auto"/>
              </w:rPr>
            </w:pPr>
            <w:r>
              <w:rPr>
                <w:color w:val="auto"/>
              </w:rPr>
              <w:t>本</w:t>
            </w:r>
            <w:r>
              <w:rPr>
                <w:rFonts w:hint="eastAsia"/>
                <w:color w:val="auto"/>
              </w:rPr>
              <w:t>扩建</w:t>
            </w:r>
            <w:r>
              <w:rPr>
                <w:color w:val="auto"/>
              </w:rPr>
              <w:t>项目生产过程中主要产排污环节见</w:t>
            </w:r>
            <w:r>
              <w:rPr>
                <w:rFonts w:hint="default"/>
                <w:color w:val="auto"/>
                <w:lang w:val="en-US"/>
              </w:rPr>
              <w:fldChar w:fldCharType="begin"/>
            </w:r>
            <w:r>
              <w:rPr>
                <w:rFonts w:hint="default"/>
                <w:color w:val="auto"/>
                <w:lang w:val="en-US"/>
              </w:rPr>
              <w:instrText xml:space="preserve"> REF _Ref28623 \h </w:instrText>
            </w:r>
            <w:r>
              <w:rPr>
                <w:rFonts w:hint="default"/>
                <w:color w:val="auto"/>
                <w:lang w:val="en-US"/>
              </w:rPr>
              <w:fldChar w:fldCharType="separate"/>
            </w:r>
            <w:r>
              <w:rPr>
                <w:color w:val="auto"/>
              </w:rPr>
              <w:t>表2- 8</w:t>
            </w:r>
            <w:r>
              <w:rPr>
                <w:rFonts w:hint="default"/>
                <w:color w:val="auto"/>
                <w:lang w:val="en-US"/>
              </w:rPr>
              <w:fldChar w:fldCharType="end"/>
            </w:r>
            <w:r>
              <w:rPr>
                <w:color w:val="auto"/>
              </w:rPr>
              <w:t>。</w:t>
            </w:r>
          </w:p>
          <w:p w14:paraId="1CEB6647">
            <w:pPr>
              <w:pStyle w:val="7"/>
              <w:rPr>
                <w:color w:val="auto"/>
              </w:rPr>
            </w:pPr>
            <w:bookmarkStart w:id="41" w:name="_Ref30118"/>
            <w:bookmarkStart w:id="42" w:name="_Ref19833"/>
            <w:bookmarkStart w:id="43" w:name="_Ref28860"/>
          </w:p>
          <w:p w14:paraId="1AB5F328">
            <w:pPr>
              <w:pStyle w:val="7"/>
              <w:rPr>
                <w:color w:val="auto"/>
              </w:rPr>
            </w:pPr>
          </w:p>
          <w:p w14:paraId="5AF65C05">
            <w:pPr>
              <w:pStyle w:val="7"/>
              <w:rPr>
                <w:color w:val="auto"/>
              </w:rPr>
            </w:pPr>
          </w:p>
          <w:p w14:paraId="304931C3">
            <w:pPr>
              <w:pStyle w:val="7"/>
              <w:rPr>
                <w:color w:val="auto"/>
              </w:rPr>
            </w:pPr>
            <w:bookmarkStart w:id="44" w:name="_Ref28623"/>
            <w:r>
              <w:rPr>
                <w:color w:val="auto"/>
              </w:rPr>
              <w:t xml:space="preserve">表2- </w:t>
            </w:r>
            <w:r>
              <w:rPr>
                <w:color w:val="auto"/>
              </w:rPr>
              <w:fldChar w:fldCharType="begin"/>
            </w:r>
            <w:r>
              <w:rPr>
                <w:color w:val="auto"/>
              </w:rPr>
              <w:instrText xml:space="preserve"> SEQ 表2- \* ARABIC </w:instrText>
            </w:r>
            <w:r>
              <w:rPr>
                <w:color w:val="auto"/>
              </w:rPr>
              <w:fldChar w:fldCharType="separate"/>
            </w:r>
            <w:r>
              <w:rPr>
                <w:color w:val="auto"/>
              </w:rPr>
              <w:t>8</w:t>
            </w:r>
            <w:r>
              <w:rPr>
                <w:color w:val="auto"/>
              </w:rPr>
              <w:fldChar w:fldCharType="end"/>
            </w:r>
            <w:bookmarkEnd w:id="41"/>
            <w:bookmarkEnd w:id="42"/>
            <w:bookmarkEnd w:id="43"/>
            <w:bookmarkEnd w:id="44"/>
            <w:r>
              <w:rPr>
                <w:color w:val="auto"/>
              </w:rPr>
              <w:t xml:space="preserve"> 生产产污环节及污染因子一览表</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3"/>
              <w:gridCol w:w="1391"/>
              <w:gridCol w:w="1324"/>
              <w:gridCol w:w="2117"/>
              <w:gridCol w:w="2958"/>
            </w:tblGrid>
            <w:tr w14:paraId="75E6B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381" w:type="pct"/>
                  <w:vAlign w:val="center"/>
                </w:tcPr>
                <w:p w14:paraId="50FD7519">
                  <w:pPr>
                    <w:pStyle w:val="52"/>
                    <w:rPr>
                      <w:color w:val="auto"/>
                    </w:rPr>
                  </w:pPr>
                  <w:r>
                    <w:rPr>
                      <w:color w:val="auto"/>
                    </w:rPr>
                    <w:t>类别</w:t>
                  </w:r>
                </w:p>
              </w:tc>
              <w:tc>
                <w:tcPr>
                  <w:tcW w:w="825" w:type="pct"/>
                  <w:vAlign w:val="center"/>
                </w:tcPr>
                <w:p w14:paraId="2D357112">
                  <w:pPr>
                    <w:pStyle w:val="52"/>
                    <w:rPr>
                      <w:color w:val="auto"/>
                    </w:rPr>
                  </w:pPr>
                  <w:r>
                    <w:rPr>
                      <w:color w:val="auto"/>
                    </w:rPr>
                    <w:t>污染源名称</w:t>
                  </w:r>
                </w:p>
              </w:tc>
              <w:tc>
                <w:tcPr>
                  <w:tcW w:w="785" w:type="pct"/>
                  <w:vAlign w:val="center"/>
                </w:tcPr>
                <w:p w14:paraId="1E736D1D">
                  <w:pPr>
                    <w:pStyle w:val="52"/>
                    <w:rPr>
                      <w:color w:val="auto"/>
                    </w:rPr>
                  </w:pPr>
                  <w:r>
                    <w:rPr>
                      <w:color w:val="auto"/>
                    </w:rPr>
                    <w:t>工段</w:t>
                  </w:r>
                </w:p>
              </w:tc>
              <w:tc>
                <w:tcPr>
                  <w:tcW w:w="1254" w:type="pct"/>
                  <w:vAlign w:val="center"/>
                </w:tcPr>
                <w:p w14:paraId="23C870E1">
                  <w:pPr>
                    <w:pStyle w:val="52"/>
                    <w:rPr>
                      <w:color w:val="auto"/>
                    </w:rPr>
                  </w:pPr>
                  <w:r>
                    <w:rPr>
                      <w:color w:val="auto"/>
                    </w:rPr>
                    <w:t>主要污染物</w:t>
                  </w:r>
                </w:p>
              </w:tc>
              <w:tc>
                <w:tcPr>
                  <w:tcW w:w="1753" w:type="pct"/>
                  <w:vAlign w:val="center"/>
                </w:tcPr>
                <w:p w14:paraId="13F4227B">
                  <w:pPr>
                    <w:pStyle w:val="52"/>
                    <w:rPr>
                      <w:color w:val="auto"/>
                    </w:rPr>
                  </w:pPr>
                  <w:r>
                    <w:rPr>
                      <w:color w:val="auto"/>
                    </w:rPr>
                    <w:t>治理措施</w:t>
                  </w:r>
                </w:p>
              </w:tc>
            </w:tr>
            <w:tr w14:paraId="24EFC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381" w:type="pct"/>
                  <w:vMerge w:val="restart"/>
                  <w:vAlign w:val="center"/>
                </w:tcPr>
                <w:p w14:paraId="679150FB">
                  <w:pPr>
                    <w:pStyle w:val="54"/>
                    <w:rPr>
                      <w:color w:val="auto"/>
                    </w:rPr>
                  </w:pPr>
                  <w:r>
                    <w:rPr>
                      <w:color w:val="auto"/>
                    </w:rPr>
                    <w:t>废气</w:t>
                  </w:r>
                </w:p>
              </w:tc>
              <w:tc>
                <w:tcPr>
                  <w:tcW w:w="825" w:type="pct"/>
                  <w:vAlign w:val="center"/>
                </w:tcPr>
                <w:p w14:paraId="6933605C">
                  <w:pPr>
                    <w:pStyle w:val="54"/>
                    <w:rPr>
                      <w:color w:val="auto"/>
                    </w:rPr>
                  </w:pPr>
                  <w:r>
                    <w:rPr>
                      <w:rFonts w:hint="eastAsia"/>
                      <w:color w:val="auto"/>
                    </w:rPr>
                    <w:t>金属熔化</w:t>
                  </w:r>
                </w:p>
                <w:p w14:paraId="07CF51D1">
                  <w:pPr>
                    <w:pStyle w:val="54"/>
                    <w:rPr>
                      <w:color w:val="auto"/>
                    </w:rPr>
                  </w:pPr>
                  <w:r>
                    <w:rPr>
                      <w:rFonts w:hint="eastAsia"/>
                      <w:color w:val="auto"/>
                    </w:rPr>
                    <w:t>烟尘G</w:t>
                  </w:r>
                  <w:r>
                    <w:rPr>
                      <w:rFonts w:hint="eastAsia"/>
                      <w:color w:val="auto"/>
                      <w:vertAlign w:val="subscript"/>
                    </w:rPr>
                    <w:t>1</w:t>
                  </w:r>
                </w:p>
              </w:tc>
              <w:tc>
                <w:tcPr>
                  <w:tcW w:w="785" w:type="pct"/>
                  <w:vAlign w:val="center"/>
                </w:tcPr>
                <w:p w14:paraId="687900B3">
                  <w:pPr>
                    <w:pStyle w:val="54"/>
                    <w:rPr>
                      <w:color w:val="auto"/>
                    </w:rPr>
                  </w:pPr>
                  <w:r>
                    <w:rPr>
                      <w:rFonts w:hint="eastAsia"/>
                      <w:color w:val="auto"/>
                    </w:rPr>
                    <w:t>熔化</w:t>
                  </w:r>
                </w:p>
              </w:tc>
              <w:tc>
                <w:tcPr>
                  <w:tcW w:w="1254" w:type="pct"/>
                  <w:vAlign w:val="center"/>
                </w:tcPr>
                <w:p w14:paraId="225636CC">
                  <w:pPr>
                    <w:pStyle w:val="54"/>
                    <w:rPr>
                      <w:color w:val="auto"/>
                    </w:rPr>
                  </w:pPr>
                  <w:r>
                    <w:rPr>
                      <w:rFonts w:hint="eastAsia"/>
                      <w:color w:val="auto"/>
                    </w:rPr>
                    <w:t>颗粒物</w:t>
                  </w:r>
                </w:p>
              </w:tc>
              <w:tc>
                <w:tcPr>
                  <w:tcW w:w="1753" w:type="pct"/>
                  <w:vAlign w:val="center"/>
                </w:tcPr>
                <w:p w14:paraId="04FCB502">
                  <w:pPr>
                    <w:pStyle w:val="54"/>
                    <w:rPr>
                      <w:color w:val="auto"/>
                    </w:rPr>
                  </w:pPr>
                  <w:r>
                    <w:rPr>
                      <w:rFonts w:hint="eastAsia"/>
                      <w:color w:val="auto"/>
                    </w:rPr>
                    <w:t>经集气罩收集后由布袋除尘器处理后通过1根15m排气筒（DA003）排放</w:t>
                  </w:r>
                </w:p>
              </w:tc>
            </w:tr>
            <w:tr w14:paraId="33146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381" w:type="pct"/>
                  <w:vMerge w:val="continue"/>
                  <w:vAlign w:val="center"/>
                </w:tcPr>
                <w:p w14:paraId="142DF6EC">
                  <w:pPr>
                    <w:pStyle w:val="54"/>
                    <w:rPr>
                      <w:color w:val="auto"/>
                    </w:rPr>
                  </w:pPr>
                </w:p>
              </w:tc>
              <w:tc>
                <w:tcPr>
                  <w:tcW w:w="825" w:type="pct"/>
                  <w:vAlign w:val="center"/>
                </w:tcPr>
                <w:p w14:paraId="6FAC30EF">
                  <w:pPr>
                    <w:pStyle w:val="54"/>
                    <w:rPr>
                      <w:color w:val="auto"/>
                    </w:rPr>
                  </w:pPr>
                  <w:r>
                    <w:rPr>
                      <w:rFonts w:hint="eastAsia"/>
                      <w:color w:val="auto"/>
                    </w:rPr>
                    <w:t>危废贮存</w:t>
                  </w:r>
                </w:p>
                <w:p w14:paraId="330BFEA6">
                  <w:pPr>
                    <w:pStyle w:val="54"/>
                    <w:rPr>
                      <w:color w:val="auto"/>
                    </w:rPr>
                  </w:pPr>
                  <w:r>
                    <w:rPr>
                      <w:rFonts w:hint="eastAsia"/>
                      <w:color w:val="auto"/>
                    </w:rPr>
                    <w:t>废气G</w:t>
                  </w:r>
                  <w:r>
                    <w:rPr>
                      <w:rFonts w:hint="eastAsia"/>
                      <w:color w:val="auto"/>
                      <w:vertAlign w:val="subscript"/>
                    </w:rPr>
                    <w:t>2</w:t>
                  </w:r>
                </w:p>
              </w:tc>
              <w:tc>
                <w:tcPr>
                  <w:tcW w:w="785" w:type="pct"/>
                  <w:vAlign w:val="center"/>
                </w:tcPr>
                <w:p w14:paraId="5D51F466">
                  <w:pPr>
                    <w:pStyle w:val="54"/>
                    <w:rPr>
                      <w:color w:val="auto"/>
                    </w:rPr>
                  </w:pPr>
                  <w:r>
                    <w:rPr>
                      <w:rFonts w:hint="eastAsia"/>
                      <w:color w:val="auto"/>
                    </w:rPr>
                    <w:t>危废贮存</w:t>
                  </w:r>
                </w:p>
              </w:tc>
              <w:tc>
                <w:tcPr>
                  <w:tcW w:w="1254" w:type="pct"/>
                  <w:vAlign w:val="center"/>
                </w:tcPr>
                <w:p w14:paraId="294F1D78">
                  <w:pPr>
                    <w:pStyle w:val="54"/>
                    <w:rPr>
                      <w:color w:val="auto"/>
                    </w:rPr>
                  </w:pPr>
                  <w:r>
                    <w:rPr>
                      <w:rFonts w:hint="eastAsia"/>
                      <w:color w:val="auto"/>
                    </w:rPr>
                    <w:t>NMHC</w:t>
                  </w:r>
                </w:p>
              </w:tc>
              <w:tc>
                <w:tcPr>
                  <w:tcW w:w="1753" w:type="pct"/>
                  <w:vAlign w:val="center"/>
                </w:tcPr>
                <w:p w14:paraId="3F267D26">
                  <w:pPr>
                    <w:pStyle w:val="54"/>
                    <w:rPr>
                      <w:color w:val="auto"/>
                    </w:rPr>
                  </w:pPr>
                  <w:r>
                    <w:rPr>
                      <w:rFonts w:hint="eastAsia"/>
                      <w:color w:val="auto"/>
                    </w:rPr>
                    <w:t>经负压风管收集后依托现有二级活性炭吸附装置处理后通过1根15m排气筒（DA002）排放</w:t>
                  </w:r>
                </w:p>
              </w:tc>
            </w:tr>
            <w:tr w14:paraId="12805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381" w:type="pct"/>
                  <w:vAlign w:val="center"/>
                </w:tcPr>
                <w:p w14:paraId="70239308">
                  <w:pPr>
                    <w:pStyle w:val="54"/>
                    <w:rPr>
                      <w:color w:val="auto"/>
                    </w:rPr>
                  </w:pPr>
                  <w:r>
                    <w:rPr>
                      <w:color w:val="auto"/>
                    </w:rPr>
                    <w:t>废水</w:t>
                  </w:r>
                </w:p>
              </w:tc>
              <w:tc>
                <w:tcPr>
                  <w:tcW w:w="825" w:type="pct"/>
                  <w:vAlign w:val="center"/>
                </w:tcPr>
                <w:p w14:paraId="328947E9">
                  <w:pPr>
                    <w:pStyle w:val="54"/>
                    <w:rPr>
                      <w:color w:val="auto"/>
                    </w:rPr>
                  </w:pPr>
                  <w:r>
                    <w:rPr>
                      <w:color w:val="auto"/>
                    </w:rPr>
                    <w:t>生活污水</w:t>
                  </w:r>
                  <w:r>
                    <w:rPr>
                      <w:rFonts w:hint="eastAsia"/>
                      <w:color w:val="auto"/>
                    </w:rPr>
                    <w:t>W</w:t>
                  </w:r>
                  <w:r>
                    <w:rPr>
                      <w:rFonts w:hint="eastAsia"/>
                      <w:color w:val="auto"/>
                      <w:vertAlign w:val="subscript"/>
                    </w:rPr>
                    <w:t>1</w:t>
                  </w:r>
                </w:p>
              </w:tc>
              <w:tc>
                <w:tcPr>
                  <w:tcW w:w="785" w:type="pct"/>
                  <w:vAlign w:val="center"/>
                </w:tcPr>
                <w:p w14:paraId="083E2158">
                  <w:pPr>
                    <w:pStyle w:val="54"/>
                    <w:rPr>
                      <w:color w:val="auto"/>
                    </w:rPr>
                  </w:pPr>
                  <w:r>
                    <w:rPr>
                      <w:color w:val="auto"/>
                    </w:rPr>
                    <w:t>职工生活</w:t>
                  </w:r>
                </w:p>
              </w:tc>
              <w:tc>
                <w:tcPr>
                  <w:tcW w:w="1254" w:type="pct"/>
                  <w:vAlign w:val="center"/>
                </w:tcPr>
                <w:p w14:paraId="5F1C38F4">
                  <w:pPr>
                    <w:pStyle w:val="54"/>
                    <w:rPr>
                      <w:color w:val="auto"/>
                    </w:rPr>
                  </w:pPr>
                  <w:r>
                    <w:rPr>
                      <w:color w:val="auto"/>
                    </w:rPr>
                    <w:t>pH、COD、SS、氨氮、</w:t>
                  </w:r>
                  <w:r>
                    <w:rPr>
                      <w:rFonts w:hint="eastAsia"/>
                      <w:color w:val="auto"/>
                    </w:rPr>
                    <w:t>TN</w:t>
                  </w:r>
                  <w:r>
                    <w:rPr>
                      <w:color w:val="auto"/>
                    </w:rPr>
                    <w:t>、</w:t>
                  </w:r>
                  <w:r>
                    <w:rPr>
                      <w:rFonts w:hint="eastAsia"/>
                      <w:color w:val="auto"/>
                    </w:rPr>
                    <w:t>TP、动植物油</w:t>
                  </w:r>
                </w:p>
              </w:tc>
              <w:tc>
                <w:tcPr>
                  <w:tcW w:w="1753" w:type="pct"/>
                  <w:vAlign w:val="center"/>
                </w:tcPr>
                <w:p w14:paraId="584A60A1">
                  <w:pPr>
                    <w:pStyle w:val="54"/>
                    <w:rPr>
                      <w:color w:val="auto"/>
                    </w:rPr>
                  </w:pPr>
                  <w:r>
                    <w:rPr>
                      <w:color w:val="auto"/>
                    </w:rPr>
                    <w:t>经</w:t>
                  </w:r>
                  <w:r>
                    <w:rPr>
                      <w:rFonts w:hint="eastAsia"/>
                      <w:color w:val="auto"/>
                    </w:rPr>
                    <w:t>厂区内化粪池</w:t>
                  </w:r>
                  <w:r>
                    <w:rPr>
                      <w:color w:val="auto"/>
                    </w:rPr>
                    <w:t>预处理后接管至</w:t>
                  </w:r>
                  <w:r>
                    <w:rPr>
                      <w:rFonts w:hint="eastAsia"/>
                      <w:color w:val="auto"/>
                    </w:rPr>
                    <w:t>王集镇污水处理厂集中处理</w:t>
                  </w:r>
                </w:p>
              </w:tc>
            </w:tr>
            <w:tr w14:paraId="6F5FBD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381" w:type="pct"/>
                  <w:vMerge w:val="restart"/>
                  <w:vAlign w:val="center"/>
                </w:tcPr>
                <w:p w14:paraId="42A0815A">
                  <w:pPr>
                    <w:pStyle w:val="54"/>
                    <w:rPr>
                      <w:color w:val="auto"/>
                    </w:rPr>
                  </w:pPr>
                  <w:r>
                    <w:rPr>
                      <w:color w:val="auto"/>
                    </w:rPr>
                    <w:t>固废</w:t>
                  </w:r>
                </w:p>
              </w:tc>
              <w:tc>
                <w:tcPr>
                  <w:tcW w:w="825" w:type="pct"/>
                  <w:vAlign w:val="center"/>
                </w:tcPr>
                <w:p w14:paraId="0A62A469">
                  <w:pPr>
                    <w:pStyle w:val="54"/>
                    <w:rPr>
                      <w:color w:val="auto"/>
                    </w:rPr>
                  </w:pPr>
                  <w:r>
                    <w:rPr>
                      <w:rFonts w:hint="eastAsia"/>
                      <w:color w:val="auto"/>
                    </w:rPr>
                    <w:t>炉渣S</w:t>
                  </w:r>
                  <w:r>
                    <w:rPr>
                      <w:rFonts w:hint="eastAsia"/>
                      <w:color w:val="auto"/>
                      <w:vertAlign w:val="subscript"/>
                    </w:rPr>
                    <w:t>1</w:t>
                  </w:r>
                  <w:r>
                    <w:rPr>
                      <w:rFonts w:hint="eastAsia"/>
                      <w:color w:val="auto"/>
                    </w:rPr>
                    <w:t>、S</w:t>
                  </w:r>
                  <w:r>
                    <w:rPr>
                      <w:rFonts w:hint="eastAsia"/>
                      <w:color w:val="auto"/>
                      <w:vertAlign w:val="subscript"/>
                    </w:rPr>
                    <w:t>2</w:t>
                  </w:r>
                </w:p>
              </w:tc>
              <w:tc>
                <w:tcPr>
                  <w:tcW w:w="785" w:type="pct"/>
                  <w:vAlign w:val="center"/>
                </w:tcPr>
                <w:p w14:paraId="1B5EC5E4">
                  <w:pPr>
                    <w:pStyle w:val="54"/>
                    <w:rPr>
                      <w:color w:val="auto"/>
                    </w:rPr>
                  </w:pPr>
                  <w:r>
                    <w:rPr>
                      <w:rFonts w:hint="eastAsia"/>
                      <w:color w:val="auto"/>
                    </w:rPr>
                    <w:t>熔化、保温</w:t>
                  </w:r>
                </w:p>
              </w:tc>
              <w:tc>
                <w:tcPr>
                  <w:tcW w:w="1254" w:type="pct"/>
                  <w:vAlign w:val="center"/>
                </w:tcPr>
                <w:p w14:paraId="7C014D66">
                  <w:pPr>
                    <w:pStyle w:val="54"/>
                    <w:rPr>
                      <w:color w:val="auto"/>
                    </w:rPr>
                  </w:pPr>
                  <w:r>
                    <w:rPr>
                      <w:rFonts w:hint="eastAsia"/>
                      <w:color w:val="auto"/>
                    </w:rPr>
                    <w:t>废渣</w:t>
                  </w:r>
                </w:p>
              </w:tc>
              <w:tc>
                <w:tcPr>
                  <w:tcW w:w="1753" w:type="pct"/>
                  <w:vMerge w:val="restart"/>
                  <w:vAlign w:val="center"/>
                </w:tcPr>
                <w:p w14:paraId="72C84C4D">
                  <w:pPr>
                    <w:pStyle w:val="54"/>
                    <w:rPr>
                      <w:color w:val="auto"/>
                    </w:rPr>
                  </w:pPr>
                  <w:r>
                    <w:rPr>
                      <w:color w:val="auto"/>
                    </w:rPr>
                    <w:t>暂存一般固废库，</w:t>
                  </w:r>
                  <w:r>
                    <w:rPr>
                      <w:rFonts w:hint="eastAsia"/>
                      <w:color w:val="auto"/>
                    </w:rPr>
                    <w:t>定期</w:t>
                  </w:r>
                  <w:r>
                    <w:rPr>
                      <w:color w:val="auto"/>
                    </w:rPr>
                    <w:t>外售综合利用</w:t>
                  </w:r>
                </w:p>
              </w:tc>
            </w:tr>
            <w:tr w14:paraId="27854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381" w:type="pct"/>
                  <w:vMerge w:val="continue"/>
                  <w:vAlign w:val="center"/>
                </w:tcPr>
                <w:p w14:paraId="163799C2">
                  <w:pPr>
                    <w:pStyle w:val="54"/>
                    <w:rPr>
                      <w:color w:val="auto"/>
                    </w:rPr>
                  </w:pPr>
                </w:p>
              </w:tc>
              <w:tc>
                <w:tcPr>
                  <w:tcW w:w="825" w:type="pct"/>
                  <w:vAlign w:val="center"/>
                </w:tcPr>
                <w:p w14:paraId="61710F20">
                  <w:pPr>
                    <w:pStyle w:val="54"/>
                    <w:rPr>
                      <w:color w:val="auto"/>
                    </w:rPr>
                  </w:pPr>
                  <w:r>
                    <w:rPr>
                      <w:rFonts w:hint="eastAsia"/>
                      <w:color w:val="auto"/>
                    </w:rPr>
                    <w:t>除尘灰S</w:t>
                  </w:r>
                  <w:r>
                    <w:rPr>
                      <w:rFonts w:hint="eastAsia"/>
                      <w:color w:val="auto"/>
                      <w:vertAlign w:val="subscript"/>
                    </w:rPr>
                    <w:t>3</w:t>
                  </w:r>
                </w:p>
              </w:tc>
              <w:tc>
                <w:tcPr>
                  <w:tcW w:w="785" w:type="pct"/>
                  <w:vMerge w:val="restart"/>
                  <w:vAlign w:val="center"/>
                </w:tcPr>
                <w:p w14:paraId="4B6B9768">
                  <w:pPr>
                    <w:pStyle w:val="54"/>
                    <w:rPr>
                      <w:color w:val="auto"/>
                    </w:rPr>
                  </w:pPr>
                  <w:r>
                    <w:rPr>
                      <w:rFonts w:hint="eastAsia"/>
                      <w:color w:val="auto"/>
                    </w:rPr>
                    <w:t>废气处理</w:t>
                  </w:r>
                </w:p>
              </w:tc>
              <w:tc>
                <w:tcPr>
                  <w:tcW w:w="1254" w:type="pct"/>
                  <w:vAlign w:val="center"/>
                </w:tcPr>
                <w:p w14:paraId="5D3AAB01">
                  <w:pPr>
                    <w:pStyle w:val="54"/>
                    <w:rPr>
                      <w:color w:val="auto"/>
                    </w:rPr>
                  </w:pPr>
                  <w:r>
                    <w:rPr>
                      <w:rFonts w:hint="eastAsia"/>
                      <w:color w:val="auto"/>
                    </w:rPr>
                    <w:t>颗粒物</w:t>
                  </w:r>
                </w:p>
              </w:tc>
              <w:tc>
                <w:tcPr>
                  <w:tcW w:w="1753" w:type="pct"/>
                  <w:vMerge w:val="continue"/>
                  <w:vAlign w:val="center"/>
                </w:tcPr>
                <w:p w14:paraId="70579D24">
                  <w:pPr>
                    <w:pStyle w:val="54"/>
                    <w:rPr>
                      <w:color w:val="auto"/>
                    </w:rPr>
                  </w:pPr>
                </w:p>
              </w:tc>
            </w:tr>
            <w:tr w14:paraId="3E888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381" w:type="pct"/>
                  <w:vMerge w:val="continue"/>
                  <w:vAlign w:val="center"/>
                </w:tcPr>
                <w:p w14:paraId="2486F140">
                  <w:pPr>
                    <w:pStyle w:val="54"/>
                    <w:rPr>
                      <w:color w:val="auto"/>
                    </w:rPr>
                  </w:pPr>
                </w:p>
              </w:tc>
              <w:tc>
                <w:tcPr>
                  <w:tcW w:w="825" w:type="pct"/>
                  <w:vAlign w:val="center"/>
                </w:tcPr>
                <w:p w14:paraId="6F5F9D4E">
                  <w:pPr>
                    <w:pStyle w:val="54"/>
                    <w:rPr>
                      <w:color w:val="auto"/>
                    </w:rPr>
                  </w:pPr>
                  <w:r>
                    <w:rPr>
                      <w:rFonts w:hint="eastAsia"/>
                      <w:color w:val="auto"/>
                    </w:rPr>
                    <w:t>废布袋S</w:t>
                  </w:r>
                  <w:r>
                    <w:rPr>
                      <w:rFonts w:hint="eastAsia"/>
                      <w:color w:val="auto"/>
                      <w:vertAlign w:val="subscript"/>
                    </w:rPr>
                    <w:t>4</w:t>
                  </w:r>
                </w:p>
              </w:tc>
              <w:tc>
                <w:tcPr>
                  <w:tcW w:w="785" w:type="pct"/>
                  <w:vMerge w:val="continue"/>
                  <w:vAlign w:val="center"/>
                </w:tcPr>
                <w:p w14:paraId="005249C3">
                  <w:pPr>
                    <w:pStyle w:val="54"/>
                    <w:rPr>
                      <w:color w:val="auto"/>
                    </w:rPr>
                  </w:pPr>
                </w:p>
              </w:tc>
              <w:tc>
                <w:tcPr>
                  <w:tcW w:w="1254" w:type="pct"/>
                  <w:vAlign w:val="center"/>
                </w:tcPr>
                <w:p w14:paraId="111EAABE">
                  <w:pPr>
                    <w:pStyle w:val="54"/>
                    <w:rPr>
                      <w:color w:val="auto"/>
                    </w:rPr>
                  </w:pPr>
                  <w:r>
                    <w:rPr>
                      <w:rFonts w:hint="eastAsia"/>
                      <w:color w:val="auto"/>
                    </w:rPr>
                    <w:t>颗粒物、布袋</w:t>
                  </w:r>
                </w:p>
              </w:tc>
              <w:tc>
                <w:tcPr>
                  <w:tcW w:w="1753" w:type="pct"/>
                  <w:vMerge w:val="continue"/>
                  <w:vAlign w:val="center"/>
                </w:tcPr>
                <w:p w14:paraId="20E2CDEA">
                  <w:pPr>
                    <w:pStyle w:val="54"/>
                    <w:rPr>
                      <w:color w:val="auto"/>
                    </w:rPr>
                  </w:pPr>
                </w:p>
              </w:tc>
            </w:tr>
            <w:tr w14:paraId="57309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tblHeader/>
                <w:jc w:val="center"/>
              </w:trPr>
              <w:tc>
                <w:tcPr>
                  <w:tcW w:w="381" w:type="pct"/>
                  <w:vMerge w:val="continue"/>
                  <w:vAlign w:val="center"/>
                </w:tcPr>
                <w:p w14:paraId="1A612FC5">
                  <w:pPr>
                    <w:pStyle w:val="54"/>
                    <w:rPr>
                      <w:color w:val="auto"/>
                    </w:rPr>
                  </w:pPr>
                </w:p>
              </w:tc>
              <w:tc>
                <w:tcPr>
                  <w:tcW w:w="825" w:type="pct"/>
                  <w:vAlign w:val="center"/>
                </w:tcPr>
                <w:p w14:paraId="04A94E77">
                  <w:pPr>
                    <w:pStyle w:val="54"/>
                    <w:rPr>
                      <w:color w:val="auto"/>
                    </w:rPr>
                  </w:pPr>
                  <w:r>
                    <w:rPr>
                      <w:rFonts w:hint="eastAsia"/>
                      <w:color w:val="auto"/>
                    </w:rPr>
                    <w:t>废液压油S</w:t>
                  </w:r>
                  <w:r>
                    <w:rPr>
                      <w:rFonts w:hint="eastAsia"/>
                      <w:color w:val="auto"/>
                      <w:vertAlign w:val="subscript"/>
                    </w:rPr>
                    <w:t>5</w:t>
                  </w:r>
                </w:p>
              </w:tc>
              <w:tc>
                <w:tcPr>
                  <w:tcW w:w="785" w:type="pct"/>
                  <w:vMerge w:val="restart"/>
                  <w:vAlign w:val="center"/>
                </w:tcPr>
                <w:p w14:paraId="357656EB">
                  <w:pPr>
                    <w:pStyle w:val="54"/>
                    <w:rPr>
                      <w:color w:val="auto"/>
                    </w:rPr>
                  </w:pPr>
                  <w:r>
                    <w:rPr>
                      <w:rFonts w:hint="eastAsia"/>
                      <w:color w:val="auto"/>
                    </w:rPr>
                    <w:t>设备维护</w:t>
                  </w:r>
                </w:p>
                <w:p w14:paraId="2D59661B">
                  <w:pPr>
                    <w:pStyle w:val="54"/>
                    <w:rPr>
                      <w:color w:val="auto"/>
                    </w:rPr>
                  </w:pPr>
                  <w:r>
                    <w:rPr>
                      <w:rFonts w:hint="eastAsia"/>
                      <w:color w:val="auto"/>
                    </w:rPr>
                    <w:t>保养</w:t>
                  </w:r>
                </w:p>
              </w:tc>
              <w:tc>
                <w:tcPr>
                  <w:tcW w:w="1254" w:type="pct"/>
                  <w:vAlign w:val="center"/>
                </w:tcPr>
                <w:p w14:paraId="0DC78993">
                  <w:pPr>
                    <w:pStyle w:val="54"/>
                    <w:rPr>
                      <w:color w:val="auto"/>
                    </w:rPr>
                  </w:pPr>
                  <w:r>
                    <w:rPr>
                      <w:rFonts w:hint="eastAsia"/>
                      <w:color w:val="auto"/>
                    </w:rPr>
                    <w:t>矿物油</w:t>
                  </w:r>
                </w:p>
              </w:tc>
              <w:tc>
                <w:tcPr>
                  <w:tcW w:w="1753" w:type="pct"/>
                  <w:vMerge w:val="restart"/>
                  <w:vAlign w:val="center"/>
                </w:tcPr>
                <w:p w14:paraId="5F7E8F78">
                  <w:pPr>
                    <w:pStyle w:val="54"/>
                    <w:rPr>
                      <w:color w:val="auto"/>
                    </w:rPr>
                  </w:pPr>
                  <w:r>
                    <w:rPr>
                      <w:rFonts w:hint="eastAsia"/>
                      <w:color w:val="auto"/>
                    </w:rPr>
                    <w:t>暂存危废库，定期委托有资质单位处置</w:t>
                  </w:r>
                </w:p>
              </w:tc>
            </w:tr>
            <w:tr w14:paraId="4263F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381" w:type="pct"/>
                  <w:vMerge w:val="continue"/>
                  <w:vAlign w:val="center"/>
                </w:tcPr>
                <w:p w14:paraId="2B96B164">
                  <w:pPr>
                    <w:pStyle w:val="54"/>
                    <w:rPr>
                      <w:color w:val="auto"/>
                    </w:rPr>
                  </w:pPr>
                </w:p>
              </w:tc>
              <w:tc>
                <w:tcPr>
                  <w:tcW w:w="825" w:type="pct"/>
                  <w:vAlign w:val="center"/>
                </w:tcPr>
                <w:p w14:paraId="540F9428">
                  <w:pPr>
                    <w:pStyle w:val="54"/>
                    <w:rPr>
                      <w:color w:val="auto"/>
                    </w:rPr>
                  </w:pPr>
                  <w:r>
                    <w:rPr>
                      <w:rFonts w:hint="eastAsia"/>
                      <w:color w:val="auto"/>
                    </w:rPr>
                    <w:t>废包装桶S</w:t>
                  </w:r>
                  <w:r>
                    <w:rPr>
                      <w:rFonts w:hint="eastAsia"/>
                      <w:color w:val="auto"/>
                      <w:vertAlign w:val="subscript"/>
                    </w:rPr>
                    <w:t>6</w:t>
                  </w:r>
                </w:p>
              </w:tc>
              <w:tc>
                <w:tcPr>
                  <w:tcW w:w="785" w:type="pct"/>
                  <w:vMerge w:val="continue"/>
                  <w:vAlign w:val="center"/>
                </w:tcPr>
                <w:p w14:paraId="7F71D306">
                  <w:pPr>
                    <w:pStyle w:val="54"/>
                    <w:rPr>
                      <w:color w:val="auto"/>
                    </w:rPr>
                  </w:pPr>
                </w:p>
              </w:tc>
              <w:tc>
                <w:tcPr>
                  <w:tcW w:w="1254" w:type="pct"/>
                  <w:vAlign w:val="center"/>
                </w:tcPr>
                <w:p w14:paraId="4712871E">
                  <w:pPr>
                    <w:pStyle w:val="54"/>
                    <w:rPr>
                      <w:color w:val="auto"/>
                    </w:rPr>
                  </w:pPr>
                  <w:r>
                    <w:rPr>
                      <w:rFonts w:hint="eastAsia"/>
                      <w:color w:val="auto"/>
                    </w:rPr>
                    <w:t>矿物油</w:t>
                  </w:r>
                </w:p>
              </w:tc>
              <w:tc>
                <w:tcPr>
                  <w:tcW w:w="1753" w:type="pct"/>
                  <w:vMerge w:val="continue"/>
                  <w:vAlign w:val="center"/>
                </w:tcPr>
                <w:p w14:paraId="3A0F8763">
                  <w:pPr>
                    <w:pStyle w:val="54"/>
                    <w:rPr>
                      <w:color w:val="auto"/>
                    </w:rPr>
                  </w:pPr>
                </w:p>
              </w:tc>
            </w:tr>
            <w:tr w14:paraId="585275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381" w:type="pct"/>
                  <w:vMerge w:val="continue"/>
                  <w:vAlign w:val="center"/>
                </w:tcPr>
                <w:p w14:paraId="376488D8">
                  <w:pPr>
                    <w:pStyle w:val="54"/>
                    <w:rPr>
                      <w:color w:val="auto"/>
                    </w:rPr>
                  </w:pPr>
                </w:p>
              </w:tc>
              <w:tc>
                <w:tcPr>
                  <w:tcW w:w="825" w:type="pct"/>
                  <w:vAlign w:val="center"/>
                </w:tcPr>
                <w:p w14:paraId="1BA20BD9">
                  <w:pPr>
                    <w:pStyle w:val="54"/>
                    <w:rPr>
                      <w:color w:val="auto"/>
                    </w:rPr>
                  </w:pPr>
                  <w:r>
                    <w:rPr>
                      <w:rFonts w:hint="eastAsia"/>
                      <w:color w:val="auto"/>
                    </w:rPr>
                    <w:t>生活垃圾S</w:t>
                  </w:r>
                  <w:r>
                    <w:rPr>
                      <w:rFonts w:hint="eastAsia"/>
                      <w:color w:val="auto"/>
                      <w:vertAlign w:val="subscript"/>
                    </w:rPr>
                    <w:t>7</w:t>
                  </w:r>
                </w:p>
              </w:tc>
              <w:tc>
                <w:tcPr>
                  <w:tcW w:w="785" w:type="pct"/>
                  <w:vAlign w:val="center"/>
                </w:tcPr>
                <w:p w14:paraId="16257DC1">
                  <w:pPr>
                    <w:pStyle w:val="54"/>
                    <w:rPr>
                      <w:color w:val="auto"/>
                    </w:rPr>
                  </w:pPr>
                  <w:r>
                    <w:rPr>
                      <w:rFonts w:hint="eastAsia"/>
                      <w:color w:val="auto"/>
                    </w:rPr>
                    <w:t>职工生活</w:t>
                  </w:r>
                </w:p>
              </w:tc>
              <w:tc>
                <w:tcPr>
                  <w:tcW w:w="1254" w:type="pct"/>
                  <w:vAlign w:val="center"/>
                </w:tcPr>
                <w:p w14:paraId="08FA677F">
                  <w:pPr>
                    <w:pStyle w:val="54"/>
                    <w:rPr>
                      <w:color w:val="auto"/>
                    </w:rPr>
                  </w:pPr>
                  <w:r>
                    <w:rPr>
                      <w:rFonts w:hint="eastAsia"/>
                      <w:color w:val="auto"/>
                    </w:rPr>
                    <w:t>废纸、废塑料等</w:t>
                  </w:r>
                </w:p>
              </w:tc>
              <w:tc>
                <w:tcPr>
                  <w:tcW w:w="1753" w:type="pct"/>
                  <w:vAlign w:val="center"/>
                </w:tcPr>
                <w:p w14:paraId="209748BB">
                  <w:pPr>
                    <w:pStyle w:val="54"/>
                    <w:rPr>
                      <w:color w:val="auto"/>
                    </w:rPr>
                  </w:pPr>
                  <w:r>
                    <w:rPr>
                      <w:rFonts w:hint="eastAsia"/>
                      <w:color w:val="auto"/>
                    </w:rPr>
                    <w:t>厂区内垃圾箱收集，由环卫部门统一清运处理</w:t>
                  </w:r>
                </w:p>
              </w:tc>
            </w:tr>
            <w:tr w14:paraId="7C437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381" w:type="pct"/>
                  <w:vAlign w:val="center"/>
                </w:tcPr>
                <w:p w14:paraId="1DE3663D">
                  <w:pPr>
                    <w:pStyle w:val="54"/>
                    <w:rPr>
                      <w:color w:val="auto"/>
                    </w:rPr>
                  </w:pPr>
                  <w:r>
                    <w:rPr>
                      <w:color w:val="auto"/>
                    </w:rPr>
                    <w:t>噪声</w:t>
                  </w:r>
                </w:p>
              </w:tc>
              <w:tc>
                <w:tcPr>
                  <w:tcW w:w="825" w:type="pct"/>
                  <w:vAlign w:val="center"/>
                </w:tcPr>
                <w:p w14:paraId="46799A9B">
                  <w:pPr>
                    <w:pStyle w:val="54"/>
                    <w:rPr>
                      <w:color w:val="auto"/>
                    </w:rPr>
                  </w:pPr>
                  <w:r>
                    <w:rPr>
                      <w:rFonts w:hint="eastAsia"/>
                      <w:color w:val="auto"/>
                    </w:rPr>
                    <w:t>设备噪声</w:t>
                  </w:r>
                </w:p>
              </w:tc>
              <w:tc>
                <w:tcPr>
                  <w:tcW w:w="785" w:type="pct"/>
                  <w:vAlign w:val="center"/>
                </w:tcPr>
                <w:p w14:paraId="56D22949">
                  <w:pPr>
                    <w:pStyle w:val="54"/>
                    <w:rPr>
                      <w:color w:val="auto"/>
                    </w:rPr>
                  </w:pPr>
                  <w:r>
                    <w:rPr>
                      <w:rFonts w:hint="eastAsia"/>
                      <w:color w:val="auto"/>
                    </w:rPr>
                    <w:t>生产设备、风机等运行</w:t>
                  </w:r>
                </w:p>
              </w:tc>
              <w:tc>
                <w:tcPr>
                  <w:tcW w:w="1254" w:type="pct"/>
                  <w:vAlign w:val="center"/>
                </w:tcPr>
                <w:p w14:paraId="3BF8AC7B">
                  <w:pPr>
                    <w:pStyle w:val="54"/>
                    <w:rPr>
                      <w:color w:val="auto"/>
                    </w:rPr>
                  </w:pPr>
                  <w:r>
                    <w:rPr>
                      <w:color w:val="auto"/>
                    </w:rPr>
                    <w:t>等效连续A声级</w:t>
                  </w:r>
                </w:p>
              </w:tc>
              <w:tc>
                <w:tcPr>
                  <w:tcW w:w="1753" w:type="pct"/>
                  <w:vAlign w:val="center"/>
                </w:tcPr>
                <w:p w14:paraId="56858E95">
                  <w:pPr>
                    <w:pStyle w:val="54"/>
                    <w:rPr>
                      <w:color w:val="auto"/>
                    </w:rPr>
                  </w:pPr>
                  <w:r>
                    <w:rPr>
                      <w:rFonts w:hint="eastAsia"/>
                      <w:color w:val="auto"/>
                    </w:rPr>
                    <w:t>选用</w:t>
                  </w:r>
                  <w:r>
                    <w:rPr>
                      <w:color w:val="auto"/>
                    </w:rPr>
                    <w:t>低噪声设备、基础减震、厂房</w:t>
                  </w:r>
                  <w:r>
                    <w:rPr>
                      <w:rFonts w:hint="eastAsia"/>
                      <w:color w:val="auto"/>
                    </w:rPr>
                    <w:t>隔声</w:t>
                  </w:r>
                  <w:r>
                    <w:rPr>
                      <w:color w:val="auto"/>
                    </w:rPr>
                    <w:t>、距离衰减</w:t>
                  </w:r>
                  <w:r>
                    <w:rPr>
                      <w:rFonts w:hint="eastAsia"/>
                      <w:color w:val="auto"/>
                    </w:rPr>
                    <w:t>等</w:t>
                  </w:r>
                </w:p>
              </w:tc>
            </w:tr>
          </w:tbl>
          <w:p w14:paraId="2A2DA0C0">
            <w:pPr>
              <w:pStyle w:val="9"/>
              <w:rPr>
                <w:color w:val="auto"/>
              </w:rPr>
            </w:pPr>
          </w:p>
        </w:tc>
      </w:tr>
      <w:tr w14:paraId="65ED36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865" w:type="dxa"/>
            <w:vAlign w:val="center"/>
          </w:tcPr>
          <w:p w14:paraId="03678006">
            <w:pPr>
              <w:jc w:val="center"/>
              <w:rPr>
                <w:color w:val="auto"/>
              </w:rPr>
            </w:pPr>
            <w:r>
              <w:rPr>
                <w:rFonts w:eastAsiaTheme="minorEastAsia"/>
                <w:color w:val="auto"/>
                <w:sz w:val="24"/>
              </w:rPr>
              <w:t>与项目有关的原有环境污染问题</w:t>
            </w:r>
          </w:p>
        </w:tc>
        <w:tc>
          <w:tcPr>
            <w:tcW w:w="8659" w:type="dxa"/>
          </w:tcPr>
          <w:p w14:paraId="74AA05D9">
            <w:pPr>
              <w:pStyle w:val="50"/>
              <w:ind w:firstLine="482"/>
              <w:rPr>
                <w:b/>
                <w:bCs/>
                <w:color w:val="auto"/>
              </w:rPr>
            </w:pPr>
            <w:r>
              <w:rPr>
                <w:rFonts w:hint="eastAsia"/>
                <w:b/>
                <w:bCs/>
                <w:color w:val="auto"/>
              </w:rPr>
              <w:t>1、</w:t>
            </w:r>
            <w:r>
              <w:rPr>
                <w:b/>
                <w:bCs/>
                <w:color w:val="auto"/>
              </w:rPr>
              <w:t>年产10万吨低氧铜杆项目</w:t>
            </w:r>
          </w:p>
          <w:p w14:paraId="6CD66DBD">
            <w:pPr>
              <w:pStyle w:val="50"/>
              <w:ind w:firstLine="482"/>
              <w:rPr>
                <w:b/>
                <w:bCs/>
                <w:color w:val="auto"/>
              </w:rPr>
            </w:pPr>
            <w:r>
              <w:rPr>
                <w:rFonts w:hint="eastAsia"/>
                <w:b/>
                <w:bCs/>
                <w:color w:val="auto"/>
              </w:rPr>
              <w:t>（1）现有项目概况</w:t>
            </w:r>
          </w:p>
          <w:p w14:paraId="1C826D7B">
            <w:pPr>
              <w:pStyle w:val="50"/>
              <w:ind w:firstLine="480"/>
              <w:rPr>
                <w:rFonts w:eastAsiaTheme="minorEastAsia"/>
                <w:color w:val="auto"/>
              </w:rPr>
            </w:pPr>
            <w:r>
              <w:rPr>
                <w:rFonts w:hint="eastAsia"/>
                <w:color w:val="auto"/>
              </w:rPr>
              <w:t>江苏恒轩新材料科技有限公司成立于2024年5月15日，新建</w:t>
            </w:r>
            <w:r>
              <w:rPr>
                <w:color w:val="auto"/>
              </w:rPr>
              <w:t>年产10万吨低氧铜杆项目位于</w:t>
            </w:r>
            <w:r>
              <w:rPr>
                <w:rFonts w:hint="eastAsia"/>
                <w:color w:val="auto"/>
              </w:rPr>
              <w:t>宿迁市</w:t>
            </w:r>
            <w:r>
              <w:rPr>
                <w:color w:val="auto"/>
              </w:rPr>
              <w:t>泗阳县王集镇发展大道东路8号</w:t>
            </w:r>
            <w:r>
              <w:rPr>
                <w:rFonts w:hint="eastAsia"/>
                <w:color w:val="auto"/>
              </w:rPr>
              <w:t>，于2024年8月22日获得《关于对江苏恒轩新材料科技有限公司年产10万吨低氧铜杆项目环境影响报告表的批复》（宿环建表管〔2024〕20104号），于2024年8月开始建设，于2025年7月完成建设并投产，于2025年7月18日完成竣工环境保护验收，现正常运行中。</w:t>
            </w:r>
            <w:r>
              <w:rPr>
                <w:rFonts w:hint="eastAsia" w:eastAsiaTheme="minorEastAsia"/>
                <w:color w:val="auto"/>
              </w:rPr>
              <w:t>项目环保审批情况见</w:t>
            </w:r>
            <w:r>
              <w:rPr>
                <w:rFonts w:hint="eastAsia" w:eastAsiaTheme="minorEastAsia"/>
                <w:color w:val="auto"/>
              </w:rPr>
              <w:fldChar w:fldCharType="begin"/>
            </w:r>
            <w:r>
              <w:rPr>
                <w:rFonts w:hint="eastAsia" w:eastAsiaTheme="minorEastAsia"/>
                <w:color w:val="auto"/>
              </w:rPr>
              <w:instrText xml:space="preserve"> REF _Ref10844 \h </w:instrText>
            </w:r>
            <w:r>
              <w:rPr>
                <w:rFonts w:hint="eastAsia" w:eastAsiaTheme="minorEastAsia"/>
                <w:color w:val="auto"/>
              </w:rPr>
              <w:fldChar w:fldCharType="separate"/>
            </w:r>
            <w:r>
              <w:rPr>
                <w:color w:val="auto"/>
              </w:rPr>
              <w:t>表2- 9</w:t>
            </w:r>
            <w:r>
              <w:rPr>
                <w:rFonts w:hint="eastAsia" w:eastAsiaTheme="minorEastAsia"/>
                <w:color w:val="auto"/>
              </w:rPr>
              <w:fldChar w:fldCharType="end"/>
            </w:r>
            <w:r>
              <w:rPr>
                <w:rFonts w:hint="eastAsia" w:eastAsiaTheme="minorEastAsia"/>
                <w:color w:val="auto"/>
              </w:rPr>
              <w:t>。</w:t>
            </w:r>
          </w:p>
          <w:p w14:paraId="692AC126">
            <w:pPr>
              <w:pStyle w:val="7"/>
              <w:rPr>
                <w:rFonts w:hint="eastAsia" w:eastAsiaTheme="minorEastAsia"/>
                <w:color w:val="auto"/>
                <w:szCs w:val="21"/>
              </w:rPr>
            </w:pPr>
            <w:bookmarkStart w:id="45" w:name="_Ref10844"/>
            <w:r>
              <w:rPr>
                <w:color w:val="auto"/>
              </w:rPr>
              <w:t xml:space="preserve">表2- </w:t>
            </w:r>
            <w:r>
              <w:rPr>
                <w:color w:val="auto"/>
              </w:rPr>
              <w:fldChar w:fldCharType="begin"/>
            </w:r>
            <w:r>
              <w:rPr>
                <w:color w:val="auto"/>
              </w:rPr>
              <w:instrText xml:space="preserve"> SEQ 表2- \* ARABIC </w:instrText>
            </w:r>
            <w:r>
              <w:rPr>
                <w:color w:val="auto"/>
              </w:rPr>
              <w:fldChar w:fldCharType="separate"/>
            </w:r>
            <w:r>
              <w:rPr>
                <w:color w:val="auto"/>
              </w:rPr>
              <w:t>9</w:t>
            </w:r>
            <w:r>
              <w:rPr>
                <w:color w:val="auto"/>
              </w:rPr>
              <w:fldChar w:fldCharType="end"/>
            </w:r>
            <w:bookmarkEnd w:id="45"/>
            <w:r>
              <w:rPr>
                <w:rFonts w:hint="eastAsia"/>
                <w:color w:val="auto"/>
              </w:rPr>
              <w:t xml:space="preserve"> </w:t>
            </w:r>
            <w:r>
              <w:rPr>
                <w:color w:val="auto"/>
              </w:rPr>
              <w:t>年产10万吨低氧铜杆项目</w:t>
            </w:r>
            <w:r>
              <w:rPr>
                <w:rFonts w:hint="eastAsia" w:eastAsiaTheme="minorEastAsia"/>
                <w:color w:val="auto"/>
                <w:szCs w:val="21"/>
              </w:rPr>
              <w:t>环保审批情况</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1122"/>
              <w:gridCol w:w="6661"/>
            </w:tblGrid>
            <w:tr w14:paraId="14FBD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650" w:type="dxa"/>
                  <w:tcBorders>
                    <w:tl2br w:val="nil"/>
                    <w:tr2bl w:val="nil"/>
                  </w:tcBorders>
                  <w:vAlign w:val="center"/>
                </w:tcPr>
                <w:p w14:paraId="3937E504">
                  <w:pPr>
                    <w:pStyle w:val="52"/>
                    <w:rPr>
                      <w:color w:val="auto"/>
                    </w:rPr>
                  </w:pPr>
                  <w:r>
                    <w:rPr>
                      <w:color w:val="auto"/>
                    </w:rPr>
                    <w:t>序号</w:t>
                  </w:r>
                </w:p>
              </w:tc>
              <w:tc>
                <w:tcPr>
                  <w:tcW w:w="1122" w:type="dxa"/>
                  <w:tcBorders>
                    <w:tl2br w:val="nil"/>
                    <w:tr2bl w:val="nil"/>
                  </w:tcBorders>
                  <w:vAlign w:val="center"/>
                </w:tcPr>
                <w:p w14:paraId="6E33AE08">
                  <w:pPr>
                    <w:pStyle w:val="52"/>
                    <w:rPr>
                      <w:color w:val="auto"/>
                    </w:rPr>
                  </w:pPr>
                  <w:r>
                    <w:rPr>
                      <w:color w:val="auto"/>
                    </w:rPr>
                    <w:t>项目</w:t>
                  </w:r>
                </w:p>
              </w:tc>
              <w:tc>
                <w:tcPr>
                  <w:tcW w:w="6661" w:type="dxa"/>
                  <w:tcBorders>
                    <w:tl2br w:val="nil"/>
                    <w:tr2bl w:val="nil"/>
                  </w:tcBorders>
                  <w:vAlign w:val="center"/>
                </w:tcPr>
                <w:p w14:paraId="769FAC80">
                  <w:pPr>
                    <w:pStyle w:val="52"/>
                    <w:rPr>
                      <w:color w:val="auto"/>
                    </w:rPr>
                  </w:pPr>
                  <w:r>
                    <w:rPr>
                      <w:color w:val="auto"/>
                    </w:rPr>
                    <w:t>执行情况</w:t>
                  </w:r>
                </w:p>
              </w:tc>
            </w:tr>
            <w:tr w14:paraId="71AAE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0" w:type="dxa"/>
                  <w:tcBorders>
                    <w:tl2br w:val="nil"/>
                    <w:tr2bl w:val="nil"/>
                  </w:tcBorders>
                  <w:vAlign w:val="center"/>
                </w:tcPr>
                <w:p w14:paraId="3B699ADA">
                  <w:pPr>
                    <w:pStyle w:val="54"/>
                    <w:rPr>
                      <w:color w:val="auto"/>
                    </w:rPr>
                  </w:pPr>
                  <w:r>
                    <w:rPr>
                      <w:color w:val="auto"/>
                    </w:rPr>
                    <w:t>1</w:t>
                  </w:r>
                </w:p>
              </w:tc>
              <w:tc>
                <w:tcPr>
                  <w:tcW w:w="1122" w:type="dxa"/>
                  <w:tcBorders>
                    <w:tl2br w:val="nil"/>
                    <w:tr2bl w:val="nil"/>
                  </w:tcBorders>
                  <w:vAlign w:val="center"/>
                </w:tcPr>
                <w:p w14:paraId="10C8A496">
                  <w:pPr>
                    <w:pStyle w:val="54"/>
                    <w:rPr>
                      <w:color w:val="auto"/>
                    </w:rPr>
                  </w:pPr>
                  <w:r>
                    <w:rPr>
                      <w:color w:val="auto"/>
                    </w:rPr>
                    <w:t>项目名称</w:t>
                  </w:r>
                </w:p>
              </w:tc>
              <w:tc>
                <w:tcPr>
                  <w:tcW w:w="6661" w:type="dxa"/>
                  <w:tcBorders>
                    <w:tl2br w:val="nil"/>
                    <w:tr2bl w:val="nil"/>
                  </w:tcBorders>
                  <w:vAlign w:val="center"/>
                </w:tcPr>
                <w:p w14:paraId="1BC2C2AD">
                  <w:pPr>
                    <w:pStyle w:val="54"/>
                    <w:rPr>
                      <w:color w:val="auto"/>
                    </w:rPr>
                  </w:pPr>
                  <w:r>
                    <w:rPr>
                      <w:color w:val="auto"/>
                    </w:rPr>
                    <w:t>年产10万吨低氧铜杆项目</w:t>
                  </w:r>
                </w:p>
              </w:tc>
            </w:tr>
            <w:tr w14:paraId="63E3C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0" w:type="dxa"/>
                  <w:tcBorders>
                    <w:tl2br w:val="nil"/>
                    <w:tr2bl w:val="nil"/>
                  </w:tcBorders>
                  <w:vAlign w:val="center"/>
                </w:tcPr>
                <w:p w14:paraId="41F2BE85">
                  <w:pPr>
                    <w:pStyle w:val="54"/>
                    <w:rPr>
                      <w:color w:val="auto"/>
                    </w:rPr>
                  </w:pPr>
                  <w:r>
                    <w:rPr>
                      <w:color w:val="auto"/>
                    </w:rPr>
                    <w:t>2</w:t>
                  </w:r>
                </w:p>
              </w:tc>
              <w:tc>
                <w:tcPr>
                  <w:tcW w:w="1122" w:type="dxa"/>
                  <w:tcBorders>
                    <w:tl2br w:val="nil"/>
                    <w:tr2bl w:val="nil"/>
                  </w:tcBorders>
                  <w:vAlign w:val="center"/>
                </w:tcPr>
                <w:p w14:paraId="55FC6D5C">
                  <w:pPr>
                    <w:pStyle w:val="54"/>
                    <w:rPr>
                      <w:color w:val="auto"/>
                    </w:rPr>
                  </w:pPr>
                  <w:r>
                    <w:rPr>
                      <w:color w:val="auto"/>
                    </w:rPr>
                    <w:t>立项</w:t>
                  </w:r>
                </w:p>
              </w:tc>
              <w:tc>
                <w:tcPr>
                  <w:tcW w:w="6661" w:type="dxa"/>
                  <w:tcBorders>
                    <w:tl2br w:val="nil"/>
                    <w:tr2bl w:val="nil"/>
                  </w:tcBorders>
                  <w:vAlign w:val="center"/>
                </w:tcPr>
                <w:p w14:paraId="404F26E6">
                  <w:pPr>
                    <w:pStyle w:val="54"/>
                    <w:rPr>
                      <w:color w:val="auto"/>
                    </w:rPr>
                  </w:pPr>
                  <w:r>
                    <w:rPr>
                      <w:color w:val="auto"/>
                    </w:rPr>
                    <w:t>202</w:t>
                  </w:r>
                  <w:r>
                    <w:rPr>
                      <w:rFonts w:hint="eastAsia"/>
                      <w:color w:val="auto"/>
                    </w:rPr>
                    <w:t>4</w:t>
                  </w:r>
                  <w:r>
                    <w:rPr>
                      <w:color w:val="auto"/>
                    </w:rPr>
                    <w:t>年</w:t>
                  </w:r>
                  <w:r>
                    <w:rPr>
                      <w:rFonts w:hint="eastAsia"/>
                      <w:color w:val="auto"/>
                    </w:rPr>
                    <w:t>5</w:t>
                  </w:r>
                  <w:r>
                    <w:rPr>
                      <w:color w:val="auto"/>
                    </w:rPr>
                    <w:t>月</w:t>
                  </w:r>
                  <w:r>
                    <w:rPr>
                      <w:rFonts w:hint="eastAsia"/>
                      <w:color w:val="auto"/>
                    </w:rPr>
                    <w:t>2</w:t>
                  </w:r>
                  <w:r>
                    <w:rPr>
                      <w:color w:val="auto"/>
                    </w:rPr>
                    <w:t>日获得泗阳县行政审批局出具的备案证</w:t>
                  </w:r>
                </w:p>
                <w:p w14:paraId="20E4114B">
                  <w:pPr>
                    <w:pStyle w:val="54"/>
                    <w:rPr>
                      <w:color w:val="auto"/>
                    </w:rPr>
                  </w:pPr>
                  <w:r>
                    <w:rPr>
                      <w:color w:val="auto"/>
                    </w:rPr>
                    <w:t>备案证号：泗阳行审备〔2024〕131号</w:t>
                  </w:r>
                </w:p>
                <w:p w14:paraId="27ACD42D">
                  <w:pPr>
                    <w:pStyle w:val="54"/>
                    <w:rPr>
                      <w:color w:val="auto"/>
                    </w:rPr>
                  </w:pPr>
                  <w:r>
                    <w:rPr>
                      <w:color w:val="auto"/>
                    </w:rPr>
                    <w:t>项目代码：2405-321323-89-01-637966</w:t>
                  </w:r>
                </w:p>
              </w:tc>
            </w:tr>
            <w:tr w14:paraId="3FB9C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0" w:type="dxa"/>
                  <w:tcBorders>
                    <w:tl2br w:val="nil"/>
                    <w:tr2bl w:val="nil"/>
                  </w:tcBorders>
                  <w:vAlign w:val="center"/>
                </w:tcPr>
                <w:p w14:paraId="2349EDF6">
                  <w:pPr>
                    <w:pStyle w:val="54"/>
                    <w:rPr>
                      <w:color w:val="auto"/>
                    </w:rPr>
                  </w:pPr>
                  <w:r>
                    <w:rPr>
                      <w:color w:val="auto"/>
                    </w:rPr>
                    <w:t>3</w:t>
                  </w:r>
                </w:p>
              </w:tc>
              <w:tc>
                <w:tcPr>
                  <w:tcW w:w="1122" w:type="dxa"/>
                  <w:tcBorders>
                    <w:tl2br w:val="nil"/>
                    <w:tr2bl w:val="nil"/>
                  </w:tcBorders>
                  <w:vAlign w:val="center"/>
                </w:tcPr>
                <w:p w14:paraId="4855C627">
                  <w:pPr>
                    <w:pStyle w:val="54"/>
                    <w:rPr>
                      <w:color w:val="auto"/>
                    </w:rPr>
                  </w:pPr>
                  <w:r>
                    <w:rPr>
                      <w:color w:val="auto"/>
                    </w:rPr>
                    <w:t>环评编制</w:t>
                  </w:r>
                </w:p>
              </w:tc>
              <w:tc>
                <w:tcPr>
                  <w:tcW w:w="6661" w:type="dxa"/>
                  <w:tcBorders>
                    <w:tl2br w:val="nil"/>
                    <w:tr2bl w:val="nil"/>
                  </w:tcBorders>
                  <w:vAlign w:val="center"/>
                </w:tcPr>
                <w:p w14:paraId="0F2D85AA">
                  <w:pPr>
                    <w:pStyle w:val="54"/>
                    <w:rPr>
                      <w:color w:val="auto"/>
                    </w:rPr>
                  </w:pPr>
                  <w:r>
                    <w:rPr>
                      <w:color w:val="auto"/>
                    </w:rPr>
                    <w:t>202</w:t>
                  </w:r>
                  <w:r>
                    <w:rPr>
                      <w:rFonts w:hint="eastAsia"/>
                      <w:color w:val="auto"/>
                    </w:rPr>
                    <w:t>4</w:t>
                  </w:r>
                  <w:r>
                    <w:rPr>
                      <w:color w:val="auto"/>
                    </w:rPr>
                    <w:t>年</w:t>
                  </w:r>
                  <w:r>
                    <w:rPr>
                      <w:rFonts w:hint="eastAsia"/>
                      <w:color w:val="auto"/>
                    </w:rPr>
                    <w:t>5</w:t>
                  </w:r>
                  <w:r>
                    <w:rPr>
                      <w:color w:val="auto"/>
                    </w:rPr>
                    <w:t>月委托江苏联晟生态环境科技有限公司编制完成了《江苏恒轩新材料科技有限公司年产10万吨低氧铜杆项目环境影响报告表》</w:t>
                  </w:r>
                </w:p>
              </w:tc>
            </w:tr>
            <w:tr w14:paraId="21503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0" w:type="dxa"/>
                  <w:tcBorders>
                    <w:tl2br w:val="nil"/>
                    <w:tr2bl w:val="nil"/>
                  </w:tcBorders>
                  <w:vAlign w:val="center"/>
                </w:tcPr>
                <w:p w14:paraId="4A0B34F4">
                  <w:pPr>
                    <w:pStyle w:val="54"/>
                    <w:rPr>
                      <w:color w:val="auto"/>
                    </w:rPr>
                  </w:pPr>
                  <w:r>
                    <w:rPr>
                      <w:color w:val="auto"/>
                    </w:rPr>
                    <w:t>4</w:t>
                  </w:r>
                </w:p>
              </w:tc>
              <w:tc>
                <w:tcPr>
                  <w:tcW w:w="1122" w:type="dxa"/>
                  <w:tcBorders>
                    <w:tl2br w:val="nil"/>
                    <w:tr2bl w:val="nil"/>
                  </w:tcBorders>
                  <w:vAlign w:val="center"/>
                </w:tcPr>
                <w:p w14:paraId="1B62724F">
                  <w:pPr>
                    <w:pStyle w:val="54"/>
                    <w:rPr>
                      <w:color w:val="auto"/>
                    </w:rPr>
                  </w:pPr>
                  <w:r>
                    <w:rPr>
                      <w:color w:val="auto"/>
                    </w:rPr>
                    <w:t>环评批复</w:t>
                  </w:r>
                </w:p>
              </w:tc>
              <w:tc>
                <w:tcPr>
                  <w:tcW w:w="6661" w:type="dxa"/>
                  <w:tcBorders>
                    <w:tl2br w:val="nil"/>
                    <w:tr2bl w:val="nil"/>
                  </w:tcBorders>
                  <w:vAlign w:val="center"/>
                </w:tcPr>
                <w:p w14:paraId="5587676E">
                  <w:pPr>
                    <w:pStyle w:val="54"/>
                    <w:rPr>
                      <w:color w:val="auto"/>
                    </w:rPr>
                  </w:pPr>
                  <w:r>
                    <w:rPr>
                      <w:rFonts w:hint="eastAsia"/>
                      <w:color w:val="auto"/>
                    </w:rPr>
                    <w:t>2024年8月22日获得《关于对江苏恒轩新材料科技有限公司年产10万吨低氧铜杆项目环境影响报告表的批复》（宿环建表管〔2024〕20104号）</w:t>
                  </w:r>
                </w:p>
              </w:tc>
            </w:tr>
            <w:tr w14:paraId="56B95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0" w:type="dxa"/>
                  <w:tcBorders>
                    <w:tl2br w:val="nil"/>
                    <w:tr2bl w:val="nil"/>
                  </w:tcBorders>
                  <w:vAlign w:val="center"/>
                </w:tcPr>
                <w:p w14:paraId="6E185375">
                  <w:pPr>
                    <w:pStyle w:val="54"/>
                    <w:rPr>
                      <w:color w:val="auto"/>
                    </w:rPr>
                  </w:pPr>
                  <w:r>
                    <w:rPr>
                      <w:color w:val="auto"/>
                    </w:rPr>
                    <w:t>5</w:t>
                  </w:r>
                </w:p>
              </w:tc>
              <w:tc>
                <w:tcPr>
                  <w:tcW w:w="1122" w:type="dxa"/>
                  <w:tcBorders>
                    <w:tl2br w:val="nil"/>
                    <w:tr2bl w:val="nil"/>
                  </w:tcBorders>
                  <w:vAlign w:val="center"/>
                </w:tcPr>
                <w:p w14:paraId="01071A83">
                  <w:pPr>
                    <w:pStyle w:val="54"/>
                    <w:rPr>
                      <w:color w:val="auto"/>
                    </w:rPr>
                  </w:pPr>
                  <w:r>
                    <w:rPr>
                      <w:color w:val="auto"/>
                    </w:rPr>
                    <w:t>开工建设时间</w:t>
                  </w:r>
                </w:p>
              </w:tc>
              <w:tc>
                <w:tcPr>
                  <w:tcW w:w="6661" w:type="dxa"/>
                  <w:tcBorders>
                    <w:tl2br w:val="nil"/>
                    <w:tr2bl w:val="nil"/>
                  </w:tcBorders>
                  <w:vAlign w:val="center"/>
                </w:tcPr>
                <w:p w14:paraId="454503E9">
                  <w:pPr>
                    <w:pStyle w:val="54"/>
                    <w:rPr>
                      <w:color w:val="auto"/>
                    </w:rPr>
                  </w:pPr>
                  <w:r>
                    <w:rPr>
                      <w:color w:val="auto"/>
                    </w:rPr>
                    <w:t>202</w:t>
                  </w:r>
                  <w:r>
                    <w:rPr>
                      <w:rFonts w:hint="eastAsia"/>
                      <w:color w:val="auto"/>
                    </w:rPr>
                    <w:t>4</w:t>
                  </w:r>
                  <w:r>
                    <w:rPr>
                      <w:color w:val="auto"/>
                    </w:rPr>
                    <w:t>年</w:t>
                  </w:r>
                  <w:r>
                    <w:rPr>
                      <w:rFonts w:hint="eastAsia"/>
                      <w:color w:val="auto"/>
                    </w:rPr>
                    <w:t>8</w:t>
                  </w:r>
                  <w:r>
                    <w:rPr>
                      <w:color w:val="auto"/>
                    </w:rPr>
                    <w:t>月</w:t>
                  </w:r>
                  <w:r>
                    <w:rPr>
                      <w:rFonts w:hint="eastAsia"/>
                      <w:color w:val="auto"/>
                    </w:rPr>
                    <w:t>开工建设</w:t>
                  </w:r>
                </w:p>
              </w:tc>
            </w:tr>
            <w:tr w14:paraId="4AAC56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650" w:type="dxa"/>
                  <w:tcBorders>
                    <w:tl2br w:val="nil"/>
                    <w:tr2bl w:val="nil"/>
                  </w:tcBorders>
                  <w:vAlign w:val="center"/>
                </w:tcPr>
                <w:p w14:paraId="258F0BC6">
                  <w:pPr>
                    <w:pStyle w:val="54"/>
                    <w:rPr>
                      <w:color w:val="auto"/>
                    </w:rPr>
                  </w:pPr>
                  <w:r>
                    <w:rPr>
                      <w:color w:val="auto"/>
                    </w:rPr>
                    <w:t>6</w:t>
                  </w:r>
                </w:p>
              </w:tc>
              <w:tc>
                <w:tcPr>
                  <w:tcW w:w="1122" w:type="dxa"/>
                  <w:tcBorders>
                    <w:tl2br w:val="nil"/>
                    <w:tr2bl w:val="nil"/>
                  </w:tcBorders>
                  <w:vAlign w:val="center"/>
                </w:tcPr>
                <w:p w14:paraId="7500A9A2">
                  <w:pPr>
                    <w:pStyle w:val="54"/>
                    <w:rPr>
                      <w:color w:val="auto"/>
                    </w:rPr>
                  </w:pPr>
                  <w:r>
                    <w:rPr>
                      <w:color w:val="auto"/>
                    </w:rPr>
                    <w:t>建成时间</w:t>
                  </w:r>
                </w:p>
              </w:tc>
              <w:tc>
                <w:tcPr>
                  <w:tcW w:w="6661" w:type="dxa"/>
                  <w:tcBorders>
                    <w:tl2br w:val="nil"/>
                    <w:tr2bl w:val="nil"/>
                  </w:tcBorders>
                  <w:vAlign w:val="center"/>
                </w:tcPr>
                <w:p w14:paraId="04F6294D">
                  <w:pPr>
                    <w:pStyle w:val="54"/>
                    <w:rPr>
                      <w:color w:val="auto"/>
                    </w:rPr>
                  </w:pPr>
                  <w:r>
                    <w:rPr>
                      <w:color w:val="auto"/>
                    </w:rPr>
                    <w:t>202</w:t>
                  </w:r>
                  <w:r>
                    <w:rPr>
                      <w:rFonts w:hint="eastAsia"/>
                      <w:color w:val="auto"/>
                    </w:rPr>
                    <w:t>5</w:t>
                  </w:r>
                  <w:r>
                    <w:rPr>
                      <w:color w:val="auto"/>
                    </w:rPr>
                    <w:t>年</w:t>
                  </w:r>
                  <w:r>
                    <w:rPr>
                      <w:rFonts w:hint="eastAsia"/>
                      <w:color w:val="auto"/>
                    </w:rPr>
                    <w:t>7</w:t>
                  </w:r>
                  <w:r>
                    <w:rPr>
                      <w:color w:val="auto"/>
                    </w:rPr>
                    <w:t>月</w:t>
                  </w:r>
                  <w:r>
                    <w:rPr>
                      <w:rFonts w:hint="eastAsia"/>
                      <w:color w:val="auto"/>
                    </w:rPr>
                    <w:t>完成建设</w:t>
                  </w:r>
                </w:p>
              </w:tc>
            </w:tr>
            <w:tr w14:paraId="05700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650" w:type="dxa"/>
                  <w:tcBorders>
                    <w:tl2br w:val="nil"/>
                    <w:tr2bl w:val="nil"/>
                  </w:tcBorders>
                  <w:vAlign w:val="center"/>
                </w:tcPr>
                <w:p w14:paraId="43090103">
                  <w:pPr>
                    <w:pStyle w:val="54"/>
                    <w:rPr>
                      <w:color w:val="auto"/>
                    </w:rPr>
                  </w:pPr>
                  <w:r>
                    <w:rPr>
                      <w:color w:val="auto"/>
                    </w:rPr>
                    <w:t>7</w:t>
                  </w:r>
                </w:p>
              </w:tc>
              <w:tc>
                <w:tcPr>
                  <w:tcW w:w="1122" w:type="dxa"/>
                  <w:tcBorders>
                    <w:tl2br w:val="nil"/>
                    <w:tr2bl w:val="nil"/>
                  </w:tcBorders>
                  <w:vAlign w:val="center"/>
                </w:tcPr>
                <w:p w14:paraId="277A0A4A">
                  <w:pPr>
                    <w:pStyle w:val="54"/>
                    <w:rPr>
                      <w:color w:val="auto"/>
                    </w:rPr>
                  </w:pPr>
                  <w:r>
                    <w:rPr>
                      <w:color w:val="auto"/>
                    </w:rPr>
                    <w:t>排污许可</w:t>
                  </w:r>
                </w:p>
              </w:tc>
              <w:tc>
                <w:tcPr>
                  <w:tcW w:w="6661" w:type="dxa"/>
                  <w:tcBorders>
                    <w:tl2br w:val="nil"/>
                    <w:tr2bl w:val="nil"/>
                  </w:tcBorders>
                  <w:vAlign w:val="center"/>
                </w:tcPr>
                <w:p w14:paraId="4A6CA34C">
                  <w:pPr>
                    <w:pStyle w:val="54"/>
                    <w:rPr>
                      <w:color w:val="auto"/>
                    </w:rPr>
                  </w:pPr>
                  <w:r>
                    <w:rPr>
                      <w:rFonts w:hint="eastAsia"/>
                      <w:color w:val="auto"/>
                    </w:rPr>
                    <w:t>2025年7月2日申领</w:t>
                  </w:r>
                  <w:r>
                    <w:rPr>
                      <w:color w:val="auto"/>
                    </w:rPr>
                    <w:t>排污许可证</w:t>
                  </w:r>
                </w:p>
                <w:p w14:paraId="56C2DCD7">
                  <w:pPr>
                    <w:pStyle w:val="54"/>
                    <w:rPr>
                      <w:color w:val="auto"/>
                    </w:rPr>
                  </w:pPr>
                  <w:r>
                    <w:rPr>
                      <w:color w:val="auto"/>
                    </w:rPr>
                    <w:t>证书编号：91321323MADJMHG731002Q</w:t>
                  </w:r>
                </w:p>
              </w:tc>
            </w:tr>
            <w:tr w14:paraId="10787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0" w:type="dxa"/>
                  <w:tcBorders>
                    <w:tl2br w:val="nil"/>
                    <w:tr2bl w:val="nil"/>
                  </w:tcBorders>
                  <w:vAlign w:val="center"/>
                </w:tcPr>
                <w:p w14:paraId="23D9157F">
                  <w:pPr>
                    <w:pStyle w:val="54"/>
                    <w:rPr>
                      <w:color w:val="auto"/>
                    </w:rPr>
                  </w:pPr>
                  <w:r>
                    <w:rPr>
                      <w:color w:val="auto"/>
                    </w:rPr>
                    <w:t>8</w:t>
                  </w:r>
                </w:p>
              </w:tc>
              <w:tc>
                <w:tcPr>
                  <w:tcW w:w="1122" w:type="dxa"/>
                  <w:tcBorders>
                    <w:tl2br w:val="nil"/>
                    <w:tr2bl w:val="nil"/>
                  </w:tcBorders>
                  <w:vAlign w:val="center"/>
                </w:tcPr>
                <w:p w14:paraId="3D9386E2">
                  <w:pPr>
                    <w:pStyle w:val="54"/>
                    <w:rPr>
                      <w:color w:val="auto"/>
                    </w:rPr>
                  </w:pPr>
                  <w:r>
                    <w:rPr>
                      <w:color w:val="auto"/>
                    </w:rPr>
                    <w:t>验收</w:t>
                  </w:r>
                </w:p>
              </w:tc>
              <w:tc>
                <w:tcPr>
                  <w:tcW w:w="6661" w:type="dxa"/>
                  <w:tcBorders>
                    <w:tl2br w:val="nil"/>
                    <w:tr2bl w:val="nil"/>
                  </w:tcBorders>
                  <w:vAlign w:val="center"/>
                </w:tcPr>
                <w:p w14:paraId="38108ABF">
                  <w:pPr>
                    <w:pStyle w:val="54"/>
                    <w:rPr>
                      <w:color w:val="auto"/>
                    </w:rPr>
                  </w:pPr>
                  <w:r>
                    <w:rPr>
                      <w:color w:val="auto"/>
                    </w:rPr>
                    <w:t>2025年</w:t>
                  </w:r>
                  <w:r>
                    <w:rPr>
                      <w:rFonts w:hint="eastAsia"/>
                      <w:color w:val="auto"/>
                    </w:rPr>
                    <w:t>7</w:t>
                  </w:r>
                  <w:r>
                    <w:rPr>
                      <w:color w:val="auto"/>
                    </w:rPr>
                    <w:t>月1</w:t>
                  </w:r>
                  <w:r>
                    <w:rPr>
                      <w:rFonts w:hint="eastAsia"/>
                      <w:color w:val="auto"/>
                    </w:rPr>
                    <w:t>8</w:t>
                  </w:r>
                  <w:r>
                    <w:rPr>
                      <w:color w:val="auto"/>
                    </w:rPr>
                    <w:t>日</w:t>
                  </w:r>
                  <w:r>
                    <w:rPr>
                      <w:rFonts w:hint="eastAsia"/>
                      <w:color w:val="auto"/>
                    </w:rPr>
                    <w:t>完成竣工环保</w:t>
                  </w:r>
                  <w:r>
                    <w:rPr>
                      <w:color w:val="auto"/>
                    </w:rPr>
                    <w:t>验收</w:t>
                  </w:r>
                </w:p>
              </w:tc>
            </w:tr>
          </w:tbl>
          <w:p w14:paraId="21C5176B">
            <w:pPr>
              <w:pStyle w:val="50"/>
              <w:ind w:firstLine="482"/>
              <w:rPr>
                <w:b/>
                <w:bCs/>
                <w:color w:val="auto"/>
              </w:rPr>
            </w:pPr>
            <w:r>
              <w:rPr>
                <w:rFonts w:hint="eastAsia"/>
                <w:b/>
                <w:bCs/>
                <w:color w:val="auto"/>
              </w:rPr>
              <w:t>（2）</w:t>
            </w:r>
            <w:r>
              <w:rPr>
                <w:b/>
                <w:bCs/>
                <w:color w:val="auto"/>
              </w:rPr>
              <w:t>现有项目污染防治措施及达标情况</w:t>
            </w:r>
          </w:p>
          <w:p w14:paraId="79BBCB93">
            <w:pPr>
              <w:pStyle w:val="50"/>
              <w:ind w:firstLine="482"/>
              <w:rPr>
                <w:b/>
                <w:bCs/>
                <w:color w:val="auto"/>
              </w:rPr>
            </w:pPr>
            <w:r>
              <w:rPr>
                <w:b/>
                <w:bCs/>
                <w:color w:val="auto"/>
              </w:rPr>
              <w:t>①</w:t>
            </w:r>
            <w:r>
              <w:rPr>
                <w:rFonts w:hint="eastAsia"/>
                <w:b/>
                <w:bCs/>
                <w:color w:val="auto"/>
              </w:rPr>
              <w:t>废气</w:t>
            </w:r>
          </w:p>
          <w:p w14:paraId="3B6D743D">
            <w:pPr>
              <w:pStyle w:val="50"/>
              <w:ind w:firstLine="480"/>
              <w:rPr>
                <w:color w:val="auto"/>
              </w:rPr>
            </w:pPr>
            <w:r>
              <w:rPr>
                <w:rFonts w:hint="eastAsia"/>
                <w:color w:val="auto"/>
              </w:rPr>
              <w:t>现有项目废气主要包括熔化烟气（颗粒物、SO</w:t>
            </w:r>
            <w:r>
              <w:rPr>
                <w:rFonts w:hint="eastAsia"/>
                <w:color w:val="auto"/>
                <w:vertAlign w:val="subscript"/>
              </w:rPr>
              <w:t>2</w:t>
            </w:r>
            <w:r>
              <w:rPr>
                <w:rFonts w:hint="eastAsia"/>
                <w:color w:val="auto"/>
              </w:rPr>
              <w:t>、NOx）、冷却和清洗废气（NMHC）。熔化作业时熔化炉内烟气采用地沟排烟道密闭收集，开盖时炉口逸散烟气采用炉顶集气罩收集，收集后由列管冷却+多管除尘器+旋风除尘器+布袋除尘器处理后通过1根15m排气筒（DA001）排放；冷却、清洗有机废气分别采用集气罩收集后由二级活性炭吸附装置处理后通过1根15m排气筒（DA002）排放。</w:t>
            </w:r>
          </w:p>
          <w:p w14:paraId="64C9B784">
            <w:pPr>
              <w:pStyle w:val="50"/>
              <w:ind w:firstLine="480"/>
              <w:rPr>
                <w:color w:val="auto"/>
              </w:rPr>
            </w:pPr>
            <w:r>
              <w:rPr>
                <w:color w:val="auto"/>
              </w:rPr>
              <w:t>根据</w:t>
            </w:r>
            <w:r>
              <w:rPr>
                <w:rFonts w:hint="eastAsia"/>
                <w:color w:val="auto"/>
              </w:rPr>
              <w:t>验收</w:t>
            </w:r>
            <w:r>
              <w:rPr>
                <w:color w:val="auto"/>
              </w:rPr>
              <w:t>检测报告</w:t>
            </w:r>
            <w:r>
              <w:rPr>
                <w:rFonts w:hint="eastAsia"/>
                <w:color w:val="auto"/>
              </w:rPr>
              <w:t>（</w:t>
            </w:r>
            <w:r>
              <w:rPr>
                <w:color w:val="auto"/>
              </w:rPr>
              <w:t>检测</w:t>
            </w:r>
            <w:r>
              <w:rPr>
                <w:rFonts w:hint="eastAsia"/>
                <w:color w:val="auto"/>
              </w:rPr>
              <w:t>公司为江苏迈斯特环境检测有限公司、</w:t>
            </w:r>
            <w:r>
              <w:rPr>
                <w:color w:val="auto"/>
              </w:rPr>
              <w:t>检测</w:t>
            </w:r>
            <w:r>
              <w:rPr>
                <w:rFonts w:hint="eastAsia"/>
                <w:color w:val="auto"/>
              </w:rPr>
              <w:t>时间为2025.07.08~2025.07.10、报告编号为MST20250701401），现有</w:t>
            </w:r>
            <w:r>
              <w:rPr>
                <w:color w:val="auto"/>
              </w:rPr>
              <w:t>项目废气检测结果见</w:t>
            </w:r>
            <w:r>
              <w:rPr>
                <w:color w:val="auto"/>
              </w:rPr>
              <w:fldChar w:fldCharType="begin"/>
            </w:r>
            <w:r>
              <w:rPr>
                <w:color w:val="auto"/>
              </w:rPr>
              <w:instrText xml:space="preserve"> REF _Ref30259 \h </w:instrText>
            </w:r>
            <w:r>
              <w:rPr>
                <w:color w:val="auto"/>
              </w:rPr>
              <w:fldChar w:fldCharType="separate"/>
            </w:r>
            <w:r>
              <w:rPr>
                <w:color w:val="auto"/>
              </w:rPr>
              <w:t>表2- 10</w:t>
            </w:r>
            <w:r>
              <w:rPr>
                <w:color w:val="auto"/>
              </w:rPr>
              <w:fldChar w:fldCharType="end"/>
            </w:r>
            <w:r>
              <w:rPr>
                <w:color w:val="auto"/>
              </w:rPr>
              <w:t>、</w:t>
            </w:r>
            <w:r>
              <w:rPr>
                <w:color w:val="auto"/>
              </w:rPr>
              <w:fldChar w:fldCharType="begin"/>
            </w:r>
            <w:r>
              <w:rPr>
                <w:color w:val="auto"/>
              </w:rPr>
              <w:instrText xml:space="preserve"> REF _Ref28198 \h </w:instrText>
            </w:r>
            <w:r>
              <w:rPr>
                <w:color w:val="auto"/>
              </w:rPr>
              <w:fldChar w:fldCharType="separate"/>
            </w:r>
            <w:r>
              <w:rPr>
                <w:color w:val="auto"/>
              </w:rPr>
              <w:t>表2- 11</w:t>
            </w:r>
            <w:r>
              <w:rPr>
                <w:color w:val="auto"/>
              </w:rPr>
              <w:fldChar w:fldCharType="end"/>
            </w:r>
            <w:r>
              <w:rPr>
                <w:color w:val="auto"/>
              </w:rPr>
              <w:t>。</w:t>
            </w:r>
          </w:p>
          <w:p w14:paraId="08C2DE46">
            <w:pPr>
              <w:pStyle w:val="7"/>
              <w:rPr>
                <w:color w:val="auto"/>
              </w:rPr>
            </w:pPr>
            <w:bookmarkStart w:id="46" w:name="_Ref30259"/>
            <w:r>
              <w:rPr>
                <w:color w:val="auto"/>
              </w:rPr>
              <w:t xml:space="preserve">表2- </w:t>
            </w:r>
            <w:r>
              <w:rPr>
                <w:color w:val="auto"/>
              </w:rPr>
              <w:fldChar w:fldCharType="begin"/>
            </w:r>
            <w:r>
              <w:rPr>
                <w:color w:val="auto"/>
              </w:rPr>
              <w:instrText xml:space="preserve"> SEQ 表2- \* ARABIC </w:instrText>
            </w:r>
            <w:r>
              <w:rPr>
                <w:color w:val="auto"/>
              </w:rPr>
              <w:fldChar w:fldCharType="separate"/>
            </w:r>
            <w:r>
              <w:rPr>
                <w:color w:val="auto"/>
              </w:rPr>
              <w:t>10</w:t>
            </w:r>
            <w:r>
              <w:rPr>
                <w:color w:val="auto"/>
              </w:rPr>
              <w:fldChar w:fldCharType="end"/>
            </w:r>
            <w:bookmarkEnd w:id="46"/>
            <w:r>
              <w:rPr>
                <w:rFonts w:hint="eastAsia"/>
                <w:color w:val="auto"/>
              </w:rPr>
              <w:t xml:space="preserve"> </w:t>
            </w:r>
            <w:r>
              <w:rPr>
                <w:color w:val="auto"/>
              </w:rPr>
              <w:t>有组织废气检测结果</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6" w:type="dxa"/>
                <w:bottom w:w="0" w:type="dxa"/>
                <w:right w:w="6" w:type="dxa"/>
              </w:tblCellMar>
            </w:tblPr>
            <w:tblGrid>
              <w:gridCol w:w="528"/>
              <w:gridCol w:w="809"/>
              <w:gridCol w:w="947"/>
              <w:gridCol w:w="1786"/>
              <w:gridCol w:w="673"/>
              <w:gridCol w:w="854"/>
              <w:gridCol w:w="854"/>
              <w:gridCol w:w="854"/>
              <w:gridCol w:w="538"/>
              <w:gridCol w:w="590"/>
            </w:tblGrid>
            <w:tr w14:paraId="2FB9D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restart"/>
                  <w:tcBorders>
                    <w:tl2br w:val="nil"/>
                    <w:tr2bl w:val="nil"/>
                  </w:tcBorders>
                  <w:vAlign w:val="center"/>
                </w:tcPr>
                <w:p w14:paraId="3B02DB6C">
                  <w:pPr>
                    <w:pStyle w:val="52"/>
                    <w:rPr>
                      <w:color w:val="auto"/>
                    </w:rPr>
                  </w:pPr>
                  <w:r>
                    <w:rPr>
                      <w:color w:val="auto"/>
                    </w:rPr>
                    <w:t>采样日期</w:t>
                  </w:r>
                </w:p>
              </w:tc>
              <w:tc>
                <w:tcPr>
                  <w:tcW w:w="809" w:type="dxa"/>
                  <w:vMerge w:val="restart"/>
                  <w:tcBorders>
                    <w:tl2br w:val="nil"/>
                    <w:tr2bl w:val="nil"/>
                  </w:tcBorders>
                  <w:vAlign w:val="center"/>
                </w:tcPr>
                <w:p w14:paraId="1884D566">
                  <w:pPr>
                    <w:pStyle w:val="52"/>
                    <w:rPr>
                      <w:color w:val="auto"/>
                    </w:rPr>
                  </w:pPr>
                  <w:r>
                    <w:rPr>
                      <w:color w:val="auto"/>
                    </w:rPr>
                    <w:t>检测</w:t>
                  </w:r>
                </w:p>
                <w:p w14:paraId="2EFDF7AE">
                  <w:pPr>
                    <w:pStyle w:val="52"/>
                    <w:rPr>
                      <w:color w:val="auto"/>
                    </w:rPr>
                  </w:pPr>
                  <w:r>
                    <w:rPr>
                      <w:color w:val="auto"/>
                    </w:rPr>
                    <w:t>点位</w:t>
                  </w:r>
                </w:p>
              </w:tc>
              <w:tc>
                <w:tcPr>
                  <w:tcW w:w="947" w:type="dxa"/>
                  <w:vMerge w:val="restart"/>
                  <w:tcBorders>
                    <w:tl2br w:val="nil"/>
                    <w:tr2bl w:val="nil"/>
                  </w:tcBorders>
                  <w:vAlign w:val="center"/>
                </w:tcPr>
                <w:p w14:paraId="09181A37">
                  <w:pPr>
                    <w:pStyle w:val="52"/>
                    <w:rPr>
                      <w:color w:val="auto"/>
                    </w:rPr>
                  </w:pPr>
                  <w:r>
                    <w:rPr>
                      <w:color w:val="auto"/>
                    </w:rPr>
                    <w:t>处理设施/处理方式</w:t>
                  </w:r>
                </w:p>
              </w:tc>
              <w:tc>
                <w:tcPr>
                  <w:tcW w:w="1786" w:type="dxa"/>
                  <w:vMerge w:val="restart"/>
                  <w:tcBorders>
                    <w:tl2br w:val="nil"/>
                    <w:tr2bl w:val="nil"/>
                  </w:tcBorders>
                  <w:vAlign w:val="center"/>
                </w:tcPr>
                <w:p w14:paraId="396EEDD1">
                  <w:pPr>
                    <w:pStyle w:val="52"/>
                    <w:rPr>
                      <w:color w:val="auto"/>
                    </w:rPr>
                  </w:pPr>
                  <w:r>
                    <w:rPr>
                      <w:color w:val="auto"/>
                    </w:rPr>
                    <w:t>检测项目</w:t>
                  </w:r>
                </w:p>
              </w:tc>
              <w:tc>
                <w:tcPr>
                  <w:tcW w:w="673" w:type="dxa"/>
                  <w:vMerge w:val="restart"/>
                  <w:tcBorders>
                    <w:tl2br w:val="nil"/>
                    <w:tr2bl w:val="nil"/>
                  </w:tcBorders>
                  <w:vAlign w:val="center"/>
                </w:tcPr>
                <w:p w14:paraId="23BE8C27">
                  <w:pPr>
                    <w:pStyle w:val="52"/>
                    <w:rPr>
                      <w:color w:val="auto"/>
                    </w:rPr>
                  </w:pPr>
                  <w:r>
                    <w:rPr>
                      <w:color w:val="auto"/>
                    </w:rPr>
                    <w:t>单位</w:t>
                  </w:r>
                </w:p>
              </w:tc>
              <w:tc>
                <w:tcPr>
                  <w:tcW w:w="2562" w:type="dxa"/>
                  <w:gridSpan w:val="3"/>
                  <w:tcBorders>
                    <w:tl2br w:val="nil"/>
                    <w:tr2bl w:val="nil"/>
                  </w:tcBorders>
                  <w:vAlign w:val="center"/>
                </w:tcPr>
                <w:p w14:paraId="7FB0391F">
                  <w:pPr>
                    <w:pStyle w:val="52"/>
                    <w:rPr>
                      <w:color w:val="auto"/>
                    </w:rPr>
                  </w:pPr>
                  <w:r>
                    <w:rPr>
                      <w:color w:val="auto"/>
                    </w:rPr>
                    <w:t>检测结果</w:t>
                  </w:r>
                </w:p>
              </w:tc>
              <w:tc>
                <w:tcPr>
                  <w:tcW w:w="538" w:type="dxa"/>
                  <w:vMerge w:val="restart"/>
                  <w:tcBorders>
                    <w:tl2br w:val="nil"/>
                    <w:tr2bl w:val="nil"/>
                  </w:tcBorders>
                  <w:vAlign w:val="center"/>
                </w:tcPr>
                <w:p w14:paraId="54673321">
                  <w:pPr>
                    <w:pStyle w:val="52"/>
                    <w:rPr>
                      <w:color w:val="auto"/>
                    </w:rPr>
                  </w:pPr>
                  <w:r>
                    <w:rPr>
                      <w:color w:val="auto"/>
                    </w:rPr>
                    <w:t>标准限值</w:t>
                  </w:r>
                </w:p>
              </w:tc>
              <w:tc>
                <w:tcPr>
                  <w:tcW w:w="590" w:type="dxa"/>
                  <w:vMerge w:val="restart"/>
                  <w:tcBorders>
                    <w:tl2br w:val="nil"/>
                    <w:tr2bl w:val="nil"/>
                  </w:tcBorders>
                  <w:vAlign w:val="center"/>
                </w:tcPr>
                <w:p w14:paraId="3A4E35E5">
                  <w:pPr>
                    <w:pStyle w:val="52"/>
                    <w:rPr>
                      <w:color w:val="auto"/>
                    </w:rPr>
                  </w:pPr>
                  <w:r>
                    <w:rPr>
                      <w:color w:val="auto"/>
                    </w:rPr>
                    <w:t>达标情况</w:t>
                  </w:r>
                </w:p>
              </w:tc>
            </w:tr>
            <w:tr w14:paraId="24D67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tcBorders>
                    <w:tl2br w:val="nil"/>
                    <w:tr2bl w:val="nil"/>
                  </w:tcBorders>
                  <w:vAlign w:val="center"/>
                </w:tcPr>
                <w:p w14:paraId="23C2F6E4">
                  <w:pPr>
                    <w:pStyle w:val="52"/>
                    <w:rPr>
                      <w:color w:val="auto"/>
                    </w:rPr>
                  </w:pPr>
                </w:p>
              </w:tc>
              <w:tc>
                <w:tcPr>
                  <w:tcW w:w="809" w:type="dxa"/>
                  <w:vMerge w:val="continue"/>
                  <w:tcBorders>
                    <w:tl2br w:val="nil"/>
                    <w:tr2bl w:val="nil"/>
                  </w:tcBorders>
                  <w:vAlign w:val="center"/>
                </w:tcPr>
                <w:p w14:paraId="1248E63E">
                  <w:pPr>
                    <w:pStyle w:val="52"/>
                    <w:rPr>
                      <w:color w:val="auto"/>
                    </w:rPr>
                  </w:pPr>
                </w:p>
              </w:tc>
              <w:tc>
                <w:tcPr>
                  <w:tcW w:w="947" w:type="dxa"/>
                  <w:vMerge w:val="continue"/>
                  <w:tcBorders>
                    <w:tl2br w:val="nil"/>
                    <w:tr2bl w:val="nil"/>
                  </w:tcBorders>
                  <w:vAlign w:val="center"/>
                </w:tcPr>
                <w:p w14:paraId="66D5B79A">
                  <w:pPr>
                    <w:pStyle w:val="52"/>
                    <w:rPr>
                      <w:color w:val="auto"/>
                    </w:rPr>
                  </w:pPr>
                </w:p>
              </w:tc>
              <w:tc>
                <w:tcPr>
                  <w:tcW w:w="1786" w:type="dxa"/>
                  <w:vMerge w:val="continue"/>
                  <w:tcBorders>
                    <w:tl2br w:val="nil"/>
                    <w:tr2bl w:val="nil"/>
                  </w:tcBorders>
                  <w:vAlign w:val="center"/>
                </w:tcPr>
                <w:p w14:paraId="64EA2739">
                  <w:pPr>
                    <w:pStyle w:val="52"/>
                    <w:rPr>
                      <w:color w:val="auto"/>
                    </w:rPr>
                  </w:pPr>
                </w:p>
              </w:tc>
              <w:tc>
                <w:tcPr>
                  <w:tcW w:w="673" w:type="dxa"/>
                  <w:vMerge w:val="continue"/>
                  <w:tcBorders>
                    <w:tl2br w:val="nil"/>
                    <w:tr2bl w:val="nil"/>
                  </w:tcBorders>
                  <w:vAlign w:val="center"/>
                </w:tcPr>
                <w:p w14:paraId="3B1D2D97">
                  <w:pPr>
                    <w:pStyle w:val="52"/>
                    <w:rPr>
                      <w:color w:val="auto"/>
                    </w:rPr>
                  </w:pPr>
                </w:p>
              </w:tc>
              <w:tc>
                <w:tcPr>
                  <w:tcW w:w="854" w:type="dxa"/>
                  <w:tcBorders>
                    <w:tl2br w:val="nil"/>
                    <w:tr2bl w:val="nil"/>
                  </w:tcBorders>
                  <w:vAlign w:val="center"/>
                </w:tcPr>
                <w:p w14:paraId="0EFF2D1C">
                  <w:pPr>
                    <w:pStyle w:val="52"/>
                    <w:rPr>
                      <w:color w:val="auto"/>
                    </w:rPr>
                  </w:pPr>
                  <w:r>
                    <w:rPr>
                      <w:color w:val="auto"/>
                    </w:rPr>
                    <w:t>第一次</w:t>
                  </w:r>
                </w:p>
              </w:tc>
              <w:tc>
                <w:tcPr>
                  <w:tcW w:w="854" w:type="dxa"/>
                  <w:tcBorders>
                    <w:tl2br w:val="nil"/>
                    <w:tr2bl w:val="nil"/>
                  </w:tcBorders>
                  <w:vAlign w:val="center"/>
                </w:tcPr>
                <w:p w14:paraId="53818775">
                  <w:pPr>
                    <w:pStyle w:val="52"/>
                    <w:rPr>
                      <w:color w:val="auto"/>
                    </w:rPr>
                  </w:pPr>
                  <w:r>
                    <w:rPr>
                      <w:color w:val="auto"/>
                    </w:rPr>
                    <w:t>第二次</w:t>
                  </w:r>
                </w:p>
              </w:tc>
              <w:tc>
                <w:tcPr>
                  <w:tcW w:w="854" w:type="dxa"/>
                  <w:tcBorders>
                    <w:tl2br w:val="nil"/>
                    <w:tr2bl w:val="nil"/>
                  </w:tcBorders>
                  <w:vAlign w:val="center"/>
                </w:tcPr>
                <w:p w14:paraId="5DEE3F18">
                  <w:pPr>
                    <w:pStyle w:val="52"/>
                    <w:rPr>
                      <w:color w:val="auto"/>
                    </w:rPr>
                  </w:pPr>
                  <w:r>
                    <w:rPr>
                      <w:color w:val="auto"/>
                    </w:rPr>
                    <w:t>第三次</w:t>
                  </w:r>
                </w:p>
              </w:tc>
              <w:tc>
                <w:tcPr>
                  <w:tcW w:w="538" w:type="dxa"/>
                  <w:vMerge w:val="continue"/>
                  <w:tcBorders>
                    <w:tl2br w:val="nil"/>
                    <w:tr2bl w:val="nil"/>
                  </w:tcBorders>
                  <w:vAlign w:val="center"/>
                </w:tcPr>
                <w:p w14:paraId="2CFB2587">
                  <w:pPr>
                    <w:pStyle w:val="52"/>
                    <w:rPr>
                      <w:color w:val="auto"/>
                    </w:rPr>
                  </w:pPr>
                </w:p>
              </w:tc>
              <w:tc>
                <w:tcPr>
                  <w:tcW w:w="590" w:type="dxa"/>
                  <w:vMerge w:val="continue"/>
                  <w:tcBorders>
                    <w:tl2br w:val="nil"/>
                    <w:tr2bl w:val="nil"/>
                  </w:tcBorders>
                  <w:vAlign w:val="center"/>
                </w:tcPr>
                <w:p w14:paraId="65AD5503">
                  <w:pPr>
                    <w:pStyle w:val="52"/>
                    <w:rPr>
                      <w:color w:val="auto"/>
                    </w:rPr>
                  </w:pPr>
                </w:p>
              </w:tc>
            </w:tr>
            <w:tr w14:paraId="53CF1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restart"/>
                  <w:vAlign w:val="center"/>
                </w:tcPr>
                <w:p w14:paraId="118FF113">
                  <w:pPr>
                    <w:pStyle w:val="54"/>
                    <w:rPr>
                      <w:color w:val="auto"/>
                    </w:rPr>
                  </w:pPr>
                  <w:r>
                    <w:rPr>
                      <w:color w:val="auto"/>
                    </w:rPr>
                    <w:t>2025.07.08</w:t>
                  </w:r>
                </w:p>
              </w:tc>
              <w:tc>
                <w:tcPr>
                  <w:tcW w:w="809" w:type="dxa"/>
                  <w:vMerge w:val="restart"/>
                  <w:vAlign w:val="center"/>
                </w:tcPr>
                <w:p w14:paraId="5D0DDC3D">
                  <w:pPr>
                    <w:pStyle w:val="54"/>
                    <w:rPr>
                      <w:color w:val="auto"/>
                    </w:rPr>
                  </w:pPr>
                  <w:r>
                    <w:rPr>
                      <w:color w:val="auto"/>
                    </w:rPr>
                    <w:t>DA001排气筒进口</w:t>
                  </w:r>
                </w:p>
              </w:tc>
              <w:tc>
                <w:tcPr>
                  <w:tcW w:w="947" w:type="dxa"/>
                  <w:vMerge w:val="restart"/>
                  <w:vAlign w:val="center"/>
                </w:tcPr>
                <w:p w14:paraId="26153B07">
                  <w:pPr>
                    <w:pStyle w:val="54"/>
                    <w:rPr>
                      <w:color w:val="auto"/>
                    </w:rPr>
                  </w:pPr>
                  <w:r>
                    <w:rPr>
                      <w:color w:val="auto"/>
                    </w:rPr>
                    <w:t>/</w:t>
                  </w:r>
                </w:p>
              </w:tc>
              <w:tc>
                <w:tcPr>
                  <w:tcW w:w="1786" w:type="dxa"/>
                  <w:vAlign w:val="center"/>
                </w:tcPr>
                <w:p w14:paraId="46B2A71F">
                  <w:pPr>
                    <w:pStyle w:val="54"/>
                    <w:rPr>
                      <w:color w:val="auto"/>
                    </w:rPr>
                  </w:pPr>
                  <w:r>
                    <w:rPr>
                      <w:color w:val="auto"/>
                    </w:rPr>
                    <w:t>烟道截面积</w:t>
                  </w:r>
                </w:p>
              </w:tc>
              <w:tc>
                <w:tcPr>
                  <w:tcW w:w="673" w:type="dxa"/>
                  <w:vAlign w:val="center"/>
                </w:tcPr>
                <w:p w14:paraId="44D83181">
                  <w:pPr>
                    <w:pStyle w:val="54"/>
                    <w:rPr>
                      <w:color w:val="auto"/>
                    </w:rPr>
                  </w:pPr>
                  <w:r>
                    <w:rPr>
                      <w:color w:val="auto"/>
                    </w:rPr>
                    <w:t>m</w:t>
                  </w:r>
                  <w:r>
                    <w:rPr>
                      <w:color w:val="auto"/>
                      <w:vertAlign w:val="superscript"/>
                    </w:rPr>
                    <w:t>2</w:t>
                  </w:r>
                </w:p>
              </w:tc>
              <w:tc>
                <w:tcPr>
                  <w:tcW w:w="854" w:type="dxa"/>
                  <w:vAlign w:val="center"/>
                </w:tcPr>
                <w:p w14:paraId="0D57A01D">
                  <w:pPr>
                    <w:pStyle w:val="54"/>
                    <w:rPr>
                      <w:color w:val="auto"/>
                    </w:rPr>
                  </w:pPr>
                  <w:r>
                    <w:rPr>
                      <w:color w:val="auto"/>
                    </w:rPr>
                    <w:t>1.7671</w:t>
                  </w:r>
                </w:p>
              </w:tc>
              <w:tc>
                <w:tcPr>
                  <w:tcW w:w="854" w:type="dxa"/>
                  <w:vAlign w:val="center"/>
                </w:tcPr>
                <w:p w14:paraId="2874FFE0">
                  <w:pPr>
                    <w:pStyle w:val="54"/>
                    <w:rPr>
                      <w:color w:val="auto"/>
                    </w:rPr>
                  </w:pPr>
                  <w:r>
                    <w:rPr>
                      <w:color w:val="auto"/>
                    </w:rPr>
                    <w:t>1.7671</w:t>
                  </w:r>
                </w:p>
              </w:tc>
              <w:tc>
                <w:tcPr>
                  <w:tcW w:w="854" w:type="dxa"/>
                  <w:vAlign w:val="center"/>
                </w:tcPr>
                <w:p w14:paraId="26293B45">
                  <w:pPr>
                    <w:pStyle w:val="54"/>
                    <w:rPr>
                      <w:color w:val="auto"/>
                    </w:rPr>
                  </w:pPr>
                  <w:r>
                    <w:rPr>
                      <w:color w:val="auto"/>
                    </w:rPr>
                    <w:t>1.7671</w:t>
                  </w:r>
                </w:p>
              </w:tc>
              <w:tc>
                <w:tcPr>
                  <w:tcW w:w="538" w:type="dxa"/>
                  <w:vAlign w:val="center"/>
                </w:tcPr>
                <w:p w14:paraId="2EE4D2E6">
                  <w:pPr>
                    <w:pStyle w:val="54"/>
                    <w:rPr>
                      <w:color w:val="auto"/>
                    </w:rPr>
                  </w:pPr>
                  <w:r>
                    <w:rPr>
                      <w:color w:val="auto"/>
                    </w:rPr>
                    <w:t>/</w:t>
                  </w:r>
                </w:p>
              </w:tc>
              <w:tc>
                <w:tcPr>
                  <w:tcW w:w="590" w:type="dxa"/>
                  <w:vAlign w:val="center"/>
                </w:tcPr>
                <w:p w14:paraId="298306E1">
                  <w:pPr>
                    <w:pStyle w:val="54"/>
                    <w:rPr>
                      <w:color w:val="auto"/>
                    </w:rPr>
                  </w:pPr>
                  <w:r>
                    <w:rPr>
                      <w:color w:val="auto"/>
                    </w:rPr>
                    <w:t>/</w:t>
                  </w:r>
                </w:p>
              </w:tc>
            </w:tr>
            <w:tr w14:paraId="0B124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7F41B16A">
                  <w:pPr>
                    <w:pStyle w:val="54"/>
                    <w:rPr>
                      <w:color w:val="auto"/>
                    </w:rPr>
                  </w:pPr>
                </w:p>
              </w:tc>
              <w:tc>
                <w:tcPr>
                  <w:tcW w:w="809" w:type="dxa"/>
                  <w:vMerge w:val="continue"/>
                  <w:vAlign w:val="center"/>
                </w:tcPr>
                <w:p w14:paraId="7FE6F4BB">
                  <w:pPr>
                    <w:pStyle w:val="54"/>
                    <w:rPr>
                      <w:color w:val="auto"/>
                    </w:rPr>
                  </w:pPr>
                </w:p>
              </w:tc>
              <w:tc>
                <w:tcPr>
                  <w:tcW w:w="947" w:type="dxa"/>
                  <w:vMerge w:val="continue"/>
                  <w:vAlign w:val="center"/>
                </w:tcPr>
                <w:p w14:paraId="192D7AFD">
                  <w:pPr>
                    <w:pStyle w:val="54"/>
                    <w:rPr>
                      <w:color w:val="auto"/>
                    </w:rPr>
                  </w:pPr>
                </w:p>
              </w:tc>
              <w:tc>
                <w:tcPr>
                  <w:tcW w:w="1786" w:type="dxa"/>
                  <w:vAlign w:val="center"/>
                </w:tcPr>
                <w:p w14:paraId="77F9004C">
                  <w:pPr>
                    <w:pStyle w:val="54"/>
                    <w:rPr>
                      <w:color w:val="auto"/>
                    </w:rPr>
                  </w:pPr>
                  <w:r>
                    <w:rPr>
                      <w:color w:val="auto"/>
                    </w:rPr>
                    <w:t>烟气含湿量</w:t>
                  </w:r>
                </w:p>
              </w:tc>
              <w:tc>
                <w:tcPr>
                  <w:tcW w:w="673" w:type="dxa"/>
                  <w:vAlign w:val="center"/>
                </w:tcPr>
                <w:p w14:paraId="1BAB6A76">
                  <w:pPr>
                    <w:pStyle w:val="54"/>
                    <w:rPr>
                      <w:color w:val="auto"/>
                    </w:rPr>
                  </w:pPr>
                  <w:r>
                    <w:rPr>
                      <w:color w:val="auto"/>
                    </w:rPr>
                    <w:t>%</w:t>
                  </w:r>
                </w:p>
              </w:tc>
              <w:tc>
                <w:tcPr>
                  <w:tcW w:w="854" w:type="dxa"/>
                  <w:vAlign w:val="center"/>
                </w:tcPr>
                <w:p w14:paraId="20B2350B">
                  <w:pPr>
                    <w:pStyle w:val="54"/>
                    <w:rPr>
                      <w:color w:val="auto"/>
                    </w:rPr>
                  </w:pPr>
                  <w:r>
                    <w:rPr>
                      <w:color w:val="auto"/>
                    </w:rPr>
                    <w:t>7.9</w:t>
                  </w:r>
                </w:p>
              </w:tc>
              <w:tc>
                <w:tcPr>
                  <w:tcW w:w="854" w:type="dxa"/>
                  <w:vAlign w:val="center"/>
                </w:tcPr>
                <w:p w14:paraId="6AD13ACB">
                  <w:pPr>
                    <w:pStyle w:val="54"/>
                    <w:rPr>
                      <w:color w:val="auto"/>
                    </w:rPr>
                  </w:pPr>
                  <w:r>
                    <w:rPr>
                      <w:color w:val="auto"/>
                    </w:rPr>
                    <w:t>8.1</w:t>
                  </w:r>
                </w:p>
              </w:tc>
              <w:tc>
                <w:tcPr>
                  <w:tcW w:w="854" w:type="dxa"/>
                  <w:vAlign w:val="center"/>
                </w:tcPr>
                <w:p w14:paraId="1A0169E1">
                  <w:pPr>
                    <w:pStyle w:val="54"/>
                    <w:rPr>
                      <w:color w:val="auto"/>
                    </w:rPr>
                  </w:pPr>
                  <w:r>
                    <w:rPr>
                      <w:color w:val="auto"/>
                    </w:rPr>
                    <w:t>8.0</w:t>
                  </w:r>
                </w:p>
              </w:tc>
              <w:tc>
                <w:tcPr>
                  <w:tcW w:w="538" w:type="dxa"/>
                  <w:vAlign w:val="center"/>
                </w:tcPr>
                <w:p w14:paraId="6A80B712">
                  <w:pPr>
                    <w:pStyle w:val="54"/>
                    <w:rPr>
                      <w:color w:val="auto"/>
                    </w:rPr>
                  </w:pPr>
                  <w:r>
                    <w:rPr>
                      <w:color w:val="auto"/>
                    </w:rPr>
                    <w:t>/</w:t>
                  </w:r>
                </w:p>
              </w:tc>
              <w:tc>
                <w:tcPr>
                  <w:tcW w:w="590" w:type="dxa"/>
                  <w:vAlign w:val="center"/>
                </w:tcPr>
                <w:p w14:paraId="18CC5E21">
                  <w:pPr>
                    <w:pStyle w:val="54"/>
                    <w:rPr>
                      <w:color w:val="auto"/>
                    </w:rPr>
                  </w:pPr>
                  <w:r>
                    <w:rPr>
                      <w:color w:val="auto"/>
                    </w:rPr>
                    <w:t>/</w:t>
                  </w:r>
                </w:p>
              </w:tc>
            </w:tr>
            <w:tr w14:paraId="1C674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03F72479">
                  <w:pPr>
                    <w:pStyle w:val="54"/>
                    <w:rPr>
                      <w:color w:val="auto"/>
                    </w:rPr>
                  </w:pPr>
                </w:p>
              </w:tc>
              <w:tc>
                <w:tcPr>
                  <w:tcW w:w="809" w:type="dxa"/>
                  <w:vMerge w:val="continue"/>
                  <w:vAlign w:val="center"/>
                </w:tcPr>
                <w:p w14:paraId="7B510450">
                  <w:pPr>
                    <w:pStyle w:val="54"/>
                    <w:rPr>
                      <w:color w:val="auto"/>
                    </w:rPr>
                  </w:pPr>
                </w:p>
              </w:tc>
              <w:tc>
                <w:tcPr>
                  <w:tcW w:w="947" w:type="dxa"/>
                  <w:vMerge w:val="continue"/>
                  <w:vAlign w:val="center"/>
                </w:tcPr>
                <w:p w14:paraId="4E848376">
                  <w:pPr>
                    <w:pStyle w:val="54"/>
                    <w:rPr>
                      <w:color w:val="auto"/>
                    </w:rPr>
                  </w:pPr>
                </w:p>
              </w:tc>
              <w:tc>
                <w:tcPr>
                  <w:tcW w:w="1786" w:type="dxa"/>
                  <w:vAlign w:val="center"/>
                </w:tcPr>
                <w:p w14:paraId="660EC919">
                  <w:pPr>
                    <w:pStyle w:val="54"/>
                    <w:rPr>
                      <w:color w:val="auto"/>
                    </w:rPr>
                  </w:pPr>
                  <w:r>
                    <w:rPr>
                      <w:color w:val="auto"/>
                    </w:rPr>
                    <w:t>烟气温度</w:t>
                  </w:r>
                </w:p>
              </w:tc>
              <w:tc>
                <w:tcPr>
                  <w:tcW w:w="673" w:type="dxa"/>
                  <w:vAlign w:val="center"/>
                </w:tcPr>
                <w:p w14:paraId="77C78FBE">
                  <w:pPr>
                    <w:pStyle w:val="54"/>
                    <w:rPr>
                      <w:color w:val="auto"/>
                    </w:rPr>
                  </w:pPr>
                  <w:r>
                    <w:rPr>
                      <w:color w:val="auto"/>
                    </w:rPr>
                    <w:t>℃</w:t>
                  </w:r>
                </w:p>
              </w:tc>
              <w:tc>
                <w:tcPr>
                  <w:tcW w:w="854" w:type="dxa"/>
                  <w:vAlign w:val="center"/>
                </w:tcPr>
                <w:p w14:paraId="5DE80364">
                  <w:pPr>
                    <w:pStyle w:val="54"/>
                    <w:rPr>
                      <w:color w:val="auto"/>
                    </w:rPr>
                  </w:pPr>
                  <w:r>
                    <w:rPr>
                      <w:color w:val="auto"/>
                    </w:rPr>
                    <w:t>119</w:t>
                  </w:r>
                </w:p>
              </w:tc>
              <w:tc>
                <w:tcPr>
                  <w:tcW w:w="854" w:type="dxa"/>
                  <w:vAlign w:val="center"/>
                </w:tcPr>
                <w:p w14:paraId="5C1ABFA7">
                  <w:pPr>
                    <w:pStyle w:val="54"/>
                    <w:rPr>
                      <w:color w:val="auto"/>
                    </w:rPr>
                  </w:pPr>
                  <w:r>
                    <w:rPr>
                      <w:color w:val="auto"/>
                    </w:rPr>
                    <w:t>121</w:t>
                  </w:r>
                </w:p>
              </w:tc>
              <w:tc>
                <w:tcPr>
                  <w:tcW w:w="854" w:type="dxa"/>
                  <w:vAlign w:val="center"/>
                </w:tcPr>
                <w:p w14:paraId="6B896DF3">
                  <w:pPr>
                    <w:pStyle w:val="54"/>
                    <w:rPr>
                      <w:color w:val="auto"/>
                    </w:rPr>
                  </w:pPr>
                  <w:r>
                    <w:rPr>
                      <w:color w:val="auto"/>
                    </w:rPr>
                    <w:t>121</w:t>
                  </w:r>
                </w:p>
              </w:tc>
              <w:tc>
                <w:tcPr>
                  <w:tcW w:w="538" w:type="dxa"/>
                  <w:vAlign w:val="center"/>
                </w:tcPr>
                <w:p w14:paraId="02F202EF">
                  <w:pPr>
                    <w:pStyle w:val="54"/>
                    <w:rPr>
                      <w:color w:val="auto"/>
                    </w:rPr>
                  </w:pPr>
                  <w:r>
                    <w:rPr>
                      <w:color w:val="auto"/>
                    </w:rPr>
                    <w:t>/</w:t>
                  </w:r>
                </w:p>
              </w:tc>
              <w:tc>
                <w:tcPr>
                  <w:tcW w:w="590" w:type="dxa"/>
                  <w:vAlign w:val="center"/>
                </w:tcPr>
                <w:p w14:paraId="3BBE44FB">
                  <w:pPr>
                    <w:pStyle w:val="54"/>
                    <w:rPr>
                      <w:color w:val="auto"/>
                    </w:rPr>
                  </w:pPr>
                  <w:r>
                    <w:rPr>
                      <w:color w:val="auto"/>
                    </w:rPr>
                    <w:t>/</w:t>
                  </w:r>
                </w:p>
              </w:tc>
            </w:tr>
            <w:tr w14:paraId="5C46E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24D68C2E">
                  <w:pPr>
                    <w:pStyle w:val="54"/>
                    <w:rPr>
                      <w:color w:val="auto"/>
                    </w:rPr>
                  </w:pPr>
                </w:p>
              </w:tc>
              <w:tc>
                <w:tcPr>
                  <w:tcW w:w="809" w:type="dxa"/>
                  <w:vMerge w:val="continue"/>
                  <w:vAlign w:val="center"/>
                </w:tcPr>
                <w:p w14:paraId="6894E17E">
                  <w:pPr>
                    <w:pStyle w:val="54"/>
                    <w:rPr>
                      <w:color w:val="auto"/>
                    </w:rPr>
                  </w:pPr>
                </w:p>
              </w:tc>
              <w:tc>
                <w:tcPr>
                  <w:tcW w:w="947" w:type="dxa"/>
                  <w:vMerge w:val="continue"/>
                  <w:vAlign w:val="center"/>
                </w:tcPr>
                <w:p w14:paraId="62ED6167">
                  <w:pPr>
                    <w:pStyle w:val="54"/>
                    <w:rPr>
                      <w:color w:val="auto"/>
                    </w:rPr>
                  </w:pPr>
                </w:p>
              </w:tc>
              <w:tc>
                <w:tcPr>
                  <w:tcW w:w="1786" w:type="dxa"/>
                  <w:vAlign w:val="center"/>
                </w:tcPr>
                <w:p w14:paraId="4DB52B62">
                  <w:pPr>
                    <w:pStyle w:val="54"/>
                    <w:rPr>
                      <w:color w:val="auto"/>
                    </w:rPr>
                  </w:pPr>
                  <w:r>
                    <w:rPr>
                      <w:color w:val="auto"/>
                    </w:rPr>
                    <w:t>烟气流速</w:t>
                  </w:r>
                </w:p>
              </w:tc>
              <w:tc>
                <w:tcPr>
                  <w:tcW w:w="673" w:type="dxa"/>
                  <w:vAlign w:val="center"/>
                </w:tcPr>
                <w:p w14:paraId="704177B5">
                  <w:pPr>
                    <w:pStyle w:val="54"/>
                    <w:rPr>
                      <w:color w:val="auto"/>
                    </w:rPr>
                  </w:pPr>
                  <w:r>
                    <w:rPr>
                      <w:color w:val="auto"/>
                    </w:rPr>
                    <w:t>m/s</w:t>
                  </w:r>
                </w:p>
              </w:tc>
              <w:tc>
                <w:tcPr>
                  <w:tcW w:w="854" w:type="dxa"/>
                  <w:vAlign w:val="center"/>
                </w:tcPr>
                <w:p w14:paraId="1437A567">
                  <w:pPr>
                    <w:pStyle w:val="54"/>
                    <w:rPr>
                      <w:color w:val="auto"/>
                    </w:rPr>
                  </w:pPr>
                  <w:r>
                    <w:rPr>
                      <w:color w:val="auto"/>
                    </w:rPr>
                    <w:t>7.5</w:t>
                  </w:r>
                </w:p>
              </w:tc>
              <w:tc>
                <w:tcPr>
                  <w:tcW w:w="854" w:type="dxa"/>
                  <w:vAlign w:val="center"/>
                </w:tcPr>
                <w:p w14:paraId="0E6C0427">
                  <w:pPr>
                    <w:pStyle w:val="54"/>
                    <w:rPr>
                      <w:color w:val="auto"/>
                    </w:rPr>
                  </w:pPr>
                  <w:r>
                    <w:rPr>
                      <w:color w:val="auto"/>
                    </w:rPr>
                    <w:t>7.3</w:t>
                  </w:r>
                </w:p>
              </w:tc>
              <w:tc>
                <w:tcPr>
                  <w:tcW w:w="854" w:type="dxa"/>
                  <w:vAlign w:val="center"/>
                </w:tcPr>
                <w:p w14:paraId="398E6600">
                  <w:pPr>
                    <w:pStyle w:val="54"/>
                    <w:rPr>
                      <w:color w:val="auto"/>
                    </w:rPr>
                  </w:pPr>
                  <w:r>
                    <w:rPr>
                      <w:color w:val="auto"/>
                    </w:rPr>
                    <w:t>7.6</w:t>
                  </w:r>
                </w:p>
              </w:tc>
              <w:tc>
                <w:tcPr>
                  <w:tcW w:w="538" w:type="dxa"/>
                  <w:vAlign w:val="center"/>
                </w:tcPr>
                <w:p w14:paraId="0E48E8F6">
                  <w:pPr>
                    <w:pStyle w:val="54"/>
                    <w:rPr>
                      <w:color w:val="auto"/>
                    </w:rPr>
                  </w:pPr>
                  <w:r>
                    <w:rPr>
                      <w:color w:val="auto"/>
                    </w:rPr>
                    <w:t>/</w:t>
                  </w:r>
                </w:p>
              </w:tc>
              <w:tc>
                <w:tcPr>
                  <w:tcW w:w="590" w:type="dxa"/>
                  <w:vAlign w:val="center"/>
                </w:tcPr>
                <w:p w14:paraId="7C4D60B9">
                  <w:pPr>
                    <w:pStyle w:val="54"/>
                    <w:rPr>
                      <w:color w:val="auto"/>
                    </w:rPr>
                  </w:pPr>
                  <w:r>
                    <w:rPr>
                      <w:color w:val="auto"/>
                    </w:rPr>
                    <w:t>/</w:t>
                  </w:r>
                </w:p>
              </w:tc>
            </w:tr>
            <w:tr w14:paraId="5B9CD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0E8026B0">
                  <w:pPr>
                    <w:pStyle w:val="54"/>
                    <w:rPr>
                      <w:color w:val="auto"/>
                    </w:rPr>
                  </w:pPr>
                </w:p>
              </w:tc>
              <w:tc>
                <w:tcPr>
                  <w:tcW w:w="809" w:type="dxa"/>
                  <w:vMerge w:val="continue"/>
                  <w:vAlign w:val="center"/>
                </w:tcPr>
                <w:p w14:paraId="7DF86125">
                  <w:pPr>
                    <w:pStyle w:val="54"/>
                    <w:rPr>
                      <w:color w:val="auto"/>
                    </w:rPr>
                  </w:pPr>
                </w:p>
              </w:tc>
              <w:tc>
                <w:tcPr>
                  <w:tcW w:w="947" w:type="dxa"/>
                  <w:vMerge w:val="continue"/>
                  <w:vAlign w:val="center"/>
                </w:tcPr>
                <w:p w14:paraId="60FCA9FE">
                  <w:pPr>
                    <w:pStyle w:val="54"/>
                    <w:rPr>
                      <w:color w:val="auto"/>
                    </w:rPr>
                  </w:pPr>
                </w:p>
              </w:tc>
              <w:tc>
                <w:tcPr>
                  <w:tcW w:w="1786" w:type="dxa"/>
                  <w:vAlign w:val="center"/>
                </w:tcPr>
                <w:p w14:paraId="5BE3D3F6">
                  <w:pPr>
                    <w:pStyle w:val="54"/>
                    <w:rPr>
                      <w:color w:val="auto"/>
                    </w:rPr>
                  </w:pPr>
                  <w:r>
                    <w:rPr>
                      <w:color w:val="auto"/>
                    </w:rPr>
                    <w:t>烟气流量</w:t>
                  </w:r>
                </w:p>
              </w:tc>
              <w:tc>
                <w:tcPr>
                  <w:tcW w:w="673" w:type="dxa"/>
                  <w:vAlign w:val="center"/>
                </w:tcPr>
                <w:p w14:paraId="2A2A9A68">
                  <w:pPr>
                    <w:pStyle w:val="54"/>
                    <w:rPr>
                      <w:color w:val="auto"/>
                    </w:rPr>
                  </w:pPr>
                  <w:r>
                    <w:rPr>
                      <w:color w:val="auto"/>
                    </w:rPr>
                    <w:t>m</w:t>
                  </w:r>
                  <w:r>
                    <w:rPr>
                      <w:color w:val="auto"/>
                      <w:vertAlign w:val="superscript"/>
                    </w:rPr>
                    <w:t>3</w:t>
                  </w:r>
                  <w:r>
                    <w:rPr>
                      <w:color w:val="auto"/>
                    </w:rPr>
                    <w:t>/h</w:t>
                  </w:r>
                </w:p>
              </w:tc>
              <w:tc>
                <w:tcPr>
                  <w:tcW w:w="854" w:type="dxa"/>
                  <w:vAlign w:val="center"/>
                </w:tcPr>
                <w:p w14:paraId="6A86A643">
                  <w:pPr>
                    <w:pStyle w:val="54"/>
                    <w:rPr>
                      <w:color w:val="auto"/>
                    </w:rPr>
                  </w:pPr>
                  <w:r>
                    <w:rPr>
                      <w:color w:val="auto"/>
                    </w:rPr>
                    <w:t>47588</w:t>
                  </w:r>
                </w:p>
              </w:tc>
              <w:tc>
                <w:tcPr>
                  <w:tcW w:w="854" w:type="dxa"/>
                  <w:vAlign w:val="center"/>
                </w:tcPr>
                <w:p w14:paraId="12063F80">
                  <w:pPr>
                    <w:pStyle w:val="54"/>
                    <w:rPr>
                      <w:color w:val="auto"/>
                    </w:rPr>
                  </w:pPr>
                  <w:r>
                    <w:rPr>
                      <w:color w:val="auto"/>
                    </w:rPr>
                    <w:t>46619</w:t>
                  </w:r>
                </w:p>
              </w:tc>
              <w:tc>
                <w:tcPr>
                  <w:tcW w:w="854" w:type="dxa"/>
                  <w:vAlign w:val="center"/>
                </w:tcPr>
                <w:p w14:paraId="7F4B40BA">
                  <w:pPr>
                    <w:pStyle w:val="54"/>
                    <w:rPr>
                      <w:color w:val="auto"/>
                    </w:rPr>
                  </w:pPr>
                  <w:r>
                    <w:rPr>
                      <w:color w:val="auto"/>
                    </w:rPr>
                    <w:t>48572</w:t>
                  </w:r>
                </w:p>
              </w:tc>
              <w:tc>
                <w:tcPr>
                  <w:tcW w:w="538" w:type="dxa"/>
                  <w:vAlign w:val="center"/>
                </w:tcPr>
                <w:p w14:paraId="7730F823">
                  <w:pPr>
                    <w:pStyle w:val="54"/>
                    <w:rPr>
                      <w:color w:val="auto"/>
                    </w:rPr>
                  </w:pPr>
                  <w:r>
                    <w:rPr>
                      <w:color w:val="auto"/>
                    </w:rPr>
                    <w:t>/</w:t>
                  </w:r>
                </w:p>
              </w:tc>
              <w:tc>
                <w:tcPr>
                  <w:tcW w:w="590" w:type="dxa"/>
                  <w:vAlign w:val="center"/>
                </w:tcPr>
                <w:p w14:paraId="1CC83D67">
                  <w:pPr>
                    <w:pStyle w:val="54"/>
                    <w:rPr>
                      <w:color w:val="auto"/>
                    </w:rPr>
                  </w:pPr>
                  <w:r>
                    <w:rPr>
                      <w:color w:val="auto"/>
                    </w:rPr>
                    <w:t>/</w:t>
                  </w:r>
                </w:p>
              </w:tc>
            </w:tr>
            <w:tr w14:paraId="4C6F3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shd w:val="clear" w:color="auto" w:fill="auto"/>
                  <w:vAlign w:val="center"/>
                </w:tcPr>
                <w:p w14:paraId="3D95F799">
                  <w:pPr>
                    <w:pStyle w:val="54"/>
                    <w:rPr>
                      <w:color w:val="auto"/>
                    </w:rPr>
                  </w:pPr>
                </w:p>
              </w:tc>
              <w:tc>
                <w:tcPr>
                  <w:tcW w:w="809" w:type="dxa"/>
                  <w:vMerge w:val="continue"/>
                  <w:shd w:val="clear" w:color="auto" w:fill="auto"/>
                  <w:vAlign w:val="center"/>
                </w:tcPr>
                <w:p w14:paraId="52CE80E9">
                  <w:pPr>
                    <w:pStyle w:val="54"/>
                    <w:rPr>
                      <w:color w:val="auto"/>
                    </w:rPr>
                  </w:pPr>
                </w:p>
              </w:tc>
              <w:tc>
                <w:tcPr>
                  <w:tcW w:w="947" w:type="dxa"/>
                  <w:vMerge w:val="continue"/>
                  <w:shd w:val="clear" w:color="auto" w:fill="auto"/>
                  <w:vAlign w:val="center"/>
                </w:tcPr>
                <w:p w14:paraId="04A96E14">
                  <w:pPr>
                    <w:pStyle w:val="54"/>
                    <w:rPr>
                      <w:color w:val="auto"/>
                    </w:rPr>
                  </w:pPr>
                </w:p>
              </w:tc>
              <w:tc>
                <w:tcPr>
                  <w:tcW w:w="1786" w:type="dxa"/>
                  <w:shd w:val="clear" w:color="auto" w:fill="auto"/>
                  <w:vAlign w:val="center"/>
                </w:tcPr>
                <w:p w14:paraId="1F16D5A3">
                  <w:pPr>
                    <w:pStyle w:val="54"/>
                    <w:rPr>
                      <w:color w:val="auto"/>
                    </w:rPr>
                  </w:pPr>
                  <w:r>
                    <w:rPr>
                      <w:color w:val="auto"/>
                    </w:rPr>
                    <w:t>标干流量</w:t>
                  </w:r>
                </w:p>
              </w:tc>
              <w:tc>
                <w:tcPr>
                  <w:tcW w:w="673" w:type="dxa"/>
                  <w:shd w:val="clear" w:color="auto" w:fill="auto"/>
                  <w:vAlign w:val="center"/>
                </w:tcPr>
                <w:p w14:paraId="0549CDEC">
                  <w:pPr>
                    <w:pStyle w:val="54"/>
                    <w:rPr>
                      <w:color w:val="auto"/>
                    </w:rPr>
                  </w:pPr>
                  <w:r>
                    <w:rPr>
                      <w:color w:val="auto"/>
                    </w:rPr>
                    <w:t>Nm</w:t>
                  </w:r>
                  <w:r>
                    <w:rPr>
                      <w:color w:val="auto"/>
                      <w:vertAlign w:val="superscript"/>
                    </w:rPr>
                    <w:t>3</w:t>
                  </w:r>
                  <w:r>
                    <w:rPr>
                      <w:color w:val="auto"/>
                    </w:rPr>
                    <w:t>/h</w:t>
                  </w:r>
                </w:p>
              </w:tc>
              <w:tc>
                <w:tcPr>
                  <w:tcW w:w="854" w:type="dxa"/>
                  <w:vAlign w:val="center"/>
                </w:tcPr>
                <w:p w14:paraId="42831FA8">
                  <w:pPr>
                    <w:pStyle w:val="54"/>
                    <w:rPr>
                      <w:color w:val="auto"/>
                    </w:rPr>
                  </w:pPr>
                  <w:r>
                    <w:rPr>
                      <w:color w:val="auto"/>
                    </w:rPr>
                    <w:t>30169</w:t>
                  </w:r>
                </w:p>
              </w:tc>
              <w:tc>
                <w:tcPr>
                  <w:tcW w:w="854" w:type="dxa"/>
                  <w:vAlign w:val="center"/>
                </w:tcPr>
                <w:p w14:paraId="29584599">
                  <w:pPr>
                    <w:pStyle w:val="54"/>
                    <w:rPr>
                      <w:color w:val="auto"/>
                    </w:rPr>
                  </w:pPr>
                  <w:r>
                    <w:rPr>
                      <w:color w:val="auto"/>
                    </w:rPr>
                    <w:t>29341</w:t>
                  </w:r>
                </w:p>
              </w:tc>
              <w:tc>
                <w:tcPr>
                  <w:tcW w:w="854" w:type="dxa"/>
                  <w:vAlign w:val="center"/>
                </w:tcPr>
                <w:p w14:paraId="660C6A9C">
                  <w:pPr>
                    <w:pStyle w:val="54"/>
                    <w:rPr>
                      <w:color w:val="auto"/>
                    </w:rPr>
                  </w:pPr>
                  <w:r>
                    <w:rPr>
                      <w:color w:val="auto"/>
                    </w:rPr>
                    <w:t>30651</w:t>
                  </w:r>
                </w:p>
              </w:tc>
              <w:tc>
                <w:tcPr>
                  <w:tcW w:w="538" w:type="dxa"/>
                  <w:vAlign w:val="center"/>
                </w:tcPr>
                <w:p w14:paraId="433B659C">
                  <w:pPr>
                    <w:pStyle w:val="54"/>
                    <w:rPr>
                      <w:color w:val="auto"/>
                    </w:rPr>
                  </w:pPr>
                  <w:r>
                    <w:rPr>
                      <w:color w:val="auto"/>
                    </w:rPr>
                    <w:t>/</w:t>
                  </w:r>
                </w:p>
              </w:tc>
              <w:tc>
                <w:tcPr>
                  <w:tcW w:w="590" w:type="dxa"/>
                  <w:vAlign w:val="center"/>
                </w:tcPr>
                <w:p w14:paraId="081A516C">
                  <w:pPr>
                    <w:pStyle w:val="54"/>
                    <w:rPr>
                      <w:color w:val="auto"/>
                    </w:rPr>
                  </w:pPr>
                  <w:r>
                    <w:rPr>
                      <w:color w:val="auto"/>
                    </w:rPr>
                    <w:t>/</w:t>
                  </w:r>
                </w:p>
              </w:tc>
            </w:tr>
            <w:tr w14:paraId="08F31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shd w:val="clear" w:color="auto" w:fill="auto"/>
                  <w:vAlign w:val="center"/>
                </w:tcPr>
                <w:p w14:paraId="367DD4A7">
                  <w:pPr>
                    <w:pStyle w:val="54"/>
                    <w:rPr>
                      <w:color w:val="auto"/>
                    </w:rPr>
                  </w:pPr>
                </w:p>
              </w:tc>
              <w:tc>
                <w:tcPr>
                  <w:tcW w:w="809" w:type="dxa"/>
                  <w:vMerge w:val="continue"/>
                  <w:shd w:val="clear" w:color="auto" w:fill="auto"/>
                  <w:vAlign w:val="center"/>
                </w:tcPr>
                <w:p w14:paraId="4E07722E">
                  <w:pPr>
                    <w:pStyle w:val="54"/>
                    <w:rPr>
                      <w:color w:val="auto"/>
                    </w:rPr>
                  </w:pPr>
                </w:p>
              </w:tc>
              <w:tc>
                <w:tcPr>
                  <w:tcW w:w="947" w:type="dxa"/>
                  <w:vMerge w:val="continue"/>
                  <w:shd w:val="clear" w:color="auto" w:fill="auto"/>
                  <w:vAlign w:val="center"/>
                </w:tcPr>
                <w:p w14:paraId="05848CFF">
                  <w:pPr>
                    <w:pStyle w:val="54"/>
                    <w:rPr>
                      <w:color w:val="auto"/>
                    </w:rPr>
                  </w:pPr>
                </w:p>
              </w:tc>
              <w:tc>
                <w:tcPr>
                  <w:tcW w:w="1786" w:type="dxa"/>
                  <w:shd w:val="clear" w:color="auto" w:fill="auto"/>
                  <w:vAlign w:val="center"/>
                </w:tcPr>
                <w:p w14:paraId="618BDC87">
                  <w:pPr>
                    <w:pStyle w:val="54"/>
                    <w:rPr>
                      <w:color w:val="auto"/>
                    </w:rPr>
                  </w:pPr>
                  <w:r>
                    <w:rPr>
                      <w:color w:val="auto"/>
                    </w:rPr>
                    <w:t>烟气含氧量</w:t>
                  </w:r>
                </w:p>
              </w:tc>
              <w:tc>
                <w:tcPr>
                  <w:tcW w:w="673" w:type="dxa"/>
                  <w:shd w:val="clear" w:color="auto" w:fill="auto"/>
                  <w:vAlign w:val="center"/>
                </w:tcPr>
                <w:p w14:paraId="12387A6D">
                  <w:pPr>
                    <w:pStyle w:val="54"/>
                    <w:rPr>
                      <w:color w:val="auto"/>
                    </w:rPr>
                  </w:pPr>
                  <w:r>
                    <w:rPr>
                      <w:color w:val="auto"/>
                    </w:rPr>
                    <w:t>%</w:t>
                  </w:r>
                </w:p>
              </w:tc>
              <w:tc>
                <w:tcPr>
                  <w:tcW w:w="854" w:type="dxa"/>
                  <w:vAlign w:val="center"/>
                </w:tcPr>
                <w:p w14:paraId="7A0ED97C">
                  <w:pPr>
                    <w:pStyle w:val="54"/>
                    <w:rPr>
                      <w:color w:val="auto"/>
                    </w:rPr>
                  </w:pPr>
                  <w:r>
                    <w:rPr>
                      <w:color w:val="auto"/>
                    </w:rPr>
                    <w:t>20.6</w:t>
                  </w:r>
                </w:p>
              </w:tc>
              <w:tc>
                <w:tcPr>
                  <w:tcW w:w="854" w:type="dxa"/>
                  <w:vAlign w:val="center"/>
                </w:tcPr>
                <w:p w14:paraId="1E658C93">
                  <w:pPr>
                    <w:pStyle w:val="54"/>
                    <w:rPr>
                      <w:color w:val="auto"/>
                    </w:rPr>
                  </w:pPr>
                  <w:r>
                    <w:rPr>
                      <w:color w:val="auto"/>
                    </w:rPr>
                    <w:t>20.5</w:t>
                  </w:r>
                </w:p>
              </w:tc>
              <w:tc>
                <w:tcPr>
                  <w:tcW w:w="854" w:type="dxa"/>
                  <w:vAlign w:val="center"/>
                </w:tcPr>
                <w:p w14:paraId="055EDD78">
                  <w:pPr>
                    <w:pStyle w:val="54"/>
                    <w:rPr>
                      <w:color w:val="auto"/>
                    </w:rPr>
                  </w:pPr>
                  <w:r>
                    <w:rPr>
                      <w:color w:val="auto"/>
                    </w:rPr>
                    <w:t>20.5</w:t>
                  </w:r>
                </w:p>
              </w:tc>
              <w:tc>
                <w:tcPr>
                  <w:tcW w:w="538" w:type="dxa"/>
                  <w:vAlign w:val="center"/>
                </w:tcPr>
                <w:p w14:paraId="7E658CF3">
                  <w:pPr>
                    <w:pStyle w:val="54"/>
                    <w:rPr>
                      <w:color w:val="auto"/>
                    </w:rPr>
                  </w:pPr>
                  <w:r>
                    <w:rPr>
                      <w:color w:val="auto"/>
                    </w:rPr>
                    <w:t>/</w:t>
                  </w:r>
                </w:p>
              </w:tc>
              <w:tc>
                <w:tcPr>
                  <w:tcW w:w="590" w:type="dxa"/>
                  <w:vAlign w:val="center"/>
                </w:tcPr>
                <w:p w14:paraId="70E9C93E">
                  <w:pPr>
                    <w:pStyle w:val="54"/>
                    <w:rPr>
                      <w:color w:val="auto"/>
                    </w:rPr>
                  </w:pPr>
                  <w:r>
                    <w:rPr>
                      <w:color w:val="auto"/>
                    </w:rPr>
                    <w:t>/</w:t>
                  </w:r>
                </w:p>
              </w:tc>
            </w:tr>
            <w:tr w14:paraId="1A6A8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shd w:val="clear" w:color="auto" w:fill="auto"/>
                  <w:vAlign w:val="center"/>
                </w:tcPr>
                <w:p w14:paraId="65EB31DB">
                  <w:pPr>
                    <w:pStyle w:val="54"/>
                    <w:rPr>
                      <w:color w:val="auto"/>
                    </w:rPr>
                  </w:pPr>
                </w:p>
              </w:tc>
              <w:tc>
                <w:tcPr>
                  <w:tcW w:w="809" w:type="dxa"/>
                  <w:vMerge w:val="continue"/>
                  <w:shd w:val="clear" w:color="auto" w:fill="auto"/>
                  <w:vAlign w:val="center"/>
                </w:tcPr>
                <w:p w14:paraId="54216AB5">
                  <w:pPr>
                    <w:pStyle w:val="54"/>
                    <w:rPr>
                      <w:color w:val="auto"/>
                    </w:rPr>
                  </w:pPr>
                </w:p>
              </w:tc>
              <w:tc>
                <w:tcPr>
                  <w:tcW w:w="947" w:type="dxa"/>
                  <w:vMerge w:val="continue"/>
                  <w:shd w:val="clear" w:color="auto" w:fill="auto"/>
                  <w:vAlign w:val="center"/>
                </w:tcPr>
                <w:p w14:paraId="2A0FE353">
                  <w:pPr>
                    <w:pStyle w:val="54"/>
                    <w:rPr>
                      <w:color w:val="auto"/>
                    </w:rPr>
                  </w:pPr>
                </w:p>
              </w:tc>
              <w:tc>
                <w:tcPr>
                  <w:tcW w:w="1786" w:type="dxa"/>
                  <w:shd w:val="clear" w:color="auto" w:fill="auto"/>
                  <w:vAlign w:val="center"/>
                </w:tcPr>
                <w:p w14:paraId="55FE51ED">
                  <w:pPr>
                    <w:pStyle w:val="54"/>
                    <w:rPr>
                      <w:color w:val="auto"/>
                    </w:rPr>
                  </w:pPr>
                  <w:r>
                    <w:rPr>
                      <w:color w:val="auto"/>
                    </w:rPr>
                    <w:t>颗粒物实测浓度</w:t>
                  </w:r>
                </w:p>
              </w:tc>
              <w:tc>
                <w:tcPr>
                  <w:tcW w:w="673" w:type="dxa"/>
                  <w:shd w:val="clear" w:color="auto" w:fill="auto"/>
                  <w:vAlign w:val="center"/>
                </w:tcPr>
                <w:p w14:paraId="1A2822E2">
                  <w:pPr>
                    <w:pStyle w:val="54"/>
                    <w:rPr>
                      <w:color w:val="auto"/>
                    </w:rPr>
                  </w:pPr>
                  <w:r>
                    <w:rPr>
                      <w:color w:val="auto"/>
                    </w:rPr>
                    <w:t>mg/m</w:t>
                  </w:r>
                  <w:r>
                    <w:rPr>
                      <w:color w:val="auto"/>
                      <w:vertAlign w:val="superscript"/>
                    </w:rPr>
                    <w:t>3</w:t>
                  </w:r>
                </w:p>
              </w:tc>
              <w:tc>
                <w:tcPr>
                  <w:tcW w:w="854" w:type="dxa"/>
                  <w:vAlign w:val="center"/>
                </w:tcPr>
                <w:p w14:paraId="402CDC5B">
                  <w:pPr>
                    <w:pStyle w:val="54"/>
                    <w:rPr>
                      <w:color w:val="auto"/>
                    </w:rPr>
                  </w:pPr>
                  <w:r>
                    <w:rPr>
                      <w:color w:val="auto"/>
                    </w:rPr>
                    <w:t>45.5</w:t>
                  </w:r>
                </w:p>
              </w:tc>
              <w:tc>
                <w:tcPr>
                  <w:tcW w:w="854" w:type="dxa"/>
                  <w:vAlign w:val="center"/>
                </w:tcPr>
                <w:p w14:paraId="52BDEF69">
                  <w:pPr>
                    <w:pStyle w:val="54"/>
                    <w:rPr>
                      <w:color w:val="auto"/>
                    </w:rPr>
                  </w:pPr>
                  <w:r>
                    <w:rPr>
                      <w:color w:val="auto"/>
                    </w:rPr>
                    <w:t>48.7</w:t>
                  </w:r>
                </w:p>
              </w:tc>
              <w:tc>
                <w:tcPr>
                  <w:tcW w:w="854" w:type="dxa"/>
                  <w:vAlign w:val="center"/>
                </w:tcPr>
                <w:p w14:paraId="52010459">
                  <w:pPr>
                    <w:pStyle w:val="54"/>
                    <w:rPr>
                      <w:color w:val="auto"/>
                    </w:rPr>
                  </w:pPr>
                  <w:r>
                    <w:rPr>
                      <w:color w:val="auto"/>
                    </w:rPr>
                    <w:t>52.4</w:t>
                  </w:r>
                </w:p>
              </w:tc>
              <w:tc>
                <w:tcPr>
                  <w:tcW w:w="538" w:type="dxa"/>
                  <w:vAlign w:val="center"/>
                </w:tcPr>
                <w:p w14:paraId="046F7004">
                  <w:pPr>
                    <w:pStyle w:val="54"/>
                    <w:rPr>
                      <w:color w:val="auto"/>
                    </w:rPr>
                  </w:pPr>
                  <w:r>
                    <w:rPr>
                      <w:color w:val="auto"/>
                    </w:rPr>
                    <w:t>/</w:t>
                  </w:r>
                </w:p>
              </w:tc>
              <w:tc>
                <w:tcPr>
                  <w:tcW w:w="590" w:type="dxa"/>
                  <w:vAlign w:val="center"/>
                </w:tcPr>
                <w:p w14:paraId="309867E1">
                  <w:pPr>
                    <w:pStyle w:val="54"/>
                    <w:rPr>
                      <w:color w:val="auto"/>
                    </w:rPr>
                  </w:pPr>
                  <w:r>
                    <w:rPr>
                      <w:color w:val="auto"/>
                    </w:rPr>
                    <w:t>/</w:t>
                  </w:r>
                </w:p>
              </w:tc>
            </w:tr>
            <w:tr w14:paraId="0108A6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288" w:hRule="atLeast"/>
                <w:jc w:val="center"/>
              </w:trPr>
              <w:tc>
                <w:tcPr>
                  <w:tcW w:w="528" w:type="dxa"/>
                  <w:vMerge w:val="continue"/>
                  <w:shd w:val="clear" w:color="auto" w:fill="auto"/>
                  <w:vAlign w:val="center"/>
                </w:tcPr>
                <w:p w14:paraId="2FCF0FBF">
                  <w:pPr>
                    <w:pStyle w:val="54"/>
                    <w:rPr>
                      <w:color w:val="auto"/>
                    </w:rPr>
                  </w:pPr>
                </w:p>
              </w:tc>
              <w:tc>
                <w:tcPr>
                  <w:tcW w:w="809" w:type="dxa"/>
                  <w:vMerge w:val="continue"/>
                  <w:shd w:val="clear" w:color="auto" w:fill="auto"/>
                  <w:vAlign w:val="center"/>
                </w:tcPr>
                <w:p w14:paraId="5DDECAC7">
                  <w:pPr>
                    <w:pStyle w:val="54"/>
                    <w:rPr>
                      <w:color w:val="auto"/>
                    </w:rPr>
                  </w:pPr>
                </w:p>
              </w:tc>
              <w:tc>
                <w:tcPr>
                  <w:tcW w:w="947" w:type="dxa"/>
                  <w:vMerge w:val="continue"/>
                  <w:shd w:val="clear" w:color="auto" w:fill="auto"/>
                  <w:vAlign w:val="center"/>
                </w:tcPr>
                <w:p w14:paraId="0FC98BF5">
                  <w:pPr>
                    <w:pStyle w:val="54"/>
                    <w:rPr>
                      <w:color w:val="auto"/>
                    </w:rPr>
                  </w:pPr>
                </w:p>
              </w:tc>
              <w:tc>
                <w:tcPr>
                  <w:tcW w:w="1786" w:type="dxa"/>
                  <w:shd w:val="clear" w:color="auto" w:fill="auto"/>
                  <w:vAlign w:val="center"/>
                </w:tcPr>
                <w:p w14:paraId="14C3236C">
                  <w:pPr>
                    <w:pStyle w:val="54"/>
                    <w:rPr>
                      <w:color w:val="auto"/>
                    </w:rPr>
                  </w:pPr>
                  <w:r>
                    <w:rPr>
                      <w:color w:val="auto"/>
                    </w:rPr>
                    <w:t>颗粒物排放速率</w:t>
                  </w:r>
                </w:p>
              </w:tc>
              <w:tc>
                <w:tcPr>
                  <w:tcW w:w="673" w:type="dxa"/>
                  <w:shd w:val="clear" w:color="auto" w:fill="auto"/>
                  <w:vAlign w:val="center"/>
                </w:tcPr>
                <w:p w14:paraId="31C1ACFB">
                  <w:pPr>
                    <w:pStyle w:val="54"/>
                    <w:rPr>
                      <w:color w:val="auto"/>
                    </w:rPr>
                  </w:pPr>
                  <w:r>
                    <w:rPr>
                      <w:color w:val="auto"/>
                    </w:rPr>
                    <w:t>kg/h</w:t>
                  </w:r>
                </w:p>
              </w:tc>
              <w:tc>
                <w:tcPr>
                  <w:tcW w:w="854" w:type="dxa"/>
                  <w:vAlign w:val="center"/>
                </w:tcPr>
                <w:p w14:paraId="32E99E3A">
                  <w:pPr>
                    <w:pStyle w:val="54"/>
                    <w:rPr>
                      <w:color w:val="auto"/>
                    </w:rPr>
                  </w:pPr>
                  <w:r>
                    <w:rPr>
                      <w:color w:val="auto"/>
                    </w:rPr>
                    <w:t>1.37</w:t>
                  </w:r>
                </w:p>
              </w:tc>
              <w:tc>
                <w:tcPr>
                  <w:tcW w:w="854" w:type="dxa"/>
                  <w:vAlign w:val="center"/>
                </w:tcPr>
                <w:p w14:paraId="0C327993">
                  <w:pPr>
                    <w:pStyle w:val="54"/>
                    <w:rPr>
                      <w:color w:val="auto"/>
                    </w:rPr>
                  </w:pPr>
                  <w:r>
                    <w:rPr>
                      <w:color w:val="auto"/>
                    </w:rPr>
                    <w:t>1.43</w:t>
                  </w:r>
                </w:p>
              </w:tc>
              <w:tc>
                <w:tcPr>
                  <w:tcW w:w="854" w:type="dxa"/>
                  <w:vAlign w:val="center"/>
                </w:tcPr>
                <w:p w14:paraId="3DC3D989">
                  <w:pPr>
                    <w:pStyle w:val="54"/>
                    <w:rPr>
                      <w:color w:val="auto"/>
                    </w:rPr>
                  </w:pPr>
                  <w:r>
                    <w:rPr>
                      <w:color w:val="auto"/>
                    </w:rPr>
                    <w:t>1.61</w:t>
                  </w:r>
                </w:p>
              </w:tc>
              <w:tc>
                <w:tcPr>
                  <w:tcW w:w="538" w:type="dxa"/>
                  <w:vAlign w:val="center"/>
                </w:tcPr>
                <w:p w14:paraId="79359E37">
                  <w:pPr>
                    <w:pStyle w:val="54"/>
                    <w:rPr>
                      <w:color w:val="auto"/>
                    </w:rPr>
                  </w:pPr>
                  <w:r>
                    <w:rPr>
                      <w:color w:val="auto"/>
                    </w:rPr>
                    <w:t>/</w:t>
                  </w:r>
                </w:p>
              </w:tc>
              <w:tc>
                <w:tcPr>
                  <w:tcW w:w="590" w:type="dxa"/>
                  <w:vAlign w:val="center"/>
                </w:tcPr>
                <w:p w14:paraId="7B91B4F4">
                  <w:pPr>
                    <w:pStyle w:val="54"/>
                    <w:rPr>
                      <w:color w:val="auto"/>
                    </w:rPr>
                  </w:pPr>
                  <w:r>
                    <w:rPr>
                      <w:color w:val="auto"/>
                    </w:rPr>
                    <w:t>/</w:t>
                  </w:r>
                </w:p>
              </w:tc>
            </w:tr>
            <w:tr w14:paraId="6F26A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restart"/>
                  <w:vAlign w:val="center"/>
                </w:tcPr>
                <w:p w14:paraId="7CAE3359">
                  <w:pPr>
                    <w:pStyle w:val="54"/>
                    <w:rPr>
                      <w:color w:val="auto"/>
                    </w:rPr>
                  </w:pPr>
                  <w:r>
                    <w:rPr>
                      <w:color w:val="auto"/>
                    </w:rPr>
                    <w:t>2025.07.08~</w:t>
                  </w:r>
                </w:p>
                <w:p w14:paraId="6A1BEBB5">
                  <w:pPr>
                    <w:pStyle w:val="54"/>
                    <w:rPr>
                      <w:color w:val="auto"/>
                    </w:rPr>
                  </w:pPr>
                  <w:r>
                    <w:rPr>
                      <w:color w:val="auto"/>
                    </w:rPr>
                    <w:t>07.09</w:t>
                  </w:r>
                </w:p>
              </w:tc>
              <w:tc>
                <w:tcPr>
                  <w:tcW w:w="809" w:type="dxa"/>
                  <w:vMerge w:val="restart"/>
                  <w:vAlign w:val="center"/>
                </w:tcPr>
                <w:p w14:paraId="6D65C0CC">
                  <w:pPr>
                    <w:pStyle w:val="54"/>
                    <w:rPr>
                      <w:color w:val="auto"/>
                    </w:rPr>
                  </w:pPr>
                  <w:r>
                    <w:rPr>
                      <w:color w:val="auto"/>
                    </w:rPr>
                    <w:t>DA001排气筒出口</w:t>
                  </w:r>
                </w:p>
              </w:tc>
              <w:tc>
                <w:tcPr>
                  <w:tcW w:w="947" w:type="dxa"/>
                  <w:vMerge w:val="restart"/>
                  <w:vAlign w:val="center"/>
                </w:tcPr>
                <w:p w14:paraId="2772299D">
                  <w:pPr>
                    <w:pStyle w:val="54"/>
                    <w:rPr>
                      <w:color w:val="auto"/>
                    </w:rPr>
                  </w:pPr>
                  <w:r>
                    <w:rPr>
                      <w:color w:val="auto"/>
                    </w:rPr>
                    <w:t>列管冷却+多管除尘器+旋风除尘器+布袋除尘器</w:t>
                  </w:r>
                </w:p>
              </w:tc>
              <w:tc>
                <w:tcPr>
                  <w:tcW w:w="1786" w:type="dxa"/>
                  <w:vAlign w:val="center"/>
                </w:tcPr>
                <w:p w14:paraId="2642D19C">
                  <w:pPr>
                    <w:pStyle w:val="54"/>
                    <w:rPr>
                      <w:color w:val="auto"/>
                    </w:rPr>
                  </w:pPr>
                  <w:r>
                    <w:rPr>
                      <w:color w:val="auto"/>
                    </w:rPr>
                    <w:t>烟道截面积</w:t>
                  </w:r>
                </w:p>
              </w:tc>
              <w:tc>
                <w:tcPr>
                  <w:tcW w:w="673" w:type="dxa"/>
                  <w:vAlign w:val="center"/>
                </w:tcPr>
                <w:p w14:paraId="028EE4B9">
                  <w:pPr>
                    <w:pStyle w:val="54"/>
                    <w:rPr>
                      <w:color w:val="auto"/>
                    </w:rPr>
                  </w:pPr>
                  <w:r>
                    <w:rPr>
                      <w:color w:val="auto"/>
                    </w:rPr>
                    <w:t>m</w:t>
                  </w:r>
                  <w:r>
                    <w:rPr>
                      <w:color w:val="auto"/>
                      <w:vertAlign w:val="superscript"/>
                    </w:rPr>
                    <w:t>2</w:t>
                  </w:r>
                </w:p>
              </w:tc>
              <w:tc>
                <w:tcPr>
                  <w:tcW w:w="854" w:type="dxa"/>
                  <w:vAlign w:val="center"/>
                </w:tcPr>
                <w:p w14:paraId="695F4215">
                  <w:pPr>
                    <w:pStyle w:val="54"/>
                    <w:rPr>
                      <w:color w:val="auto"/>
                    </w:rPr>
                  </w:pPr>
                  <w:r>
                    <w:rPr>
                      <w:color w:val="auto"/>
                    </w:rPr>
                    <w:t>1.7671</w:t>
                  </w:r>
                </w:p>
              </w:tc>
              <w:tc>
                <w:tcPr>
                  <w:tcW w:w="854" w:type="dxa"/>
                  <w:vAlign w:val="center"/>
                </w:tcPr>
                <w:p w14:paraId="16866C29">
                  <w:pPr>
                    <w:pStyle w:val="54"/>
                    <w:rPr>
                      <w:color w:val="auto"/>
                    </w:rPr>
                  </w:pPr>
                  <w:r>
                    <w:rPr>
                      <w:color w:val="auto"/>
                    </w:rPr>
                    <w:t>1.7671</w:t>
                  </w:r>
                </w:p>
              </w:tc>
              <w:tc>
                <w:tcPr>
                  <w:tcW w:w="854" w:type="dxa"/>
                  <w:vAlign w:val="center"/>
                </w:tcPr>
                <w:p w14:paraId="44C02F8C">
                  <w:pPr>
                    <w:pStyle w:val="54"/>
                    <w:rPr>
                      <w:color w:val="auto"/>
                    </w:rPr>
                  </w:pPr>
                  <w:r>
                    <w:rPr>
                      <w:color w:val="auto"/>
                    </w:rPr>
                    <w:t>1.7671</w:t>
                  </w:r>
                </w:p>
              </w:tc>
              <w:tc>
                <w:tcPr>
                  <w:tcW w:w="538" w:type="dxa"/>
                  <w:vAlign w:val="center"/>
                </w:tcPr>
                <w:p w14:paraId="43E863C3">
                  <w:pPr>
                    <w:pStyle w:val="54"/>
                    <w:rPr>
                      <w:color w:val="auto"/>
                    </w:rPr>
                  </w:pPr>
                  <w:r>
                    <w:rPr>
                      <w:color w:val="auto"/>
                    </w:rPr>
                    <w:t>/</w:t>
                  </w:r>
                </w:p>
              </w:tc>
              <w:tc>
                <w:tcPr>
                  <w:tcW w:w="590" w:type="dxa"/>
                  <w:vAlign w:val="center"/>
                </w:tcPr>
                <w:p w14:paraId="0880B84C">
                  <w:pPr>
                    <w:pStyle w:val="54"/>
                    <w:rPr>
                      <w:color w:val="auto"/>
                    </w:rPr>
                  </w:pPr>
                  <w:r>
                    <w:rPr>
                      <w:color w:val="auto"/>
                    </w:rPr>
                    <w:t>/</w:t>
                  </w:r>
                </w:p>
              </w:tc>
            </w:tr>
            <w:tr w14:paraId="418E0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502D178C">
                  <w:pPr>
                    <w:pStyle w:val="54"/>
                    <w:rPr>
                      <w:color w:val="auto"/>
                    </w:rPr>
                  </w:pPr>
                </w:p>
              </w:tc>
              <w:tc>
                <w:tcPr>
                  <w:tcW w:w="809" w:type="dxa"/>
                  <w:vMerge w:val="continue"/>
                  <w:vAlign w:val="center"/>
                </w:tcPr>
                <w:p w14:paraId="26A99A8A">
                  <w:pPr>
                    <w:pStyle w:val="54"/>
                    <w:rPr>
                      <w:color w:val="auto"/>
                    </w:rPr>
                  </w:pPr>
                </w:p>
              </w:tc>
              <w:tc>
                <w:tcPr>
                  <w:tcW w:w="947" w:type="dxa"/>
                  <w:vMerge w:val="continue"/>
                  <w:vAlign w:val="center"/>
                </w:tcPr>
                <w:p w14:paraId="404E9E8C">
                  <w:pPr>
                    <w:pStyle w:val="54"/>
                    <w:rPr>
                      <w:color w:val="auto"/>
                    </w:rPr>
                  </w:pPr>
                </w:p>
              </w:tc>
              <w:tc>
                <w:tcPr>
                  <w:tcW w:w="1786" w:type="dxa"/>
                  <w:vAlign w:val="center"/>
                </w:tcPr>
                <w:p w14:paraId="36F1B8DB">
                  <w:pPr>
                    <w:pStyle w:val="54"/>
                    <w:rPr>
                      <w:color w:val="auto"/>
                    </w:rPr>
                  </w:pPr>
                  <w:r>
                    <w:rPr>
                      <w:color w:val="auto"/>
                    </w:rPr>
                    <w:t>烟气含湿量</w:t>
                  </w:r>
                </w:p>
              </w:tc>
              <w:tc>
                <w:tcPr>
                  <w:tcW w:w="673" w:type="dxa"/>
                  <w:vAlign w:val="center"/>
                </w:tcPr>
                <w:p w14:paraId="2EB92D1F">
                  <w:pPr>
                    <w:pStyle w:val="54"/>
                    <w:rPr>
                      <w:color w:val="auto"/>
                    </w:rPr>
                  </w:pPr>
                  <w:r>
                    <w:rPr>
                      <w:color w:val="auto"/>
                    </w:rPr>
                    <w:t>%</w:t>
                  </w:r>
                </w:p>
              </w:tc>
              <w:tc>
                <w:tcPr>
                  <w:tcW w:w="854" w:type="dxa"/>
                  <w:vAlign w:val="center"/>
                </w:tcPr>
                <w:p w14:paraId="511A3DDF">
                  <w:pPr>
                    <w:pStyle w:val="54"/>
                    <w:rPr>
                      <w:color w:val="auto"/>
                    </w:rPr>
                  </w:pPr>
                  <w:r>
                    <w:rPr>
                      <w:color w:val="auto"/>
                    </w:rPr>
                    <w:t>7.2</w:t>
                  </w:r>
                </w:p>
              </w:tc>
              <w:tc>
                <w:tcPr>
                  <w:tcW w:w="854" w:type="dxa"/>
                  <w:vAlign w:val="center"/>
                </w:tcPr>
                <w:p w14:paraId="712849F3">
                  <w:pPr>
                    <w:pStyle w:val="54"/>
                    <w:rPr>
                      <w:color w:val="auto"/>
                    </w:rPr>
                  </w:pPr>
                  <w:r>
                    <w:rPr>
                      <w:color w:val="auto"/>
                    </w:rPr>
                    <w:t>7.3</w:t>
                  </w:r>
                </w:p>
              </w:tc>
              <w:tc>
                <w:tcPr>
                  <w:tcW w:w="854" w:type="dxa"/>
                  <w:vAlign w:val="center"/>
                </w:tcPr>
                <w:p w14:paraId="7B1A31C3">
                  <w:pPr>
                    <w:pStyle w:val="54"/>
                    <w:rPr>
                      <w:color w:val="auto"/>
                    </w:rPr>
                  </w:pPr>
                  <w:r>
                    <w:rPr>
                      <w:color w:val="auto"/>
                    </w:rPr>
                    <w:t>7.3</w:t>
                  </w:r>
                </w:p>
              </w:tc>
              <w:tc>
                <w:tcPr>
                  <w:tcW w:w="538" w:type="dxa"/>
                  <w:vAlign w:val="center"/>
                </w:tcPr>
                <w:p w14:paraId="0F4BEAA6">
                  <w:pPr>
                    <w:pStyle w:val="54"/>
                    <w:rPr>
                      <w:color w:val="auto"/>
                    </w:rPr>
                  </w:pPr>
                  <w:r>
                    <w:rPr>
                      <w:color w:val="auto"/>
                    </w:rPr>
                    <w:t>/</w:t>
                  </w:r>
                </w:p>
              </w:tc>
              <w:tc>
                <w:tcPr>
                  <w:tcW w:w="590" w:type="dxa"/>
                  <w:vAlign w:val="center"/>
                </w:tcPr>
                <w:p w14:paraId="75E8423C">
                  <w:pPr>
                    <w:pStyle w:val="54"/>
                    <w:rPr>
                      <w:color w:val="auto"/>
                    </w:rPr>
                  </w:pPr>
                  <w:r>
                    <w:rPr>
                      <w:color w:val="auto"/>
                    </w:rPr>
                    <w:t>/</w:t>
                  </w:r>
                </w:p>
              </w:tc>
            </w:tr>
            <w:tr w14:paraId="1A5CC5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274" w:hRule="atLeast"/>
                <w:jc w:val="center"/>
              </w:trPr>
              <w:tc>
                <w:tcPr>
                  <w:tcW w:w="528" w:type="dxa"/>
                  <w:vMerge w:val="continue"/>
                  <w:vAlign w:val="center"/>
                </w:tcPr>
                <w:p w14:paraId="71121F2A">
                  <w:pPr>
                    <w:pStyle w:val="54"/>
                    <w:rPr>
                      <w:color w:val="auto"/>
                    </w:rPr>
                  </w:pPr>
                </w:p>
              </w:tc>
              <w:tc>
                <w:tcPr>
                  <w:tcW w:w="809" w:type="dxa"/>
                  <w:vMerge w:val="continue"/>
                  <w:vAlign w:val="center"/>
                </w:tcPr>
                <w:p w14:paraId="4495B78C">
                  <w:pPr>
                    <w:pStyle w:val="54"/>
                    <w:rPr>
                      <w:color w:val="auto"/>
                    </w:rPr>
                  </w:pPr>
                </w:p>
              </w:tc>
              <w:tc>
                <w:tcPr>
                  <w:tcW w:w="947" w:type="dxa"/>
                  <w:vMerge w:val="continue"/>
                  <w:vAlign w:val="center"/>
                </w:tcPr>
                <w:p w14:paraId="3107484B">
                  <w:pPr>
                    <w:pStyle w:val="54"/>
                    <w:rPr>
                      <w:color w:val="auto"/>
                    </w:rPr>
                  </w:pPr>
                </w:p>
              </w:tc>
              <w:tc>
                <w:tcPr>
                  <w:tcW w:w="1786" w:type="dxa"/>
                  <w:vAlign w:val="center"/>
                </w:tcPr>
                <w:p w14:paraId="375185B1">
                  <w:pPr>
                    <w:pStyle w:val="54"/>
                    <w:rPr>
                      <w:color w:val="auto"/>
                    </w:rPr>
                  </w:pPr>
                  <w:r>
                    <w:rPr>
                      <w:color w:val="auto"/>
                    </w:rPr>
                    <w:t>烟气温度</w:t>
                  </w:r>
                </w:p>
              </w:tc>
              <w:tc>
                <w:tcPr>
                  <w:tcW w:w="673" w:type="dxa"/>
                  <w:vAlign w:val="center"/>
                </w:tcPr>
                <w:p w14:paraId="207D76F2">
                  <w:pPr>
                    <w:pStyle w:val="54"/>
                    <w:rPr>
                      <w:color w:val="auto"/>
                    </w:rPr>
                  </w:pPr>
                  <w:r>
                    <w:rPr>
                      <w:color w:val="auto"/>
                    </w:rPr>
                    <w:t>℃</w:t>
                  </w:r>
                </w:p>
              </w:tc>
              <w:tc>
                <w:tcPr>
                  <w:tcW w:w="854" w:type="dxa"/>
                  <w:vAlign w:val="center"/>
                </w:tcPr>
                <w:p w14:paraId="35E1A5D4">
                  <w:pPr>
                    <w:pStyle w:val="54"/>
                    <w:rPr>
                      <w:color w:val="auto"/>
                    </w:rPr>
                  </w:pPr>
                  <w:r>
                    <w:rPr>
                      <w:color w:val="auto"/>
                    </w:rPr>
                    <w:t>87</w:t>
                  </w:r>
                </w:p>
              </w:tc>
              <w:tc>
                <w:tcPr>
                  <w:tcW w:w="854" w:type="dxa"/>
                  <w:vAlign w:val="center"/>
                </w:tcPr>
                <w:p w14:paraId="04FAD6DF">
                  <w:pPr>
                    <w:pStyle w:val="54"/>
                    <w:rPr>
                      <w:color w:val="auto"/>
                    </w:rPr>
                  </w:pPr>
                  <w:r>
                    <w:rPr>
                      <w:color w:val="auto"/>
                    </w:rPr>
                    <w:t>98</w:t>
                  </w:r>
                </w:p>
              </w:tc>
              <w:tc>
                <w:tcPr>
                  <w:tcW w:w="854" w:type="dxa"/>
                  <w:vAlign w:val="center"/>
                </w:tcPr>
                <w:p w14:paraId="13B353EB">
                  <w:pPr>
                    <w:pStyle w:val="54"/>
                    <w:rPr>
                      <w:color w:val="auto"/>
                    </w:rPr>
                  </w:pPr>
                  <w:r>
                    <w:rPr>
                      <w:color w:val="auto"/>
                    </w:rPr>
                    <w:t>89</w:t>
                  </w:r>
                </w:p>
              </w:tc>
              <w:tc>
                <w:tcPr>
                  <w:tcW w:w="538" w:type="dxa"/>
                  <w:vAlign w:val="center"/>
                </w:tcPr>
                <w:p w14:paraId="110E04DD">
                  <w:pPr>
                    <w:pStyle w:val="54"/>
                    <w:rPr>
                      <w:color w:val="auto"/>
                    </w:rPr>
                  </w:pPr>
                  <w:r>
                    <w:rPr>
                      <w:color w:val="auto"/>
                    </w:rPr>
                    <w:t>/</w:t>
                  </w:r>
                </w:p>
              </w:tc>
              <w:tc>
                <w:tcPr>
                  <w:tcW w:w="590" w:type="dxa"/>
                  <w:vAlign w:val="center"/>
                </w:tcPr>
                <w:p w14:paraId="7F4FCDB2">
                  <w:pPr>
                    <w:pStyle w:val="54"/>
                    <w:rPr>
                      <w:color w:val="auto"/>
                    </w:rPr>
                  </w:pPr>
                  <w:r>
                    <w:rPr>
                      <w:color w:val="auto"/>
                    </w:rPr>
                    <w:t>/</w:t>
                  </w:r>
                </w:p>
              </w:tc>
            </w:tr>
            <w:tr w14:paraId="3A5DE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338CFDA2">
                  <w:pPr>
                    <w:pStyle w:val="54"/>
                    <w:rPr>
                      <w:color w:val="auto"/>
                    </w:rPr>
                  </w:pPr>
                </w:p>
              </w:tc>
              <w:tc>
                <w:tcPr>
                  <w:tcW w:w="809" w:type="dxa"/>
                  <w:vMerge w:val="continue"/>
                  <w:vAlign w:val="center"/>
                </w:tcPr>
                <w:p w14:paraId="41F829BF">
                  <w:pPr>
                    <w:pStyle w:val="54"/>
                    <w:rPr>
                      <w:color w:val="auto"/>
                    </w:rPr>
                  </w:pPr>
                </w:p>
              </w:tc>
              <w:tc>
                <w:tcPr>
                  <w:tcW w:w="947" w:type="dxa"/>
                  <w:vMerge w:val="continue"/>
                  <w:vAlign w:val="center"/>
                </w:tcPr>
                <w:p w14:paraId="705F68A2">
                  <w:pPr>
                    <w:pStyle w:val="54"/>
                    <w:rPr>
                      <w:color w:val="auto"/>
                    </w:rPr>
                  </w:pPr>
                </w:p>
              </w:tc>
              <w:tc>
                <w:tcPr>
                  <w:tcW w:w="1786" w:type="dxa"/>
                  <w:vAlign w:val="center"/>
                </w:tcPr>
                <w:p w14:paraId="17433013">
                  <w:pPr>
                    <w:pStyle w:val="54"/>
                    <w:rPr>
                      <w:color w:val="auto"/>
                    </w:rPr>
                  </w:pPr>
                  <w:r>
                    <w:rPr>
                      <w:color w:val="auto"/>
                    </w:rPr>
                    <w:t>烟气流速</w:t>
                  </w:r>
                </w:p>
              </w:tc>
              <w:tc>
                <w:tcPr>
                  <w:tcW w:w="673" w:type="dxa"/>
                  <w:vAlign w:val="center"/>
                </w:tcPr>
                <w:p w14:paraId="39700C95">
                  <w:pPr>
                    <w:pStyle w:val="54"/>
                    <w:rPr>
                      <w:color w:val="auto"/>
                    </w:rPr>
                  </w:pPr>
                  <w:r>
                    <w:rPr>
                      <w:color w:val="auto"/>
                    </w:rPr>
                    <w:t>m/s</w:t>
                  </w:r>
                </w:p>
              </w:tc>
              <w:tc>
                <w:tcPr>
                  <w:tcW w:w="854" w:type="dxa"/>
                  <w:vAlign w:val="center"/>
                </w:tcPr>
                <w:p w14:paraId="485E77FC">
                  <w:pPr>
                    <w:pStyle w:val="54"/>
                    <w:rPr>
                      <w:color w:val="auto"/>
                    </w:rPr>
                  </w:pPr>
                  <w:r>
                    <w:rPr>
                      <w:color w:val="auto"/>
                    </w:rPr>
                    <w:t>7.7</w:t>
                  </w:r>
                </w:p>
              </w:tc>
              <w:tc>
                <w:tcPr>
                  <w:tcW w:w="854" w:type="dxa"/>
                  <w:vAlign w:val="center"/>
                </w:tcPr>
                <w:p w14:paraId="33CDA63B">
                  <w:pPr>
                    <w:pStyle w:val="54"/>
                    <w:rPr>
                      <w:color w:val="auto"/>
                    </w:rPr>
                  </w:pPr>
                  <w:r>
                    <w:rPr>
                      <w:color w:val="auto"/>
                    </w:rPr>
                    <w:t>7.9</w:t>
                  </w:r>
                </w:p>
              </w:tc>
              <w:tc>
                <w:tcPr>
                  <w:tcW w:w="854" w:type="dxa"/>
                  <w:vAlign w:val="center"/>
                </w:tcPr>
                <w:p w14:paraId="7FA85D01">
                  <w:pPr>
                    <w:pStyle w:val="54"/>
                    <w:rPr>
                      <w:color w:val="auto"/>
                    </w:rPr>
                  </w:pPr>
                  <w:r>
                    <w:rPr>
                      <w:color w:val="auto"/>
                    </w:rPr>
                    <w:t>7.9</w:t>
                  </w:r>
                </w:p>
              </w:tc>
              <w:tc>
                <w:tcPr>
                  <w:tcW w:w="538" w:type="dxa"/>
                  <w:vAlign w:val="center"/>
                </w:tcPr>
                <w:p w14:paraId="2584BFF0">
                  <w:pPr>
                    <w:pStyle w:val="54"/>
                    <w:rPr>
                      <w:color w:val="auto"/>
                    </w:rPr>
                  </w:pPr>
                  <w:r>
                    <w:rPr>
                      <w:color w:val="auto"/>
                    </w:rPr>
                    <w:t>/</w:t>
                  </w:r>
                </w:p>
              </w:tc>
              <w:tc>
                <w:tcPr>
                  <w:tcW w:w="590" w:type="dxa"/>
                  <w:vAlign w:val="center"/>
                </w:tcPr>
                <w:p w14:paraId="551810C8">
                  <w:pPr>
                    <w:pStyle w:val="54"/>
                    <w:rPr>
                      <w:color w:val="auto"/>
                    </w:rPr>
                  </w:pPr>
                  <w:r>
                    <w:rPr>
                      <w:color w:val="auto"/>
                    </w:rPr>
                    <w:t>/</w:t>
                  </w:r>
                </w:p>
              </w:tc>
            </w:tr>
            <w:tr w14:paraId="6337E4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683F00A9">
                  <w:pPr>
                    <w:pStyle w:val="54"/>
                    <w:rPr>
                      <w:color w:val="auto"/>
                    </w:rPr>
                  </w:pPr>
                </w:p>
              </w:tc>
              <w:tc>
                <w:tcPr>
                  <w:tcW w:w="809" w:type="dxa"/>
                  <w:vMerge w:val="continue"/>
                  <w:vAlign w:val="center"/>
                </w:tcPr>
                <w:p w14:paraId="5EDABFFE">
                  <w:pPr>
                    <w:pStyle w:val="54"/>
                    <w:rPr>
                      <w:color w:val="auto"/>
                    </w:rPr>
                  </w:pPr>
                </w:p>
              </w:tc>
              <w:tc>
                <w:tcPr>
                  <w:tcW w:w="947" w:type="dxa"/>
                  <w:vMerge w:val="continue"/>
                  <w:vAlign w:val="center"/>
                </w:tcPr>
                <w:p w14:paraId="1B73D229">
                  <w:pPr>
                    <w:pStyle w:val="54"/>
                    <w:rPr>
                      <w:color w:val="auto"/>
                    </w:rPr>
                  </w:pPr>
                </w:p>
              </w:tc>
              <w:tc>
                <w:tcPr>
                  <w:tcW w:w="1786" w:type="dxa"/>
                  <w:vAlign w:val="center"/>
                </w:tcPr>
                <w:p w14:paraId="78DABFAE">
                  <w:pPr>
                    <w:pStyle w:val="54"/>
                    <w:rPr>
                      <w:color w:val="auto"/>
                    </w:rPr>
                  </w:pPr>
                  <w:r>
                    <w:rPr>
                      <w:color w:val="auto"/>
                    </w:rPr>
                    <w:t>烟气流量</w:t>
                  </w:r>
                </w:p>
              </w:tc>
              <w:tc>
                <w:tcPr>
                  <w:tcW w:w="673" w:type="dxa"/>
                  <w:vAlign w:val="center"/>
                </w:tcPr>
                <w:p w14:paraId="1C2D84B8">
                  <w:pPr>
                    <w:pStyle w:val="54"/>
                    <w:rPr>
                      <w:color w:val="auto"/>
                    </w:rPr>
                  </w:pPr>
                  <w:r>
                    <w:rPr>
                      <w:color w:val="auto"/>
                    </w:rPr>
                    <w:t>m</w:t>
                  </w:r>
                  <w:r>
                    <w:rPr>
                      <w:color w:val="auto"/>
                      <w:vertAlign w:val="superscript"/>
                    </w:rPr>
                    <w:t>3</w:t>
                  </w:r>
                  <w:r>
                    <w:rPr>
                      <w:color w:val="auto"/>
                    </w:rPr>
                    <w:t>/h</w:t>
                  </w:r>
                </w:p>
              </w:tc>
              <w:tc>
                <w:tcPr>
                  <w:tcW w:w="854" w:type="dxa"/>
                  <w:vAlign w:val="center"/>
                </w:tcPr>
                <w:p w14:paraId="276070AB">
                  <w:pPr>
                    <w:pStyle w:val="54"/>
                    <w:rPr>
                      <w:color w:val="auto"/>
                    </w:rPr>
                  </w:pPr>
                  <w:r>
                    <w:rPr>
                      <w:color w:val="auto"/>
                    </w:rPr>
                    <w:t>48984</w:t>
                  </w:r>
                </w:p>
              </w:tc>
              <w:tc>
                <w:tcPr>
                  <w:tcW w:w="854" w:type="dxa"/>
                  <w:vAlign w:val="center"/>
                </w:tcPr>
                <w:p w14:paraId="42F512F1">
                  <w:pPr>
                    <w:pStyle w:val="54"/>
                    <w:rPr>
                      <w:color w:val="auto"/>
                    </w:rPr>
                  </w:pPr>
                  <w:r>
                    <w:rPr>
                      <w:color w:val="auto"/>
                    </w:rPr>
                    <w:t>50256</w:t>
                  </w:r>
                </w:p>
              </w:tc>
              <w:tc>
                <w:tcPr>
                  <w:tcW w:w="854" w:type="dxa"/>
                  <w:vAlign w:val="center"/>
                </w:tcPr>
                <w:p w14:paraId="442FE3E7">
                  <w:pPr>
                    <w:pStyle w:val="54"/>
                    <w:rPr>
                      <w:color w:val="auto"/>
                    </w:rPr>
                  </w:pPr>
                  <w:r>
                    <w:rPr>
                      <w:color w:val="auto"/>
                    </w:rPr>
                    <w:t>50256</w:t>
                  </w:r>
                </w:p>
              </w:tc>
              <w:tc>
                <w:tcPr>
                  <w:tcW w:w="538" w:type="dxa"/>
                  <w:vAlign w:val="center"/>
                </w:tcPr>
                <w:p w14:paraId="511A1468">
                  <w:pPr>
                    <w:pStyle w:val="54"/>
                    <w:rPr>
                      <w:color w:val="auto"/>
                    </w:rPr>
                  </w:pPr>
                  <w:r>
                    <w:rPr>
                      <w:color w:val="auto"/>
                    </w:rPr>
                    <w:t>/</w:t>
                  </w:r>
                </w:p>
              </w:tc>
              <w:tc>
                <w:tcPr>
                  <w:tcW w:w="590" w:type="dxa"/>
                  <w:vAlign w:val="center"/>
                </w:tcPr>
                <w:p w14:paraId="06706A5E">
                  <w:pPr>
                    <w:pStyle w:val="54"/>
                    <w:rPr>
                      <w:color w:val="auto"/>
                    </w:rPr>
                  </w:pPr>
                  <w:r>
                    <w:rPr>
                      <w:color w:val="auto"/>
                    </w:rPr>
                    <w:t>/</w:t>
                  </w:r>
                </w:p>
              </w:tc>
            </w:tr>
            <w:tr w14:paraId="2F6CB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3D453B89">
                  <w:pPr>
                    <w:pStyle w:val="54"/>
                    <w:rPr>
                      <w:color w:val="auto"/>
                    </w:rPr>
                  </w:pPr>
                </w:p>
              </w:tc>
              <w:tc>
                <w:tcPr>
                  <w:tcW w:w="809" w:type="dxa"/>
                  <w:vMerge w:val="continue"/>
                  <w:vAlign w:val="center"/>
                </w:tcPr>
                <w:p w14:paraId="03F0E455">
                  <w:pPr>
                    <w:pStyle w:val="54"/>
                    <w:rPr>
                      <w:color w:val="auto"/>
                    </w:rPr>
                  </w:pPr>
                </w:p>
              </w:tc>
              <w:tc>
                <w:tcPr>
                  <w:tcW w:w="947" w:type="dxa"/>
                  <w:vMerge w:val="continue"/>
                  <w:vAlign w:val="center"/>
                </w:tcPr>
                <w:p w14:paraId="0D01EC99">
                  <w:pPr>
                    <w:pStyle w:val="54"/>
                    <w:rPr>
                      <w:color w:val="auto"/>
                    </w:rPr>
                  </w:pPr>
                </w:p>
              </w:tc>
              <w:tc>
                <w:tcPr>
                  <w:tcW w:w="1786" w:type="dxa"/>
                  <w:vAlign w:val="center"/>
                </w:tcPr>
                <w:p w14:paraId="6CDC6CED">
                  <w:pPr>
                    <w:pStyle w:val="54"/>
                    <w:rPr>
                      <w:color w:val="auto"/>
                    </w:rPr>
                  </w:pPr>
                  <w:r>
                    <w:rPr>
                      <w:color w:val="auto"/>
                    </w:rPr>
                    <w:t>标干流量</w:t>
                  </w:r>
                </w:p>
              </w:tc>
              <w:tc>
                <w:tcPr>
                  <w:tcW w:w="673" w:type="dxa"/>
                  <w:vAlign w:val="center"/>
                </w:tcPr>
                <w:p w14:paraId="2917140E">
                  <w:pPr>
                    <w:pStyle w:val="54"/>
                    <w:rPr>
                      <w:color w:val="auto"/>
                    </w:rPr>
                  </w:pPr>
                  <w:r>
                    <w:rPr>
                      <w:color w:val="auto"/>
                    </w:rPr>
                    <w:t>Nm</w:t>
                  </w:r>
                  <w:r>
                    <w:rPr>
                      <w:color w:val="auto"/>
                      <w:vertAlign w:val="superscript"/>
                    </w:rPr>
                    <w:t>3</w:t>
                  </w:r>
                  <w:r>
                    <w:rPr>
                      <w:color w:val="auto"/>
                    </w:rPr>
                    <w:t>/h</w:t>
                  </w:r>
                </w:p>
              </w:tc>
              <w:tc>
                <w:tcPr>
                  <w:tcW w:w="854" w:type="dxa"/>
                  <w:vAlign w:val="center"/>
                </w:tcPr>
                <w:p w14:paraId="3BD71367">
                  <w:pPr>
                    <w:pStyle w:val="54"/>
                    <w:rPr>
                      <w:color w:val="auto"/>
                    </w:rPr>
                  </w:pPr>
                  <w:r>
                    <w:rPr>
                      <w:color w:val="auto"/>
                    </w:rPr>
                    <w:t>33895</w:t>
                  </w:r>
                </w:p>
              </w:tc>
              <w:tc>
                <w:tcPr>
                  <w:tcW w:w="854" w:type="dxa"/>
                  <w:vAlign w:val="center"/>
                </w:tcPr>
                <w:p w14:paraId="531EAE54">
                  <w:pPr>
                    <w:pStyle w:val="54"/>
                    <w:rPr>
                      <w:color w:val="auto"/>
                    </w:rPr>
                  </w:pPr>
                  <w:r>
                    <w:rPr>
                      <w:color w:val="auto"/>
                    </w:rPr>
                    <w:t>33776</w:t>
                  </w:r>
                </w:p>
              </w:tc>
              <w:tc>
                <w:tcPr>
                  <w:tcW w:w="854" w:type="dxa"/>
                  <w:vAlign w:val="center"/>
                </w:tcPr>
                <w:p w14:paraId="72BA8545">
                  <w:pPr>
                    <w:pStyle w:val="54"/>
                    <w:rPr>
                      <w:color w:val="auto"/>
                    </w:rPr>
                  </w:pPr>
                  <w:r>
                    <w:rPr>
                      <w:color w:val="auto"/>
                    </w:rPr>
                    <w:t>34556</w:t>
                  </w:r>
                </w:p>
              </w:tc>
              <w:tc>
                <w:tcPr>
                  <w:tcW w:w="538" w:type="dxa"/>
                  <w:vAlign w:val="center"/>
                </w:tcPr>
                <w:p w14:paraId="05BBA66D">
                  <w:pPr>
                    <w:pStyle w:val="54"/>
                    <w:rPr>
                      <w:color w:val="auto"/>
                    </w:rPr>
                  </w:pPr>
                  <w:r>
                    <w:rPr>
                      <w:color w:val="auto"/>
                    </w:rPr>
                    <w:t>/</w:t>
                  </w:r>
                </w:p>
              </w:tc>
              <w:tc>
                <w:tcPr>
                  <w:tcW w:w="590" w:type="dxa"/>
                  <w:vAlign w:val="center"/>
                </w:tcPr>
                <w:p w14:paraId="09055303">
                  <w:pPr>
                    <w:pStyle w:val="54"/>
                    <w:rPr>
                      <w:color w:val="auto"/>
                    </w:rPr>
                  </w:pPr>
                  <w:r>
                    <w:rPr>
                      <w:color w:val="auto"/>
                    </w:rPr>
                    <w:t>/</w:t>
                  </w:r>
                </w:p>
              </w:tc>
            </w:tr>
            <w:tr w14:paraId="4B097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77EC0B72">
                  <w:pPr>
                    <w:pStyle w:val="54"/>
                    <w:rPr>
                      <w:color w:val="auto"/>
                    </w:rPr>
                  </w:pPr>
                </w:p>
              </w:tc>
              <w:tc>
                <w:tcPr>
                  <w:tcW w:w="809" w:type="dxa"/>
                  <w:vMerge w:val="continue"/>
                  <w:vAlign w:val="center"/>
                </w:tcPr>
                <w:p w14:paraId="01201E0B">
                  <w:pPr>
                    <w:pStyle w:val="54"/>
                    <w:rPr>
                      <w:color w:val="auto"/>
                    </w:rPr>
                  </w:pPr>
                </w:p>
              </w:tc>
              <w:tc>
                <w:tcPr>
                  <w:tcW w:w="947" w:type="dxa"/>
                  <w:vMerge w:val="continue"/>
                  <w:vAlign w:val="center"/>
                </w:tcPr>
                <w:p w14:paraId="6299375F">
                  <w:pPr>
                    <w:pStyle w:val="54"/>
                    <w:rPr>
                      <w:color w:val="auto"/>
                    </w:rPr>
                  </w:pPr>
                </w:p>
              </w:tc>
              <w:tc>
                <w:tcPr>
                  <w:tcW w:w="1786" w:type="dxa"/>
                  <w:vAlign w:val="center"/>
                </w:tcPr>
                <w:p w14:paraId="479A5091">
                  <w:pPr>
                    <w:pStyle w:val="54"/>
                    <w:rPr>
                      <w:color w:val="auto"/>
                    </w:rPr>
                  </w:pPr>
                  <w:r>
                    <w:rPr>
                      <w:color w:val="auto"/>
                    </w:rPr>
                    <w:t>烟气含氧量</w:t>
                  </w:r>
                </w:p>
              </w:tc>
              <w:tc>
                <w:tcPr>
                  <w:tcW w:w="673" w:type="dxa"/>
                  <w:vAlign w:val="center"/>
                </w:tcPr>
                <w:p w14:paraId="28C0B365">
                  <w:pPr>
                    <w:pStyle w:val="54"/>
                    <w:rPr>
                      <w:color w:val="auto"/>
                    </w:rPr>
                  </w:pPr>
                  <w:r>
                    <w:rPr>
                      <w:color w:val="auto"/>
                    </w:rPr>
                    <w:t>%</w:t>
                  </w:r>
                </w:p>
              </w:tc>
              <w:tc>
                <w:tcPr>
                  <w:tcW w:w="854" w:type="dxa"/>
                  <w:vAlign w:val="center"/>
                </w:tcPr>
                <w:p w14:paraId="1B9EBBA9">
                  <w:pPr>
                    <w:pStyle w:val="54"/>
                    <w:rPr>
                      <w:color w:val="auto"/>
                    </w:rPr>
                  </w:pPr>
                  <w:r>
                    <w:rPr>
                      <w:color w:val="auto"/>
                    </w:rPr>
                    <w:t>20.8</w:t>
                  </w:r>
                </w:p>
              </w:tc>
              <w:tc>
                <w:tcPr>
                  <w:tcW w:w="854" w:type="dxa"/>
                  <w:vAlign w:val="center"/>
                </w:tcPr>
                <w:p w14:paraId="7F0E5B12">
                  <w:pPr>
                    <w:pStyle w:val="54"/>
                    <w:rPr>
                      <w:color w:val="auto"/>
                    </w:rPr>
                  </w:pPr>
                  <w:r>
                    <w:rPr>
                      <w:color w:val="auto"/>
                    </w:rPr>
                    <w:t>20.7</w:t>
                  </w:r>
                </w:p>
              </w:tc>
              <w:tc>
                <w:tcPr>
                  <w:tcW w:w="854" w:type="dxa"/>
                  <w:vAlign w:val="center"/>
                </w:tcPr>
                <w:p w14:paraId="3A695444">
                  <w:pPr>
                    <w:pStyle w:val="54"/>
                    <w:rPr>
                      <w:color w:val="auto"/>
                    </w:rPr>
                  </w:pPr>
                  <w:r>
                    <w:rPr>
                      <w:color w:val="auto"/>
                    </w:rPr>
                    <w:t>20.9</w:t>
                  </w:r>
                </w:p>
              </w:tc>
              <w:tc>
                <w:tcPr>
                  <w:tcW w:w="538" w:type="dxa"/>
                  <w:vAlign w:val="center"/>
                </w:tcPr>
                <w:p w14:paraId="0DEFA834">
                  <w:pPr>
                    <w:pStyle w:val="54"/>
                    <w:rPr>
                      <w:color w:val="auto"/>
                    </w:rPr>
                  </w:pPr>
                  <w:r>
                    <w:rPr>
                      <w:color w:val="auto"/>
                    </w:rPr>
                    <w:t>/</w:t>
                  </w:r>
                </w:p>
              </w:tc>
              <w:tc>
                <w:tcPr>
                  <w:tcW w:w="590" w:type="dxa"/>
                  <w:vAlign w:val="center"/>
                </w:tcPr>
                <w:p w14:paraId="575E351F">
                  <w:pPr>
                    <w:pStyle w:val="54"/>
                    <w:rPr>
                      <w:color w:val="auto"/>
                    </w:rPr>
                  </w:pPr>
                  <w:r>
                    <w:rPr>
                      <w:color w:val="auto"/>
                    </w:rPr>
                    <w:t>/</w:t>
                  </w:r>
                </w:p>
              </w:tc>
            </w:tr>
            <w:tr w14:paraId="1399A7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5DC57F0F">
                  <w:pPr>
                    <w:pStyle w:val="54"/>
                    <w:rPr>
                      <w:color w:val="auto"/>
                    </w:rPr>
                  </w:pPr>
                </w:p>
              </w:tc>
              <w:tc>
                <w:tcPr>
                  <w:tcW w:w="809" w:type="dxa"/>
                  <w:vMerge w:val="continue"/>
                  <w:vAlign w:val="center"/>
                </w:tcPr>
                <w:p w14:paraId="4951A535">
                  <w:pPr>
                    <w:pStyle w:val="54"/>
                    <w:rPr>
                      <w:color w:val="auto"/>
                    </w:rPr>
                  </w:pPr>
                </w:p>
              </w:tc>
              <w:tc>
                <w:tcPr>
                  <w:tcW w:w="947" w:type="dxa"/>
                  <w:vMerge w:val="continue"/>
                  <w:vAlign w:val="center"/>
                </w:tcPr>
                <w:p w14:paraId="1F2E1393">
                  <w:pPr>
                    <w:pStyle w:val="54"/>
                    <w:rPr>
                      <w:color w:val="auto"/>
                    </w:rPr>
                  </w:pPr>
                </w:p>
              </w:tc>
              <w:tc>
                <w:tcPr>
                  <w:tcW w:w="1786" w:type="dxa"/>
                  <w:vAlign w:val="center"/>
                </w:tcPr>
                <w:p w14:paraId="46389CB5">
                  <w:pPr>
                    <w:pStyle w:val="54"/>
                    <w:rPr>
                      <w:color w:val="auto"/>
                    </w:rPr>
                  </w:pPr>
                  <w:r>
                    <w:rPr>
                      <w:color w:val="auto"/>
                    </w:rPr>
                    <w:t>颗粒物实测浓度</w:t>
                  </w:r>
                </w:p>
              </w:tc>
              <w:tc>
                <w:tcPr>
                  <w:tcW w:w="673" w:type="dxa"/>
                  <w:vAlign w:val="center"/>
                </w:tcPr>
                <w:p w14:paraId="0D808514">
                  <w:pPr>
                    <w:pStyle w:val="54"/>
                    <w:rPr>
                      <w:color w:val="auto"/>
                    </w:rPr>
                  </w:pPr>
                  <w:r>
                    <w:rPr>
                      <w:color w:val="auto"/>
                    </w:rPr>
                    <w:t>mg/m</w:t>
                  </w:r>
                  <w:r>
                    <w:rPr>
                      <w:color w:val="auto"/>
                      <w:vertAlign w:val="superscript"/>
                    </w:rPr>
                    <w:t>3</w:t>
                  </w:r>
                </w:p>
              </w:tc>
              <w:tc>
                <w:tcPr>
                  <w:tcW w:w="854" w:type="dxa"/>
                  <w:vAlign w:val="center"/>
                </w:tcPr>
                <w:p w14:paraId="3A424419">
                  <w:pPr>
                    <w:pStyle w:val="54"/>
                    <w:rPr>
                      <w:color w:val="auto"/>
                    </w:rPr>
                  </w:pPr>
                  <w:r>
                    <w:rPr>
                      <w:color w:val="auto"/>
                    </w:rPr>
                    <w:t>2.4</w:t>
                  </w:r>
                </w:p>
              </w:tc>
              <w:tc>
                <w:tcPr>
                  <w:tcW w:w="854" w:type="dxa"/>
                  <w:vAlign w:val="center"/>
                </w:tcPr>
                <w:p w14:paraId="301BACD5">
                  <w:pPr>
                    <w:pStyle w:val="54"/>
                    <w:rPr>
                      <w:color w:val="auto"/>
                    </w:rPr>
                  </w:pPr>
                  <w:r>
                    <w:rPr>
                      <w:color w:val="auto"/>
                    </w:rPr>
                    <w:t>3.2</w:t>
                  </w:r>
                </w:p>
              </w:tc>
              <w:tc>
                <w:tcPr>
                  <w:tcW w:w="854" w:type="dxa"/>
                  <w:vAlign w:val="center"/>
                </w:tcPr>
                <w:p w14:paraId="09D6CB44">
                  <w:pPr>
                    <w:pStyle w:val="54"/>
                    <w:rPr>
                      <w:color w:val="auto"/>
                    </w:rPr>
                  </w:pPr>
                  <w:r>
                    <w:rPr>
                      <w:color w:val="auto"/>
                    </w:rPr>
                    <w:t>2.7</w:t>
                  </w:r>
                </w:p>
              </w:tc>
              <w:tc>
                <w:tcPr>
                  <w:tcW w:w="538" w:type="dxa"/>
                  <w:vAlign w:val="center"/>
                </w:tcPr>
                <w:p w14:paraId="7B80A9A7">
                  <w:pPr>
                    <w:pStyle w:val="54"/>
                    <w:rPr>
                      <w:color w:val="auto"/>
                    </w:rPr>
                  </w:pPr>
                  <w:r>
                    <w:rPr>
                      <w:color w:val="auto"/>
                    </w:rPr>
                    <w:t>&lt;20</w:t>
                  </w:r>
                </w:p>
              </w:tc>
              <w:tc>
                <w:tcPr>
                  <w:tcW w:w="590" w:type="dxa"/>
                  <w:vAlign w:val="center"/>
                </w:tcPr>
                <w:p w14:paraId="0B6E4AB0">
                  <w:pPr>
                    <w:pStyle w:val="54"/>
                    <w:rPr>
                      <w:color w:val="auto"/>
                    </w:rPr>
                  </w:pPr>
                  <w:r>
                    <w:rPr>
                      <w:color w:val="auto"/>
                    </w:rPr>
                    <w:t>达标</w:t>
                  </w:r>
                </w:p>
              </w:tc>
            </w:tr>
            <w:tr w14:paraId="225AD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0CFA1EBF">
                  <w:pPr>
                    <w:pStyle w:val="54"/>
                    <w:rPr>
                      <w:color w:val="auto"/>
                    </w:rPr>
                  </w:pPr>
                </w:p>
              </w:tc>
              <w:tc>
                <w:tcPr>
                  <w:tcW w:w="809" w:type="dxa"/>
                  <w:vMerge w:val="continue"/>
                  <w:vAlign w:val="center"/>
                </w:tcPr>
                <w:p w14:paraId="0FFA463F">
                  <w:pPr>
                    <w:pStyle w:val="54"/>
                    <w:rPr>
                      <w:color w:val="auto"/>
                    </w:rPr>
                  </w:pPr>
                </w:p>
              </w:tc>
              <w:tc>
                <w:tcPr>
                  <w:tcW w:w="947" w:type="dxa"/>
                  <w:vMerge w:val="continue"/>
                  <w:vAlign w:val="center"/>
                </w:tcPr>
                <w:p w14:paraId="297B5DA5">
                  <w:pPr>
                    <w:pStyle w:val="54"/>
                    <w:rPr>
                      <w:color w:val="auto"/>
                    </w:rPr>
                  </w:pPr>
                </w:p>
              </w:tc>
              <w:tc>
                <w:tcPr>
                  <w:tcW w:w="1786" w:type="dxa"/>
                  <w:vAlign w:val="center"/>
                </w:tcPr>
                <w:p w14:paraId="4DD0D400">
                  <w:pPr>
                    <w:pStyle w:val="54"/>
                    <w:rPr>
                      <w:color w:val="auto"/>
                    </w:rPr>
                  </w:pPr>
                  <w:r>
                    <w:rPr>
                      <w:color w:val="auto"/>
                    </w:rPr>
                    <w:t>颗粒物排放速率</w:t>
                  </w:r>
                </w:p>
              </w:tc>
              <w:tc>
                <w:tcPr>
                  <w:tcW w:w="673" w:type="dxa"/>
                  <w:vAlign w:val="center"/>
                </w:tcPr>
                <w:p w14:paraId="6DD963F0">
                  <w:pPr>
                    <w:pStyle w:val="54"/>
                    <w:rPr>
                      <w:color w:val="auto"/>
                    </w:rPr>
                  </w:pPr>
                  <w:r>
                    <w:rPr>
                      <w:color w:val="auto"/>
                    </w:rPr>
                    <w:t>kg/h</w:t>
                  </w:r>
                </w:p>
              </w:tc>
              <w:tc>
                <w:tcPr>
                  <w:tcW w:w="854" w:type="dxa"/>
                  <w:vAlign w:val="center"/>
                </w:tcPr>
                <w:p w14:paraId="3DA0D969">
                  <w:pPr>
                    <w:pStyle w:val="54"/>
                    <w:rPr>
                      <w:color w:val="auto"/>
                    </w:rPr>
                  </w:pPr>
                  <w:r>
                    <w:rPr>
                      <w:color w:val="auto"/>
                    </w:rPr>
                    <w:t>0.081</w:t>
                  </w:r>
                </w:p>
              </w:tc>
              <w:tc>
                <w:tcPr>
                  <w:tcW w:w="854" w:type="dxa"/>
                  <w:vAlign w:val="center"/>
                </w:tcPr>
                <w:p w14:paraId="62673259">
                  <w:pPr>
                    <w:pStyle w:val="54"/>
                    <w:rPr>
                      <w:color w:val="auto"/>
                    </w:rPr>
                  </w:pPr>
                  <w:r>
                    <w:rPr>
                      <w:color w:val="auto"/>
                    </w:rPr>
                    <w:t>0.108</w:t>
                  </w:r>
                </w:p>
              </w:tc>
              <w:tc>
                <w:tcPr>
                  <w:tcW w:w="854" w:type="dxa"/>
                  <w:vAlign w:val="center"/>
                </w:tcPr>
                <w:p w14:paraId="49C26E74">
                  <w:pPr>
                    <w:pStyle w:val="54"/>
                    <w:rPr>
                      <w:color w:val="auto"/>
                    </w:rPr>
                  </w:pPr>
                  <w:r>
                    <w:rPr>
                      <w:color w:val="auto"/>
                    </w:rPr>
                    <w:t>0.093</w:t>
                  </w:r>
                </w:p>
              </w:tc>
              <w:tc>
                <w:tcPr>
                  <w:tcW w:w="538" w:type="dxa"/>
                  <w:vAlign w:val="center"/>
                </w:tcPr>
                <w:p w14:paraId="5E40BA2C">
                  <w:pPr>
                    <w:pStyle w:val="54"/>
                    <w:rPr>
                      <w:color w:val="auto"/>
                    </w:rPr>
                  </w:pPr>
                  <w:r>
                    <w:rPr>
                      <w:color w:val="auto"/>
                    </w:rPr>
                    <w:t>/</w:t>
                  </w:r>
                </w:p>
              </w:tc>
              <w:tc>
                <w:tcPr>
                  <w:tcW w:w="590" w:type="dxa"/>
                  <w:vAlign w:val="center"/>
                </w:tcPr>
                <w:p w14:paraId="5A8070B3">
                  <w:pPr>
                    <w:pStyle w:val="54"/>
                    <w:rPr>
                      <w:color w:val="auto"/>
                    </w:rPr>
                  </w:pPr>
                  <w:r>
                    <w:rPr>
                      <w:color w:val="auto"/>
                    </w:rPr>
                    <w:t>/</w:t>
                  </w:r>
                </w:p>
              </w:tc>
            </w:tr>
            <w:tr w14:paraId="09F4A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14809396">
                  <w:pPr>
                    <w:pStyle w:val="54"/>
                    <w:rPr>
                      <w:color w:val="auto"/>
                    </w:rPr>
                  </w:pPr>
                </w:p>
              </w:tc>
              <w:tc>
                <w:tcPr>
                  <w:tcW w:w="809" w:type="dxa"/>
                  <w:vMerge w:val="continue"/>
                  <w:vAlign w:val="center"/>
                </w:tcPr>
                <w:p w14:paraId="670E1C4C">
                  <w:pPr>
                    <w:pStyle w:val="54"/>
                    <w:rPr>
                      <w:color w:val="auto"/>
                    </w:rPr>
                  </w:pPr>
                </w:p>
              </w:tc>
              <w:tc>
                <w:tcPr>
                  <w:tcW w:w="947" w:type="dxa"/>
                  <w:vMerge w:val="continue"/>
                  <w:vAlign w:val="center"/>
                </w:tcPr>
                <w:p w14:paraId="0D2A4AB5">
                  <w:pPr>
                    <w:pStyle w:val="54"/>
                    <w:rPr>
                      <w:color w:val="auto"/>
                    </w:rPr>
                  </w:pPr>
                </w:p>
              </w:tc>
              <w:tc>
                <w:tcPr>
                  <w:tcW w:w="1786" w:type="dxa"/>
                  <w:vAlign w:val="center"/>
                </w:tcPr>
                <w:p w14:paraId="716627F4">
                  <w:pPr>
                    <w:pStyle w:val="54"/>
                    <w:rPr>
                      <w:color w:val="auto"/>
                    </w:rPr>
                  </w:pPr>
                  <w:r>
                    <w:rPr>
                      <w:color w:val="auto"/>
                    </w:rPr>
                    <w:t>二氧化硫实测浓度</w:t>
                  </w:r>
                </w:p>
              </w:tc>
              <w:tc>
                <w:tcPr>
                  <w:tcW w:w="673" w:type="dxa"/>
                  <w:vAlign w:val="center"/>
                </w:tcPr>
                <w:p w14:paraId="2AD981EA">
                  <w:pPr>
                    <w:pStyle w:val="54"/>
                    <w:rPr>
                      <w:color w:val="auto"/>
                    </w:rPr>
                  </w:pPr>
                  <w:r>
                    <w:rPr>
                      <w:color w:val="auto"/>
                    </w:rPr>
                    <w:t>mg/m</w:t>
                  </w:r>
                  <w:r>
                    <w:rPr>
                      <w:color w:val="auto"/>
                      <w:vertAlign w:val="superscript"/>
                    </w:rPr>
                    <w:t>3</w:t>
                  </w:r>
                </w:p>
              </w:tc>
              <w:tc>
                <w:tcPr>
                  <w:tcW w:w="854" w:type="dxa"/>
                  <w:vAlign w:val="center"/>
                </w:tcPr>
                <w:p w14:paraId="59DC4E3B">
                  <w:pPr>
                    <w:pStyle w:val="54"/>
                    <w:rPr>
                      <w:color w:val="auto"/>
                    </w:rPr>
                  </w:pPr>
                  <w:r>
                    <w:rPr>
                      <w:color w:val="auto"/>
                    </w:rPr>
                    <w:t>ND（3）</w:t>
                  </w:r>
                </w:p>
              </w:tc>
              <w:tc>
                <w:tcPr>
                  <w:tcW w:w="854" w:type="dxa"/>
                  <w:vAlign w:val="center"/>
                </w:tcPr>
                <w:p w14:paraId="47A14989">
                  <w:pPr>
                    <w:pStyle w:val="54"/>
                    <w:rPr>
                      <w:color w:val="auto"/>
                    </w:rPr>
                  </w:pPr>
                  <w:r>
                    <w:rPr>
                      <w:color w:val="auto"/>
                    </w:rPr>
                    <w:t>ND（3）</w:t>
                  </w:r>
                </w:p>
              </w:tc>
              <w:tc>
                <w:tcPr>
                  <w:tcW w:w="854" w:type="dxa"/>
                  <w:vAlign w:val="center"/>
                </w:tcPr>
                <w:p w14:paraId="141CAB16">
                  <w:pPr>
                    <w:pStyle w:val="54"/>
                    <w:rPr>
                      <w:color w:val="auto"/>
                    </w:rPr>
                  </w:pPr>
                  <w:r>
                    <w:rPr>
                      <w:color w:val="auto"/>
                    </w:rPr>
                    <w:t>ND（3）</w:t>
                  </w:r>
                </w:p>
              </w:tc>
              <w:tc>
                <w:tcPr>
                  <w:tcW w:w="538" w:type="dxa"/>
                  <w:vAlign w:val="center"/>
                </w:tcPr>
                <w:p w14:paraId="23DBC220">
                  <w:pPr>
                    <w:pStyle w:val="54"/>
                    <w:rPr>
                      <w:color w:val="auto"/>
                    </w:rPr>
                  </w:pPr>
                  <w:r>
                    <w:rPr>
                      <w:color w:val="auto"/>
                    </w:rPr>
                    <w:t>&lt;80</w:t>
                  </w:r>
                </w:p>
              </w:tc>
              <w:tc>
                <w:tcPr>
                  <w:tcW w:w="590" w:type="dxa"/>
                  <w:vAlign w:val="center"/>
                </w:tcPr>
                <w:p w14:paraId="3E849456">
                  <w:pPr>
                    <w:pStyle w:val="54"/>
                    <w:rPr>
                      <w:color w:val="auto"/>
                    </w:rPr>
                  </w:pPr>
                  <w:r>
                    <w:rPr>
                      <w:color w:val="auto"/>
                    </w:rPr>
                    <w:t>达标</w:t>
                  </w:r>
                </w:p>
              </w:tc>
            </w:tr>
            <w:tr w14:paraId="19089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1B9EA161">
                  <w:pPr>
                    <w:pStyle w:val="54"/>
                    <w:rPr>
                      <w:color w:val="auto"/>
                    </w:rPr>
                  </w:pPr>
                </w:p>
              </w:tc>
              <w:tc>
                <w:tcPr>
                  <w:tcW w:w="809" w:type="dxa"/>
                  <w:vMerge w:val="continue"/>
                  <w:vAlign w:val="center"/>
                </w:tcPr>
                <w:p w14:paraId="47CE45F3">
                  <w:pPr>
                    <w:pStyle w:val="54"/>
                    <w:rPr>
                      <w:color w:val="auto"/>
                    </w:rPr>
                  </w:pPr>
                </w:p>
              </w:tc>
              <w:tc>
                <w:tcPr>
                  <w:tcW w:w="947" w:type="dxa"/>
                  <w:vMerge w:val="continue"/>
                  <w:vAlign w:val="center"/>
                </w:tcPr>
                <w:p w14:paraId="0BFA8641">
                  <w:pPr>
                    <w:pStyle w:val="54"/>
                    <w:rPr>
                      <w:color w:val="auto"/>
                    </w:rPr>
                  </w:pPr>
                </w:p>
              </w:tc>
              <w:tc>
                <w:tcPr>
                  <w:tcW w:w="1786" w:type="dxa"/>
                  <w:vAlign w:val="center"/>
                </w:tcPr>
                <w:p w14:paraId="42871985">
                  <w:pPr>
                    <w:pStyle w:val="54"/>
                    <w:rPr>
                      <w:color w:val="auto"/>
                    </w:rPr>
                  </w:pPr>
                  <w:r>
                    <w:rPr>
                      <w:color w:val="auto"/>
                    </w:rPr>
                    <w:t>二氧化硫排放速率</w:t>
                  </w:r>
                </w:p>
              </w:tc>
              <w:tc>
                <w:tcPr>
                  <w:tcW w:w="673" w:type="dxa"/>
                  <w:vAlign w:val="center"/>
                </w:tcPr>
                <w:p w14:paraId="26CBC096">
                  <w:pPr>
                    <w:pStyle w:val="54"/>
                    <w:rPr>
                      <w:color w:val="auto"/>
                    </w:rPr>
                  </w:pPr>
                  <w:r>
                    <w:rPr>
                      <w:color w:val="auto"/>
                    </w:rPr>
                    <w:t>kg/h</w:t>
                  </w:r>
                </w:p>
              </w:tc>
              <w:tc>
                <w:tcPr>
                  <w:tcW w:w="854" w:type="dxa"/>
                  <w:vAlign w:val="center"/>
                </w:tcPr>
                <w:p w14:paraId="76D39DD7">
                  <w:pPr>
                    <w:pStyle w:val="54"/>
                    <w:rPr>
                      <w:color w:val="auto"/>
                    </w:rPr>
                  </w:pPr>
                  <w:r>
                    <w:rPr>
                      <w:color w:val="auto"/>
                    </w:rPr>
                    <w:t>/</w:t>
                  </w:r>
                </w:p>
              </w:tc>
              <w:tc>
                <w:tcPr>
                  <w:tcW w:w="854" w:type="dxa"/>
                  <w:vAlign w:val="center"/>
                </w:tcPr>
                <w:p w14:paraId="41F5151A">
                  <w:pPr>
                    <w:pStyle w:val="54"/>
                    <w:rPr>
                      <w:color w:val="auto"/>
                    </w:rPr>
                  </w:pPr>
                  <w:r>
                    <w:rPr>
                      <w:color w:val="auto"/>
                    </w:rPr>
                    <w:t>/</w:t>
                  </w:r>
                </w:p>
              </w:tc>
              <w:tc>
                <w:tcPr>
                  <w:tcW w:w="854" w:type="dxa"/>
                  <w:vAlign w:val="center"/>
                </w:tcPr>
                <w:p w14:paraId="686B1B15">
                  <w:pPr>
                    <w:pStyle w:val="54"/>
                    <w:rPr>
                      <w:color w:val="auto"/>
                    </w:rPr>
                  </w:pPr>
                  <w:r>
                    <w:rPr>
                      <w:color w:val="auto"/>
                    </w:rPr>
                    <w:t>/</w:t>
                  </w:r>
                </w:p>
              </w:tc>
              <w:tc>
                <w:tcPr>
                  <w:tcW w:w="538" w:type="dxa"/>
                  <w:vAlign w:val="center"/>
                </w:tcPr>
                <w:p w14:paraId="5F7B566F">
                  <w:pPr>
                    <w:pStyle w:val="54"/>
                    <w:rPr>
                      <w:color w:val="auto"/>
                    </w:rPr>
                  </w:pPr>
                  <w:r>
                    <w:rPr>
                      <w:color w:val="auto"/>
                    </w:rPr>
                    <w:t>/</w:t>
                  </w:r>
                </w:p>
              </w:tc>
              <w:tc>
                <w:tcPr>
                  <w:tcW w:w="590" w:type="dxa"/>
                  <w:vAlign w:val="center"/>
                </w:tcPr>
                <w:p w14:paraId="70C8464C">
                  <w:pPr>
                    <w:pStyle w:val="54"/>
                    <w:rPr>
                      <w:color w:val="auto"/>
                    </w:rPr>
                  </w:pPr>
                  <w:r>
                    <w:rPr>
                      <w:color w:val="auto"/>
                    </w:rPr>
                    <w:t>/</w:t>
                  </w:r>
                </w:p>
              </w:tc>
            </w:tr>
            <w:tr w14:paraId="2BFF9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191C001B">
                  <w:pPr>
                    <w:pStyle w:val="54"/>
                    <w:rPr>
                      <w:color w:val="auto"/>
                    </w:rPr>
                  </w:pPr>
                </w:p>
              </w:tc>
              <w:tc>
                <w:tcPr>
                  <w:tcW w:w="809" w:type="dxa"/>
                  <w:vMerge w:val="continue"/>
                  <w:vAlign w:val="center"/>
                </w:tcPr>
                <w:p w14:paraId="13888291">
                  <w:pPr>
                    <w:pStyle w:val="54"/>
                    <w:rPr>
                      <w:color w:val="auto"/>
                    </w:rPr>
                  </w:pPr>
                </w:p>
              </w:tc>
              <w:tc>
                <w:tcPr>
                  <w:tcW w:w="947" w:type="dxa"/>
                  <w:vMerge w:val="continue"/>
                  <w:vAlign w:val="center"/>
                </w:tcPr>
                <w:p w14:paraId="6B9CA82F">
                  <w:pPr>
                    <w:pStyle w:val="54"/>
                    <w:rPr>
                      <w:color w:val="auto"/>
                    </w:rPr>
                  </w:pPr>
                </w:p>
              </w:tc>
              <w:tc>
                <w:tcPr>
                  <w:tcW w:w="1786" w:type="dxa"/>
                  <w:vAlign w:val="center"/>
                </w:tcPr>
                <w:p w14:paraId="26853FAA">
                  <w:pPr>
                    <w:pStyle w:val="54"/>
                    <w:rPr>
                      <w:color w:val="auto"/>
                    </w:rPr>
                  </w:pPr>
                  <w:r>
                    <w:rPr>
                      <w:color w:val="auto"/>
                    </w:rPr>
                    <w:t>氮氧化物实测浓度</w:t>
                  </w:r>
                </w:p>
              </w:tc>
              <w:tc>
                <w:tcPr>
                  <w:tcW w:w="673" w:type="dxa"/>
                  <w:vAlign w:val="center"/>
                </w:tcPr>
                <w:p w14:paraId="33E73B00">
                  <w:pPr>
                    <w:pStyle w:val="54"/>
                    <w:rPr>
                      <w:color w:val="auto"/>
                    </w:rPr>
                  </w:pPr>
                  <w:r>
                    <w:rPr>
                      <w:color w:val="auto"/>
                    </w:rPr>
                    <w:t>mg/m</w:t>
                  </w:r>
                  <w:r>
                    <w:rPr>
                      <w:color w:val="auto"/>
                      <w:vertAlign w:val="superscript"/>
                    </w:rPr>
                    <w:t>3</w:t>
                  </w:r>
                </w:p>
              </w:tc>
              <w:tc>
                <w:tcPr>
                  <w:tcW w:w="854" w:type="dxa"/>
                  <w:vAlign w:val="center"/>
                </w:tcPr>
                <w:p w14:paraId="3F6A0085">
                  <w:pPr>
                    <w:pStyle w:val="54"/>
                    <w:rPr>
                      <w:color w:val="auto"/>
                    </w:rPr>
                  </w:pPr>
                  <w:r>
                    <w:rPr>
                      <w:color w:val="auto"/>
                    </w:rPr>
                    <w:t>ND（3）</w:t>
                  </w:r>
                </w:p>
              </w:tc>
              <w:tc>
                <w:tcPr>
                  <w:tcW w:w="854" w:type="dxa"/>
                  <w:vAlign w:val="center"/>
                </w:tcPr>
                <w:p w14:paraId="07A1CB2B">
                  <w:pPr>
                    <w:pStyle w:val="54"/>
                    <w:rPr>
                      <w:color w:val="auto"/>
                    </w:rPr>
                  </w:pPr>
                  <w:r>
                    <w:rPr>
                      <w:color w:val="auto"/>
                    </w:rPr>
                    <w:t>ND（3）</w:t>
                  </w:r>
                </w:p>
              </w:tc>
              <w:tc>
                <w:tcPr>
                  <w:tcW w:w="854" w:type="dxa"/>
                  <w:vAlign w:val="center"/>
                </w:tcPr>
                <w:p w14:paraId="59997B13">
                  <w:pPr>
                    <w:pStyle w:val="54"/>
                    <w:rPr>
                      <w:color w:val="auto"/>
                    </w:rPr>
                  </w:pPr>
                  <w:r>
                    <w:rPr>
                      <w:color w:val="auto"/>
                    </w:rPr>
                    <w:t>ND（3）</w:t>
                  </w:r>
                </w:p>
              </w:tc>
              <w:tc>
                <w:tcPr>
                  <w:tcW w:w="538" w:type="dxa"/>
                  <w:vAlign w:val="center"/>
                </w:tcPr>
                <w:p w14:paraId="24E54770">
                  <w:pPr>
                    <w:pStyle w:val="54"/>
                    <w:rPr>
                      <w:color w:val="auto"/>
                    </w:rPr>
                  </w:pPr>
                  <w:r>
                    <w:rPr>
                      <w:color w:val="auto"/>
                    </w:rPr>
                    <w:t>&lt;180</w:t>
                  </w:r>
                </w:p>
              </w:tc>
              <w:tc>
                <w:tcPr>
                  <w:tcW w:w="590" w:type="dxa"/>
                  <w:vAlign w:val="center"/>
                </w:tcPr>
                <w:p w14:paraId="0E0F3A69">
                  <w:pPr>
                    <w:pStyle w:val="54"/>
                    <w:rPr>
                      <w:color w:val="auto"/>
                    </w:rPr>
                  </w:pPr>
                  <w:r>
                    <w:rPr>
                      <w:color w:val="auto"/>
                    </w:rPr>
                    <w:t>达标</w:t>
                  </w:r>
                </w:p>
              </w:tc>
            </w:tr>
            <w:tr w14:paraId="16164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13ACC021">
                  <w:pPr>
                    <w:pStyle w:val="54"/>
                    <w:rPr>
                      <w:color w:val="auto"/>
                    </w:rPr>
                  </w:pPr>
                </w:p>
              </w:tc>
              <w:tc>
                <w:tcPr>
                  <w:tcW w:w="809" w:type="dxa"/>
                  <w:vMerge w:val="continue"/>
                  <w:vAlign w:val="center"/>
                </w:tcPr>
                <w:p w14:paraId="641366BA">
                  <w:pPr>
                    <w:pStyle w:val="54"/>
                    <w:rPr>
                      <w:color w:val="auto"/>
                    </w:rPr>
                  </w:pPr>
                </w:p>
              </w:tc>
              <w:tc>
                <w:tcPr>
                  <w:tcW w:w="947" w:type="dxa"/>
                  <w:vMerge w:val="continue"/>
                  <w:vAlign w:val="center"/>
                </w:tcPr>
                <w:p w14:paraId="5F90EAB6">
                  <w:pPr>
                    <w:pStyle w:val="54"/>
                    <w:rPr>
                      <w:color w:val="auto"/>
                    </w:rPr>
                  </w:pPr>
                </w:p>
              </w:tc>
              <w:tc>
                <w:tcPr>
                  <w:tcW w:w="1786" w:type="dxa"/>
                  <w:vAlign w:val="center"/>
                </w:tcPr>
                <w:p w14:paraId="17FFF9A6">
                  <w:pPr>
                    <w:pStyle w:val="54"/>
                    <w:rPr>
                      <w:color w:val="auto"/>
                    </w:rPr>
                  </w:pPr>
                  <w:r>
                    <w:rPr>
                      <w:color w:val="auto"/>
                    </w:rPr>
                    <w:t>氮氧化物排放速率</w:t>
                  </w:r>
                </w:p>
              </w:tc>
              <w:tc>
                <w:tcPr>
                  <w:tcW w:w="673" w:type="dxa"/>
                  <w:vAlign w:val="center"/>
                </w:tcPr>
                <w:p w14:paraId="14CCBAB4">
                  <w:pPr>
                    <w:pStyle w:val="54"/>
                    <w:rPr>
                      <w:color w:val="auto"/>
                    </w:rPr>
                  </w:pPr>
                  <w:r>
                    <w:rPr>
                      <w:color w:val="auto"/>
                    </w:rPr>
                    <w:t>kg/h</w:t>
                  </w:r>
                </w:p>
              </w:tc>
              <w:tc>
                <w:tcPr>
                  <w:tcW w:w="854" w:type="dxa"/>
                  <w:vAlign w:val="center"/>
                </w:tcPr>
                <w:p w14:paraId="1DF0F209">
                  <w:pPr>
                    <w:pStyle w:val="54"/>
                    <w:rPr>
                      <w:color w:val="auto"/>
                    </w:rPr>
                  </w:pPr>
                  <w:r>
                    <w:rPr>
                      <w:color w:val="auto"/>
                    </w:rPr>
                    <w:t>/</w:t>
                  </w:r>
                </w:p>
              </w:tc>
              <w:tc>
                <w:tcPr>
                  <w:tcW w:w="854" w:type="dxa"/>
                  <w:vAlign w:val="center"/>
                </w:tcPr>
                <w:p w14:paraId="644F154E">
                  <w:pPr>
                    <w:pStyle w:val="54"/>
                    <w:rPr>
                      <w:color w:val="auto"/>
                    </w:rPr>
                  </w:pPr>
                  <w:r>
                    <w:rPr>
                      <w:color w:val="auto"/>
                    </w:rPr>
                    <w:t>/</w:t>
                  </w:r>
                </w:p>
              </w:tc>
              <w:tc>
                <w:tcPr>
                  <w:tcW w:w="854" w:type="dxa"/>
                  <w:vAlign w:val="center"/>
                </w:tcPr>
                <w:p w14:paraId="1A04BDBC">
                  <w:pPr>
                    <w:pStyle w:val="54"/>
                    <w:rPr>
                      <w:color w:val="auto"/>
                    </w:rPr>
                  </w:pPr>
                  <w:r>
                    <w:rPr>
                      <w:color w:val="auto"/>
                    </w:rPr>
                    <w:t>/</w:t>
                  </w:r>
                </w:p>
              </w:tc>
              <w:tc>
                <w:tcPr>
                  <w:tcW w:w="538" w:type="dxa"/>
                  <w:vAlign w:val="center"/>
                </w:tcPr>
                <w:p w14:paraId="75AAE5D4">
                  <w:pPr>
                    <w:pStyle w:val="54"/>
                    <w:rPr>
                      <w:color w:val="auto"/>
                    </w:rPr>
                  </w:pPr>
                  <w:r>
                    <w:rPr>
                      <w:color w:val="auto"/>
                    </w:rPr>
                    <w:t>/</w:t>
                  </w:r>
                </w:p>
              </w:tc>
              <w:tc>
                <w:tcPr>
                  <w:tcW w:w="590" w:type="dxa"/>
                  <w:vAlign w:val="center"/>
                </w:tcPr>
                <w:p w14:paraId="3F38689C">
                  <w:pPr>
                    <w:pStyle w:val="54"/>
                    <w:rPr>
                      <w:color w:val="auto"/>
                    </w:rPr>
                  </w:pPr>
                  <w:r>
                    <w:rPr>
                      <w:color w:val="auto"/>
                    </w:rPr>
                    <w:t>/</w:t>
                  </w:r>
                </w:p>
              </w:tc>
            </w:tr>
            <w:tr w14:paraId="32CCD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62EC6A9E">
                  <w:pPr>
                    <w:pStyle w:val="54"/>
                    <w:rPr>
                      <w:color w:val="auto"/>
                    </w:rPr>
                  </w:pPr>
                </w:p>
              </w:tc>
              <w:tc>
                <w:tcPr>
                  <w:tcW w:w="809" w:type="dxa"/>
                  <w:vMerge w:val="continue"/>
                  <w:vAlign w:val="center"/>
                </w:tcPr>
                <w:p w14:paraId="34C1E6DA">
                  <w:pPr>
                    <w:pStyle w:val="54"/>
                    <w:rPr>
                      <w:color w:val="auto"/>
                    </w:rPr>
                  </w:pPr>
                </w:p>
              </w:tc>
              <w:tc>
                <w:tcPr>
                  <w:tcW w:w="947" w:type="dxa"/>
                  <w:vMerge w:val="continue"/>
                  <w:vAlign w:val="center"/>
                </w:tcPr>
                <w:p w14:paraId="6EAFC3EA">
                  <w:pPr>
                    <w:pStyle w:val="54"/>
                    <w:rPr>
                      <w:color w:val="auto"/>
                    </w:rPr>
                  </w:pPr>
                </w:p>
              </w:tc>
              <w:tc>
                <w:tcPr>
                  <w:tcW w:w="1786" w:type="dxa"/>
                  <w:vAlign w:val="center"/>
                </w:tcPr>
                <w:p w14:paraId="5B349288">
                  <w:pPr>
                    <w:pStyle w:val="54"/>
                    <w:rPr>
                      <w:color w:val="auto"/>
                    </w:rPr>
                  </w:pPr>
                  <w:r>
                    <w:rPr>
                      <w:color w:val="auto"/>
                    </w:rPr>
                    <w:t>林格曼烟气黑度</w:t>
                  </w:r>
                </w:p>
              </w:tc>
              <w:tc>
                <w:tcPr>
                  <w:tcW w:w="673" w:type="dxa"/>
                  <w:vAlign w:val="center"/>
                </w:tcPr>
                <w:p w14:paraId="528108D6">
                  <w:pPr>
                    <w:pStyle w:val="54"/>
                    <w:rPr>
                      <w:color w:val="auto"/>
                    </w:rPr>
                  </w:pPr>
                  <w:r>
                    <w:rPr>
                      <w:color w:val="auto"/>
                    </w:rPr>
                    <w:t>级</w:t>
                  </w:r>
                </w:p>
              </w:tc>
              <w:tc>
                <w:tcPr>
                  <w:tcW w:w="854" w:type="dxa"/>
                  <w:vAlign w:val="center"/>
                </w:tcPr>
                <w:p w14:paraId="7DE25B46">
                  <w:pPr>
                    <w:pStyle w:val="54"/>
                    <w:rPr>
                      <w:color w:val="auto"/>
                    </w:rPr>
                  </w:pPr>
                  <w:r>
                    <w:rPr>
                      <w:color w:val="auto"/>
                    </w:rPr>
                    <w:t>&lt;1</w:t>
                  </w:r>
                </w:p>
              </w:tc>
              <w:tc>
                <w:tcPr>
                  <w:tcW w:w="854" w:type="dxa"/>
                  <w:vAlign w:val="center"/>
                </w:tcPr>
                <w:p w14:paraId="5CDF7112">
                  <w:pPr>
                    <w:pStyle w:val="54"/>
                    <w:rPr>
                      <w:color w:val="auto"/>
                    </w:rPr>
                  </w:pPr>
                  <w:r>
                    <w:rPr>
                      <w:color w:val="auto"/>
                    </w:rPr>
                    <w:t>&lt;1</w:t>
                  </w:r>
                </w:p>
              </w:tc>
              <w:tc>
                <w:tcPr>
                  <w:tcW w:w="854" w:type="dxa"/>
                  <w:vAlign w:val="center"/>
                </w:tcPr>
                <w:p w14:paraId="4F097F8F">
                  <w:pPr>
                    <w:pStyle w:val="54"/>
                    <w:rPr>
                      <w:color w:val="auto"/>
                    </w:rPr>
                  </w:pPr>
                  <w:r>
                    <w:rPr>
                      <w:color w:val="auto"/>
                    </w:rPr>
                    <w:t>&lt;1</w:t>
                  </w:r>
                </w:p>
              </w:tc>
              <w:tc>
                <w:tcPr>
                  <w:tcW w:w="538" w:type="dxa"/>
                  <w:vAlign w:val="center"/>
                </w:tcPr>
                <w:p w14:paraId="02FA756E">
                  <w:pPr>
                    <w:pStyle w:val="54"/>
                    <w:rPr>
                      <w:color w:val="auto"/>
                    </w:rPr>
                  </w:pPr>
                  <w:r>
                    <w:rPr>
                      <w:color w:val="auto"/>
                    </w:rPr>
                    <w:t>≤1</w:t>
                  </w:r>
                </w:p>
              </w:tc>
              <w:tc>
                <w:tcPr>
                  <w:tcW w:w="590" w:type="dxa"/>
                  <w:vAlign w:val="center"/>
                </w:tcPr>
                <w:p w14:paraId="0490DC57">
                  <w:pPr>
                    <w:pStyle w:val="54"/>
                    <w:rPr>
                      <w:color w:val="auto"/>
                    </w:rPr>
                  </w:pPr>
                  <w:r>
                    <w:rPr>
                      <w:color w:val="auto"/>
                    </w:rPr>
                    <w:t>达标</w:t>
                  </w:r>
                </w:p>
              </w:tc>
            </w:tr>
            <w:tr w14:paraId="4C71C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restart"/>
                  <w:vAlign w:val="center"/>
                </w:tcPr>
                <w:p w14:paraId="5438A650">
                  <w:pPr>
                    <w:pStyle w:val="54"/>
                    <w:rPr>
                      <w:color w:val="auto"/>
                    </w:rPr>
                  </w:pPr>
                  <w:r>
                    <w:rPr>
                      <w:color w:val="auto"/>
                    </w:rPr>
                    <w:t>2025.07.09</w:t>
                  </w:r>
                </w:p>
              </w:tc>
              <w:tc>
                <w:tcPr>
                  <w:tcW w:w="809" w:type="dxa"/>
                  <w:vMerge w:val="restart"/>
                  <w:vAlign w:val="center"/>
                </w:tcPr>
                <w:p w14:paraId="44DF40EC">
                  <w:pPr>
                    <w:pStyle w:val="54"/>
                    <w:rPr>
                      <w:color w:val="auto"/>
                    </w:rPr>
                  </w:pPr>
                  <w:r>
                    <w:rPr>
                      <w:color w:val="auto"/>
                    </w:rPr>
                    <w:t>DA001排气筒进口</w:t>
                  </w:r>
                </w:p>
              </w:tc>
              <w:tc>
                <w:tcPr>
                  <w:tcW w:w="947" w:type="dxa"/>
                  <w:vMerge w:val="restart"/>
                  <w:vAlign w:val="center"/>
                </w:tcPr>
                <w:p w14:paraId="03A54C8D">
                  <w:pPr>
                    <w:pStyle w:val="54"/>
                    <w:rPr>
                      <w:color w:val="auto"/>
                    </w:rPr>
                  </w:pPr>
                  <w:r>
                    <w:rPr>
                      <w:color w:val="auto"/>
                    </w:rPr>
                    <w:t>/</w:t>
                  </w:r>
                </w:p>
              </w:tc>
              <w:tc>
                <w:tcPr>
                  <w:tcW w:w="1786" w:type="dxa"/>
                  <w:vAlign w:val="center"/>
                </w:tcPr>
                <w:p w14:paraId="78A5D30D">
                  <w:pPr>
                    <w:pStyle w:val="54"/>
                    <w:rPr>
                      <w:color w:val="auto"/>
                    </w:rPr>
                  </w:pPr>
                  <w:r>
                    <w:rPr>
                      <w:color w:val="auto"/>
                    </w:rPr>
                    <w:t>烟道截面积</w:t>
                  </w:r>
                </w:p>
              </w:tc>
              <w:tc>
                <w:tcPr>
                  <w:tcW w:w="673" w:type="dxa"/>
                  <w:vAlign w:val="center"/>
                </w:tcPr>
                <w:p w14:paraId="7D206DF2">
                  <w:pPr>
                    <w:pStyle w:val="54"/>
                    <w:rPr>
                      <w:color w:val="auto"/>
                    </w:rPr>
                  </w:pPr>
                  <w:r>
                    <w:rPr>
                      <w:color w:val="auto"/>
                    </w:rPr>
                    <w:t>m</w:t>
                  </w:r>
                  <w:r>
                    <w:rPr>
                      <w:color w:val="auto"/>
                      <w:vertAlign w:val="superscript"/>
                    </w:rPr>
                    <w:t>2</w:t>
                  </w:r>
                </w:p>
              </w:tc>
              <w:tc>
                <w:tcPr>
                  <w:tcW w:w="854" w:type="dxa"/>
                  <w:vAlign w:val="center"/>
                </w:tcPr>
                <w:p w14:paraId="053F4B89">
                  <w:pPr>
                    <w:pStyle w:val="54"/>
                    <w:rPr>
                      <w:color w:val="auto"/>
                    </w:rPr>
                  </w:pPr>
                  <w:r>
                    <w:rPr>
                      <w:color w:val="auto"/>
                    </w:rPr>
                    <w:t>1.7671</w:t>
                  </w:r>
                </w:p>
              </w:tc>
              <w:tc>
                <w:tcPr>
                  <w:tcW w:w="854" w:type="dxa"/>
                  <w:vAlign w:val="center"/>
                </w:tcPr>
                <w:p w14:paraId="7B976BEC">
                  <w:pPr>
                    <w:pStyle w:val="54"/>
                    <w:rPr>
                      <w:color w:val="auto"/>
                    </w:rPr>
                  </w:pPr>
                  <w:r>
                    <w:rPr>
                      <w:color w:val="auto"/>
                    </w:rPr>
                    <w:t>1.7671</w:t>
                  </w:r>
                </w:p>
              </w:tc>
              <w:tc>
                <w:tcPr>
                  <w:tcW w:w="854" w:type="dxa"/>
                  <w:vAlign w:val="center"/>
                </w:tcPr>
                <w:p w14:paraId="571CCFF4">
                  <w:pPr>
                    <w:pStyle w:val="54"/>
                    <w:rPr>
                      <w:color w:val="auto"/>
                    </w:rPr>
                  </w:pPr>
                  <w:r>
                    <w:rPr>
                      <w:color w:val="auto"/>
                    </w:rPr>
                    <w:t>1.7671</w:t>
                  </w:r>
                </w:p>
              </w:tc>
              <w:tc>
                <w:tcPr>
                  <w:tcW w:w="538" w:type="dxa"/>
                  <w:vAlign w:val="center"/>
                </w:tcPr>
                <w:p w14:paraId="52395DCD">
                  <w:pPr>
                    <w:pStyle w:val="54"/>
                    <w:rPr>
                      <w:color w:val="auto"/>
                    </w:rPr>
                  </w:pPr>
                  <w:r>
                    <w:rPr>
                      <w:color w:val="auto"/>
                    </w:rPr>
                    <w:t>/</w:t>
                  </w:r>
                </w:p>
              </w:tc>
              <w:tc>
                <w:tcPr>
                  <w:tcW w:w="590" w:type="dxa"/>
                  <w:vAlign w:val="center"/>
                </w:tcPr>
                <w:p w14:paraId="236CC8E0">
                  <w:pPr>
                    <w:pStyle w:val="54"/>
                    <w:rPr>
                      <w:color w:val="auto"/>
                    </w:rPr>
                  </w:pPr>
                  <w:r>
                    <w:rPr>
                      <w:color w:val="auto"/>
                    </w:rPr>
                    <w:t>/</w:t>
                  </w:r>
                </w:p>
              </w:tc>
            </w:tr>
            <w:tr w14:paraId="6D8CA2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3F40A063">
                  <w:pPr>
                    <w:pStyle w:val="54"/>
                    <w:rPr>
                      <w:color w:val="auto"/>
                    </w:rPr>
                  </w:pPr>
                </w:p>
              </w:tc>
              <w:tc>
                <w:tcPr>
                  <w:tcW w:w="809" w:type="dxa"/>
                  <w:vMerge w:val="continue"/>
                  <w:vAlign w:val="center"/>
                </w:tcPr>
                <w:p w14:paraId="5420C2AB">
                  <w:pPr>
                    <w:pStyle w:val="54"/>
                    <w:rPr>
                      <w:color w:val="auto"/>
                    </w:rPr>
                  </w:pPr>
                </w:p>
              </w:tc>
              <w:tc>
                <w:tcPr>
                  <w:tcW w:w="947" w:type="dxa"/>
                  <w:vMerge w:val="continue"/>
                  <w:vAlign w:val="center"/>
                </w:tcPr>
                <w:p w14:paraId="11796226">
                  <w:pPr>
                    <w:pStyle w:val="54"/>
                    <w:rPr>
                      <w:color w:val="auto"/>
                    </w:rPr>
                  </w:pPr>
                </w:p>
              </w:tc>
              <w:tc>
                <w:tcPr>
                  <w:tcW w:w="1786" w:type="dxa"/>
                  <w:vAlign w:val="center"/>
                </w:tcPr>
                <w:p w14:paraId="1E735935">
                  <w:pPr>
                    <w:pStyle w:val="54"/>
                    <w:rPr>
                      <w:color w:val="auto"/>
                    </w:rPr>
                  </w:pPr>
                  <w:r>
                    <w:rPr>
                      <w:color w:val="auto"/>
                    </w:rPr>
                    <w:t>烟气含湿量</w:t>
                  </w:r>
                </w:p>
              </w:tc>
              <w:tc>
                <w:tcPr>
                  <w:tcW w:w="673" w:type="dxa"/>
                  <w:vAlign w:val="center"/>
                </w:tcPr>
                <w:p w14:paraId="7C88B916">
                  <w:pPr>
                    <w:pStyle w:val="54"/>
                    <w:rPr>
                      <w:color w:val="auto"/>
                    </w:rPr>
                  </w:pPr>
                  <w:r>
                    <w:rPr>
                      <w:color w:val="auto"/>
                    </w:rPr>
                    <w:t>%</w:t>
                  </w:r>
                </w:p>
              </w:tc>
              <w:tc>
                <w:tcPr>
                  <w:tcW w:w="854" w:type="dxa"/>
                  <w:vAlign w:val="center"/>
                </w:tcPr>
                <w:p w14:paraId="6DEC9E70">
                  <w:pPr>
                    <w:pStyle w:val="54"/>
                    <w:rPr>
                      <w:color w:val="auto"/>
                    </w:rPr>
                  </w:pPr>
                  <w:r>
                    <w:rPr>
                      <w:color w:val="auto"/>
                    </w:rPr>
                    <w:t>7.8</w:t>
                  </w:r>
                </w:p>
              </w:tc>
              <w:tc>
                <w:tcPr>
                  <w:tcW w:w="854" w:type="dxa"/>
                  <w:vAlign w:val="center"/>
                </w:tcPr>
                <w:p w14:paraId="4C4A746D">
                  <w:pPr>
                    <w:pStyle w:val="54"/>
                    <w:rPr>
                      <w:color w:val="auto"/>
                    </w:rPr>
                  </w:pPr>
                  <w:r>
                    <w:rPr>
                      <w:color w:val="auto"/>
                    </w:rPr>
                    <w:t>7.9</w:t>
                  </w:r>
                </w:p>
              </w:tc>
              <w:tc>
                <w:tcPr>
                  <w:tcW w:w="854" w:type="dxa"/>
                  <w:vAlign w:val="center"/>
                </w:tcPr>
                <w:p w14:paraId="71C6C05A">
                  <w:pPr>
                    <w:pStyle w:val="54"/>
                    <w:rPr>
                      <w:color w:val="auto"/>
                    </w:rPr>
                  </w:pPr>
                  <w:r>
                    <w:rPr>
                      <w:color w:val="auto"/>
                    </w:rPr>
                    <w:t>7.8</w:t>
                  </w:r>
                </w:p>
              </w:tc>
              <w:tc>
                <w:tcPr>
                  <w:tcW w:w="538" w:type="dxa"/>
                  <w:vAlign w:val="center"/>
                </w:tcPr>
                <w:p w14:paraId="616F7093">
                  <w:pPr>
                    <w:pStyle w:val="54"/>
                    <w:rPr>
                      <w:color w:val="auto"/>
                    </w:rPr>
                  </w:pPr>
                  <w:r>
                    <w:rPr>
                      <w:color w:val="auto"/>
                    </w:rPr>
                    <w:t>/</w:t>
                  </w:r>
                </w:p>
              </w:tc>
              <w:tc>
                <w:tcPr>
                  <w:tcW w:w="590" w:type="dxa"/>
                  <w:vAlign w:val="center"/>
                </w:tcPr>
                <w:p w14:paraId="14B899C1">
                  <w:pPr>
                    <w:pStyle w:val="54"/>
                    <w:rPr>
                      <w:color w:val="auto"/>
                    </w:rPr>
                  </w:pPr>
                  <w:r>
                    <w:rPr>
                      <w:color w:val="auto"/>
                    </w:rPr>
                    <w:t>/</w:t>
                  </w:r>
                </w:p>
              </w:tc>
            </w:tr>
            <w:tr w14:paraId="220C5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314E4D8E">
                  <w:pPr>
                    <w:pStyle w:val="54"/>
                    <w:rPr>
                      <w:color w:val="auto"/>
                    </w:rPr>
                  </w:pPr>
                </w:p>
              </w:tc>
              <w:tc>
                <w:tcPr>
                  <w:tcW w:w="809" w:type="dxa"/>
                  <w:vMerge w:val="continue"/>
                  <w:vAlign w:val="center"/>
                </w:tcPr>
                <w:p w14:paraId="0F986731">
                  <w:pPr>
                    <w:pStyle w:val="54"/>
                    <w:rPr>
                      <w:color w:val="auto"/>
                    </w:rPr>
                  </w:pPr>
                </w:p>
              </w:tc>
              <w:tc>
                <w:tcPr>
                  <w:tcW w:w="947" w:type="dxa"/>
                  <w:vMerge w:val="continue"/>
                  <w:vAlign w:val="center"/>
                </w:tcPr>
                <w:p w14:paraId="7F781C55">
                  <w:pPr>
                    <w:pStyle w:val="54"/>
                    <w:rPr>
                      <w:color w:val="auto"/>
                    </w:rPr>
                  </w:pPr>
                </w:p>
              </w:tc>
              <w:tc>
                <w:tcPr>
                  <w:tcW w:w="1786" w:type="dxa"/>
                  <w:vAlign w:val="center"/>
                </w:tcPr>
                <w:p w14:paraId="47FD7793">
                  <w:pPr>
                    <w:pStyle w:val="54"/>
                    <w:rPr>
                      <w:color w:val="auto"/>
                    </w:rPr>
                  </w:pPr>
                  <w:r>
                    <w:rPr>
                      <w:color w:val="auto"/>
                    </w:rPr>
                    <w:t>烟气温度</w:t>
                  </w:r>
                </w:p>
              </w:tc>
              <w:tc>
                <w:tcPr>
                  <w:tcW w:w="673" w:type="dxa"/>
                  <w:vAlign w:val="center"/>
                </w:tcPr>
                <w:p w14:paraId="74C8EC5B">
                  <w:pPr>
                    <w:pStyle w:val="54"/>
                    <w:rPr>
                      <w:color w:val="auto"/>
                    </w:rPr>
                  </w:pPr>
                  <w:r>
                    <w:rPr>
                      <w:color w:val="auto"/>
                    </w:rPr>
                    <w:t>℃</w:t>
                  </w:r>
                </w:p>
              </w:tc>
              <w:tc>
                <w:tcPr>
                  <w:tcW w:w="854" w:type="dxa"/>
                  <w:vAlign w:val="center"/>
                </w:tcPr>
                <w:p w14:paraId="73B799F9">
                  <w:pPr>
                    <w:pStyle w:val="54"/>
                    <w:rPr>
                      <w:color w:val="auto"/>
                    </w:rPr>
                  </w:pPr>
                  <w:r>
                    <w:rPr>
                      <w:color w:val="auto"/>
                    </w:rPr>
                    <w:t>120</w:t>
                  </w:r>
                </w:p>
              </w:tc>
              <w:tc>
                <w:tcPr>
                  <w:tcW w:w="854" w:type="dxa"/>
                  <w:vAlign w:val="center"/>
                </w:tcPr>
                <w:p w14:paraId="61E78B7C">
                  <w:pPr>
                    <w:pStyle w:val="54"/>
                    <w:rPr>
                      <w:color w:val="auto"/>
                    </w:rPr>
                  </w:pPr>
                  <w:r>
                    <w:rPr>
                      <w:color w:val="auto"/>
                    </w:rPr>
                    <w:t>122</w:t>
                  </w:r>
                </w:p>
              </w:tc>
              <w:tc>
                <w:tcPr>
                  <w:tcW w:w="854" w:type="dxa"/>
                  <w:vAlign w:val="center"/>
                </w:tcPr>
                <w:p w14:paraId="38F1E103">
                  <w:pPr>
                    <w:pStyle w:val="54"/>
                    <w:rPr>
                      <w:color w:val="auto"/>
                    </w:rPr>
                  </w:pPr>
                  <w:r>
                    <w:rPr>
                      <w:color w:val="auto"/>
                    </w:rPr>
                    <w:t>123</w:t>
                  </w:r>
                </w:p>
              </w:tc>
              <w:tc>
                <w:tcPr>
                  <w:tcW w:w="538" w:type="dxa"/>
                  <w:vAlign w:val="center"/>
                </w:tcPr>
                <w:p w14:paraId="19931DFD">
                  <w:pPr>
                    <w:pStyle w:val="54"/>
                    <w:rPr>
                      <w:color w:val="auto"/>
                    </w:rPr>
                  </w:pPr>
                  <w:r>
                    <w:rPr>
                      <w:color w:val="auto"/>
                    </w:rPr>
                    <w:t>/</w:t>
                  </w:r>
                </w:p>
              </w:tc>
              <w:tc>
                <w:tcPr>
                  <w:tcW w:w="590" w:type="dxa"/>
                  <w:vAlign w:val="center"/>
                </w:tcPr>
                <w:p w14:paraId="6CDD8486">
                  <w:pPr>
                    <w:pStyle w:val="54"/>
                    <w:rPr>
                      <w:color w:val="auto"/>
                    </w:rPr>
                  </w:pPr>
                  <w:r>
                    <w:rPr>
                      <w:color w:val="auto"/>
                    </w:rPr>
                    <w:t>/</w:t>
                  </w:r>
                </w:p>
              </w:tc>
            </w:tr>
            <w:tr w14:paraId="46E240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53779FD3">
                  <w:pPr>
                    <w:pStyle w:val="54"/>
                    <w:rPr>
                      <w:color w:val="auto"/>
                    </w:rPr>
                  </w:pPr>
                </w:p>
              </w:tc>
              <w:tc>
                <w:tcPr>
                  <w:tcW w:w="809" w:type="dxa"/>
                  <w:vMerge w:val="continue"/>
                  <w:vAlign w:val="center"/>
                </w:tcPr>
                <w:p w14:paraId="2622D227">
                  <w:pPr>
                    <w:pStyle w:val="54"/>
                    <w:rPr>
                      <w:color w:val="auto"/>
                    </w:rPr>
                  </w:pPr>
                </w:p>
              </w:tc>
              <w:tc>
                <w:tcPr>
                  <w:tcW w:w="947" w:type="dxa"/>
                  <w:vMerge w:val="continue"/>
                  <w:vAlign w:val="center"/>
                </w:tcPr>
                <w:p w14:paraId="78125E79">
                  <w:pPr>
                    <w:pStyle w:val="54"/>
                    <w:rPr>
                      <w:color w:val="auto"/>
                    </w:rPr>
                  </w:pPr>
                </w:p>
              </w:tc>
              <w:tc>
                <w:tcPr>
                  <w:tcW w:w="1786" w:type="dxa"/>
                  <w:vAlign w:val="center"/>
                </w:tcPr>
                <w:p w14:paraId="45033B24">
                  <w:pPr>
                    <w:pStyle w:val="54"/>
                    <w:rPr>
                      <w:color w:val="auto"/>
                    </w:rPr>
                  </w:pPr>
                  <w:r>
                    <w:rPr>
                      <w:color w:val="auto"/>
                    </w:rPr>
                    <w:t>烟气流速</w:t>
                  </w:r>
                </w:p>
              </w:tc>
              <w:tc>
                <w:tcPr>
                  <w:tcW w:w="673" w:type="dxa"/>
                  <w:vAlign w:val="center"/>
                </w:tcPr>
                <w:p w14:paraId="647AB3A1">
                  <w:pPr>
                    <w:pStyle w:val="54"/>
                    <w:rPr>
                      <w:color w:val="auto"/>
                    </w:rPr>
                  </w:pPr>
                  <w:r>
                    <w:rPr>
                      <w:color w:val="auto"/>
                    </w:rPr>
                    <w:t>m/s</w:t>
                  </w:r>
                </w:p>
              </w:tc>
              <w:tc>
                <w:tcPr>
                  <w:tcW w:w="854" w:type="dxa"/>
                  <w:vAlign w:val="center"/>
                </w:tcPr>
                <w:p w14:paraId="1F335450">
                  <w:pPr>
                    <w:pStyle w:val="54"/>
                    <w:rPr>
                      <w:color w:val="auto"/>
                    </w:rPr>
                  </w:pPr>
                  <w:r>
                    <w:rPr>
                      <w:color w:val="auto"/>
                    </w:rPr>
                    <w:t>7.4</w:t>
                  </w:r>
                </w:p>
              </w:tc>
              <w:tc>
                <w:tcPr>
                  <w:tcW w:w="854" w:type="dxa"/>
                  <w:vAlign w:val="center"/>
                </w:tcPr>
                <w:p w14:paraId="3F8F12D9">
                  <w:pPr>
                    <w:pStyle w:val="54"/>
                    <w:rPr>
                      <w:color w:val="auto"/>
                    </w:rPr>
                  </w:pPr>
                  <w:r>
                    <w:rPr>
                      <w:color w:val="auto"/>
                    </w:rPr>
                    <w:t>7.6</w:t>
                  </w:r>
                </w:p>
              </w:tc>
              <w:tc>
                <w:tcPr>
                  <w:tcW w:w="854" w:type="dxa"/>
                  <w:vAlign w:val="center"/>
                </w:tcPr>
                <w:p w14:paraId="6C02A177">
                  <w:pPr>
                    <w:pStyle w:val="54"/>
                    <w:rPr>
                      <w:color w:val="auto"/>
                    </w:rPr>
                  </w:pPr>
                  <w:r>
                    <w:rPr>
                      <w:color w:val="auto"/>
                    </w:rPr>
                    <w:t>7.6</w:t>
                  </w:r>
                </w:p>
              </w:tc>
              <w:tc>
                <w:tcPr>
                  <w:tcW w:w="538" w:type="dxa"/>
                  <w:vAlign w:val="center"/>
                </w:tcPr>
                <w:p w14:paraId="54D4E90A">
                  <w:pPr>
                    <w:pStyle w:val="54"/>
                    <w:rPr>
                      <w:color w:val="auto"/>
                    </w:rPr>
                  </w:pPr>
                  <w:r>
                    <w:rPr>
                      <w:color w:val="auto"/>
                    </w:rPr>
                    <w:t>/</w:t>
                  </w:r>
                </w:p>
              </w:tc>
              <w:tc>
                <w:tcPr>
                  <w:tcW w:w="590" w:type="dxa"/>
                  <w:vAlign w:val="center"/>
                </w:tcPr>
                <w:p w14:paraId="4440FF26">
                  <w:pPr>
                    <w:pStyle w:val="54"/>
                    <w:rPr>
                      <w:color w:val="auto"/>
                    </w:rPr>
                  </w:pPr>
                  <w:r>
                    <w:rPr>
                      <w:color w:val="auto"/>
                    </w:rPr>
                    <w:t>/</w:t>
                  </w:r>
                </w:p>
              </w:tc>
            </w:tr>
            <w:tr w14:paraId="1C7DC7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18D4F98B">
                  <w:pPr>
                    <w:pStyle w:val="54"/>
                    <w:rPr>
                      <w:color w:val="auto"/>
                    </w:rPr>
                  </w:pPr>
                </w:p>
              </w:tc>
              <w:tc>
                <w:tcPr>
                  <w:tcW w:w="809" w:type="dxa"/>
                  <w:vMerge w:val="continue"/>
                  <w:vAlign w:val="center"/>
                </w:tcPr>
                <w:p w14:paraId="4C626DCF">
                  <w:pPr>
                    <w:pStyle w:val="54"/>
                    <w:rPr>
                      <w:color w:val="auto"/>
                    </w:rPr>
                  </w:pPr>
                </w:p>
              </w:tc>
              <w:tc>
                <w:tcPr>
                  <w:tcW w:w="947" w:type="dxa"/>
                  <w:vMerge w:val="continue"/>
                  <w:vAlign w:val="center"/>
                </w:tcPr>
                <w:p w14:paraId="3E31BD92">
                  <w:pPr>
                    <w:pStyle w:val="54"/>
                    <w:rPr>
                      <w:color w:val="auto"/>
                    </w:rPr>
                  </w:pPr>
                </w:p>
              </w:tc>
              <w:tc>
                <w:tcPr>
                  <w:tcW w:w="1786" w:type="dxa"/>
                  <w:vAlign w:val="center"/>
                </w:tcPr>
                <w:p w14:paraId="23AF9696">
                  <w:pPr>
                    <w:pStyle w:val="54"/>
                    <w:rPr>
                      <w:color w:val="auto"/>
                    </w:rPr>
                  </w:pPr>
                  <w:r>
                    <w:rPr>
                      <w:color w:val="auto"/>
                    </w:rPr>
                    <w:t>烟气流量</w:t>
                  </w:r>
                </w:p>
              </w:tc>
              <w:tc>
                <w:tcPr>
                  <w:tcW w:w="673" w:type="dxa"/>
                  <w:vAlign w:val="center"/>
                </w:tcPr>
                <w:p w14:paraId="1BE799FC">
                  <w:pPr>
                    <w:pStyle w:val="54"/>
                    <w:rPr>
                      <w:color w:val="auto"/>
                    </w:rPr>
                  </w:pPr>
                  <w:r>
                    <w:rPr>
                      <w:color w:val="auto"/>
                    </w:rPr>
                    <w:t>m</w:t>
                  </w:r>
                  <w:r>
                    <w:rPr>
                      <w:color w:val="auto"/>
                      <w:vertAlign w:val="superscript"/>
                    </w:rPr>
                    <w:t>3</w:t>
                  </w:r>
                  <w:r>
                    <w:rPr>
                      <w:color w:val="auto"/>
                    </w:rPr>
                    <w:t>/h</w:t>
                  </w:r>
                </w:p>
              </w:tc>
              <w:tc>
                <w:tcPr>
                  <w:tcW w:w="854" w:type="dxa"/>
                  <w:vAlign w:val="center"/>
                </w:tcPr>
                <w:p w14:paraId="0D37FF39">
                  <w:pPr>
                    <w:pStyle w:val="54"/>
                    <w:rPr>
                      <w:color w:val="auto"/>
                    </w:rPr>
                  </w:pPr>
                  <w:r>
                    <w:rPr>
                      <w:color w:val="auto"/>
                    </w:rPr>
                    <w:t>47334</w:t>
                  </w:r>
                </w:p>
              </w:tc>
              <w:tc>
                <w:tcPr>
                  <w:tcW w:w="854" w:type="dxa"/>
                  <w:vAlign w:val="center"/>
                </w:tcPr>
                <w:p w14:paraId="511B0585">
                  <w:pPr>
                    <w:pStyle w:val="54"/>
                    <w:rPr>
                      <w:color w:val="auto"/>
                    </w:rPr>
                  </w:pPr>
                  <w:r>
                    <w:rPr>
                      <w:color w:val="auto"/>
                    </w:rPr>
                    <w:t>48188</w:t>
                  </w:r>
                </w:p>
              </w:tc>
              <w:tc>
                <w:tcPr>
                  <w:tcW w:w="854" w:type="dxa"/>
                  <w:vAlign w:val="center"/>
                </w:tcPr>
                <w:p w14:paraId="2305BDDD">
                  <w:pPr>
                    <w:pStyle w:val="54"/>
                    <w:rPr>
                      <w:color w:val="auto"/>
                    </w:rPr>
                  </w:pPr>
                  <w:r>
                    <w:rPr>
                      <w:color w:val="auto"/>
                    </w:rPr>
                    <w:t>48148</w:t>
                  </w:r>
                </w:p>
              </w:tc>
              <w:tc>
                <w:tcPr>
                  <w:tcW w:w="538" w:type="dxa"/>
                  <w:vAlign w:val="center"/>
                </w:tcPr>
                <w:p w14:paraId="2FED45E2">
                  <w:pPr>
                    <w:pStyle w:val="54"/>
                    <w:rPr>
                      <w:color w:val="auto"/>
                    </w:rPr>
                  </w:pPr>
                  <w:r>
                    <w:rPr>
                      <w:color w:val="auto"/>
                    </w:rPr>
                    <w:t>/</w:t>
                  </w:r>
                </w:p>
              </w:tc>
              <w:tc>
                <w:tcPr>
                  <w:tcW w:w="590" w:type="dxa"/>
                  <w:vAlign w:val="center"/>
                </w:tcPr>
                <w:p w14:paraId="49E54AEF">
                  <w:pPr>
                    <w:pStyle w:val="54"/>
                    <w:rPr>
                      <w:color w:val="auto"/>
                    </w:rPr>
                  </w:pPr>
                  <w:r>
                    <w:rPr>
                      <w:color w:val="auto"/>
                    </w:rPr>
                    <w:t>/</w:t>
                  </w:r>
                </w:p>
              </w:tc>
            </w:tr>
            <w:tr w14:paraId="3F482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45BEC615">
                  <w:pPr>
                    <w:pStyle w:val="54"/>
                    <w:rPr>
                      <w:color w:val="auto"/>
                    </w:rPr>
                  </w:pPr>
                </w:p>
              </w:tc>
              <w:tc>
                <w:tcPr>
                  <w:tcW w:w="809" w:type="dxa"/>
                  <w:vMerge w:val="continue"/>
                  <w:vAlign w:val="center"/>
                </w:tcPr>
                <w:p w14:paraId="3C22FE4E">
                  <w:pPr>
                    <w:pStyle w:val="54"/>
                    <w:rPr>
                      <w:color w:val="auto"/>
                    </w:rPr>
                  </w:pPr>
                </w:p>
              </w:tc>
              <w:tc>
                <w:tcPr>
                  <w:tcW w:w="947" w:type="dxa"/>
                  <w:vMerge w:val="continue"/>
                  <w:vAlign w:val="center"/>
                </w:tcPr>
                <w:p w14:paraId="0981D5B7">
                  <w:pPr>
                    <w:pStyle w:val="54"/>
                    <w:rPr>
                      <w:color w:val="auto"/>
                    </w:rPr>
                  </w:pPr>
                </w:p>
              </w:tc>
              <w:tc>
                <w:tcPr>
                  <w:tcW w:w="1786" w:type="dxa"/>
                  <w:vAlign w:val="center"/>
                </w:tcPr>
                <w:p w14:paraId="6C86F2A0">
                  <w:pPr>
                    <w:pStyle w:val="54"/>
                    <w:rPr>
                      <w:color w:val="auto"/>
                    </w:rPr>
                  </w:pPr>
                  <w:r>
                    <w:rPr>
                      <w:color w:val="auto"/>
                    </w:rPr>
                    <w:t>标干流量</w:t>
                  </w:r>
                </w:p>
              </w:tc>
              <w:tc>
                <w:tcPr>
                  <w:tcW w:w="673" w:type="dxa"/>
                  <w:vAlign w:val="center"/>
                </w:tcPr>
                <w:p w14:paraId="0DE84E46">
                  <w:pPr>
                    <w:pStyle w:val="54"/>
                    <w:rPr>
                      <w:color w:val="auto"/>
                    </w:rPr>
                  </w:pPr>
                  <w:r>
                    <w:rPr>
                      <w:color w:val="auto"/>
                    </w:rPr>
                    <w:t>Nm</w:t>
                  </w:r>
                  <w:r>
                    <w:rPr>
                      <w:color w:val="auto"/>
                      <w:vertAlign w:val="superscript"/>
                    </w:rPr>
                    <w:t>3</w:t>
                  </w:r>
                  <w:r>
                    <w:rPr>
                      <w:color w:val="auto"/>
                    </w:rPr>
                    <w:t>/h</w:t>
                  </w:r>
                </w:p>
              </w:tc>
              <w:tc>
                <w:tcPr>
                  <w:tcW w:w="854" w:type="dxa"/>
                  <w:vAlign w:val="center"/>
                </w:tcPr>
                <w:p w14:paraId="09CE8AFD">
                  <w:pPr>
                    <w:pStyle w:val="54"/>
                    <w:rPr>
                      <w:color w:val="auto"/>
                    </w:rPr>
                  </w:pPr>
                  <w:r>
                    <w:rPr>
                      <w:color w:val="auto"/>
                    </w:rPr>
                    <w:t>30035</w:t>
                  </w:r>
                </w:p>
              </w:tc>
              <w:tc>
                <w:tcPr>
                  <w:tcW w:w="854" w:type="dxa"/>
                  <w:vAlign w:val="center"/>
                </w:tcPr>
                <w:p w14:paraId="76B9F02D">
                  <w:pPr>
                    <w:pStyle w:val="54"/>
                    <w:rPr>
                      <w:color w:val="auto"/>
                    </w:rPr>
                  </w:pPr>
                  <w:r>
                    <w:rPr>
                      <w:color w:val="auto"/>
                    </w:rPr>
                    <w:t>30347</w:t>
                  </w:r>
                </w:p>
              </w:tc>
              <w:tc>
                <w:tcPr>
                  <w:tcW w:w="854" w:type="dxa"/>
                  <w:vAlign w:val="center"/>
                </w:tcPr>
                <w:p w14:paraId="68351E17">
                  <w:pPr>
                    <w:pStyle w:val="54"/>
                    <w:rPr>
                      <w:color w:val="auto"/>
                    </w:rPr>
                  </w:pPr>
                  <w:r>
                    <w:rPr>
                      <w:color w:val="auto"/>
                    </w:rPr>
                    <w:t>30283</w:t>
                  </w:r>
                </w:p>
              </w:tc>
              <w:tc>
                <w:tcPr>
                  <w:tcW w:w="538" w:type="dxa"/>
                  <w:vAlign w:val="center"/>
                </w:tcPr>
                <w:p w14:paraId="52F3F3EC">
                  <w:pPr>
                    <w:pStyle w:val="54"/>
                    <w:rPr>
                      <w:color w:val="auto"/>
                    </w:rPr>
                  </w:pPr>
                  <w:r>
                    <w:rPr>
                      <w:color w:val="auto"/>
                    </w:rPr>
                    <w:t>/</w:t>
                  </w:r>
                </w:p>
              </w:tc>
              <w:tc>
                <w:tcPr>
                  <w:tcW w:w="590" w:type="dxa"/>
                  <w:vAlign w:val="center"/>
                </w:tcPr>
                <w:p w14:paraId="7403E1C7">
                  <w:pPr>
                    <w:pStyle w:val="54"/>
                    <w:rPr>
                      <w:color w:val="auto"/>
                    </w:rPr>
                  </w:pPr>
                  <w:r>
                    <w:rPr>
                      <w:color w:val="auto"/>
                    </w:rPr>
                    <w:t>/</w:t>
                  </w:r>
                </w:p>
              </w:tc>
            </w:tr>
            <w:tr w14:paraId="6EC52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56F26A10">
                  <w:pPr>
                    <w:pStyle w:val="54"/>
                    <w:rPr>
                      <w:color w:val="auto"/>
                    </w:rPr>
                  </w:pPr>
                </w:p>
              </w:tc>
              <w:tc>
                <w:tcPr>
                  <w:tcW w:w="809" w:type="dxa"/>
                  <w:vMerge w:val="continue"/>
                  <w:vAlign w:val="center"/>
                </w:tcPr>
                <w:p w14:paraId="472DB5A5">
                  <w:pPr>
                    <w:pStyle w:val="54"/>
                    <w:rPr>
                      <w:color w:val="auto"/>
                    </w:rPr>
                  </w:pPr>
                </w:p>
              </w:tc>
              <w:tc>
                <w:tcPr>
                  <w:tcW w:w="947" w:type="dxa"/>
                  <w:vMerge w:val="continue"/>
                  <w:vAlign w:val="center"/>
                </w:tcPr>
                <w:p w14:paraId="330911AA">
                  <w:pPr>
                    <w:pStyle w:val="54"/>
                    <w:rPr>
                      <w:color w:val="auto"/>
                    </w:rPr>
                  </w:pPr>
                </w:p>
              </w:tc>
              <w:tc>
                <w:tcPr>
                  <w:tcW w:w="1786" w:type="dxa"/>
                  <w:vAlign w:val="center"/>
                </w:tcPr>
                <w:p w14:paraId="26604CA1">
                  <w:pPr>
                    <w:pStyle w:val="54"/>
                    <w:rPr>
                      <w:color w:val="auto"/>
                    </w:rPr>
                  </w:pPr>
                  <w:r>
                    <w:rPr>
                      <w:color w:val="auto"/>
                    </w:rPr>
                    <w:t>烟气含氧量</w:t>
                  </w:r>
                </w:p>
              </w:tc>
              <w:tc>
                <w:tcPr>
                  <w:tcW w:w="673" w:type="dxa"/>
                  <w:vAlign w:val="center"/>
                </w:tcPr>
                <w:p w14:paraId="6096AB91">
                  <w:pPr>
                    <w:pStyle w:val="54"/>
                    <w:rPr>
                      <w:color w:val="auto"/>
                    </w:rPr>
                  </w:pPr>
                  <w:r>
                    <w:rPr>
                      <w:color w:val="auto"/>
                    </w:rPr>
                    <w:t>%</w:t>
                  </w:r>
                </w:p>
              </w:tc>
              <w:tc>
                <w:tcPr>
                  <w:tcW w:w="854" w:type="dxa"/>
                  <w:vAlign w:val="center"/>
                </w:tcPr>
                <w:p w14:paraId="76308595">
                  <w:pPr>
                    <w:pStyle w:val="54"/>
                    <w:rPr>
                      <w:color w:val="auto"/>
                    </w:rPr>
                  </w:pPr>
                  <w:r>
                    <w:rPr>
                      <w:color w:val="auto"/>
                    </w:rPr>
                    <w:t>20.4</w:t>
                  </w:r>
                </w:p>
              </w:tc>
              <w:tc>
                <w:tcPr>
                  <w:tcW w:w="854" w:type="dxa"/>
                  <w:vAlign w:val="center"/>
                </w:tcPr>
                <w:p w14:paraId="2F97CF3E">
                  <w:pPr>
                    <w:pStyle w:val="54"/>
                    <w:rPr>
                      <w:color w:val="auto"/>
                    </w:rPr>
                  </w:pPr>
                  <w:r>
                    <w:rPr>
                      <w:color w:val="auto"/>
                    </w:rPr>
                    <w:t>20.5</w:t>
                  </w:r>
                </w:p>
              </w:tc>
              <w:tc>
                <w:tcPr>
                  <w:tcW w:w="854" w:type="dxa"/>
                  <w:vAlign w:val="center"/>
                </w:tcPr>
                <w:p w14:paraId="60C9FCAA">
                  <w:pPr>
                    <w:pStyle w:val="54"/>
                    <w:rPr>
                      <w:color w:val="auto"/>
                    </w:rPr>
                  </w:pPr>
                  <w:r>
                    <w:rPr>
                      <w:color w:val="auto"/>
                    </w:rPr>
                    <w:t>20.5</w:t>
                  </w:r>
                </w:p>
              </w:tc>
              <w:tc>
                <w:tcPr>
                  <w:tcW w:w="538" w:type="dxa"/>
                  <w:vAlign w:val="center"/>
                </w:tcPr>
                <w:p w14:paraId="2D3D2753">
                  <w:pPr>
                    <w:pStyle w:val="54"/>
                    <w:rPr>
                      <w:color w:val="auto"/>
                    </w:rPr>
                  </w:pPr>
                  <w:r>
                    <w:rPr>
                      <w:color w:val="auto"/>
                    </w:rPr>
                    <w:t>/</w:t>
                  </w:r>
                </w:p>
              </w:tc>
              <w:tc>
                <w:tcPr>
                  <w:tcW w:w="590" w:type="dxa"/>
                  <w:vAlign w:val="center"/>
                </w:tcPr>
                <w:p w14:paraId="52CD7F5F">
                  <w:pPr>
                    <w:pStyle w:val="54"/>
                    <w:rPr>
                      <w:color w:val="auto"/>
                    </w:rPr>
                  </w:pPr>
                  <w:r>
                    <w:rPr>
                      <w:color w:val="auto"/>
                    </w:rPr>
                    <w:t>/</w:t>
                  </w:r>
                </w:p>
              </w:tc>
            </w:tr>
            <w:tr w14:paraId="66E2F6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73878AD1">
                  <w:pPr>
                    <w:pStyle w:val="54"/>
                    <w:rPr>
                      <w:color w:val="auto"/>
                    </w:rPr>
                  </w:pPr>
                </w:p>
              </w:tc>
              <w:tc>
                <w:tcPr>
                  <w:tcW w:w="809" w:type="dxa"/>
                  <w:vMerge w:val="continue"/>
                  <w:vAlign w:val="center"/>
                </w:tcPr>
                <w:p w14:paraId="51868AD9">
                  <w:pPr>
                    <w:pStyle w:val="54"/>
                    <w:rPr>
                      <w:color w:val="auto"/>
                    </w:rPr>
                  </w:pPr>
                </w:p>
              </w:tc>
              <w:tc>
                <w:tcPr>
                  <w:tcW w:w="947" w:type="dxa"/>
                  <w:vMerge w:val="continue"/>
                  <w:vAlign w:val="center"/>
                </w:tcPr>
                <w:p w14:paraId="194CE0A4">
                  <w:pPr>
                    <w:pStyle w:val="54"/>
                    <w:rPr>
                      <w:color w:val="auto"/>
                    </w:rPr>
                  </w:pPr>
                </w:p>
              </w:tc>
              <w:tc>
                <w:tcPr>
                  <w:tcW w:w="1786" w:type="dxa"/>
                  <w:vAlign w:val="center"/>
                </w:tcPr>
                <w:p w14:paraId="6649B60E">
                  <w:pPr>
                    <w:pStyle w:val="54"/>
                    <w:rPr>
                      <w:color w:val="auto"/>
                    </w:rPr>
                  </w:pPr>
                  <w:r>
                    <w:rPr>
                      <w:color w:val="auto"/>
                    </w:rPr>
                    <w:t>颗粒物实测浓度</w:t>
                  </w:r>
                </w:p>
              </w:tc>
              <w:tc>
                <w:tcPr>
                  <w:tcW w:w="673" w:type="dxa"/>
                  <w:vAlign w:val="center"/>
                </w:tcPr>
                <w:p w14:paraId="247BA3C9">
                  <w:pPr>
                    <w:pStyle w:val="54"/>
                    <w:rPr>
                      <w:color w:val="auto"/>
                    </w:rPr>
                  </w:pPr>
                  <w:r>
                    <w:rPr>
                      <w:color w:val="auto"/>
                    </w:rPr>
                    <w:t>mg/m</w:t>
                  </w:r>
                  <w:r>
                    <w:rPr>
                      <w:color w:val="auto"/>
                      <w:vertAlign w:val="superscript"/>
                    </w:rPr>
                    <w:t>3</w:t>
                  </w:r>
                </w:p>
              </w:tc>
              <w:tc>
                <w:tcPr>
                  <w:tcW w:w="854" w:type="dxa"/>
                  <w:vAlign w:val="center"/>
                </w:tcPr>
                <w:p w14:paraId="18B894A9">
                  <w:pPr>
                    <w:pStyle w:val="54"/>
                    <w:rPr>
                      <w:color w:val="auto"/>
                    </w:rPr>
                  </w:pPr>
                  <w:r>
                    <w:rPr>
                      <w:color w:val="auto"/>
                    </w:rPr>
                    <w:t>46.0</w:t>
                  </w:r>
                </w:p>
              </w:tc>
              <w:tc>
                <w:tcPr>
                  <w:tcW w:w="854" w:type="dxa"/>
                  <w:vAlign w:val="center"/>
                </w:tcPr>
                <w:p w14:paraId="4ED98157">
                  <w:pPr>
                    <w:pStyle w:val="54"/>
                    <w:rPr>
                      <w:color w:val="auto"/>
                    </w:rPr>
                  </w:pPr>
                  <w:r>
                    <w:rPr>
                      <w:color w:val="auto"/>
                    </w:rPr>
                    <w:t>39.8</w:t>
                  </w:r>
                </w:p>
              </w:tc>
              <w:tc>
                <w:tcPr>
                  <w:tcW w:w="854" w:type="dxa"/>
                  <w:vAlign w:val="center"/>
                </w:tcPr>
                <w:p w14:paraId="26BD9ED4">
                  <w:pPr>
                    <w:pStyle w:val="54"/>
                    <w:rPr>
                      <w:color w:val="auto"/>
                    </w:rPr>
                  </w:pPr>
                  <w:r>
                    <w:rPr>
                      <w:color w:val="auto"/>
                    </w:rPr>
                    <w:t>44.3</w:t>
                  </w:r>
                </w:p>
              </w:tc>
              <w:tc>
                <w:tcPr>
                  <w:tcW w:w="538" w:type="dxa"/>
                  <w:vAlign w:val="center"/>
                </w:tcPr>
                <w:p w14:paraId="14609A08">
                  <w:pPr>
                    <w:pStyle w:val="54"/>
                    <w:rPr>
                      <w:color w:val="auto"/>
                    </w:rPr>
                  </w:pPr>
                  <w:r>
                    <w:rPr>
                      <w:color w:val="auto"/>
                    </w:rPr>
                    <w:t>/</w:t>
                  </w:r>
                </w:p>
              </w:tc>
              <w:tc>
                <w:tcPr>
                  <w:tcW w:w="590" w:type="dxa"/>
                  <w:vAlign w:val="center"/>
                </w:tcPr>
                <w:p w14:paraId="4048F903">
                  <w:pPr>
                    <w:pStyle w:val="54"/>
                    <w:rPr>
                      <w:color w:val="auto"/>
                    </w:rPr>
                  </w:pPr>
                  <w:r>
                    <w:rPr>
                      <w:color w:val="auto"/>
                    </w:rPr>
                    <w:t>/</w:t>
                  </w:r>
                </w:p>
              </w:tc>
            </w:tr>
            <w:tr w14:paraId="59041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25B18E9F">
                  <w:pPr>
                    <w:pStyle w:val="54"/>
                    <w:rPr>
                      <w:color w:val="auto"/>
                    </w:rPr>
                  </w:pPr>
                </w:p>
              </w:tc>
              <w:tc>
                <w:tcPr>
                  <w:tcW w:w="809" w:type="dxa"/>
                  <w:vMerge w:val="continue"/>
                  <w:vAlign w:val="center"/>
                </w:tcPr>
                <w:p w14:paraId="7E8CF033">
                  <w:pPr>
                    <w:pStyle w:val="54"/>
                    <w:rPr>
                      <w:color w:val="auto"/>
                    </w:rPr>
                  </w:pPr>
                </w:p>
              </w:tc>
              <w:tc>
                <w:tcPr>
                  <w:tcW w:w="947" w:type="dxa"/>
                  <w:vMerge w:val="continue"/>
                  <w:vAlign w:val="center"/>
                </w:tcPr>
                <w:p w14:paraId="2816066F">
                  <w:pPr>
                    <w:pStyle w:val="54"/>
                    <w:rPr>
                      <w:color w:val="auto"/>
                    </w:rPr>
                  </w:pPr>
                </w:p>
              </w:tc>
              <w:tc>
                <w:tcPr>
                  <w:tcW w:w="1786" w:type="dxa"/>
                  <w:vAlign w:val="center"/>
                </w:tcPr>
                <w:p w14:paraId="52D4A6AF">
                  <w:pPr>
                    <w:pStyle w:val="54"/>
                    <w:rPr>
                      <w:color w:val="auto"/>
                    </w:rPr>
                  </w:pPr>
                  <w:r>
                    <w:rPr>
                      <w:color w:val="auto"/>
                    </w:rPr>
                    <w:t>颗粒物排放速率</w:t>
                  </w:r>
                </w:p>
              </w:tc>
              <w:tc>
                <w:tcPr>
                  <w:tcW w:w="673" w:type="dxa"/>
                  <w:vAlign w:val="center"/>
                </w:tcPr>
                <w:p w14:paraId="486FABB2">
                  <w:pPr>
                    <w:pStyle w:val="54"/>
                    <w:rPr>
                      <w:color w:val="auto"/>
                    </w:rPr>
                  </w:pPr>
                  <w:r>
                    <w:rPr>
                      <w:color w:val="auto"/>
                    </w:rPr>
                    <w:t>kg/h</w:t>
                  </w:r>
                </w:p>
              </w:tc>
              <w:tc>
                <w:tcPr>
                  <w:tcW w:w="854" w:type="dxa"/>
                  <w:vAlign w:val="center"/>
                </w:tcPr>
                <w:p w14:paraId="4AA01EB7">
                  <w:pPr>
                    <w:pStyle w:val="54"/>
                    <w:rPr>
                      <w:color w:val="auto"/>
                    </w:rPr>
                  </w:pPr>
                  <w:r>
                    <w:rPr>
                      <w:color w:val="auto"/>
                    </w:rPr>
                    <w:t>1.38</w:t>
                  </w:r>
                </w:p>
              </w:tc>
              <w:tc>
                <w:tcPr>
                  <w:tcW w:w="854" w:type="dxa"/>
                  <w:vAlign w:val="center"/>
                </w:tcPr>
                <w:p w14:paraId="38403082">
                  <w:pPr>
                    <w:pStyle w:val="54"/>
                    <w:rPr>
                      <w:color w:val="auto"/>
                    </w:rPr>
                  </w:pPr>
                  <w:r>
                    <w:rPr>
                      <w:color w:val="auto"/>
                    </w:rPr>
                    <w:t>1.21</w:t>
                  </w:r>
                </w:p>
              </w:tc>
              <w:tc>
                <w:tcPr>
                  <w:tcW w:w="854" w:type="dxa"/>
                  <w:vAlign w:val="center"/>
                </w:tcPr>
                <w:p w14:paraId="636ED2AC">
                  <w:pPr>
                    <w:pStyle w:val="54"/>
                    <w:rPr>
                      <w:color w:val="auto"/>
                    </w:rPr>
                  </w:pPr>
                  <w:r>
                    <w:rPr>
                      <w:color w:val="auto"/>
                    </w:rPr>
                    <w:t>1.34</w:t>
                  </w:r>
                </w:p>
              </w:tc>
              <w:tc>
                <w:tcPr>
                  <w:tcW w:w="538" w:type="dxa"/>
                  <w:vAlign w:val="center"/>
                </w:tcPr>
                <w:p w14:paraId="4A98E195">
                  <w:pPr>
                    <w:pStyle w:val="54"/>
                    <w:rPr>
                      <w:color w:val="auto"/>
                    </w:rPr>
                  </w:pPr>
                  <w:r>
                    <w:rPr>
                      <w:color w:val="auto"/>
                    </w:rPr>
                    <w:t>/</w:t>
                  </w:r>
                </w:p>
              </w:tc>
              <w:tc>
                <w:tcPr>
                  <w:tcW w:w="590" w:type="dxa"/>
                  <w:vAlign w:val="center"/>
                </w:tcPr>
                <w:p w14:paraId="0419AF39">
                  <w:pPr>
                    <w:pStyle w:val="54"/>
                    <w:rPr>
                      <w:color w:val="auto"/>
                    </w:rPr>
                  </w:pPr>
                  <w:r>
                    <w:rPr>
                      <w:color w:val="auto"/>
                    </w:rPr>
                    <w:t>/</w:t>
                  </w:r>
                </w:p>
              </w:tc>
            </w:tr>
            <w:tr w14:paraId="6E4BE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restart"/>
                  <w:vAlign w:val="center"/>
                </w:tcPr>
                <w:p w14:paraId="32A6DAFB">
                  <w:pPr>
                    <w:pStyle w:val="54"/>
                    <w:rPr>
                      <w:color w:val="auto"/>
                    </w:rPr>
                  </w:pPr>
                  <w:r>
                    <w:rPr>
                      <w:color w:val="auto"/>
                    </w:rPr>
                    <w:t>2025.07.09~</w:t>
                  </w:r>
                </w:p>
                <w:p w14:paraId="50F86D63">
                  <w:pPr>
                    <w:pStyle w:val="54"/>
                    <w:rPr>
                      <w:color w:val="auto"/>
                    </w:rPr>
                  </w:pPr>
                  <w:r>
                    <w:rPr>
                      <w:color w:val="auto"/>
                    </w:rPr>
                    <w:t>07.10</w:t>
                  </w:r>
                </w:p>
              </w:tc>
              <w:tc>
                <w:tcPr>
                  <w:tcW w:w="809" w:type="dxa"/>
                  <w:vMerge w:val="restart"/>
                  <w:vAlign w:val="center"/>
                </w:tcPr>
                <w:p w14:paraId="645E4EE4">
                  <w:pPr>
                    <w:pStyle w:val="54"/>
                    <w:rPr>
                      <w:color w:val="auto"/>
                    </w:rPr>
                  </w:pPr>
                  <w:r>
                    <w:rPr>
                      <w:color w:val="auto"/>
                    </w:rPr>
                    <w:t>DA001排气筒出口</w:t>
                  </w:r>
                </w:p>
              </w:tc>
              <w:tc>
                <w:tcPr>
                  <w:tcW w:w="947" w:type="dxa"/>
                  <w:vMerge w:val="restart"/>
                  <w:vAlign w:val="center"/>
                </w:tcPr>
                <w:p w14:paraId="2BCF84D4">
                  <w:pPr>
                    <w:pStyle w:val="54"/>
                    <w:rPr>
                      <w:color w:val="auto"/>
                    </w:rPr>
                  </w:pPr>
                  <w:r>
                    <w:rPr>
                      <w:color w:val="auto"/>
                    </w:rPr>
                    <w:t>列管冷却+多管除尘器+旋风除尘器+布袋除尘器</w:t>
                  </w:r>
                </w:p>
              </w:tc>
              <w:tc>
                <w:tcPr>
                  <w:tcW w:w="1786" w:type="dxa"/>
                  <w:vAlign w:val="center"/>
                </w:tcPr>
                <w:p w14:paraId="404CFD8B">
                  <w:pPr>
                    <w:pStyle w:val="54"/>
                    <w:rPr>
                      <w:color w:val="auto"/>
                    </w:rPr>
                  </w:pPr>
                  <w:r>
                    <w:rPr>
                      <w:color w:val="auto"/>
                    </w:rPr>
                    <w:t>烟道截面积</w:t>
                  </w:r>
                </w:p>
              </w:tc>
              <w:tc>
                <w:tcPr>
                  <w:tcW w:w="673" w:type="dxa"/>
                  <w:vAlign w:val="center"/>
                </w:tcPr>
                <w:p w14:paraId="14C8DCEC">
                  <w:pPr>
                    <w:pStyle w:val="54"/>
                    <w:rPr>
                      <w:color w:val="auto"/>
                    </w:rPr>
                  </w:pPr>
                  <w:r>
                    <w:rPr>
                      <w:color w:val="auto"/>
                    </w:rPr>
                    <w:t>m</w:t>
                  </w:r>
                  <w:r>
                    <w:rPr>
                      <w:color w:val="auto"/>
                      <w:vertAlign w:val="superscript"/>
                    </w:rPr>
                    <w:t>2</w:t>
                  </w:r>
                </w:p>
              </w:tc>
              <w:tc>
                <w:tcPr>
                  <w:tcW w:w="854" w:type="dxa"/>
                  <w:vAlign w:val="center"/>
                </w:tcPr>
                <w:p w14:paraId="1721AF55">
                  <w:pPr>
                    <w:pStyle w:val="54"/>
                    <w:rPr>
                      <w:color w:val="auto"/>
                    </w:rPr>
                  </w:pPr>
                  <w:r>
                    <w:rPr>
                      <w:color w:val="auto"/>
                    </w:rPr>
                    <w:t>1.7671</w:t>
                  </w:r>
                </w:p>
              </w:tc>
              <w:tc>
                <w:tcPr>
                  <w:tcW w:w="854" w:type="dxa"/>
                  <w:vAlign w:val="center"/>
                </w:tcPr>
                <w:p w14:paraId="5E5D958C">
                  <w:pPr>
                    <w:pStyle w:val="54"/>
                    <w:rPr>
                      <w:color w:val="auto"/>
                    </w:rPr>
                  </w:pPr>
                  <w:r>
                    <w:rPr>
                      <w:color w:val="auto"/>
                    </w:rPr>
                    <w:t>1.7671</w:t>
                  </w:r>
                </w:p>
              </w:tc>
              <w:tc>
                <w:tcPr>
                  <w:tcW w:w="854" w:type="dxa"/>
                  <w:vAlign w:val="center"/>
                </w:tcPr>
                <w:p w14:paraId="14965548">
                  <w:pPr>
                    <w:pStyle w:val="54"/>
                    <w:rPr>
                      <w:color w:val="auto"/>
                    </w:rPr>
                  </w:pPr>
                  <w:r>
                    <w:rPr>
                      <w:color w:val="auto"/>
                    </w:rPr>
                    <w:t>1.7671</w:t>
                  </w:r>
                </w:p>
              </w:tc>
              <w:tc>
                <w:tcPr>
                  <w:tcW w:w="538" w:type="dxa"/>
                  <w:vAlign w:val="center"/>
                </w:tcPr>
                <w:p w14:paraId="0E1F59D2">
                  <w:pPr>
                    <w:pStyle w:val="54"/>
                    <w:rPr>
                      <w:color w:val="auto"/>
                    </w:rPr>
                  </w:pPr>
                  <w:r>
                    <w:rPr>
                      <w:color w:val="auto"/>
                    </w:rPr>
                    <w:t>/</w:t>
                  </w:r>
                </w:p>
              </w:tc>
              <w:tc>
                <w:tcPr>
                  <w:tcW w:w="590" w:type="dxa"/>
                  <w:vAlign w:val="center"/>
                </w:tcPr>
                <w:p w14:paraId="7267D0EE">
                  <w:pPr>
                    <w:pStyle w:val="54"/>
                    <w:rPr>
                      <w:color w:val="auto"/>
                    </w:rPr>
                  </w:pPr>
                  <w:r>
                    <w:rPr>
                      <w:color w:val="auto"/>
                    </w:rPr>
                    <w:t>/</w:t>
                  </w:r>
                </w:p>
              </w:tc>
            </w:tr>
            <w:tr w14:paraId="7A5098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7E125A37">
                  <w:pPr>
                    <w:pStyle w:val="54"/>
                    <w:rPr>
                      <w:color w:val="auto"/>
                    </w:rPr>
                  </w:pPr>
                </w:p>
              </w:tc>
              <w:tc>
                <w:tcPr>
                  <w:tcW w:w="809" w:type="dxa"/>
                  <w:vMerge w:val="continue"/>
                  <w:vAlign w:val="center"/>
                </w:tcPr>
                <w:p w14:paraId="4B8D0946">
                  <w:pPr>
                    <w:pStyle w:val="54"/>
                    <w:rPr>
                      <w:color w:val="auto"/>
                    </w:rPr>
                  </w:pPr>
                </w:p>
              </w:tc>
              <w:tc>
                <w:tcPr>
                  <w:tcW w:w="947" w:type="dxa"/>
                  <w:vMerge w:val="continue"/>
                  <w:vAlign w:val="center"/>
                </w:tcPr>
                <w:p w14:paraId="62D9340E">
                  <w:pPr>
                    <w:pStyle w:val="54"/>
                    <w:rPr>
                      <w:color w:val="auto"/>
                    </w:rPr>
                  </w:pPr>
                </w:p>
              </w:tc>
              <w:tc>
                <w:tcPr>
                  <w:tcW w:w="1786" w:type="dxa"/>
                  <w:vAlign w:val="center"/>
                </w:tcPr>
                <w:p w14:paraId="32272D9A">
                  <w:pPr>
                    <w:pStyle w:val="54"/>
                    <w:rPr>
                      <w:color w:val="auto"/>
                    </w:rPr>
                  </w:pPr>
                  <w:r>
                    <w:rPr>
                      <w:color w:val="auto"/>
                    </w:rPr>
                    <w:t>烟气含湿量</w:t>
                  </w:r>
                </w:p>
              </w:tc>
              <w:tc>
                <w:tcPr>
                  <w:tcW w:w="673" w:type="dxa"/>
                  <w:vAlign w:val="center"/>
                </w:tcPr>
                <w:p w14:paraId="2F4E0FA3">
                  <w:pPr>
                    <w:pStyle w:val="54"/>
                    <w:rPr>
                      <w:color w:val="auto"/>
                    </w:rPr>
                  </w:pPr>
                  <w:r>
                    <w:rPr>
                      <w:color w:val="auto"/>
                    </w:rPr>
                    <w:t>%</w:t>
                  </w:r>
                </w:p>
              </w:tc>
              <w:tc>
                <w:tcPr>
                  <w:tcW w:w="854" w:type="dxa"/>
                  <w:vAlign w:val="center"/>
                </w:tcPr>
                <w:p w14:paraId="4F21373A">
                  <w:pPr>
                    <w:pStyle w:val="54"/>
                    <w:rPr>
                      <w:color w:val="auto"/>
                    </w:rPr>
                  </w:pPr>
                  <w:r>
                    <w:rPr>
                      <w:color w:val="auto"/>
                    </w:rPr>
                    <w:t>7.1</w:t>
                  </w:r>
                </w:p>
              </w:tc>
              <w:tc>
                <w:tcPr>
                  <w:tcW w:w="854" w:type="dxa"/>
                  <w:vAlign w:val="center"/>
                </w:tcPr>
                <w:p w14:paraId="3F4C4785">
                  <w:pPr>
                    <w:pStyle w:val="54"/>
                    <w:rPr>
                      <w:color w:val="auto"/>
                    </w:rPr>
                  </w:pPr>
                  <w:r>
                    <w:rPr>
                      <w:color w:val="auto"/>
                    </w:rPr>
                    <w:t>7.2</w:t>
                  </w:r>
                </w:p>
              </w:tc>
              <w:tc>
                <w:tcPr>
                  <w:tcW w:w="854" w:type="dxa"/>
                  <w:vAlign w:val="center"/>
                </w:tcPr>
                <w:p w14:paraId="433DD56A">
                  <w:pPr>
                    <w:pStyle w:val="54"/>
                    <w:rPr>
                      <w:color w:val="auto"/>
                    </w:rPr>
                  </w:pPr>
                  <w:r>
                    <w:rPr>
                      <w:color w:val="auto"/>
                    </w:rPr>
                    <w:t>7.0</w:t>
                  </w:r>
                </w:p>
              </w:tc>
              <w:tc>
                <w:tcPr>
                  <w:tcW w:w="538" w:type="dxa"/>
                  <w:vAlign w:val="center"/>
                </w:tcPr>
                <w:p w14:paraId="76A6D9B9">
                  <w:pPr>
                    <w:pStyle w:val="54"/>
                    <w:rPr>
                      <w:color w:val="auto"/>
                    </w:rPr>
                  </w:pPr>
                  <w:r>
                    <w:rPr>
                      <w:color w:val="auto"/>
                    </w:rPr>
                    <w:t>/</w:t>
                  </w:r>
                </w:p>
              </w:tc>
              <w:tc>
                <w:tcPr>
                  <w:tcW w:w="590" w:type="dxa"/>
                  <w:vAlign w:val="center"/>
                </w:tcPr>
                <w:p w14:paraId="5B089B23">
                  <w:pPr>
                    <w:pStyle w:val="54"/>
                    <w:rPr>
                      <w:color w:val="auto"/>
                    </w:rPr>
                  </w:pPr>
                  <w:r>
                    <w:rPr>
                      <w:color w:val="auto"/>
                    </w:rPr>
                    <w:t>/</w:t>
                  </w:r>
                </w:p>
              </w:tc>
            </w:tr>
            <w:tr w14:paraId="433DE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58049D44">
                  <w:pPr>
                    <w:pStyle w:val="54"/>
                    <w:rPr>
                      <w:color w:val="auto"/>
                    </w:rPr>
                  </w:pPr>
                </w:p>
              </w:tc>
              <w:tc>
                <w:tcPr>
                  <w:tcW w:w="809" w:type="dxa"/>
                  <w:vMerge w:val="continue"/>
                  <w:vAlign w:val="center"/>
                </w:tcPr>
                <w:p w14:paraId="2D545772">
                  <w:pPr>
                    <w:pStyle w:val="54"/>
                    <w:rPr>
                      <w:color w:val="auto"/>
                    </w:rPr>
                  </w:pPr>
                </w:p>
              </w:tc>
              <w:tc>
                <w:tcPr>
                  <w:tcW w:w="947" w:type="dxa"/>
                  <w:vMerge w:val="continue"/>
                  <w:vAlign w:val="center"/>
                </w:tcPr>
                <w:p w14:paraId="16C473A6">
                  <w:pPr>
                    <w:pStyle w:val="54"/>
                    <w:rPr>
                      <w:color w:val="auto"/>
                    </w:rPr>
                  </w:pPr>
                </w:p>
              </w:tc>
              <w:tc>
                <w:tcPr>
                  <w:tcW w:w="1786" w:type="dxa"/>
                  <w:vAlign w:val="center"/>
                </w:tcPr>
                <w:p w14:paraId="781BAA2B">
                  <w:pPr>
                    <w:pStyle w:val="54"/>
                    <w:rPr>
                      <w:color w:val="auto"/>
                    </w:rPr>
                  </w:pPr>
                  <w:r>
                    <w:rPr>
                      <w:color w:val="auto"/>
                    </w:rPr>
                    <w:t>烟气温度</w:t>
                  </w:r>
                </w:p>
              </w:tc>
              <w:tc>
                <w:tcPr>
                  <w:tcW w:w="673" w:type="dxa"/>
                  <w:vAlign w:val="center"/>
                </w:tcPr>
                <w:p w14:paraId="5FF654DD">
                  <w:pPr>
                    <w:pStyle w:val="54"/>
                    <w:rPr>
                      <w:color w:val="auto"/>
                    </w:rPr>
                  </w:pPr>
                  <w:r>
                    <w:rPr>
                      <w:color w:val="auto"/>
                    </w:rPr>
                    <w:t>℃</w:t>
                  </w:r>
                </w:p>
              </w:tc>
              <w:tc>
                <w:tcPr>
                  <w:tcW w:w="854" w:type="dxa"/>
                  <w:vAlign w:val="center"/>
                </w:tcPr>
                <w:p w14:paraId="363A45F7">
                  <w:pPr>
                    <w:pStyle w:val="54"/>
                    <w:rPr>
                      <w:color w:val="auto"/>
                    </w:rPr>
                  </w:pPr>
                  <w:r>
                    <w:rPr>
                      <w:color w:val="auto"/>
                    </w:rPr>
                    <w:t>92</w:t>
                  </w:r>
                </w:p>
              </w:tc>
              <w:tc>
                <w:tcPr>
                  <w:tcW w:w="854" w:type="dxa"/>
                  <w:vAlign w:val="center"/>
                </w:tcPr>
                <w:p w14:paraId="59AFA028">
                  <w:pPr>
                    <w:pStyle w:val="54"/>
                    <w:rPr>
                      <w:color w:val="auto"/>
                    </w:rPr>
                  </w:pPr>
                  <w:r>
                    <w:rPr>
                      <w:color w:val="auto"/>
                    </w:rPr>
                    <w:t>92</w:t>
                  </w:r>
                </w:p>
              </w:tc>
              <w:tc>
                <w:tcPr>
                  <w:tcW w:w="854" w:type="dxa"/>
                  <w:vAlign w:val="center"/>
                </w:tcPr>
                <w:p w14:paraId="7415555F">
                  <w:pPr>
                    <w:pStyle w:val="54"/>
                    <w:rPr>
                      <w:color w:val="auto"/>
                    </w:rPr>
                  </w:pPr>
                  <w:r>
                    <w:rPr>
                      <w:color w:val="auto"/>
                    </w:rPr>
                    <w:t>95</w:t>
                  </w:r>
                </w:p>
              </w:tc>
              <w:tc>
                <w:tcPr>
                  <w:tcW w:w="538" w:type="dxa"/>
                  <w:vAlign w:val="center"/>
                </w:tcPr>
                <w:p w14:paraId="4AC34B66">
                  <w:pPr>
                    <w:pStyle w:val="54"/>
                    <w:rPr>
                      <w:color w:val="auto"/>
                    </w:rPr>
                  </w:pPr>
                  <w:r>
                    <w:rPr>
                      <w:color w:val="auto"/>
                    </w:rPr>
                    <w:t>/</w:t>
                  </w:r>
                </w:p>
              </w:tc>
              <w:tc>
                <w:tcPr>
                  <w:tcW w:w="590" w:type="dxa"/>
                  <w:vAlign w:val="center"/>
                </w:tcPr>
                <w:p w14:paraId="7FE377D4">
                  <w:pPr>
                    <w:pStyle w:val="54"/>
                    <w:rPr>
                      <w:color w:val="auto"/>
                    </w:rPr>
                  </w:pPr>
                  <w:r>
                    <w:rPr>
                      <w:color w:val="auto"/>
                    </w:rPr>
                    <w:t>/</w:t>
                  </w:r>
                </w:p>
              </w:tc>
            </w:tr>
            <w:tr w14:paraId="008B6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30B6B0CA">
                  <w:pPr>
                    <w:pStyle w:val="54"/>
                    <w:rPr>
                      <w:color w:val="auto"/>
                    </w:rPr>
                  </w:pPr>
                </w:p>
              </w:tc>
              <w:tc>
                <w:tcPr>
                  <w:tcW w:w="809" w:type="dxa"/>
                  <w:vMerge w:val="continue"/>
                  <w:vAlign w:val="center"/>
                </w:tcPr>
                <w:p w14:paraId="7CD00AD4">
                  <w:pPr>
                    <w:pStyle w:val="54"/>
                    <w:rPr>
                      <w:color w:val="auto"/>
                    </w:rPr>
                  </w:pPr>
                </w:p>
              </w:tc>
              <w:tc>
                <w:tcPr>
                  <w:tcW w:w="947" w:type="dxa"/>
                  <w:vMerge w:val="continue"/>
                  <w:vAlign w:val="center"/>
                </w:tcPr>
                <w:p w14:paraId="14F2C583">
                  <w:pPr>
                    <w:pStyle w:val="54"/>
                    <w:rPr>
                      <w:color w:val="auto"/>
                    </w:rPr>
                  </w:pPr>
                </w:p>
              </w:tc>
              <w:tc>
                <w:tcPr>
                  <w:tcW w:w="1786" w:type="dxa"/>
                  <w:vAlign w:val="center"/>
                </w:tcPr>
                <w:p w14:paraId="4FDBA150">
                  <w:pPr>
                    <w:pStyle w:val="54"/>
                    <w:rPr>
                      <w:color w:val="auto"/>
                    </w:rPr>
                  </w:pPr>
                  <w:r>
                    <w:rPr>
                      <w:color w:val="auto"/>
                    </w:rPr>
                    <w:t>烟气流速</w:t>
                  </w:r>
                </w:p>
              </w:tc>
              <w:tc>
                <w:tcPr>
                  <w:tcW w:w="673" w:type="dxa"/>
                  <w:vAlign w:val="center"/>
                </w:tcPr>
                <w:p w14:paraId="146BB0BD">
                  <w:pPr>
                    <w:pStyle w:val="54"/>
                    <w:rPr>
                      <w:color w:val="auto"/>
                    </w:rPr>
                  </w:pPr>
                  <w:r>
                    <w:rPr>
                      <w:color w:val="auto"/>
                    </w:rPr>
                    <w:t>m/s</w:t>
                  </w:r>
                </w:p>
              </w:tc>
              <w:tc>
                <w:tcPr>
                  <w:tcW w:w="854" w:type="dxa"/>
                  <w:vAlign w:val="center"/>
                </w:tcPr>
                <w:p w14:paraId="703D5B81">
                  <w:pPr>
                    <w:pStyle w:val="54"/>
                    <w:rPr>
                      <w:color w:val="auto"/>
                    </w:rPr>
                  </w:pPr>
                  <w:r>
                    <w:rPr>
                      <w:color w:val="auto"/>
                    </w:rPr>
                    <w:t>7.8</w:t>
                  </w:r>
                </w:p>
              </w:tc>
              <w:tc>
                <w:tcPr>
                  <w:tcW w:w="854" w:type="dxa"/>
                  <w:vAlign w:val="center"/>
                </w:tcPr>
                <w:p w14:paraId="12EC010B">
                  <w:pPr>
                    <w:pStyle w:val="54"/>
                    <w:rPr>
                      <w:color w:val="auto"/>
                    </w:rPr>
                  </w:pPr>
                  <w:r>
                    <w:rPr>
                      <w:color w:val="auto"/>
                    </w:rPr>
                    <w:t>7.7</w:t>
                  </w:r>
                </w:p>
              </w:tc>
              <w:tc>
                <w:tcPr>
                  <w:tcW w:w="854" w:type="dxa"/>
                  <w:vAlign w:val="center"/>
                </w:tcPr>
                <w:p w14:paraId="7E3ADDFF">
                  <w:pPr>
                    <w:pStyle w:val="54"/>
                    <w:rPr>
                      <w:color w:val="auto"/>
                    </w:rPr>
                  </w:pPr>
                  <w:r>
                    <w:rPr>
                      <w:color w:val="auto"/>
                    </w:rPr>
                    <w:t>7.9</w:t>
                  </w:r>
                </w:p>
              </w:tc>
              <w:tc>
                <w:tcPr>
                  <w:tcW w:w="538" w:type="dxa"/>
                  <w:vAlign w:val="center"/>
                </w:tcPr>
                <w:p w14:paraId="44EE9FB6">
                  <w:pPr>
                    <w:pStyle w:val="54"/>
                    <w:rPr>
                      <w:color w:val="auto"/>
                    </w:rPr>
                  </w:pPr>
                  <w:r>
                    <w:rPr>
                      <w:color w:val="auto"/>
                    </w:rPr>
                    <w:t>/</w:t>
                  </w:r>
                </w:p>
              </w:tc>
              <w:tc>
                <w:tcPr>
                  <w:tcW w:w="590" w:type="dxa"/>
                  <w:vAlign w:val="center"/>
                </w:tcPr>
                <w:p w14:paraId="6470FD1B">
                  <w:pPr>
                    <w:pStyle w:val="54"/>
                    <w:rPr>
                      <w:color w:val="auto"/>
                    </w:rPr>
                  </w:pPr>
                  <w:r>
                    <w:rPr>
                      <w:color w:val="auto"/>
                    </w:rPr>
                    <w:t>/</w:t>
                  </w:r>
                </w:p>
              </w:tc>
            </w:tr>
            <w:tr w14:paraId="14F42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0B166AFD">
                  <w:pPr>
                    <w:pStyle w:val="54"/>
                    <w:rPr>
                      <w:color w:val="auto"/>
                    </w:rPr>
                  </w:pPr>
                </w:p>
              </w:tc>
              <w:tc>
                <w:tcPr>
                  <w:tcW w:w="809" w:type="dxa"/>
                  <w:vMerge w:val="continue"/>
                  <w:vAlign w:val="center"/>
                </w:tcPr>
                <w:p w14:paraId="232EBCFF">
                  <w:pPr>
                    <w:pStyle w:val="54"/>
                    <w:rPr>
                      <w:color w:val="auto"/>
                    </w:rPr>
                  </w:pPr>
                </w:p>
              </w:tc>
              <w:tc>
                <w:tcPr>
                  <w:tcW w:w="947" w:type="dxa"/>
                  <w:vMerge w:val="continue"/>
                  <w:vAlign w:val="center"/>
                </w:tcPr>
                <w:p w14:paraId="218C9631">
                  <w:pPr>
                    <w:pStyle w:val="54"/>
                    <w:rPr>
                      <w:color w:val="auto"/>
                    </w:rPr>
                  </w:pPr>
                </w:p>
              </w:tc>
              <w:tc>
                <w:tcPr>
                  <w:tcW w:w="1786" w:type="dxa"/>
                  <w:vAlign w:val="center"/>
                </w:tcPr>
                <w:p w14:paraId="77FC5C6E">
                  <w:pPr>
                    <w:pStyle w:val="54"/>
                    <w:rPr>
                      <w:color w:val="auto"/>
                    </w:rPr>
                  </w:pPr>
                  <w:r>
                    <w:rPr>
                      <w:color w:val="auto"/>
                    </w:rPr>
                    <w:t>烟气流量</w:t>
                  </w:r>
                </w:p>
              </w:tc>
              <w:tc>
                <w:tcPr>
                  <w:tcW w:w="673" w:type="dxa"/>
                  <w:vAlign w:val="center"/>
                </w:tcPr>
                <w:p w14:paraId="576EF6B7">
                  <w:pPr>
                    <w:pStyle w:val="54"/>
                    <w:rPr>
                      <w:color w:val="auto"/>
                    </w:rPr>
                  </w:pPr>
                  <w:r>
                    <w:rPr>
                      <w:color w:val="auto"/>
                    </w:rPr>
                    <w:t>m</w:t>
                  </w:r>
                  <w:r>
                    <w:rPr>
                      <w:color w:val="auto"/>
                      <w:vertAlign w:val="superscript"/>
                    </w:rPr>
                    <w:t>3</w:t>
                  </w:r>
                  <w:r>
                    <w:rPr>
                      <w:color w:val="auto"/>
                    </w:rPr>
                    <w:t>/h</w:t>
                  </w:r>
                </w:p>
              </w:tc>
              <w:tc>
                <w:tcPr>
                  <w:tcW w:w="854" w:type="dxa"/>
                  <w:vAlign w:val="center"/>
                </w:tcPr>
                <w:p w14:paraId="5E320E2B">
                  <w:pPr>
                    <w:pStyle w:val="54"/>
                    <w:rPr>
                      <w:color w:val="auto"/>
                    </w:rPr>
                  </w:pPr>
                  <w:r>
                    <w:rPr>
                      <w:color w:val="auto"/>
                    </w:rPr>
                    <w:t>49620</w:t>
                  </w:r>
                </w:p>
              </w:tc>
              <w:tc>
                <w:tcPr>
                  <w:tcW w:w="854" w:type="dxa"/>
                  <w:vAlign w:val="center"/>
                </w:tcPr>
                <w:p w14:paraId="1FCA0A3B">
                  <w:pPr>
                    <w:pStyle w:val="54"/>
                    <w:rPr>
                      <w:color w:val="auto"/>
                    </w:rPr>
                  </w:pPr>
                  <w:r>
                    <w:rPr>
                      <w:color w:val="auto"/>
                    </w:rPr>
                    <w:t>48984</w:t>
                  </w:r>
                </w:p>
              </w:tc>
              <w:tc>
                <w:tcPr>
                  <w:tcW w:w="854" w:type="dxa"/>
                  <w:vAlign w:val="center"/>
                </w:tcPr>
                <w:p w14:paraId="1C9BA1AB">
                  <w:pPr>
                    <w:pStyle w:val="54"/>
                    <w:rPr>
                      <w:color w:val="auto"/>
                    </w:rPr>
                  </w:pPr>
                  <w:r>
                    <w:rPr>
                      <w:color w:val="auto"/>
                    </w:rPr>
                    <w:t>50256</w:t>
                  </w:r>
                </w:p>
              </w:tc>
              <w:tc>
                <w:tcPr>
                  <w:tcW w:w="538" w:type="dxa"/>
                  <w:vAlign w:val="center"/>
                </w:tcPr>
                <w:p w14:paraId="55C8CD68">
                  <w:pPr>
                    <w:pStyle w:val="54"/>
                    <w:rPr>
                      <w:color w:val="auto"/>
                    </w:rPr>
                  </w:pPr>
                  <w:r>
                    <w:rPr>
                      <w:color w:val="auto"/>
                    </w:rPr>
                    <w:t>/</w:t>
                  </w:r>
                </w:p>
              </w:tc>
              <w:tc>
                <w:tcPr>
                  <w:tcW w:w="590" w:type="dxa"/>
                  <w:vAlign w:val="center"/>
                </w:tcPr>
                <w:p w14:paraId="4AF48660">
                  <w:pPr>
                    <w:pStyle w:val="54"/>
                    <w:rPr>
                      <w:color w:val="auto"/>
                    </w:rPr>
                  </w:pPr>
                  <w:r>
                    <w:rPr>
                      <w:color w:val="auto"/>
                    </w:rPr>
                    <w:t>/</w:t>
                  </w:r>
                </w:p>
              </w:tc>
            </w:tr>
            <w:tr w14:paraId="19B98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0A0C321F">
                  <w:pPr>
                    <w:pStyle w:val="54"/>
                    <w:rPr>
                      <w:color w:val="auto"/>
                    </w:rPr>
                  </w:pPr>
                </w:p>
              </w:tc>
              <w:tc>
                <w:tcPr>
                  <w:tcW w:w="809" w:type="dxa"/>
                  <w:vMerge w:val="continue"/>
                  <w:vAlign w:val="center"/>
                </w:tcPr>
                <w:p w14:paraId="5D4FBE8A">
                  <w:pPr>
                    <w:pStyle w:val="54"/>
                    <w:rPr>
                      <w:color w:val="auto"/>
                    </w:rPr>
                  </w:pPr>
                </w:p>
              </w:tc>
              <w:tc>
                <w:tcPr>
                  <w:tcW w:w="947" w:type="dxa"/>
                  <w:vMerge w:val="continue"/>
                  <w:vAlign w:val="center"/>
                </w:tcPr>
                <w:p w14:paraId="37FD128D">
                  <w:pPr>
                    <w:pStyle w:val="54"/>
                    <w:rPr>
                      <w:color w:val="auto"/>
                    </w:rPr>
                  </w:pPr>
                </w:p>
              </w:tc>
              <w:tc>
                <w:tcPr>
                  <w:tcW w:w="1786" w:type="dxa"/>
                  <w:vAlign w:val="center"/>
                </w:tcPr>
                <w:p w14:paraId="07B90820">
                  <w:pPr>
                    <w:pStyle w:val="54"/>
                    <w:rPr>
                      <w:color w:val="auto"/>
                    </w:rPr>
                  </w:pPr>
                  <w:r>
                    <w:rPr>
                      <w:color w:val="auto"/>
                    </w:rPr>
                    <w:t>标干流量</w:t>
                  </w:r>
                </w:p>
              </w:tc>
              <w:tc>
                <w:tcPr>
                  <w:tcW w:w="673" w:type="dxa"/>
                  <w:vAlign w:val="center"/>
                </w:tcPr>
                <w:p w14:paraId="312953FC">
                  <w:pPr>
                    <w:pStyle w:val="54"/>
                    <w:rPr>
                      <w:color w:val="auto"/>
                    </w:rPr>
                  </w:pPr>
                  <w:r>
                    <w:rPr>
                      <w:color w:val="auto"/>
                    </w:rPr>
                    <w:t>Nm</w:t>
                  </w:r>
                  <w:r>
                    <w:rPr>
                      <w:color w:val="auto"/>
                      <w:vertAlign w:val="superscript"/>
                    </w:rPr>
                    <w:t>3</w:t>
                  </w:r>
                  <w:r>
                    <w:rPr>
                      <w:color w:val="auto"/>
                    </w:rPr>
                    <w:t>/h</w:t>
                  </w:r>
                </w:p>
              </w:tc>
              <w:tc>
                <w:tcPr>
                  <w:tcW w:w="854" w:type="dxa"/>
                  <w:vAlign w:val="center"/>
                </w:tcPr>
                <w:p w14:paraId="75784465">
                  <w:pPr>
                    <w:pStyle w:val="54"/>
                    <w:rPr>
                      <w:color w:val="auto"/>
                    </w:rPr>
                  </w:pPr>
                  <w:r>
                    <w:rPr>
                      <w:color w:val="auto"/>
                    </w:rPr>
                    <w:t>34000</w:t>
                  </w:r>
                </w:p>
              </w:tc>
              <w:tc>
                <w:tcPr>
                  <w:tcW w:w="854" w:type="dxa"/>
                  <w:vAlign w:val="center"/>
                </w:tcPr>
                <w:p w14:paraId="65245BC6">
                  <w:pPr>
                    <w:pStyle w:val="54"/>
                    <w:rPr>
                      <w:color w:val="auto"/>
                    </w:rPr>
                  </w:pPr>
                  <w:r>
                    <w:rPr>
                      <w:color w:val="auto"/>
                    </w:rPr>
                    <w:t>33518</w:t>
                  </w:r>
                </w:p>
              </w:tc>
              <w:tc>
                <w:tcPr>
                  <w:tcW w:w="854" w:type="dxa"/>
                  <w:vAlign w:val="center"/>
                </w:tcPr>
                <w:p w14:paraId="1BBDADF5">
                  <w:pPr>
                    <w:pStyle w:val="54"/>
                    <w:rPr>
                      <w:color w:val="auto"/>
                    </w:rPr>
                  </w:pPr>
                  <w:r>
                    <w:rPr>
                      <w:color w:val="auto"/>
                    </w:rPr>
                    <w:t>34227</w:t>
                  </w:r>
                </w:p>
              </w:tc>
              <w:tc>
                <w:tcPr>
                  <w:tcW w:w="538" w:type="dxa"/>
                  <w:vAlign w:val="center"/>
                </w:tcPr>
                <w:p w14:paraId="474A9B30">
                  <w:pPr>
                    <w:pStyle w:val="54"/>
                    <w:rPr>
                      <w:color w:val="auto"/>
                    </w:rPr>
                  </w:pPr>
                  <w:r>
                    <w:rPr>
                      <w:color w:val="auto"/>
                    </w:rPr>
                    <w:t>/</w:t>
                  </w:r>
                </w:p>
              </w:tc>
              <w:tc>
                <w:tcPr>
                  <w:tcW w:w="590" w:type="dxa"/>
                  <w:vAlign w:val="center"/>
                </w:tcPr>
                <w:p w14:paraId="719CB9E8">
                  <w:pPr>
                    <w:pStyle w:val="54"/>
                    <w:rPr>
                      <w:color w:val="auto"/>
                    </w:rPr>
                  </w:pPr>
                  <w:r>
                    <w:rPr>
                      <w:color w:val="auto"/>
                    </w:rPr>
                    <w:t>/</w:t>
                  </w:r>
                </w:p>
              </w:tc>
            </w:tr>
            <w:tr w14:paraId="6E327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16D6B946">
                  <w:pPr>
                    <w:pStyle w:val="54"/>
                    <w:rPr>
                      <w:color w:val="auto"/>
                    </w:rPr>
                  </w:pPr>
                </w:p>
              </w:tc>
              <w:tc>
                <w:tcPr>
                  <w:tcW w:w="809" w:type="dxa"/>
                  <w:vMerge w:val="continue"/>
                  <w:vAlign w:val="center"/>
                </w:tcPr>
                <w:p w14:paraId="0B34CB54">
                  <w:pPr>
                    <w:pStyle w:val="54"/>
                    <w:rPr>
                      <w:color w:val="auto"/>
                    </w:rPr>
                  </w:pPr>
                </w:p>
              </w:tc>
              <w:tc>
                <w:tcPr>
                  <w:tcW w:w="947" w:type="dxa"/>
                  <w:vMerge w:val="continue"/>
                  <w:vAlign w:val="center"/>
                </w:tcPr>
                <w:p w14:paraId="43A68DAA">
                  <w:pPr>
                    <w:pStyle w:val="54"/>
                    <w:rPr>
                      <w:color w:val="auto"/>
                    </w:rPr>
                  </w:pPr>
                </w:p>
              </w:tc>
              <w:tc>
                <w:tcPr>
                  <w:tcW w:w="1786" w:type="dxa"/>
                  <w:vAlign w:val="center"/>
                </w:tcPr>
                <w:p w14:paraId="33113029">
                  <w:pPr>
                    <w:pStyle w:val="54"/>
                    <w:rPr>
                      <w:color w:val="auto"/>
                    </w:rPr>
                  </w:pPr>
                  <w:r>
                    <w:rPr>
                      <w:color w:val="auto"/>
                    </w:rPr>
                    <w:t>烟气含氧量</w:t>
                  </w:r>
                </w:p>
              </w:tc>
              <w:tc>
                <w:tcPr>
                  <w:tcW w:w="673" w:type="dxa"/>
                  <w:vAlign w:val="center"/>
                </w:tcPr>
                <w:p w14:paraId="556F9717">
                  <w:pPr>
                    <w:pStyle w:val="54"/>
                    <w:rPr>
                      <w:color w:val="auto"/>
                    </w:rPr>
                  </w:pPr>
                  <w:r>
                    <w:rPr>
                      <w:color w:val="auto"/>
                    </w:rPr>
                    <w:t>%</w:t>
                  </w:r>
                </w:p>
              </w:tc>
              <w:tc>
                <w:tcPr>
                  <w:tcW w:w="854" w:type="dxa"/>
                  <w:vAlign w:val="center"/>
                </w:tcPr>
                <w:p w14:paraId="4A542E94">
                  <w:pPr>
                    <w:pStyle w:val="54"/>
                    <w:rPr>
                      <w:color w:val="auto"/>
                    </w:rPr>
                  </w:pPr>
                  <w:r>
                    <w:rPr>
                      <w:color w:val="auto"/>
                    </w:rPr>
                    <w:t>20.8</w:t>
                  </w:r>
                </w:p>
              </w:tc>
              <w:tc>
                <w:tcPr>
                  <w:tcW w:w="854" w:type="dxa"/>
                  <w:vAlign w:val="center"/>
                </w:tcPr>
                <w:p w14:paraId="6DA18540">
                  <w:pPr>
                    <w:pStyle w:val="54"/>
                    <w:rPr>
                      <w:color w:val="auto"/>
                    </w:rPr>
                  </w:pPr>
                  <w:r>
                    <w:rPr>
                      <w:color w:val="auto"/>
                    </w:rPr>
                    <w:t>20.6</w:t>
                  </w:r>
                </w:p>
              </w:tc>
              <w:tc>
                <w:tcPr>
                  <w:tcW w:w="854" w:type="dxa"/>
                  <w:vAlign w:val="center"/>
                </w:tcPr>
                <w:p w14:paraId="5A8ABAC0">
                  <w:pPr>
                    <w:pStyle w:val="54"/>
                    <w:rPr>
                      <w:color w:val="auto"/>
                    </w:rPr>
                  </w:pPr>
                  <w:r>
                    <w:rPr>
                      <w:color w:val="auto"/>
                    </w:rPr>
                    <w:t>20.6</w:t>
                  </w:r>
                </w:p>
              </w:tc>
              <w:tc>
                <w:tcPr>
                  <w:tcW w:w="538" w:type="dxa"/>
                  <w:vAlign w:val="center"/>
                </w:tcPr>
                <w:p w14:paraId="5D785576">
                  <w:pPr>
                    <w:pStyle w:val="54"/>
                    <w:rPr>
                      <w:color w:val="auto"/>
                    </w:rPr>
                  </w:pPr>
                  <w:r>
                    <w:rPr>
                      <w:color w:val="auto"/>
                    </w:rPr>
                    <w:t>/</w:t>
                  </w:r>
                </w:p>
              </w:tc>
              <w:tc>
                <w:tcPr>
                  <w:tcW w:w="590" w:type="dxa"/>
                  <w:vAlign w:val="center"/>
                </w:tcPr>
                <w:p w14:paraId="46B893CE">
                  <w:pPr>
                    <w:pStyle w:val="54"/>
                    <w:rPr>
                      <w:color w:val="auto"/>
                    </w:rPr>
                  </w:pPr>
                  <w:r>
                    <w:rPr>
                      <w:color w:val="auto"/>
                    </w:rPr>
                    <w:t>/</w:t>
                  </w:r>
                </w:p>
              </w:tc>
            </w:tr>
            <w:tr w14:paraId="47749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0D14884F">
                  <w:pPr>
                    <w:pStyle w:val="54"/>
                    <w:rPr>
                      <w:color w:val="auto"/>
                    </w:rPr>
                  </w:pPr>
                </w:p>
              </w:tc>
              <w:tc>
                <w:tcPr>
                  <w:tcW w:w="809" w:type="dxa"/>
                  <w:vMerge w:val="continue"/>
                  <w:vAlign w:val="center"/>
                </w:tcPr>
                <w:p w14:paraId="65EDF331">
                  <w:pPr>
                    <w:pStyle w:val="54"/>
                    <w:rPr>
                      <w:color w:val="auto"/>
                    </w:rPr>
                  </w:pPr>
                </w:p>
              </w:tc>
              <w:tc>
                <w:tcPr>
                  <w:tcW w:w="947" w:type="dxa"/>
                  <w:vMerge w:val="continue"/>
                  <w:vAlign w:val="center"/>
                </w:tcPr>
                <w:p w14:paraId="22FF2FEB">
                  <w:pPr>
                    <w:pStyle w:val="54"/>
                    <w:rPr>
                      <w:color w:val="auto"/>
                    </w:rPr>
                  </w:pPr>
                </w:p>
              </w:tc>
              <w:tc>
                <w:tcPr>
                  <w:tcW w:w="1786" w:type="dxa"/>
                  <w:vAlign w:val="center"/>
                </w:tcPr>
                <w:p w14:paraId="04D42F79">
                  <w:pPr>
                    <w:pStyle w:val="54"/>
                    <w:rPr>
                      <w:color w:val="auto"/>
                    </w:rPr>
                  </w:pPr>
                  <w:r>
                    <w:rPr>
                      <w:color w:val="auto"/>
                    </w:rPr>
                    <w:t>颗粒物实测浓度</w:t>
                  </w:r>
                </w:p>
              </w:tc>
              <w:tc>
                <w:tcPr>
                  <w:tcW w:w="673" w:type="dxa"/>
                  <w:vAlign w:val="center"/>
                </w:tcPr>
                <w:p w14:paraId="4FCCD001">
                  <w:pPr>
                    <w:pStyle w:val="54"/>
                    <w:rPr>
                      <w:color w:val="auto"/>
                    </w:rPr>
                  </w:pPr>
                  <w:r>
                    <w:rPr>
                      <w:color w:val="auto"/>
                    </w:rPr>
                    <w:t>mg/m</w:t>
                  </w:r>
                  <w:r>
                    <w:rPr>
                      <w:color w:val="auto"/>
                      <w:vertAlign w:val="superscript"/>
                    </w:rPr>
                    <w:t>3</w:t>
                  </w:r>
                </w:p>
              </w:tc>
              <w:tc>
                <w:tcPr>
                  <w:tcW w:w="854" w:type="dxa"/>
                  <w:vAlign w:val="center"/>
                </w:tcPr>
                <w:p w14:paraId="38FB855D">
                  <w:pPr>
                    <w:pStyle w:val="54"/>
                    <w:rPr>
                      <w:color w:val="auto"/>
                    </w:rPr>
                  </w:pPr>
                  <w:r>
                    <w:rPr>
                      <w:color w:val="auto"/>
                    </w:rPr>
                    <w:t>3.0</w:t>
                  </w:r>
                </w:p>
              </w:tc>
              <w:tc>
                <w:tcPr>
                  <w:tcW w:w="854" w:type="dxa"/>
                  <w:vAlign w:val="center"/>
                </w:tcPr>
                <w:p w14:paraId="4053B785">
                  <w:pPr>
                    <w:pStyle w:val="54"/>
                    <w:rPr>
                      <w:color w:val="auto"/>
                    </w:rPr>
                  </w:pPr>
                  <w:r>
                    <w:rPr>
                      <w:color w:val="auto"/>
                    </w:rPr>
                    <w:t>2.9</w:t>
                  </w:r>
                </w:p>
              </w:tc>
              <w:tc>
                <w:tcPr>
                  <w:tcW w:w="854" w:type="dxa"/>
                  <w:vAlign w:val="center"/>
                </w:tcPr>
                <w:p w14:paraId="61C26C07">
                  <w:pPr>
                    <w:pStyle w:val="54"/>
                    <w:rPr>
                      <w:color w:val="auto"/>
                    </w:rPr>
                  </w:pPr>
                  <w:r>
                    <w:rPr>
                      <w:color w:val="auto"/>
                    </w:rPr>
                    <w:t>2.5</w:t>
                  </w:r>
                </w:p>
              </w:tc>
              <w:tc>
                <w:tcPr>
                  <w:tcW w:w="538" w:type="dxa"/>
                  <w:vAlign w:val="center"/>
                </w:tcPr>
                <w:p w14:paraId="3849D28E">
                  <w:pPr>
                    <w:pStyle w:val="54"/>
                    <w:rPr>
                      <w:color w:val="auto"/>
                    </w:rPr>
                  </w:pPr>
                  <w:r>
                    <w:rPr>
                      <w:color w:val="auto"/>
                    </w:rPr>
                    <w:t>&lt;20</w:t>
                  </w:r>
                </w:p>
              </w:tc>
              <w:tc>
                <w:tcPr>
                  <w:tcW w:w="590" w:type="dxa"/>
                  <w:vAlign w:val="center"/>
                </w:tcPr>
                <w:p w14:paraId="657A61A9">
                  <w:pPr>
                    <w:pStyle w:val="54"/>
                    <w:rPr>
                      <w:color w:val="auto"/>
                    </w:rPr>
                  </w:pPr>
                  <w:r>
                    <w:rPr>
                      <w:color w:val="auto"/>
                    </w:rPr>
                    <w:t>达标</w:t>
                  </w:r>
                </w:p>
              </w:tc>
            </w:tr>
            <w:tr w14:paraId="25CA4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679A3ECC">
                  <w:pPr>
                    <w:pStyle w:val="54"/>
                    <w:rPr>
                      <w:color w:val="auto"/>
                    </w:rPr>
                  </w:pPr>
                </w:p>
              </w:tc>
              <w:tc>
                <w:tcPr>
                  <w:tcW w:w="809" w:type="dxa"/>
                  <w:vMerge w:val="continue"/>
                  <w:vAlign w:val="center"/>
                </w:tcPr>
                <w:p w14:paraId="1E604FBF">
                  <w:pPr>
                    <w:pStyle w:val="54"/>
                    <w:rPr>
                      <w:color w:val="auto"/>
                    </w:rPr>
                  </w:pPr>
                </w:p>
              </w:tc>
              <w:tc>
                <w:tcPr>
                  <w:tcW w:w="947" w:type="dxa"/>
                  <w:vMerge w:val="continue"/>
                  <w:vAlign w:val="center"/>
                </w:tcPr>
                <w:p w14:paraId="36BE3B2F">
                  <w:pPr>
                    <w:pStyle w:val="54"/>
                    <w:rPr>
                      <w:color w:val="auto"/>
                    </w:rPr>
                  </w:pPr>
                </w:p>
              </w:tc>
              <w:tc>
                <w:tcPr>
                  <w:tcW w:w="1786" w:type="dxa"/>
                  <w:vAlign w:val="center"/>
                </w:tcPr>
                <w:p w14:paraId="6D57DD61">
                  <w:pPr>
                    <w:pStyle w:val="54"/>
                    <w:rPr>
                      <w:color w:val="auto"/>
                    </w:rPr>
                  </w:pPr>
                  <w:r>
                    <w:rPr>
                      <w:color w:val="auto"/>
                    </w:rPr>
                    <w:t>颗粒物排放速率</w:t>
                  </w:r>
                </w:p>
              </w:tc>
              <w:tc>
                <w:tcPr>
                  <w:tcW w:w="673" w:type="dxa"/>
                  <w:vAlign w:val="center"/>
                </w:tcPr>
                <w:p w14:paraId="40BE906D">
                  <w:pPr>
                    <w:pStyle w:val="54"/>
                    <w:rPr>
                      <w:color w:val="auto"/>
                    </w:rPr>
                  </w:pPr>
                  <w:r>
                    <w:rPr>
                      <w:color w:val="auto"/>
                    </w:rPr>
                    <w:t>kg/h</w:t>
                  </w:r>
                </w:p>
              </w:tc>
              <w:tc>
                <w:tcPr>
                  <w:tcW w:w="854" w:type="dxa"/>
                  <w:vAlign w:val="center"/>
                </w:tcPr>
                <w:p w14:paraId="21574B4E">
                  <w:pPr>
                    <w:pStyle w:val="54"/>
                    <w:rPr>
                      <w:color w:val="auto"/>
                    </w:rPr>
                  </w:pPr>
                  <w:r>
                    <w:rPr>
                      <w:color w:val="auto"/>
                    </w:rPr>
                    <w:t>0.102</w:t>
                  </w:r>
                </w:p>
              </w:tc>
              <w:tc>
                <w:tcPr>
                  <w:tcW w:w="854" w:type="dxa"/>
                  <w:vAlign w:val="center"/>
                </w:tcPr>
                <w:p w14:paraId="41355627">
                  <w:pPr>
                    <w:pStyle w:val="54"/>
                    <w:rPr>
                      <w:color w:val="auto"/>
                    </w:rPr>
                  </w:pPr>
                  <w:r>
                    <w:rPr>
                      <w:color w:val="auto"/>
                    </w:rPr>
                    <w:t>0.097</w:t>
                  </w:r>
                </w:p>
              </w:tc>
              <w:tc>
                <w:tcPr>
                  <w:tcW w:w="854" w:type="dxa"/>
                  <w:vAlign w:val="center"/>
                </w:tcPr>
                <w:p w14:paraId="6581A1E7">
                  <w:pPr>
                    <w:pStyle w:val="54"/>
                    <w:rPr>
                      <w:color w:val="auto"/>
                    </w:rPr>
                  </w:pPr>
                  <w:r>
                    <w:rPr>
                      <w:color w:val="auto"/>
                    </w:rPr>
                    <w:t>0.086</w:t>
                  </w:r>
                </w:p>
              </w:tc>
              <w:tc>
                <w:tcPr>
                  <w:tcW w:w="538" w:type="dxa"/>
                  <w:vAlign w:val="center"/>
                </w:tcPr>
                <w:p w14:paraId="50D71146">
                  <w:pPr>
                    <w:pStyle w:val="54"/>
                    <w:rPr>
                      <w:color w:val="auto"/>
                    </w:rPr>
                  </w:pPr>
                  <w:r>
                    <w:rPr>
                      <w:color w:val="auto"/>
                    </w:rPr>
                    <w:t>/</w:t>
                  </w:r>
                </w:p>
              </w:tc>
              <w:tc>
                <w:tcPr>
                  <w:tcW w:w="590" w:type="dxa"/>
                  <w:vAlign w:val="center"/>
                </w:tcPr>
                <w:p w14:paraId="48FAD0C0">
                  <w:pPr>
                    <w:pStyle w:val="54"/>
                    <w:rPr>
                      <w:color w:val="auto"/>
                    </w:rPr>
                  </w:pPr>
                  <w:r>
                    <w:rPr>
                      <w:color w:val="auto"/>
                    </w:rPr>
                    <w:t>/</w:t>
                  </w:r>
                </w:p>
              </w:tc>
            </w:tr>
            <w:tr w14:paraId="773BA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50430509">
                  <w:pPr>
                    <w:pStyle w:val="54"/>
                    <w:rPr>
                      <w:color w:val="auto"/>
                    </w:rPr>
                  </w:pPr>
                </w:p>
              </w:tc>
              <w:tc>
                <w:tcPr>
                  <w:tcW w:w="809" w:type="dxa"/>
                  <w:vMerge w:val="continue"/>
                  <w:vAlign w:val="center"/>
                </w:tcPr>
                <w:p w14:paraId="0CD1E21D">
                  <w:pPr>
                    <w:pStyle w:val="54"/>
                    <w:rPr>
                      <w:color w:val="auto"/>
                    </w:rPr>
                  </w:pPr>
                </w:p>
              </w:tc>
              <w:tc>
                <w:tcPr>
                  <w:tcW w:w="947" w:type="dxa"/>
                  <w:vMerge w:val="continue"/>
                  <w:vAlign w:val="center"/>
                </w:tcPr>
                <w:p w14:paraId="364F6F20">
                  <w:pPr>
                    <w:pStyle w:val="54"/>
                    <w:rPr>
                      <w:color w:val="auto"/>
                    </w:rPr>
                  </w:pPr>
                </w:p>
              </w:tc>
              <w:tc>
                <w:tcPr>
                  <w:tcW w:w="1786" w:type="dxa"/>
                  <w:vAlign w:val="center"/>
                </w:tcPr>
                <w:p w14:paraId="6BD0A838">
                  <w:pPr>
                    <w:pStyle w:val="54"/>
                    <w:rPr>
                      <w:color w:val="auto"/>
                    </w:rPr>
                  </w:pPr>
                  <w:r>
                    <w:rPr>
                      <w:color w:val="auto"/>
                    </w:rPr>
                    <w:t>二氧化硫实测浓度</w:t>
                  </w:r>
                </w:p>
              </w:tc>
              <w:tc>
                <w:tcPr>
                  <w:tcW w:w="673" w:type="dxa"/>
                  <w:vAlign w:val="center"/>
                </w:tcPr>
                <w:p w14:paraId="3C30E70C">
                  <w:pPr>
                    <w:pStyle w:val="54"/>
                    <w:rPr>
                      <w:color w:val="auto"/>
                    </w:rPr>
                  </w:pPr>
                  <w:r>
                    <w:rPr>
                      <w:color w:val="auto"/>
                    </w:rPr>
                    <w:t>mg/m</w:t>
                  </w:r>
                  <w:r>
                    <w:rPr>
                      <w:color w:val="auto"/>
                      <w:vertAlign w:val="superscript"/>
                    </w:rPr>
                    <w:t>3</w:t>
                  </w:r>
                </w:p>
              </w:tc>
              <w:tc>
                <w:tcPr>
                  <w:tcW w:w="854" w:type="dxa"/>
                  <w:vAlign w:val="center"/>
                </w:tcPr>
                <w:p w14:paraId="37DC7286">
                  <w:pPr>
                    <w:pStyle w:val="54"/>
                    <w:rPr>
                      <w:color w:val="auto"/>
                    </w:rPr>
                  </w:pPr>
                  <w:r>
                    <w:rPr>
                      <w:color w:val="auto"/>
                    </w:rPr>
                    <w:t>ND（3）</w:t>
                  </w:r>
                </w:p>
              </w:tc>
              <w:tc>
                <w:tcPr>
                  <w:tcW w:w="854" w:type="dxa"/>
                  <w:vAlign w:val="center"/>
                </w:tcPr>
                <w:p w14:paraId="5AF59339">
                  <w:pPr>
                    <w:pStyle w:val="54"/>
                    <w:rPr>
                      <w:color w:val="auto"/>
                    </w:rPr>
                  </w:pPr>
                  <w:r>
                    <w:rPr>
                      <w:color w:val="auto"/>
                    </w:rPr>
                    <w:t>ND（3）</w:t>
                  </w:r>
                </w:p>
              </w:tc>
              <w:tc>
                <w:tcPr>
                  <w:tcW w:w="854" w:type="dxa"/>
                  <w:vAlign w:val="center"/>
                </w:tcPr>
                <w:p w14:paraId="04680B7A">
                  <w:pPr>
                    <w:pStyle w:val="54"/>
                    <w:rPr>
                      <w:color w:val="auto"/>
                    </w:rPr>
                  </w:pPr>
                  <w:r>
                    <w:rPr>
                      <w:color w:val="auto"/>
                    </w:rPr>
                    <w:t>ND（3）</w:t>
                  </w:r>
                </w:p>
              </w:tc>
              <w:tc>
                <w:tcPr>
                  <w:tcW w:w="538" w:type="dxa"/>
                  <w:vAlign w:val="center"/>
                </w:tcPr>
                <w:p w14:paraId="039765B9">
                  <w:pPr>
                    <w:pStyle w:val="54"/>
                    <w:rPr>
                      <w:color w:val="auto"/>
                    </w:rPr>
                  </w:pPr>
                  <w:r>
                    <w:rPr>
                      <w:color w:val="auto"/>
                    </w:rPr>
                    <w:t>&lt;80</w:t>
                  </w:r>
                </w:p>
              </w:tc>
              <w:tc>
                <w:tcPr>
                  <w:tcW w:w="590" w:type="dxa"/>
                  <w:vAlign w:val="center"/>
                </w:tcPr>
                <w:p w14:paraId="5EC2F242">
                  <w:pPr>
                    <w:pStyle w:val="54"/>
                    <w:rPr>
                      <w:color w:val="auto"/>
                    </w:rPr>
                  </w:pPr>
                  <w:r>
                    <w:rPr>
                      <w:color w:val="auto"/>
                    </w:rPr>
                    <w:t>达标</w:t>
                  </w:r>
                </w:p>
              </w:tc>
            </w:tr>
            <w:tr w14:paraId="7265E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3DB890C8">
                  <w:pPr>
                    <w:pStyle w:val="54"/>
                    <w:rPr>
                      <w:color w:val="auto"/>
                    </w:rPr>
                  </w:pPr>
                </w:p>
              </w:tc>
              <w:tc>
                <w:tcPr>
                  <w:tcW w:w="809" w:type="dxa"/>
                  <w:vMerge w:val="continue"/>
                  <w:vAlign w:val="center"/>
                </w:tcPr>
                <w:p w14:paraId="6B0D7D99">
                  <w:pPr>
                    <w:pStyle w:val="54"/>
                    <w:rPr>
                      <w:color w:val="auto"/>
                    </w:rPr>
                  </w:pPr>
                </w:p>
              </w:tc>
              <w:tc>
                <w:tcPr>
                  <w:tcW w:w="947" w:type="dxa"/>
                  <w:vMerge w:val="continue"/>
                  <w:vAlign w:val="center"/>
                </w:tcPr>
                <w:p w14:paraId="3AA0F1B5">
                  <w:pPr>
                    <w:pStyle w:val="54"/>
                    <w:rPr>
                      <w:color w:val="auto"/>
                    </w:rPr>
                  </w:pPr>
                </w:p>
              </w:tc>
              <w:tc>
                <w:tcPr>
                  <w:tcW w:w="1786" w:type="dxa"/>
                  <w:vAlign w:val="center"/>
                </w:tcPr>
                <w:p w14:paraId="69EB3108">
                  <w:pPr>
                    <w:pStyle w:val="54"/>
                    <w:rPr>
                      <w:color w:val="auto"/>
                    </w:rPr>
                  </w:pPr>
                  <w:r>
                    <w:rPr>
                      <w:color w:val="auto"/>
                    </w:rPr>
                    <w:t>二氧化硫排放速率</w:t>
                  </w:r>
                </w:p>
              </w:tc>
              <w:tc>
                <w:tcPr>
                  <w:tcW w:w="673" w:type="dxa"/>
                  <w:vAlign w:val="center"/>
                </w:tcPr>
                <w:p w14:paraId="78BA8610">
                  <w:pPr>
                    <w:pStyle w:val="54"/>
                    <w:rPr>
                      <w:color w:val="auto"/>
                    </w:rPr>
                  </w:pPr>
                  <w:r>
                    <w:rPr>
                      <w:color w:val="auto"/>
                    </w:rPr>
                    <w:t>kg/h</w:t>
                  </w:r>
                </w:p>
              </w:tc>
              <w:tc>
                <w:tcPr>
                  <w:tcW w:w="854" w:type="dxa"/>
                  <w:vAlign w:val="center"/>
                </w:tcPr>
                <w:p w14:paraId="2B35C50C">
                  <w:pPr>
                    <w:pStyle w:val="54"/>
                    <w:rPr>
                      <w:color w:val="auto"/>
                    </w:rPr>
                  </w:pPr>
                  <w:r>
                    <w:rPr>
                      <w:color w:val="auto"/>
                    </w:rPr>
                    <w:t>/</w:t>
                  </w:r>
                </w:p>
              </w:tc>
              <w:tc>
                <w:tcPr>
                  <w:tcW w:w="854" w:type="dxa"/>
                  <w:vAlign w:val="center"/>
                </w:tcPr>
                <w:p w14:paraId="64F97E2C">
                  <w:pPr>
                    <w:pStyle w:val="54"/>
                    <w:rPr>
                      <w:color w:val="auto"/>
                    </w:rPr>
                  </w:pPr>
                  <w:r>
                    <w:rPr>
                      <w:color w:val="auto"/>
                    </w:rPr>
                    <w:t>/</w:t>
                  </w:r>
                </w:p>
              </w:tc>
              <w:tc>
                <w:tcPr>
                  <w:tcW w:w="854" w:type="dxa"/>
                  <w:vAlign w:val="center"/>
                </w:tcPr>
                <w:p w14:paraId="332B2CB7">
                  <w:pPr>
                    <w:pStyle w:val="54"/>
                    <w:rPr>
                      <w:color w:val="auto"/>
                    </w:rPr>
                  </w:pPr>
                  <w:r>
                    <w:rPr>
                      <w:color w:val="auto"/>
                    </w:rPr>
                    <w:t>/</w:t>
                  </w:r>
                </w:p>
              </w:tc>
              <w:tc>
                <w:tcPr>
                  <w:tcW w:w="538" w:type="dxa"/>
                  <w:vAlign w:val="center"/>
                </w:tcPr>
                <w:p w14:paraId="2E92B076">
                  <w:pPr>
                    <w:pStyle w:val="54"/>
                    <w:rPr>
                      <w:color w:val="auto"/>
                    </w:rPr>
                  </w:pPr>
                  <w:r>
                    <w:rPr>
                      <w:color w:val="auto"/>
                    </w:rPr>
                    <w:t>/</w:t>
                  </w:r>
                </w:p>
              </w:tc>
              <w:tc>
                <w:tcPr>
                  <w:tcW w:w="590" w:type="dxa"/>
                  <w:vAlign w:val="center"/>
                </w:tcPr>
                <w:p w14:paraId="3E921C8C">
                  <w:pPr>
                    <w:pStyle w:val="54"/>
                    <w:rPr>
                      <w:color w:val="auto"/>
                    </w:rPr>
                  </w:pPr>
                  <w:r>
                    <w:rPr>
                      <w:color w:val="auto"/>
                    </w:rPr>
                    <w:t>/</w:t>
                  </w:r>
                </w:p>
              </w:tc>
            </w:tr>
            <w:tr w14:paraId="679FE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7CBF1B69">
                  <w:pPr>
                    <w:pStyle w:val="54"/>
                    <w:rPr>
                      <w:color w:val="auto"/>
                    </w:rPr>
                  </w:pPr>
                </w:p>
              </w:tc>
              <w:tc>
                <w:tcPr>
                  <w:tcW w:w="809" w:type="dxa"/>
                  <w:vMerge w:val="continue"/>
                  <w:vAlign w:val="center"/>
                </w:tcPr>
                <w:p w14:paraId="33D09B97">
                  <w:pPr>
                    <w:pStyle w:val="54"/>
                    <w:rPr>
                      <w:color w:val="auto"/>
                    </w:rPr>
                  </w:pPr>
                </w:p>
              </w:tc>
              <w:tc>
                <w:tcPr>
                  <w:tcW w:w="947" w:type="dxa"/>
                  <w:vMerge w:val="continue"/>
                  <w:vAlign w:val="center"/>
                </w:tcPr>
                <w:p w14:paraId="338745B6">
                  <w:pPr>
                    <w:pStyle w:val="54"/>
                    <w:rPr>
                      <w:color w:val="auto"/>
                    </w:rPr>
                  </w:pPr>
                </w:p>
              </w:tc>
              <w:tc>
                <w:tcPr>
                  <w:tcW w:w="1786" w:type="dxa"/>
                  <w:vAlign w:val="center"/>
                </w:tcPr>
                <w:p w14:paraId="1F587A49">
                  <w:pPr>
                    <w:pStyle w:val="54"/>
                    <w:rPr>
                      <w:color w:val="auto"/>
                    </w:rPr>
                  </w:pPr>
                  <w:r>
                    <w:rPr>
                      <w:color w:val="auto"/>
                    </w:rPr>
                    <w:t>氮氧化物实测浓度</w:t>
                  </w:r>
                </w:p>
              </w:tc>
              <w:tc>
                <w:tcPr>
                  <w:tcW w:w="673" w:type="dxa"/>
                  <w:vAlign w:val="center"/>
                </w:tcPr>
                <w:p w14:paraId="5CCE4A70">
                  <w:pPr>
                    <w:pStyle w:val="54"/>
                    <w:rPr>
                      <w:color w:val="auto"/>
                    </w:rPr>
                  </w:pPr>
                  <w:r>
                    <w:rPr>
                      <w:color w:val="auto"/>
                    </w:rPr>
                    <w:t>mg/m</w:t>
                  </w:r>
                  <w:r>
                    <w:rPr>
                      <w:color w:val="auto"/>
                      <w:vertAlign w:val="superscript"/>
                    </w:rPr>
                    <w:t>3</w:t>
                  </w:r>
                </w:p>
              </w:tc>
              <w:tc>
                <w:tcPr>
                  <w:tcW w:w="854" w:type="dxa"/>
                  <w:vAlign w:val="center"/>
                </w:tcPr>
                <w:p w14:paraId="1DF6C8E5">
                  <w:pPr>
                    <w:pStyle w:val="54"/>
                    <w:rPr>
                      <w:color w:val="auto"/>
                    </w:rPr>
                  </w:pPr>
                  <w:r>
                    <w:rPr>
                      <w:color w:val="auto"/>
                    </w:rPr>
                    <w:t>ND（3）</w:t>
                  </w:r>
                </w:p>
              </w:tc>
              <w:tc>
                <w:tcPr>
                  <w:tcW w:w="854" w:type="dxa"/>
                  <w:vAlign w:val="center"/>
                </w:tcPr>
                <w:p w14:paraId="1ECC373F">
                  <w:pPr>
                    <w:pStyle w:val="54"/>
                    <w:rPr>
                      <w:color w:val="auto"/>
                    </w:rPr>
                  </w:pPr>
                  <w:r>
                    <w:rPr>
                      <w:color w:val="auto"/>
                    </w:rPr>
                    <w:t>ND（3）</w:t>
                  </w:r>
                </w:p>
              </w:tc>
              <w:tc>
                <w:tcPr>
                  <w:tcW w:w="854" w:type="dxa"/>
                  <w:vAlign w:val="center"/>
                </w:tcPr>
                <w:p w14:paraId="566A531A">
                  <w:pPr>
                    <w:pStyle w:val="54"/>
                    <w:rPr>
                      <w:color w:val="auto"/>
                    </w:rPr>
                  </w:pPr>
                  <w:r>
                    <w:rPr>
                      <w:color w:val="auto"/>
                    </w:rPr>
                    <w:t>ND（3）</w:t>
                  </w:r>
                </w:p>
              </w:tc>
              <w:tc>
                <w:tcPr>
                  <w:tcW w:w="538" w:type="dxa"/>
                  <w:vAlign w:val="center"/>
                </w:tcPr>
                <w:p w14:paraId="615EB5CD">
                  <w:pPr>
                    <w:pStyle w:val="54"/>
                    <w:rPr>
                      <w:color w:val="auto"/>
                    </w:rPr>
                  </w:pPr>
                  <w:r>
                    <w:rPr>
                      <w:color w:val="auto"/>
                    </w:rPr>
                    <w:t>&lt;180</w:t>
                  </w:r>
                </w:p>
              </w:tc>
              <w:tc>
                <w:tcPr>
                  <w:tcW w:w="590" w:type="dxa"/>
                  <w:vAlign w:val="center"/>
                </w:tcPr>
                <w:p w14:paraId="48EA1DDD">
                  <w:pPr>
                    <w:pStyle w:val="54"/>
                    <w:rPr>
                      <w:color w:val="auto"/>
                    </w:rPr>
                  </w:pPr>
                  <w:r>
                    <w:rPr>
                      <w:color w:val="auto"/>
                    </w:rPr>
                    <w:t>达标</w:t>
                  </w:r>
                </w:p>
              </w:tc>
            </w:tr>
            <w:tr w14:paraId="15692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48297F17">
                  <w:pPr>
                    <w:pStyle w:val="54"/>
                    <w:rPr>
                      <w:color w:val="auto"/>
                    </w:rPr>
                  </w:pPr>
                </w:p>
              </w:tc>
              <w:tc>
                <w:tcPr>
                  <w:tcW w:w="809" w:type="dxa"/>
                  <w:vMerge w:val="continue"/>
                  <w:vAlign w:val="center"/>
                </w:tcPr>
                <w:p w14:paraId="308771C0">
                  <w:pPr>
                    <w:pStyle w:val="54"/>
                    <w:rPr>
                      <w:color w:val="auto"/>
                    </w:rPr>
                  </w:pPr>
                </w:p>
              </w:tc>
              <w:tc>
                <w:tcPr>
                  <w:tcW w:w="947" w:type="dxa"/>
                  <w:vMerge w:val="continue"/>
                  <w:vAlign w:val="center"/>
                </w:tcPr>
                <w:p w14:paraId="7C7325CC">
                  <w:pPr>
                    <w:pStyle w:val="54"/>
                    <w:rPr>
                      <w:color w:val="auto"/>
                    </w:rPr>
                  </w:pPr>
                </w:p>
              </w:tc>
              <w:tc>
                <w:tcPr>
                  <w:tcW w:w="1786" w:type="dxa"/>
                  <w:vAlign w:val="center"/>
                </w:tcPr>
                <w:p w14:paraId="627C44A2">
                  <w:pPr>
                    <w:pStyle w:val="54"/>
                    <w:rPr>
                      <w:color w:val="auto"/>
                    </w:rPr>
                  </w:pPr>
                  <w:r>
                    <w:rPr>
                      <w:color w:val="auto"/>
                    </w:rPr>
                    <w:t>氮氧化物排放速率</w:t>
                  </w:r>
                </w:p>
              </w:tc>
              <w:tc>
                <w:tcPr>
                  <w:tcW w:w="673" w:type="dxa"/>
                  <w:vAlign w:val="center"/>
                </w:tcPr>
                <w:p w14:paraId="4D43D5C3">
                  <w:pPr>
                    <w:pStyle w:val="54"/>
                    <w:rPr>
                      <w:color w:val="auto"/>
                    </w:rPr>
                  </w:pPr>
                  <w:r>
                    <w:rPr>
                      <w:color w:val="auto"/>
                    </w:rPr>
                    <w:t>kg/h</w:t>
                  </w:r>
                </w:p>
              </w:tc>
              <w:tc>
                <w:tcPr>
                  <w:tcW w:w="854" w:type="dxa"/>
                  <w:vAlign w:val="center"/>
                </w:tcPr>
                <w:p w14:paraId="6D513033">
                  <w:pPr>
                    <w:pStyle w:val="54"/>
                    <w:rPr>
                      <w:color w:val="auto"/>
                    </w:rPr>
                  </w:pPr>
                  <w:r>
                    <w:rPr>
                      <w:color w:val="auto"/>
                    </w:rPr>
                    <w:t>/</w:t>
                  </w:r>
                </w:p>
              </w:tc>
              <w:tc>
                <w:tcPr>
                  <w:tcW w:w="854" w:type="dxa"/>
                  <w:vAlign w:val="center"/>
                </w:tcPr>
                <w:p w14:paraId="162DAA6D">
                  <w:pPr>
                    <w:pStyle w:val="54"/>
                    <w:rPr>
                      <w:color w:val="auto"/>
                    </w:rPr>
                  </w:pPr>
                  <w:r>
                    <w:rPr>
                      <w:color w:val="auto"/>
                    </w:rPr>
                    <w:t>/</w:t>
                  </w:r>
                </w:p>
              </w:tc>
              <w:tc>
                <w:tcPr>
                  <w:tcW w:w="854" w:type="dxa"/>
                  <w:vAlign w:val="center"/>
                </w:tcPr>
                <w:p w14:paraId="2DD9ADDB">
                  <w:pPr>
                    <w:pStyle w:val="54"/>
                    <w:rPr>
                      <w:color w:val="auto"/>
                    </w:rPr>
                  </w:pPr>
                  <w:r>
                    <w:rPr>
                      <w:color w:val="auto"/>
                    </w:rPr>
                    <w:t>/</w:t>
                  </w:r>
                </w:p>
              </w:tc>
              <w:tc>
                <w:tcPr>
                  <w:tcW w:w="538" w:type="dxa"/>
                  <w:vAlign w:val="center"/>
                </w:tcPr>
                <w:p w14:paraId="69446477">
                  <w:pPr>
                    <w:pStyle w:val="54"/>
                    <w:rPr>
                      <w:color w:val="auto"/>
                    </w:rPr>
                  </w:pPr>
                  <w:r>
                    <w:rPr>
                      <w:color w:val="auto"/>
                    </w:rPr>
                    <w:t>/</w:t>
                  </w:r>
                </w:p>
              </w:tc>
              <w:tc>
                <w:tcPr>
                  <w:tcW w:w="590" w:type="dxa"/>
                  <w:vAlign w:val="center"/>
                </w:tcPr>
                <w:p w14:paraId="55E6A7B8">
                  <w:pPr>
                    <w:pStyle w:val="54"/>
                    <w:rPr>
                      <w:color w:val="auto"/>
                    </w:rPr>
                  </w:pPr>
                  <w:r>
                    <w:rPr>
                      <w:color w:val="auto"/>
                    </w:rPr>
                    <w:t>/</w:t>
                  </w:r>
                </w:p>
              </w:tc>
            </w:tr>
            <w:tr w14:paraId="484DC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35C2875B">
                  <w:pPr>
                    <w:pStyle w:val="54"/>
                    <w:rPr>
                      <w:color w:val="auto"/>
                    </w:rPr>
                  </w:pPr>
                </w:p>
              </w:tc>
              <w:tc>
                <w:tcPr>
                  <w:tcW w:w="809" w:type="dxa"/>
                  <w:vMerge w:val="continue"/>
                  <w:vAlign w:val="center"/>
                </w:tcPr>
                <w:p w14:paraId="46D79617">
                  <w:pPr>
                    <w:pStyle w:val="54"/>
                    <w:rPr>
                      <w:color w:val="auto"/>
                    </w:rPr>
                  </w:pPr>
                </w:p>
              </w:tc>
              <w:tc>
                <w:tcPr>
                  <w:tcW w:w="947" w:type="dxa"/>
                  <w:vMerge w:val="continue"/>
                  <w:vAlign w:val="center"/>
                </w:tcPr>
                <w:p w14:paraId="229AFAAB">
                  <w:pPr>
                    <w:pStyle w:val="54"/>
                    <w:rPr>
                      <w:color w:val="auto"/>
                    </w:rPr>
                  </w:pPr>
                </w:p>
              </w:tc>
              <w:tc>
                <w:tcPr>
                  <w:tcW w:w="1786" w:type="dxa"/>
                  <w:vAlign w:val="center"/>
                </w:tcPr>
                <w:p w14:paraId="1716F308">
                  <w:pPr>
                    <w:pStyle w:val="54"/>
                    <w:rPr>
                      <w:color w:val="auto"/>
                    </w:rPr>
                  </w:pPr>
                  <w:r>
                    <w:rPr>
                      <w:color w:val="auto"/>
                    </w:rPr>
                    <w:t>林格曼烟气黑度</w:t>
                  </w:r>
                </w:p>
              </w:tc>
              <w:tc>
                <w:tcPr>
                  <w:tcW w:w="673" w:type="dxa"/>
                  <w:vAlign w:val="center"/>
                </w:tcPr>
                <w:p w14:paraId="340AB483">
                  <w:pPr>
                    <w:pStyle w:val="54"/>
                    <w:rPr>
                      <w:color w:val="auto"/>
                    </w:rPr>
                  </w:pPr>
                  <w:r>
                    <w:rPr>
                      <w:color w:val="auto"/>
                    </w:rPr>
                    <w:t>级</w:t>
                  </w:r>
                </w:p>
              </w:tc>
              <w:tc>
                <w:tcPr>
                  <w:tcW w:w="854" w:type="dxa"/>
                  <w:vAlign w:val="center"/>
                </w:tcPr>
                <w:p w14:paraId="6456CC85">
                  <w:pPr>
                    <w:pStyle w:val="54"/>
                    <w:rPr>
                      <w:color w:val="auto"/>
                    </w:rPr>
                  </w:pPr>
                  <w:r>
                    <w:rPr>
                      <w:color w:val="auto"/>
                    </w:rPr>
                    <w:t>&lt;1</w:t>
                  </w:r>
                </w:p>
              </w:tc>
              <w:tc>
                <w:tcPr>
                  <w:tcW w:w="854" w:type="dxa"/>
                  <w:vAlign w:val="center"/>
                </w:tcPr>
                <w:p w14:paraId="078E1F60">
                  <w:pPr>
                    <w:pStyle w:val="54"/>
                    <w:rPr>
                      <w:color w:val="auto"/>
                    </w:rPr>
                  </w:pPr>
                  <w:r>
                    <w:rPr>
                      <w:color w:val="auto"/>
                    </w:rPr>
                    <w:t>&lt;1</w:t>
                  </w:r>
                </w:p>
              </w:tc>
              <w:tc>
                <w:tcPr>
                  <w:tcW w:w="854" w:type="dxa"/>
                  <w:vAlign w:val="center"/>
                </w:tcPr>
                <w:p w14:paraId="66467B81">
                  <w:pPr>
                    <w:pStyle w:val="54"/>
                    <w:rPr>
                      <w:color w:val="auto"/>
                    </w:rPr>
                  </w:pPr>
                  <w:r>
                    <w:rPr>
                      <w:color w:val="auto"/>
                    </w:rPr>
                    <w:t>&lt;1</w:t>
                  </w:r>
                </w:p>
              </w:tc>
              <w:tc>
                <w:tcPr>
                  <w:tcW w:w="538" w:type="dxa"/>
                  <w:vAlign w:val="center"/>
                </w:tcPr>
                <w:p w14:paraId="3EC8CFA4">
                  <w:pPr>
                    <w:pStyle w:val="54"/>
                    <w:rPr>
                      <w:color w:val="auto"/>
                    </w:rPr>
                  </w:pPr>
                  <w:r>
                    <w:rPr>
                      <w:color w:val="auto"/>
                    </w:rPr>
                    <w:t>≤1</w:t>
                  </w:r>
                </w:p>
              </w:tc>
              <w:tc>
                <w:tcPr>
                  <w:tcW w:w="590" w:type="dxa"/>
                  <w:vAlign w:val="center"/>
                </w:tcPr>
                <w:p w14:paraId="36D3402A">
                  <w:pPr>
                    <w:pStyle w:val="54"/>
                    <w:rPr>
                      <w:color w:val="auto"/>
                    </w:rPr>
                  </w:pPr>
                  <w:r>
                    <w:rPr>
                      <w:color w:val="auto"/>
                    </w:rPr>
                    <w:t>达标</w:t>
                  </w:r>
                </w:p>
              </w:tc>
            </w:tr>
            <w:tr w14:paraId="499973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restart"/>
                  <w:vAlign w:val="center"/>
                </w:tcPr>
                <w:p w14:paraId="5990C23A">
                  <w:pPr>
                    <w:pStyle w:val="54"/>
                    <w:rPr>
                      <w:color w:val="auto"/>
                    </w:rPr>
                  </w:pPr>
                  <w:r>
                    <w:rPr>
                      <w:color w:val="auto"/>
                    </w:rPr>
                    <w:t>2025.07.08</w:t>
                  </w:r>
                </w:p>
              </w:tc>
              <w:tc>
                <w:tcPr>
                  <w:tcW w:w="809" w:type="dxa"/>
                  <w:vMerge w:val="restart"/>
                  <w:vAlign w:val="center"/>
                </w:tcPr>
                <w:p w14:paraId="021011F3">
                  <w:pPr>
                    <w:pStyle w:val="54"/>
                    <w:rPr>
                      <w:color w:val="auto"/>
                    </w:rPr>
                  </w:pPr>
                  <w:r>
                    <w:rPr>
                      <w:color w:val="auto"/>
                    </w:rPr>
                    <w:t>DA002排气筒进口</w:t>
                  </w:r>
                </w:p>
              </w:tc>
              <w:tc>
                <w:tcPr>
                  <w:tcW w:w="947" w:type="dxa"/>
                  <w:vMerge w:val="restart"/>
                  <w:vAlign w:val="center"/>
                </w:tcPr>
                <w:p w14:paraId="6E637310">
                  <w:pPr>
                    <w:pStyle w:val="54"/>
                    <w:rPr>
                      <w:color w:val="auto"/>
                    </w:rPr>
                  </w:pPr>
                  <w:r>
                    <w:rPr>
                      <w:color w:val="auto"/>
                    </w:rPr>
                    <w:t>/</w:t>
                  </w:r>
                </w:p>
              </w:tc>
              <w:tc>
                <w:tcPr>
                  <w:tcW w:w="1786" w:type="dxa"/>
                  <w:vAlign w:val="center"/>
                </w:tcPr>
                <w:p w14:paraId="2B5818F4">
                  <w:pPr>
                    <w:pStyle w:val="54"/>
                    <w:rPr>
                      <w:color w:val="auto"/>
                    </w:rPr>
                  </w:pPr>
                  <w:r>
                    <w:rPr>
                      <w:color w:val="auto"/>
                    </w:rPr>
                    <w:t>烟道截面积</w:t>
                  </w:r>
                </w:p>
              </w:tc>
              <w:tc>
                <w:tcPr>
                  <w:tcW w:w="673" w:type="dxa"/>
                  <w:vAlign w:val="center"/>
                </w:tcPr>
                <w:p w14:paraId="53786D2B">
                  <w:pPr>
                    <w:pStyle w:val="54"/>
                    <w:rPr>
                      <w:color w:val="auto"/>
                    </w:rPr>
                  </w:pPr>
                  <w:r>
                    <w:rPr>
                      <w:color w:val="auto"/>
                    </w:rPr>
                    <w:t>m</w:t>
                  </w:r>
                  <w:r>
                    <w:rPr>
                      <w:color w:val="auto"/>
                      <w:vertAlign w:val="superscript"/>
                    </w:rPr>
                    <w:t>2</w:t>
                  </w:r>
                </w:p>
              </w:tc>
              <w:tc>
                <w:tcPr>
                  <w:tcW w:w="854" w:type="dxa"/>
                  <w:vAlign w:val="center"/>
                </w:tcPr>
                <w:p w14:paraId="63181B8D">
                  <w:pPr>
                    <w:pStyle w:val="54"/>
                    <w:rPr>
                      <w:color w:val="auto"/>
                    </w:rPr>
                  </w:pPr>
                  <w:r>
                    <w:rPr>
                      <w:color w:val="auto"/>
                    </w:rPr>
                    <w:t>0.1963</w:t>
                  </w:r>
                </w:p>
              </w:tc>
              <w:tc>
                <w:tcPr>
                  <w:tcW w:w="854" w:type="dxa"/>
                  <w:vAlign w:val="center"/>
                </w:tcPr>
                <w:p w14:paraId="67FCBE96">
                  <w:pPr>
                    <w:pStyle w:val="54"/>
                    <w:rPr>
                      <w:color w:val="auto"/>
                    </w:rPr>
                  </w:pPr>
                  <w:r>
                    <w:rPr>
                      <w:color w:val="auto"/>
                    </w:rPr>
                    <w:t>0.1963</w:t>
                  </w:r>
                </w:p>
              </w:tc>
              <w:tc>
                <w:tcPr>
                  <w:tcW w:w="854" w:type="dxa"/>
                  <w:vAlign w:val="center"/>
                </w:tcPr>
                <w:p w14:paraId="20AB318E">
                  <w:pPr>
                    <w:pStyle w:val="54"/>
                    <w:rPr>
                      <w:color w:val="auto"/>
                    </w:rPr>
                  </w:pPr>
                  <w:r>
                    <w:rPr>
                      <w:color w:val="auto"/>
                    </w:rPr>
                    <w:t>0.1963</w:t>
                  </w:r>
                </w:p>
              </w:tc>
              <w:tc>
                <w:tcPr>
                  <w:tcW w:w="538" w:type="dxa"/>
                  <w:vAlign w:val="center"/>
                </w:tcPr>
                <w:p w14:paraId="2FF3E5E4">
                  <w:pPr>
                    <w:pStyle w:val="54"/>
                    <w:rPr>
                      <w:color w:val="auto"/>
                    </w:rPr>
                  </w:pPr>
                  <w:r>
                    <w:rPr>
                      <w:color w:val="auto"/>
                    </w:rPr>
                    <w:t>/</w:t>
                  </w:r>
                </w:p>
              </w:tc>
              <w:tc>
                <w:tcPr>
                  <w:tcW w:w="590" w:type="dxa"/>
                  <w:vAlign w:val="center"/>
                </w:tcPr>
                <w:p w14:paraId="7E62753E">
                  <w:pPr>
                    <w:pStyle w:val="54"/>
                    <w:rPr>
                      <w:color w:val="auto"/>
                    </w:rPr>
                  </w:pPr>
                  <w:r>
                    <w:rPr>
                      <w:color w:val="auto"/>
                    </w:rPr>
                    <w:t>/</w:t>
                  </w:r>
                </w:p>
              </w:tc>
            </w:tr>
            <w:tr w14:paraId="66989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0343B380">
                  <w:pPr>
                    <w:pStyle w:val="54"/>
                    <w:rPr>
                      <w:color w:val="auto"/>
                    </w:rPr>
                  </w:pPr>
                </w:p>
              </w:tc>
              <w:tc>
                <w:tcPr>
                  <w:tcW w:w="809" w:type="dxa"/>
                  <w:vMerge w:val="continue"/>
                  <w:vAlign w:val="center"/>
                </w:tcPr>
                <w:p w14:paraId="179E0537">
                  <w:pPr>
                    <w:pStyle w:val="54"/>
                    <w:rPr>
                      <w:color w:val="auto"/>
                    </w:rPr>
                  </w:pPr>
                </w:p>
              </w:tc>
              <w:tc>
                <w:tcPr>
                  <w:tcW w:w="947" w:type="dxa"/>
                  <w:vMerge w:val="continue"/>
                  <w:vAlign w:val="center"/>
                </w:tcPr>
                <w:p w14:paraId="0B00BE08">
                  <w:pPr>
                    <w:pStyle w:val="54"/>
                    <w:rPr>
                      <w:color w:val="auto"/>
                    </w:rPr>
                  </w:pPr>
                </w:p>
              </w:tc>
              <w:tc>
                <w:tcPr>
                  <w:tcW w:w="1786" w:type="dxa"/>
                  <w:vAlign w:val="center"/>
                </w:tcPr>
                <w:p w14:paraId="442C70DB">
                  <w:pPr>
                    <w:pStyle w:val="54"/>
                    <w:rPr>
                      <w:color w:val="auto"/>
                    </w:rPr>
                  </w:pPr>
                  <w:r>
                    <w:rPr>
                      <w:color w:val="auto"/>
                    </w:rPr>
                    <w:t>烟气含湿量</w:t>
                  </w:r>
                </w:p>
              </w:tc>
              <w:tc>
                <w:tcPr>
                  <w:tcW w:w="673" w:type="dxa"/>
                  <w:vAlign w:val="center"/>
                </w:tcPr>
                <w:p w14:paraId="7C946C5F">
                  <w:pPr>
                    <w:pStyle w:val="54"/>
                    <w:rPr>
                      <w:color w:val="auto"/>
                    </w:rPr>
                  </w:pPr>
                  <w:r>
                    <w:rPr>
                      <w:color w:val="auto"/>
                    </w:rPr>
                    <w:t>%</w:t>
                  </w:r>
                </w:p>
              </w:tc>
              <w:tc>
                <w:tcPr>
                  <w:tcW w:w="854" w:type="dxa"/>
                  <w:vAlign w:val="center"/>
                </w:tcPr>
                <w:p w14:paraId="3BCBE6F4">
                  <w:pPr>
                    <w:pStyle w:val="54"/>
                    <w:rPr>
                      <w:color w:val="auto"/>
                    </w:rPr>
                  </w:pPr>
                  <w:r>
                    <w:rPr>
                      <w:color w:val="auto"/>
                    </w:rPr>
                    <w:t>4.6</w:t>
                  </w:r>
                </w:p>
              </w:tc>
              <w:tc>
                <w:tcPr>
                  <w:tcW w:w="854" w:type="dxa"/>
                  <w:vAlign w:val="center"/>
                </w:tcPr>
                <w:p w14:paraId="2F0B6946">
                  <w:pPr>
                    <w:pStyle w:val="54"/>
                    <w:rPr>
                      <w:color w:val="auto"/>
                    </w:rPr>
                  </w:pPr>
                  <w:r>
                    <w:rPr>
                      <w:color w:val="auto"/>
                    </w:rPr>
                    <w:t>4.8</w:t>
                  </w:r>
                </w:p>
              </w:tc>
              <w:tc>
                <w:tcPr>
                  <w:tcW w:w="854" w:type="dxa"/>
                  <w:vAlign w:val="center"/>
                </w:tcPr>
                <w:p w14:paraId="139397BF">
                  <w:pPr>
                    <w:pStyle w:val="54"/>
                    <w:rPr>
                      <w:color w:val="auto"/>
                    </w:rPr>
                  </w:pPr>
                  <w:r>
                    <w:rPr>
                      <w:color w:val="auto"/>
                    </w:rPr>
                    <w:t>4.8</w:t>
                  </w:r>
                </w:p>
              </w:tc>
              <w:tc>
                <w:tcPr>
                  <w:tcW w:w="538" w:type="dxa"/>
                  <w:vAlign w:val="center"/>
                </w:tcPr>
                <w:p w14:paraId="2F26ABE1">
                  <w:pPr>
                    <w:pStyle w:val="54"/>
                    <w:rPr>
                      <w:color w:val="auto"/>
                    </w:rPr>
                  </w:pPr>
                  <w:r>
                    <w:rPr>
                      <w:color w:val="auto"/>
                    </w:rPr>
                    <w:t>/</w:t>
                  </w:r>
                </w:p>
              </w:tc>
              <w:tc>
                <w:tcPr>
                  <w:tcW w:w="590" w:type="dxa"/>
                  <w:vAlign w:val="center"/>
                </w:tcPr>
                <w:p w14:paraId="4908B5EA">
                  <w:pPr>
                    <w:pStyle w:val="54"/>
                    <w:rPr>
                      <w:color w:val="auto"/>
                    </w:rPr>
                  </w:pPr>
                  <w:r>
                    <w:rPr>
                      <w:color w:val="auto"/>
                    </w:rPr>
                    <w:t>/</w:t>
                  </w:r>
                </w:p>
              </w:tc>
            </w:tr>
            <w:tr w14:paraId="1337C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227F400B">
                  <w:pPr>
                    <w:pStyle w:val="54"/>
                    <w:rPr>
                      <w:color w:val="auto"/>
                    </w:rPr>
                  </w:pPr>
                </w:p>
              </w:tc>
              <w:tc>
                <w:tcPr>
                  <w:tcW w:w="809" w:type="dxa"/>
                  <w:vMerge w:val="continue"/>
                  <w:vAlign w:val="center"/>
                </w:tcPr>
                <w:p w14:paraId="142B8AA7">
                  <w:pPr>
                    <w:pStyle w:val="54"/>
                    <w:rPr>
                      <w:color w:val="auto"/>
                    </w:rPr>
                  </w:pPr>
                </w:p>
              </w:tc>
              <w:tc>
                <w:tcPr>
                  <w:tcW w:w="947" w:type="dxa"/>
                  <w:vMerge w:val="continue"/>
                  <w:vAlign w:val="center"/>
                </w:tcPr>
                <w:p w14:paraId="25C29357">
                  <w:pPr>
                    <w:pStyle w:val="54"/>
                    <w:rPr>
                      <w:color w:val="auto"/>
                    </w:rPr>
                  </w:pPr>
                </w:p>
              </w:tc>
              <w:tc>
                <w:tcPr>
                  <w:tcW w:w="1786" w:type="dxa"/>
                  <w:vAlign w:val="center"/>
                </w:tcPr>
                <w:p w14:paraId="1A00A398">
                  <w:pPr>
                    <w:pStyle w:val="54"/>
                    <w:rPr>
                      <w:color w:val="auto"/>
                    </w:rPr>
                  </w:pPr>
                  <w:r>
                    <w:rPr>
                      <w:color w:val="auto"/>
                    </w:rPr>
                    <w:t>烟气温度</w:t>
                  </w:r>
                </w:p>
              </w:tc>
              <w:tc>
                <w:tcPr>
                  <w:tcW w:w="673" w:type="dxa"/>
                  <w:vAlign w:val="center"/>
                </w:tcPr>
                <w:p w14:paraId="153AE6E8">
                  <w:pPr>
                    <w:pStyle w:val="54"/>
                    <w:rPr>
                      <w:color w:val="auto"/>
                    </w:rPr>
                  </w:pPr>
                  <w:r>
                    <w:rPr>
                      <w:color w:val="auto"/>
                    </w:rPr>
                    <w:t>℃</w:t>
                  </w:r>
                </w:p>
              </w:tc>
              <w:tc>
                <w:tcPr>
                  <w:tcW w:w="854" w:type="dxa"/>
                  <w:vAlign w:val="center"/>
                </w:tcPr>
                <w:p w14:paraId="5D816BB8">
                  <w:pPr>
                    <w:pStyle w:val="54"/>
                    <w:rPr>
                      <w:color w:val="auto"/>
                    </w:rPr>
                  </w:pPr>
                  <w:r>
                    <w:rPr>
                      <w:color w:val="auto"/>
                    </w:rPr>
                    <w:t>84</w:t>
                  </w:r>
                </w:p>
              </w:tc>
              <w:tc>
                <w:tcPr>
                  <w:tcW w:w="854" w:type="dxa"/>
                  <w:vAlign w:val="center"/>
                </w:tcPr>
                <w:p w14:paraId="5B989978">
                  <w:pPr>
                    <w:pStyle w:val="54"/>
                    <w:rPr>
                      <w:color w:val="auto"/>
                    </w:rPr>
                  </w:pPr>
                  <w:r>
                    <w:rPr>
                      <w:color w:val="auto"/>
                    </w:rPr>
                    <w:t>85</w:t>
                  </w:r>
                </w:p>
              </w:tc>
              <w:tc>
                <w:tcPr>
                  <w:tcW w:w="854" w:type="dxa"/>
                  <w:vAlign w:val="center"/>
                </w:tcPr>
                <w:p w14:paraId="66C51DBA">
                  <w:pPr>
                    <w:pStyle w:val="54"/>
                    <w:rPr>
                      <w:color w:val="auto"/>
                    </w:rPr>
                  </w:pPr>
                  <w:r>
                    <w:rPr>
                      <w:color w:val="auto"/>
                    </w:rPr>
                    <w:t>86</w:t>
                  </w:r>
                </w:p>
              </w:tc>
              <w:tc>
                <w:tcPr>
                  <w:tcW w:w="538" w:type="dxa"/>
                  <w:vAlign w:val="center"/>
                </w:tcPr>
                <w:p w14:paraId="06053AB5">
                  <w:pPr>
                    <w:pStyle w:val="54"/>
                    <w:rPr>
                      <w:color w:val="auto"/>
                    </w:rPr>
                  </w:pPr>
                  <w:r>
                    <w:rPr>
                      <w:color w:val="auto"/>
                    </w:rPr>
                    <w:t>/</w:t>
                  </w:r>
                </w:p>
              </w:tc>
              <w:tc>
                <w:tcPr>
                  <w:tcW w:w="590" w:type="dxa"/>
                  <w:vAlign w:val="center"/>
                </w:tcPr>
                <w:p w14:paraId="597C09F9">
                  <w:pPr>
                    <w:pStyle w:val="54"/>
                    <w:rPr>
                      <w:color w:val="auto"/>
                    </w:rPr>
                  </w:pPr>
                  <w:r>
                    <w:rPr>
                      <w:color w:val="auto"/>
                    </w:rPr>
                    <w:t>/</w:t>
                  </w:r>
                </w:p>
              </w:tc>
            </w:tr>
            <w:tr w14:paraId="1FE976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0582576F">
                  <w:pPr>
                    <w:pStyle w:val="54"/>
                    <w:rPr>
                      <w:color w:val="auto"/>
                    </w:rPr>
                  </w:pPr>
                </w:p>
              </w:tc>
              <w:tc>
                <w:tcPr>
                  <w:tcW w:w="809" w:type="dxa"/>
                  <w:vMerge w:val="continue"/>
                  <w:vAlign w:val="center"/>
                </w:tcPr>
                <w:p w14:paraId="324B1263">
                  <w:pPr>
                    <w:pStyle w:val="54"/>
                    <w:rPr>
                      <w:color w:val="auto"/>
                    </w:rPr>
                  </w:pPr>
                </w:p>
              </w:tc>
              <w:tc>
                <w:tcPr>
                  <w:tcW w:w="947" w:type="dxa"/>
                  <w:vMerge w:val="continue"/>
                  <w:vAlign w:val="center"/>
                </w:tcPr>
                <w:p w14:paraId="2877EC7F">
                  <w:pPr>
                    <w:pStyle w:val="54"/>
                    <w:rPr>
                      <w:color w:val="auto"/>
                    </w:rPr>
                  </w:pPr>
                </w:p>
              </w:tc>
              <w:tc>
                <w:tcPr>
                  <w:tcW w:w="1786" w:type="dxa"/>
                  <w:vAlign w:val="center"/>
                </w:tcPr>
                <w:p w14:paraId="44375DE6">
                  <w:pPr>
                    <w:pStyle w:val="54"/>
                    <w:rPr>
                      <w:color w:val="auto"/>
                    </w:rPr>
                  </w:pPr>
                  <w:r>
                    <w:rPr>
                      <w:color w:val="auto"/>
                    </w:rPr>
                    <w:t>烟气流速</w:t>
                  </w:r>
                </w:p>
              </w:tc>
              <w:tc>
                <w:tcPr>
                  <w:tcW w:w="673" w:type="dxa"/>
                  <w:vAlign w:val="center"/>
                </w:tcPr>
                <w:p w14:paraId="4A3AF07F">
                  <w:pPr>
                    <w:pStyle w:val="54"/>
                    <w:rPr>
                      <w:color w:val="auto"/>
                    </w:rPr>
                  </w:pPr>
                  <w:r>
                    <w:rPr>
                      <w:color w:val="auto"/>
                    </w:rPr>
                    <w:t>m/s</w:t>
                  </w:r>
                </w:p>
              </w:tc>
              <w:tc>
                <w:tcPr>
                  <w:tcW w:w="854" w:type="dxa"/>
                  <w:vAlign w:val="center"/>
                </w:tcPr>
                <w:p w14:paraId="258A2D8C">
                  <w:pPr>
                    <w:pStyle w:val="54"/>
                    <w:rPr>
                      <w:color w:val="auto"/>
                    </w:rPr>
                  </w:pPr>
                  <w:r>
                    <w:rPr>
                      <w:color w:val="auto"/>
                    </w:rPr>
                    <w:t>13.5</w:t>
                  </w:r>
                </w:p>
              </w:tc>
              <w:tc>
                <w:tcPr>
                  <w:tcW w:w="854" w:type="dxa"/>
                  <w:vAlign w:val="center"/>
                </w:tcPr>
                <w:p w14:paraId="6DAA6F6A">
                  <w:pPr>
                    <w:pStyle w:val="54"/>
                    <w:rPr>
                      <w:color w:val="auto"/>
                    </w:rPr>
                  </w:pPr>
                  <w:r>
                    <w:rPr>
                      <w:color w:val="auto"/>
                    </w:rPr>
                    <w:t>13.3</w:t>
                  </w:r>
                </w:p>
              </w:tc>
              <w:tc>
                <w:tcPr>
                  <w:tcW w:w="854" w:type="dxa"/>
                  <w:vAlign w:val="center"/>
                </w:tcPr>
                <w:p w14:paraId="0313F2B0">
                  <w:pPr>
                    <w:pStyle w:val="54"/>
                    <w:rPr>
                      <w:color w:val="auto"/>
                    </w:rPr>
                  </w:pPr>
                  <w:r>
                    <w:rPr>
                      <w:color w:val="auto"/>
                    </w:rPr>
                    <w:t>13.5</w:t>
                  </w:r>
                </w:p>
              </w:tc>
              <w:tc>
                <w:tcPr>
                  <w:tcW w:w="538" w:type="dxa"/>
                  <w:vAlign w:val="center"/>
                </w:tcPr>
                <w:p w14:paraId="1E5DFB54">
                  <w:pPr>
                    <w:pStyle w:val="54"/>
                    <w:rPr>
                      <w:color w:val="auto"/>
                    </w:rPr>
                  </w:pPr>
                  <w:r>
                    <w:rPr>
                      <w:color w:val="auto"/>
                    </w:rPr>
                    <w:t>/</w:t>
                  </w:r>
                </w:p>
              </w:tc>
              <w:tc>
                <w:tcPr>
                  <w:tcW w:w="590" w:type="dxa"/>
                  <w:vAlign w:val="center"/>
                </w:tcPr>
                <w:p w14:paraId="40277C20">
                  <w:pPr>
                    <w:pStyle w:val="54"/>
                    <w:rPr>
                      <w:color w:val="auto"/>
                    </w:rPr>
                  </w:pPr>
                  <w:r>
                    <w:rPr>
                      <w:color w:val="auto"/>
                    </w:rPr>
                    <w:t>/</w:t>
                  </w:r>
                </w:p>
              </w:tc>
            </w:tr>
            <w:tr w14:paraId="025BE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24406737">
                  <w:pPr>
                    <w:pStyle w:val="54"/>
                    <w:rPr>
                      <w:color w:val="auto"/>
                    </w:rPr>
                  </w:pPr>
                </w:p>
              </w:tc>
              <w:tc>
                <w:tcPr>
                  <w:tcW w:w="809" w:type="dxa"/>
                  <w:vMerge w:val="continue"/>
                  <w:vAlign w:val="center"/>
                </w:tcPr>
                <w:p w14:paraId="194D4FF7">
                  <w:pPr>
                    <w:pStyle w:val="54"/>
                    <w:rPr>
                      <w:color w:val="auto"/>
                    </w:rPr>
                  </w:pPr>
                </w:p>
              </w:tc>
              <w:tc>
                <w:tcPr>
                  <w:tcW w:w="947" w:type="dxa"/>
                  <w:vMerge w:val="continue"/>
                  <w:vAlign w:val="center"/>
                </w:tcPr>
                <w:p w14:paraId="637F72D6">
                  <w:pPr>
                    <w:pStyle w:val="54"/>
                    <w:rPr>
                      <w:color w:val="auto"/>
                    </w:rPr>
                  </w:pPr>
                </w:p>
              </w:tc>
              <w:tc>
                <w:tcPr>
                  <w:tcW w:w="1786" w:type="dxa"/>
                  <w:vAlign w:val="center"/>
                </w:tcPr>
                <w:p w14:paraId="4125851B">
                  <w:pPr>
                    <w:pStyle w:val="54"/>
                    <w:rPr>
                      <w:color w:val="auto"/>
                    </w:rPr>
                  </w:pPr>
                  <w:r>
                    <w:rPr>
                      <w:color w:val="auto"/>
                    </w:rPr>
                    <w:t>烟气流量</w:t>
                  </w:r>
                </w:p>
              </w:tc>
              <w:tc>
                <w:tcPr>
                  <w:tcW w:w="673" w:type="dxa"/>
                  <w:vAlign w:val="center"/>
                </w:tcPr>
                <w:p w14:paraId="27B4692D">
                  <w:pPr>
                    <w:pStyle w:val="54"/>
                    <w:rPr>
                      <w:color w:val="auto"/>
                    </w:rPr>
                  </w:pPr>
                  <w:r>
                    <w:rPr>
                      <w:color w:val="auto"/>
                    </w:rPr>
                    <w:t>m</w:t>
                  </w:r>
                  <w:r>
                    <w:rPr>
                      <w:color w:val="auto"/>
                      <w:vertAlign w:val="superscript"/>
                    </w:rPr>
                    <w:t>3</w:t>
                  </w:r>
                  <w:r>
                    <w:rPr>
                      <w:color w:val="auto"/>
                    </w:rPr>
                    <w:t>/h</w:t>
                  </w:r>
                </w:p>
              </w:tc>
              <w:tc>
                <w:tcPr>
                  <w:tcW w:w="854" w:type="dxa"/>
                  <w:vAlign w:val="center"/>
                </w:tcPr>
                <w:p w14:paraId="09252215">
                  <w:pPr>
                    <w:pStyle w:val="54"/>
                    <w:rPr>
                      <w:color w:val="auto"/>
                    </w:rPr>
                  </w:pPr>
                  <w:r>
                    <w:rPr>
                      <w:color w:val="auto"/>
                    </w:rPr>
                    <w:t>9543</w:t>
                  </w:r>
                </w:p>
              </w:tc>
              <w:tc>
                <w:tcPr>
                  <w:tcW w:w="854" w:type="dxa"/>
                  <w:vAlign w:val="center"/>
                </w:tcPr>
                <w:p w14:paraId="140CD386">
                  <w:pPr>
                    <w:pStyle w:val="54"/>
                    <w:rPr>
                      <w:color w:val="auto"/>
                    </w:rPr>
                  </w:pPr>
                  <w:r>
                    <w:rPr>
                      <w:color w:val="auto"/>
                    </w:rPr>
                    <w:t>9424</w:t>
                  </w:r>
                </w:p>
              </w:tc>
              <w:tc>
                <w:tcPr>
                  <w:tcW w:w="854" w:type="dxa"/>
                  <w:vAlign w:val="center"/>
                </w:tcPr>
                <w:p w14:paraId="60F221A9">
                  <w:pPr>
                    <w:pStyle w:val="54"/>
                    <w:rPr>
                      <w:color w:val="auto"/>
                    </w:rPr>
                  </w:pPr>
                  <w:r>
                    <w:rPr>
                      <w:color w:val="auto"/>
                    </w:rPr>
                    <w:t>9543</w:t>
                  </w:r>
                </w:p>
              </w:tc>
              <w:tc>
                <w:tcPr>
                  <w:tcW w:w="538" w:type="dxa"/>
                  <w:vAlign w:val="center"/>
                </w:tcPr>
                <w:p w14:paraId="1782D02B">
                  <w:pPr>
                    <w:pStyle w:val="54"/>
                    <w:rPr>
                      <w:color w:val="auto"/>
                    </w:rPr>
                  </w:pPr>
                  <w:r>
                    <w:rPr>
                      <w:color w:val="auto"/>
                    </w:rPr>
                    <w:t>/</w:t>
                  </w:r>
                </w:p>
              </w:tc>
              <w:tc>
                <w:tcPr>
                  <w:tcW w:w="590" w:type="dxa"/>
                  <w:vAlign w:val="center"/>
                </w:tcPr>
                <w:p w14:paraId="1F13B112">
                  <w:pPr>
                    <w:pStyle w:val="54"/>
                    <w:rPr>
                      <w:color w:val="auto"/>
                    </w:rPr>
                  </w:pPr>
                  <w:r>
                    <w:rPr>
                      <w:color w:val="auto"/>
                    </w:rPr>
                    <w:t>/</w:t>
                  </w:r>
                </w:p>
              </w:tc>
            </w:tr>
            <w:tr w14:paraId="0EC0B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5143DCC3">
                  <w:pPr>
                    <w:pStyle w:val="54"/>
                    <w:rPr>
                      <w:color w:val="auto"/>
                    </w:rPr>
                  </w:pPr>
                </w:p>
              </w:tc>
              <w:tc>
                <w:tcPr>
                  <w:tcW w:w="809" w:type="dxa"/>
                  <w:vMerge w:val="continue"/>
                  <w:vAlign w:val="center"/>
                </w:tcPr>
                <w:p w14:paraId="56C9E13A">
                  <w:pPr>
                    <w:pStyle w:val="54"/>
                    <w:rPr>
                      <w:color w:val="auto"/>
                    </w:rPr>
                  </w:pPr>
                </w:p>
              </w:tc>
              <w:tc>
                <w:tcPr>
                  <w:tcW w:w="947" w:type="dxa"/>
                  <w:vMerge w:val="continue"/>
                  <w:vAlign w:val="center"/>
                </w:tcPr>
                <w:p w14:paraId="4844B5F5">
                  <w:pPr>
                    <w:pStyle w:val="54"/>
                    <w:rPr>
                      <w:color w:val="auto"/>
                    </w:rPr>
                  </w:pPr>
                </w:p>
              </w:tc>
              <w:tc>
                <w:tcPr>
                  <w:tcW w:w="1786" w:type="dxa"/>
                  <w:vAlign w:val="center"/>
                </w:tcPr>
                <w:p w14:paraId="254720AD">
                  <w:pPr>
                    <w:pStyle w:val="54"/>
                    <w:rPr>
                      <w:color w:val="auto"/>
                    </w:rPr>
                  </w:pPr>
                  <w:r>
                    <w:rPr>
                      <w:color w:val="auto"/>
                    </w:rPr>
                    <w:t>标干流量</w:t>
                  </w:r>
                </w:p>
              </w:tc>
              <w:tc>
                <w:tcPr>
                  <w:tcW w:w="673" w:type="dxa"/>
                  <w:vAlign w:val="center"/>
                </w:tcPr>
                <w:p w14:paraId="4769207B">
                  <w:pPr>
                    <w:pStyle w:val="54"/>
                    <w:rPr>
                      <w:color w:val="auto"/>
                    </w:rPr>
                  </w:pPr>
                  <w:r>
                    <w:rPr>
                      <w:color w:val="auto"/>
                    </w:rPr>
                    <w:t>Nm</w:t>
                  </w:r>
                  <w:r>
                    <w:rPr>
                      <w:color w:val="auto"/>
                      <w:vertAlign w:val="superscript"/>
                    </w:rPr>
                    <w:t>3</w:t>
                  </w:r>
                  <w:r>
                    <w:rPr>
                      <w:color w:val="auto"/>
                    </w:rPr>
                    <w:t>/h</w:t>
                  </w:r>
                </w:p>
              </w:tc>
              <w:tc>
                <w:tcPr>
                  <w:tcW w:w="854" w:type="dxa"/>
                  <w:vAlign w:val="center"/>
                </w:tcPr>
                <w:p w14:paraId="5628C272">
                  <w:pPr>
                    <w:pStyle w:val="54"/>
                    <w:rPr>
                      <w:color w:val="auto"/>
                    </w:rPr>
                  </w:pPr>
                  <w:r>
                    <w:rPr>
                      <w:color w:val="auto"/>
                    </w:rPr>
                    <w:t>6827</w:t>
                  </w:r>
                </w:p>
              </w:tc>
              <w:tc>
                <w:tcPr>
                  <w:tcW w:w="854" w:type="dxa"/>
                  <w:vAlign w:val="center"/>
                </w:tcPr>
                <w:p w14:paraId="11A85798">
                  <w:pPr>
                    <w:pStyle w:val="54"/>
                    <w:rPr>
                      <w:color w:val="auto"/>
                    </w:rPr>
                  </w:pPr>
                  <w:r>
                    <w:rPr>
                      <w:color w:val="auto"/>
                    </w:rPr>
                    <w:t>6724</w:t>
                  </w:r>
                </w:p>
              </w:tc>
              <w:tc>
                <w:tcPr>
                  <w:tcW w:w="854" w:type="dxa"/>
                  <w:vAlign w:val="center"/>
                </w:tcPr>
                <w:p w14:paraId="79874EF3">
                  <w:pPr>
                    <w:pStyle w:val="54"/>
                    <w:rPr>
                      <w:color w:val="auto"/>
                    </w:rPr>
                  </w:pPr>
                  <w:r>
                    <w:rPr>
                      <w:color w:val="auto"/>
                    </w:rPr>
                    <w:t>6791</w:t>
                  </w:r>
                </w:p>
              </w:tc>
              <w:tc>
                <w:tcPr>
                  <w:tcW w:w="538" w:type="dxa"/>
                  <w:vAlign w:val="center"/>
                </w:tcPr>
                <w:p w14:paraId="18539CE3">
                  <w:pPr>
                    <w:pStyle w:val="54"/>
                    <w:rPr>
                      <w:color w:val="auto"/>
                    </w:rPr>
                  </w:pPr>
                  <w:r>
                    <w:rPr>
                      <w:color w:val="auto"/>
                    </w:rPr>
                    <w:t>/</w:t>
                  </w:r>
                </w:p>
              </w:tc>
              <w:tc>
                <w:tcPr>
                  <w:tcW w:w="590" w:type="dxa"/>
                  <w:vAlign w:val="center"/>
                </w:tcPr>
                <w:p w14:paraId="14002567">
                  <w:pPr>
                    <w:pStyle w:val="54"/>
                    <w:rPr>
                      <w:color w:val="auto"/>
                    </w:rPr>
                  </w:pPr>
                  <w:r>
                    <w:rPr>
                      <w:color w:val="auto"/>
                    </w:rPr>
                    <w:t>/</w:t>
                  </w:r>
                </w:p>
              </w:tc>
            </w:tr>
            <w:tr w14:paraId="21E8F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1AAB9961">
                  <w:pPr>
                    <w:pStyle w:val="54"/>
                    <w:rPr>
                      <w:color w:val="auto"/>
                    </w:rPr>
                  </w:pPr>
                </w:p>
              </w:tc>
              <w:tc>
                <w:tcPr>
                  <w:tcW w:w="809" w:type="dxa"/>
                  <w:vMerge w:val="continue"/>
                  <w:vAlign w:val="center"/>
                </w:tcPr>
                <w:p w14:paraId="4661B3CE">
                  <w:pPr>
                    <w:pStyle w:val="54"/>
                    <w:rPr>
                      <w:color w:val="auto"/>
                    </w:rPr>
                  </w:pPr>
                </w:p>
              </w:tc>
              <w:tc>
                <w:tcPr>
                  <w:tcW w:w="947" w:type="dxa"/>
                  <w:vMerge w:val="continue"/>
                  <w:vAlign w:val="center"/>
                </w:tcPr>
                <w:p w14:paraId="2D22E164">
                  <w:pPr>
                    <w:pStyle w:val="54"/>
                    <w:rPr>
                      <w:color w:val="auto"/>
                    </w:rPr>
                  </w:pPr>
                </w:p>
              </w:tc>
              <w:tc>
                <w:tcPr>
                  <w:tcW w:w="1786" w:type="dxa"/>
                  <w:vAlign w:val="center"/>
                </w:tcPr>
                <w:p w14:paraId="7928A802">
                  <w:pPr>
                    <w:pStyle w:val="54"/>
                    <w:rPr>
                      <w:color w:val="auto"/>
                    </w:rPr>
                  </w:pPr>
                  <w:r>
                    <w:rPr>
                      <w:color w:val="auto"/>
                    </w:rPr>
                    <w:t>非甲烷总烃实测</w:t>
                  </w:r>
                </w:p>
                <w:p w14:paraId="21463434">
                  <w:pPr>
                    <w:pStyle w:val="54"/>
                    <w:rPr>
                      <w:color w:val="auto"/>
                    </w:rPr>
                  </w:pPr>
                  <w:r>
                    <w:rPr>
                      <w:color w:val="auto"/>
                    </w:rPr>
                    <w:t>浓度</w:t>
                  </w:r>
                </w:p>
              </w:tc>
              <w:tc>
                <w:tcPr>
                  <w:tcW w:w="673" w:type="dxa"/>
                  <w:vAlign w:val="center"/>
                </w:tcPr>
                <w:p w14:paraId="499946C9">
                  <w:pPr>
                    <w:pStyle w:val="54"/>
                    <w:rPr>
                      <w:color w:val="auto"/>
                    </w:rPr>
                  </w:pPr>
                  <w:r>
                    <w:rPr>
                      <w:color w:val="auto"/>
                    </w:rPr>
                    <w:t>mg/m</w:t>
                  </w:r>
                  <w:r>
                    <w:rPr>
                      <w:color w:val="auto"/>
                      <w:vertAlign w:val="superscript"/>
                    </w:rPr>
                    <w:t>3</w:t>
                  </w:r>
                </w:p>
              </w:tc>
              <w:tc>
                <w:tcPr>
                  <w:tcW w:w="854" w:type="dxa"/>
                  <w:vAlign w:val="center"/>
                </w:tcPr>
                <w:p w14:paraId="33B3D12B">
                  <w:pPr>
                    <w:pStyle w:val="54"/>
                    <w:rPr>
                      <w:color w:val="auto"/>
                    </w:rPr>
                  </w:pPr>
                  <w:r>
                    <w:rPr>
                      <w:color w:val="auto"/>
                    </w:rPr>
                    <w:t>8.45</w:t>
                  </w:r>
                </w:p>
              </w:tc>
              <w:tc>
                <w:tcPr>
                  <w:tcW w:w="854" w:type="dxa"/>
                  <w:vAlign w:val="center"/>
                </w:tcPr>
                <w:p w14:paraId="3EB90EF4">
                  <w:pPr>
                    <w:pStyle w:val="54"/>
                    <w:rPr>
                      <w:color w:val="auto"/>
                    </w:rPr>
                  </w:pPr>
                  <w:r>
                    <w:rPr>
                      <w:color w:val="auto"/>
                    </w:rPr>
                    <w:t>8.70</w:t>
                  </w:r>
                </w:p>
              </w:tc>
              <w:tc>
                <w:tcPr>
                  <w:tcW w:w="854" w:type="dxa"/>
                  <w:vAlign w:val="center"/>
                </w:tcPr>
                <w:p w14:paraId="5C72A800">
                  <w:pPr>
                    <w:pStyle w:val="54"/>
                    <w:rPr>
                      <w:color w:val="auto"/>
                    </w:rPr>
                  </w:pPr>
                  <w:r>
                    <w:rPr>
                      <w:color w:val="auto"/>
                    </w:rPr>
                    <w:t>8.55</w:t>
                  </w:r>
                </w:p>
              </w:tc>
              <w:tc>
                <w:tcPr>
                  <w:tcW w:w="538" w:type="dxa"/>
                  <w:vAlign w:val="center"/>
                </w:tcPr>
                <w:p w14:paraId="54AEF6EC">
                  <w:pPr>
                    <w:pStyle w:val="54"/>
                    <w:rPr>
                      <w:color w:val="auto"/>
                    </w:rPr>
                  </w:pPr>
                  <w:r>
                    <w:rPr>
                      <w:color w:val="auto"/>
                    </w:rPr>
                    <w:t>/</w:t>
                  </w:r>
                </w:p>
              </w:tc>
              <w:tc>
                <w:tcPr>
                  <w:tcW w:w="590" w:type="dxa"/>
                  <w:vAlign w:val="center"/>
                </w:tcPr>
                <w:p w14:paraId="19C6986A">
                  <w:pPr>
                    <w:pStyle w:val="54"/>
                    <w:rPr>
                      <w:color w:val="auto"/>
                    </w:rPr>
                  </w:pPr>
                  <w:r>
                    <w:rPr>
                      <w:color w:val="auto"/>
                    </w:rPr>
                    <w:t>/</w:t>
                  </w:r>
                </w:p>
              </w:tc>
            </w:tr>
            <w:tr w14:paraId="1445B6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228ED6C5">
                  <w:pPr>
                    <w:pStyle w:val="54"/>
                    <w:rPr>
                      <w:color w:val="auto"/>
                    </w:rPr>
                  </w:pPr>
                </w:p>
              </w:tc>
              <w:tc>
                <w:tcPr>
                  <w:tcW w:w="809" w:type="dxa"/>
                  <w:vMerge w:val="continue"/>
                  <w:vAlign w:val="center"/>
                </w:tcPr>
                <w:p w14:paraId="676E78EB">
                  <w:pPr>
                    <w:pStyle w:val="54"/>
                    <w:rPr>
                      <w:color w:val="auto"/>
                    </w:rPr>
                  </w:pPr>
                </w:p>
              </w:tc>
              <w:tc>
                <w:tcPr>
                  <w:tcW w:w="947" w:type="dxa"/>
                  <w:vMerge w:val="continue"/>
                  <w:vAlign w:val="center"/>
                </w:tcPr>
                <w:p w14:paraId="03EB691D">
                  <w:pPr>
                    <w:pStyle w:val="54"/>
                    <w:rPr>
                      <w:color w:val="auto"/>
                    </w:rPr>
                  </w:pPr>
                </w:p>
              </w:tc>
              <w:tc>
                <w:tcPr>
                  <w:tcW w:w="1786" w:type="dxa"/>
                  <w:vAlign w:val="center"/>
                </w:tcPr>
                <w:p w14:paraId="6F3F18BC">
                  <w:pPr>
                    <w:pStyle w:val="54"/>
                    <w:rPr>
                      <w:color w:val="auto"/>
                    </w:rPr>
                  </w:pPr>
                  <w:r>
                    <w:rPr>
                      <w:color w:val="auto"/>
                    </w:rPr>
                    <w:t>非甲烷总烃排放</w:t>
                  </w:r>
                </w:p>
                <w:p w14:paraId="7C43ED86">
                  <w:pPr>
                    <w:pStyle w:val="54"/>
                    <w:rPr>
                      <w:color w:val="auto"/>
                    </w:rPr>
                  </w:pPr>
                  <w:r>
                    <w:rPr>
                      <w:color w:val="auto"/>
                    </w:rPr>
                    <w:t>速率</w:t>
                  </w:r>
                </w:p>
              </w:tc>
              <w:tc>
                <w:tcPr>
                  <w:tcW w:w="673" w:type="dxa"/>
                  <w:vAlign w:val="center"/>
                </w:tcPr>
                <w:p w14:paraId="1F3FF821">
                  <w:pPr>
                    <w:pStyle w:val="54"/>
                    <w:rPr>
                      <w:color w:val="auto"/>
                    </w:rPr>
                  </w:pPr>
                  <w:r>
                    <w:rPr>
                      <w:color w:val="auto"/>
                    </w:rPr>
                    <w:t>kg/h</w:t>
                  </w:r>
                </w:p>
              </w:tc>
              <w:tc>
                <w:tcPr>
                  <w:tcW w:w="854" w:type="dxa"/>
                  <w:vAlign w:val="center"/>
                </w:tcPr>
                <w:p w14:paraId="4140D606">
                  <w:pPr>
                    <w:pStyle w:val="54"/>
                    <w:rPr>
                      <w:color w:val="auto"/>
                    </w:rPr>
                  </w:pPr>
                  <w:r>
                    <w:rPr>
                      <w:color w:val="auto"/>
                    </w:rPr>
                    <w:t>0.058</w:t>
                  </w:r>
                </w:p>
              </w:tc>
              <w:tc>
                <w:tcPr>
                  <w:tcW w:w="854" w:type="dxa"/>
                  <w:vAlign w:val="center"/>
                </w:tcPr>
                <w:p w14:paraId="09A77E9A">
                  <w:pPr>
                    <w:pStyle w:val="54"/>
                    <w:rPr>
                      <w:color w:val="auto"/>
                    </w:rPr>
                  </w:pPr>
                  <w:r>
                    <w:rPr>
                      <w:color w:val="auto"/>
                    </w:rPr>
                    <w:t>0.058</w:t>
                  </w:r>
                </w:p>
              </w:tc>
              <w:tc>
                <w:tcPr>
                  <w:tcW w:w="854" w:type="dxa"/>
                  <w:vAlign w:val="center"/>
                </w:tcPr>
                <w:p w14:paraId="26E33A44">
                  <w:pPr>
                    <w:pStyle w:val="54"/>
                    <w:rPr>
                      <w:color w:val="auto"/>
                    </w:rPr>
                  </w:pPr>
                  <w:r>
                    <w:rPr>
                      <w:color w:val="auto"/>
                    </w:rPr>
                    <w:t>0.058</w:t>
                  </w:r>
                </w:p>
              </w:tc>
              <w:tc>
                <w:tcPr>
                  <w:tcW w:w="538" w:type="dxa"/>
                  <w:vAlign w:val="center"/>
                </w:tcPr>
                <w:p w14:paraId="558F28AA">
                  <w:pPr>
                    <w:pStyle w:val="54"/>
                    <w:rPr>
                      <w:color w:val="auto"/>
                    </w:rPr>
                  </w:pPr>
                  <w:r>
                    <w:rPr>
                      <w:color w:val="auto"/>
                    </w:rPr>
                    <w:t>/</w:t>
                  </w:r>
                </w:p>
              </w:tc>
              <w:tc>
                <w:tcPr>
                  <w:tcW w:w="590" w:type="dxa"/>
                  <w:vAlign w:val="center"/>
                </w:tcPr>
                <w:p w14:paraId="7D1D4540">
                  <w:pPr>
                    <w:pStyle w:val="54"/>
                    <w:rPr>
                      <w:color w:val="auto"/>
                    </w:rPr>
                  </w:pPr>
                  <w:r>
                    <w:rPr>
                      <w:color w:val="auto"/>
                    </w:rPr>
                    <w:t>/</w:t>
                  </w:r>
                </w:p>
              </w:tc>
            </w:tr>
            <w:tr w14:paraId="78CBF7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restart"/>
                  <w:vAlign w:val="center"/>
                </w:tcPr>
                <w:p w14:paraId="4DBBE532">
                  <w:pPr>
                    <w:pStyle w:val="54"/>
                    <w:rPr>
                      <w:color w:val="auto"/>
                    </w:rPr>
                  </w:pPr>
                  <w:r>
                    <w:rPr>
                      <w:color w:val="auto"/>
                    </w:rPr>
                    <w:t>2025.07.08</w:t>
                  </w:r>
                </w:p>
              </w:tc>
              <w:tc>
                <w:tcPr>
                  <w:tcW w:w="809" w:type="dxa"/>
                  <w:vMerge w:val="restart"/>
                  <w:vAlign w:val="center"/>
                </w:tcPr>
                <w:p w14:paraId="6CA239C4">
                  <w:pPr>
                    <w:pStyle w:val="54"/>
                    <w:rPr>
                      <w:color w:val="auto"/>
                    </w:rPr>
                  </w:pPr>
                  <w:r>
                    <w:rPr>
                      <w:color w:val="auto"/>
                    </w:rPr>
                    <w:t>DA002排气筒出口</w:t>
                  </w:r>
                </w:p>
              </w:tc>
              <w:tc>
                <w:tcPr>
                  <w:tcW w:w="947" w:type="dxa"/>
                  <w:vMerge w:val="restart"/>
                  <w:vAlign w:val="center"/>
                </w:tcPr>
                <w:p w14:paraId="6570E9E4">
                  <w:pPr>
                    <w:pStyle w:val="54"/>
                    <w:rPr>
                      <w:color w:val="auto"/>
                    </w:rPr>
                  </w:pPr>
                  <w:r>
                    <w:rPr>
                      <w:color w:val="auto"/>
                    </w:rPr>
                    <w:t>二级活性炭吸附装置</w:t>
                  </w:r>
                </w:p>
              </w:tc>
              <w:tc>
                <w:tcPr>
                  <w:tcW w:w="1786" w:type="dxa"/>
                  <w:vAlign w:val="center"/>
                </w:tcPr>
                <w:p w14:paraId="77D37CA6">
                  <w:pPr>
                    <w:pStyle w:val="54"/>
                    <w:rPr>
                      <w:color w:val="auto"/>
                    </w:rPr>
                  </w:pPr>
                  <w:r>
                    <w:rPr>
                      <w:color w:val="auto"/>
                    </w:rPr>
                    <w:t>烟道截面积</w:t>
                  </w:r>
                </w:p>
              </w:tc>
              <w:tc>
                <w:tcPr>
                  <w:tcW w:w="673" w:type="dxa"/>
                  <w:vAlign w:val="center"/>
                </w:tcPr>
                <w:p w14:paraId="17C00DDC">
                  <w:pPr>
                    <w:pStyle w:val="54"/>
                    <w:rPr>
                      <w:color w:val="auto"/>
                    </w:rPr>
                  </w:pPr>
                  <w:r>
                    <w:rPr>
                      <w:color w:val="auto"/>
                    </w:rPr>
                    <w:t>m</w:t>
                  </w:r>
                  <w:r>
                    <w:rPr>
                      <w:color w:val="auto"/>
                      <w:vertAlign w:val="superscript"/>
                    </w:rPr>
                    <w:t>2</w:t>
                  </w:r>
                </w:p>
              </w:tc>
              <w:tc>
                <w:tcPr>
                  <w:tcW w:w="854" w:type="dxa"/>
                  <w:vAlign w:val="center"/>
                </w:tcPr>
                <w:p w14:paraId="5A036537">
                  <w:pPr>
                    <w:pStyle w:val="54"/>
                    <w:rPr>
                      <w:color w:val="auto"/>
                    </w:rPr>
                  </w:pPr>
                  <w:r>
                    <w:rPr>
                      <w:color w:val="auto"/>
                    </w:rPr>
                    <w:t>0.1963</w:t>
                  </w:r>
                </w:p>
              </w:tc>
              <w:tc>
                <w:tcPr>
                  <w:tcW w:w="854" w:type="dxa"/>
                  <w:vAlign w:val="center"/>
                </w:tcPr>
                <w:p w14:paraId="3B4869DF">
                  <w:pPr>
                    <w:pStyle w:val="54"/>
                    <w:rPr>
                      <w:color w:val="auto"/>
                    </w:rPr>
                  </w:pPr>
                  <w:r>
                    <w:rPr>
                      <w:color w:val="auto"/>
                    </w:rPr>
                    <w:t>0.1963</w:t>
                  </w:r>
                </w:p>
              </w:tc>
              <w:tc>
                <w:tcPr>
                  <w:tcW w:w="854" w:type="dxa"/>
                  <w:vAlign w:val="center"/>
                </w:tcPr>
                <w:p w14:paraId="02CF67F5">
                  <w:pPr>
                    <w:pStyle w:val="54"/>
                    <w:rPr>
                      <w:color w:val="auto"/>
                    </w:rPr>
                  </w:pPr>
                  <w:r>
                    <w:rPr>
                      <w:color w:val="auto"/>
                    </w:rPr>
                    <w:t>0.1963</w:t>
                  </w:r>
                </w:p>
              </w:tc>
              <w:tc>
                <w:tcPr>
                  <w:tcW w:w="538" w:type="dxa"/>
                  <w:vAlign w:val="center"/>
                </w:tcPr>
                <w:p w14:paraId="64542891">
                  <w:pPr>
                    <w:pStyle w:val="54"/>
                    <w:rPr>
                      <w:color w:val="auto"/>
                    </w:rPr>
                  </w:pPr>
                  <w:r>
                    <w:rPr>
                      <w:color w:val="auto"/>
                    </w:rPr>
                    <w:t>/</w:t>
                  </w:r>
                </w:p>
              </w:tc>
              <w:tc>
                <w:tcPr>
                  <w:tcW w:w="590" w:type="dxa"/>
                  <w:vAlign w:val="center"/>
                </w:tcPr>
                <w:p w14:paraId="2271D01A">
                  <w:pPr>
                    <w:pStyle w:val="54"/>
                    <w:rPr>
                      <w:color w:val="auto"/>
                    </w:rPr>
                  </w:pPr>
                  <w:r>
                    <w:rPr>
                      <w:color w:val="auto"/>
                    </w:rPr>
                    <w:t>/</w:t>
                  </w:r>
                </w:p>
              </w:tc>
            </w:tr>
            <w:tr w14:paraId="18DFD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40D607B4">
                  <w:pPr>
                    <w:pStyle w:val="54"/>
                    <w:rPr>
                      <w:color w:val="auto"/>
                    </w:rPr>
                  </w:pPr>
                </w:p>
              </w:tc>
              <w:tc>
                <w:tcPr>
                  <w:tcW w:w="809" w:type="dxa"/>
                  <w:vMerge w:val="continue"/>
                  <w:vAlign w:val="center"/>
                </w:tcPr>
                <w:p w14:paraId="0447705B">
                  <w:pPr>
                    <w:pStyle w:val="54"/>
                    <w:rPr>
                      <w:color w:val="auto"/>
                    </w:rPr>
                  </w:pPr>
                </w:p>
              </w:tc>
              <w:tc>
                <w:tcPr>
                  <w:tcW w:w="947" w:type="dxa"/>
                  <w:vMerge w:val="continue"/>
                  <w:vAlign w:val="center"/>
                </w:tcPr>
                <w:p w14:paraId="038A5E11">
                  <w:pPr>
                    <w:pStyle w:val="54"/>
                    <w:rPr>
                      <w:color w:val="auto"/>
                    </w:rPr>
                  </w:pPr>
                </w:p>
              </w:tc>
              <w:tc>
                <w:tcPr>
                  <w:tcW w:w="1786" w:type="dxa"/>
                  <w:vAlign w:val="center"/>
                </w:tcPr>
                <w:p w14:paraId="315D2319">
                  <w:pPr>
                    <w:pStyle w:val="54"/>
                    <w:rPr>
                      <w:color w:val="auto"/>
                    </w:rPr>
                  </w:pPr>
                  <w:r>
                    <w:rPr>
                      <w:color w:val="auto"/>
                    </w:rPr>
                    <w:t>烟气含湿量</w:t>
                  </w:r>
                </w:p>
              </w:tc>
              <w:tc>
                <w:tcPr>
                  <w:tcW w:w="673" w:type="dxa"/>
                  <w:vAlign w:val="center"/>
                </w:tcPr>
                <w:p w14:paraId="083BF20B">
                  <w:pPr>
                    <w:pStyle w:val="54"/>
                    <w:rPr>
                      <w:color w:val="auto"/>
                    </w:rPr>
                  </w:pPr>
                  <w:r>
                    <w:rPr>
                      <w:color w:val="auto"/>
                    </w:rPr>
                    <w:t>%</w:t>
                  </w:r>
                </w:p>
              </w:tc>
              <w:tc>
                <w:tcPr>
                  <w:tcW w:w="854" w:type="dxa"/>
                  <w:vAlign w:val="center"/>
                </w:tcPr>
                <w:p w14:paraId="27B8EA35">
                  <w:pPr>
                    <w:pStyle w:val="54"/>
                    <w:rPr>
                      <w:color w:val="auto"/>
                    </w:rPr>
                  </w:pPr>
                  <w:r>
                    <w:rPr>
                      <w:color w:val="auto"/>
                    </w:rPr>
                    <w:t>4.0</w:t>
                  </w:r>
                </w:p>
              </w:tc>
              <w:tc>
                <w:tcPr>
                  <w:tcW w:w="854" w:type="dxa"/>
                  <w:vAlign w:val="center"/>
                </w:tcPr>
                <w:p w14:paraId="72CE2987">
                  <w:pPr>
                    <w:pStyle w:val="54"/>
                    <w:rPr>
                      <w:color w:val="auto"/>
                    </w:rPr>
                  </w:pPr>
                  <w:r>
                    <w:rPr>
                      <w:color w:val="auto"/>
                    </w:rPr>
                    <w:t>4.0</w:t>
                  </w:r>
                </w:p>
              </w:tc>
              <w:tc>
                <w:tcPr>
                  <w:tcW w:w="854" w:type="dxa"/>
                  <w:vAlign w:val="center"/>
                </w:tcPr>
                <w:p w14:paraId="1E79043F">
                  <w:pPr>
                    <w:pStyle w:val="54"/>
                    <w:rPr>
                      <w:color w:val="auto"/>
                    </w:rPr>
                  </w:pPr>
                  <w:r>
                    <w:rPr>
                      <w:color w:val="auto"/>
                    </w:rPr>
                    <w:t>4.0</w:t>
                  </w:r>
                </w:p>
              </w:tc>
              <w:tc>
                <w:tcPr>
                  <w:tcW w:w="538" w:type="dxa"/>
                  <w:vAlign w:val="center"/>
                </w:tcPr>
                <w:p w14:paraId="41A773AF">
                  <w:pPr>
                    <w:pStyle w:val="54"/>
                    <w:rPr>
                      <w:color w:val="auto"/>
                    </w:rPr>
                  </w:pPr>
                  <w:r>
                    <w:rPr>
                      <w:color w:val="auto"/>
                    </w:rPr>
                    <w:t>/</w:t>
                  </w:r>
                </w:p>
              </w:tc>
              <w:tc>
                <w:tcPr>
                  <w:tcW w:w="590" w:type="dxa"/>
                  <w:vAlign w:val="center"/>
                </w:tcPr>
                <w:p w14:paraId="6EBBD111">
                  <w:pPr>
                    <w:pStyle w:val="54"/>
                    <w:rPr>
                      <w:color w:val="auto"/>
                    </w:rPr>
                  </w:pPr>
                  <w:r>
                    <w:rPr>
                      <w:color w:val="auto"/>
                    </w:rPr>
                    <w:t>/</w:t>
                  </w:r>
                </w:p>
              </w:tc>
            </w:tr>
            <w:tr w14:paraId="0EC03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66D39861">
                  <w:pPr>
                    <w:pStyle w:val="54"/>
                    <w:rPr>
                      <w:color w:val="auto"/>
                    </w:rPr>
                  </w:pPr>
                </w:p>
              </w:tc>
              <w:tc>
                <w:tcPr>
                  <w:tcW w:w="809" w:type="dxa"/>
                  <w:vMerge w:val="continue"/>
                  <w:vAlign w:val="center"/>
                </w:tcPr>
                <w:p w14:paraId="5ECBA5A6">
                  <w:pPr>
                    <w:pStyle w:val="54"/>
                    <w:rPr>
                      <w:color w:val="auto"/>
                    </w:rPr>
                  </w:pPr>
                </w:p>
              </w:tc>
              <w:tc>
                <w:tcPr>
                  <w:tcW w:w="947" w:type="dxa"/>
                  <w:vMerge w:val="continue"/>
                  <w:vAlign w:val="center"/>
                </w:tcPr>
                <w:p w14:paraId="499FF8AC">
                  <w:pPr>
                    <w:pStyle w:val="54"/>
                    <w:rPr>
                      <w:color w:val="auto"/>
                    </w:rPr>
                  </w:pPr>
                </w:p>
              </w:tc>
              <w:tc>
                <w:tcPr>
                  <w:tcW w:w="1786" w:type="dxa"/>
                  <w:vAlign w:val="center"/>
                </w:tcPr>
                <w:p w14:paraId="44E00F67">
                  <w:pPr>
                    <w:pStyle w:val="54"/>
                    <w:rPr>
                      <w:color w:val="auto"/>
                    </w:rPr>
                  </w:pPr>
                  <w:r>
                    <w:rPr>
                      <w:color w:val="auto"/>
                    </w:rPr>
                    <w:t>烟气温度</w:t>
                  </w:r>
                </w:p>
              </w:tc>
              <w:tc>
                <w:tcPr>
                  <w:tcW w:w="673" w:type="dxa"/>
                  <w:vAlign w:val="center"/>
                </w:tcPr>
                <w:p w14:paraId="2D4BB77F">
                  <w:pPr>
                    <w:pStyle w:val="54"/>
                    <w:rPr>
                      <w:color w:val="auto"/>
                    </w:rPr>
                  </w:pPr>
                  <w:r>
                    <w:rPr>
                      <w:color w:val="auto"/>
                    </w:rPr>
                    <w:t>℃</w:t>
                  </w:r>
                </w:p>
              </w:tc>
              <w:tc>
                <w:tcPr>
                  <w:tcW w:w="854" w:type="dxa"/>
                  <w:vAlign w:val="center"/>
                </w:tcPr>
                <w:p w14:paraId="66C61E66">
                  <w:pPr>
                    <w:pStyle w:val="54"/>
                    <w:rPr>
                      <w:color w:val="auto"/>
                    </w:rPr>
                  </w:pPr>
                  <w:r>
                    <w:rPr>
                      <w:color w:val="auto"/>
                    </w:rPr>
                    <w:t>51</w:t>
                  </w:r>
                </w:p>
              </w:tc>
              <w:tc>
                <w:tcPr>
                  <w:tcW w:w="854" w:type="dxa"/>
                  <w:vAlign w:val="center"/>
                </w:tcPr>
                <w:p w14:paraId="0F396CD3">
                  <w:pPr>
                    <w:pStyle w:val="54"/>
                    <w:rPr>
                      <w:color w:val="auto"/>
                    </w:rPr>
                  </w:pPr>
                  <w:r>
                    <w:rPr>
                      <w:color w:val="auto"/>
                    </w:rPr>
                    <w:t>50</w:t>
                  </w:r>
                </w:p>
              </w:tc>
              <w:tc>
                <w:tcPr>
                  <w:tcW w:w="854" w:type="dxa"/>
                  <w:vAlign w:val="center"/>
                </w:tcPr>
                <w:p w14:paraId="1523B8E7">
                  <w:pPr>
                    <w:pStyle w:val="54"/>
                    <w:rPr>
                      <w:color w:val="auto"/>
                    </w:rPr>
                  </w:pPr>
                  <w:r>
                    <w:rPr>
                      <w:color w:val="auto"/>
                    </w:rPr>
                    <w:t>51</w:t>
                  </w:r>
                </w:p>
              </w:tc>
              <w:tc>
                <w:tcPr>
                  <w:tcW w:w="538" w:type="dxa"/>
                  <w:vAlign w:val="center"/>
                </w:tcPr>
                <w:p w14:paraId="2DAB86DD">
                  <w:pPr>
                    <w:pStyle w:val="54"/>
                    <w:rPr>
                      <w:color w:val="auto"/>
                    </w:rPr>
                  </w:pPr>
                  <w:r>
                    <w:rPr>
                      <w:color w:val="auto"/>
                    </w:rPr>
                    <w:t>/</w:t>
                  </w:r>
                </w:p>
              </w:tc>
              <w:tc>
                <w:tcPr>
                  <w:tcW w:w="590" w:type="dxa"/>
                  <w:vAlign w:val="center"/>
                </w:tcPr>
                <w:p w14:paraId="2E5975E0">
                  <w:pPr>
                    <w:pStyle w:val="54"/>
                    <w:rPr>
                      <w:color w:val="auto"/>
                    </w:rPr>
                  </w:pPr>
                  <w:r>
                    <w:rPr>
                      <w:color w:val="auto"/>
                    </w:rPr>
                    <w:t>/</w:t>
                  </w:r>
                </w:p>
              </w:tc>
            </w:tr>
            <w:tr w14:paraId="11A2F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791AEDBA">
                  <w:pPr>
                    <w:pStyle w:val="54"/>
                    <w:rPr>
                      <w:color w:val="auto"/>
                    </w:rPr>
                  </w:pPr>
                </w:p>
              </w:tc>
              <w:tc>
                <w:tcPr>
                  <w:tcW w:w="809" w:type="dxa"/>
                  <w:vMerge w:val="continue"/>
                  <w:vAlign w:val="center"/>
                </w:tcPr>
                <w:p w14:paraId="554E75C8">
                  <w:pPr>
                    <w:pStyle w:val="54"/>
                    <w:rPr>
                      <w:color w:val="auto"/>
                    </w:rPr>
                  </w:pPr>
                </w:p>
              </w:tc>
              <w:tc>
                <w:tcPr>
                  <w:tcW w:w="947" w:type="dxa"/>
                  <w:vMerge w:val="continue"/>
                  <w:vAlign w:val="center"/>
                </w:tcPr>
                <w:p w14:paraId="3B2F7E8A">
                  <w:pPr>
                    <w:pStyle w:val="54"/>
                    <w:rPr>
                      <w:color w:val="auto"/>
                    </w:rPr>
                  </w:pPr>
                </w:p>
              </w:tc>
              <w:tc>
                <w:tcPr>
                  <w:tcW w:w="1786" w:type="dxa"/>
                  <w:vAlign w:val="center"/>
                </w:tcPr>
                <w:p w14:paraId="46E5DEF6">
                  <w:pPr>
                    <w:pStyle w:val="54"/>
                    <w:rPr>
                      <w:color w:val="auto"/>
                    </w:rPr>
                  </w:pPr>
                  <w:r>
                    <w:rPr>
                      <w:color w:val="auto"/>
                    </w:rPr>
                    <w:t>烟气流速</w:t>
                  </w:r>
                </w:p>
              </w:tc>
              <w:tc>
                <w:tcPr>
                  <w:tcW w:w="673" w:type="dxa"/>
                  <w:vAlign w:val="center"/>
                </w:tcPr>
                <w:p w14:paraId="0AB02C8D">
                  <w:pPr>
                    <w:pStyle w:val="54"/>
                    <w:rPr>
                      <w:color w:val="auto"/>
                    </w:rPr>
                  </w:pPr>
                  <w:r>
                    <w:rPr>
                      <w:color w:val="auto"/>
                    </w:rPr>
                    <w:t>m/s</w:t>
                  </w:r>
                </w:p>
              </w:tc>
              <w:tc>
                <w:tcPr>
                  <w:tcW w:w="854" w:type="dxa"/>
                  <w:vAlign w:val="center"/>
                </w:tcPr>
                <w:p w14:paraId="1F3BE6D7">
                  <w:pPr>
                    <w:pStyle w:val="54"/>
                    <w:rPr>
                      <w:color w:val="auto"/>
                    </w:rPr>
                  </w:pPr>
                  <w:r>
                    <w:rPr>
                      <w:color w:val="auto"/>
                    </w:rPr>
                    <w:t>12.5</w:t>
                  </w:r>
                </w:p>
              </w:tc>
              <w:tc>
                <w:tcPr>
                  <w:tcW w:w="854" w:type="dxa"/>
                  <w:vAlign w:val="center"/>
                </w:tcPr>
                <w:p w14:paraId="4F47F23A">
                  <w:pPr>
                    <w:pStyle w:val="54"/>
                    <w:rPr>
                      <w:color w:val="auto"/>
                    </w:rPr>
                  </w:pPr>
                  <w:r>
                    <w:rPr>
                      <w:color w:val="auto"/>
                    </w:rPr>
                    <w:t>12.4</w:t>
                  </w:r>
                </w:p>
              </w:tc>
              <w:tc>
                <w:tcPr>
                  <w:tcW w:w="854" w:type="dxa"/>
                  <w:vAlign w:val="center"/>
                </w:tcPr>
                <w:p w14:paraId="016300D2">
                  <w:pPr>
                    <w:pStyle w:val="54"/>
                    <w:rPr>
                      <w:color w:val="auto"/>
                    </w:rPr>
                  </w:pPr>
                  <w:r>
                    <w:rPr>
                      <w:color w:val="auto"/>
                    </w:rPr>
                    <w:t>12.3</w:t>
                  </w:r>
                </w:p>
              </w:tc>
              <w:tc>
                <w:tcPr>
                  <w:tcW w:w="538" w:type="dxa"/>
                  <w:vAlign w:val="center"/>
                </w:tcPr>
                <w:p w14:paraId="6FABED8E">
                  <w:pPr>
                    <w:pStyle w:val="54"/>
                    <w:rPr>
                      <w:color w:val="auto"/>
                    </w:rPr>
                  </w:pPr>
                  <w:r>
                    <w:rPr>
                      <w:color w:val="auto"/>
                    </w:rPr>
                    <w:t>/</w:t>
                  </w:r>
                </w:p>
              </w:tc>
              <w:tc>
                <w:tcPr>
                  <w:tcW w:w="590" w:type="dxa"/>
                  <w:vAlign w:val="center"/>
                </w:tcPr>
                <w:p w14:paraId="0DEC9476">
                  <w:pPr>
                    <w:pStyle w:val="54"/>
                    <w:rPr>
                      <w:color w:val="auto"/>
                    </w:rPr>
                  </w:pPr>
                  <w:r>
                    <w:rPr>
                      <w:color w:val="auto"/>
                    </w:rPr>
                    <w:t>/</w:t>
                  </w:r>
                </w:p>
              </w:tc>
            </w:tr>
            <w:tr w14:paraId="08F86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5DC9FFAF">
                  <w:pPr>
                    <w:pStyle w:val="54"/>
                    <w:rPr>
                      <w:color w:val="auto"/>
                    </w:rPr>
                  </w:pPr>
                </w:p>
              </w:tc>
              <w:tc>
                <w:tcPr>
                  <w:tcW w:w="809" w:type="dxa"/>
                  <w:vMerge w:val="continue"/>
                  <w:vAlign w:val="center"/>
                </w:tcPr>
                <w:p w14:paraId="688829FB">
                  <w:pPr>
                    <w:pStyle w:val="54"/>
                    <w:rPr>
                      <w:color w:val="auto"/>
                    </w:rPr>
                  </w:pPr>
                </w:p>
              </w:tc>
              <w:tc>
                <w:tcPr>
                  <w:tcW w:w="947" w:type="dxa"/>
                  <w:vMerge w:val="continue"/>
                  <w:vAlign w:val="center"/>
                </w:tcPr>
                <w:p w14:paraId="2EF86557">
                  <w:pPr>
                    <w:pStyle w:val="54"/>
                    <w:rPr>
                      <w:color w:val="auto"/>
                    </w:rPr>
                  </w:pPr>
                </w:p>
              </w:tc>
              <w:tc>
                <w:tcPr>
                  <w:tcW w:w="1786" w:type="dxa"/>
                  <w:vAlign w:val="center"/>
                </w:tcPr>
                <w:p w14:paraId="2AF59AB6">
                  <w:pPr>
                    <w:pStyle w:val="54"/>
                    <w:rPr>
                      <w:color w:val="auto"/>
                    </w:rPr>
                  </w:pPr>
                  <w:r>
                    <w:rPr>
                      <w:color w:val="auto"/>
                    </w:rPr>
                    <w:t>烟气流量</w:t>
                  </w:r>
                </w:p>
              </w:tc>
              <w:tc>
                <w:tcPr>
                  <w:tcW w:w="673" w:type="dxa"/>
                  <w:vAlign w:val="center"/>
                </w:tcPr>
                <w:p w14:paraId="49D77EF3">
                  <w:pPr>
                    <w:pStyle w:val="54"/>
                    <w:rPr>
                      <w:color w:val="auto"/>
                    </w:rPr>
                  </w:pPr>
                  <w:r>
                    <w:rPr>
                      <w:color w:val="auto"/>
                    </w:rPr>
                    <w:t>m</w:t>
                  </w:r>
                  <w:r>
                    <w:rPr>
                      <w:color w:val="auto"/>
                      <w:vertAlign w:val="superscript"/>
                    </w:rPr>
                    <w:t>3</w:t>
                  </w:r>
                  <w:r>
                    <w:rPr>
                      <w:color w:val="auto"/>
                    </w:rPr>
                    <w:t>/h</w:t>
                  </w:r>
                </w:p>
              </w:tc>
              <w:tc>
                <w:tcPr>
                  <w:tcW w:w="854" w:type="dxa"/>
                  <w:vAlign w:val="center"/>
                </w:tcPr>
                <w:p w14:paraId="2FB07950">
                  <w:pPr>
                    <w:pStyle w:val="54"/>
                    <w:rPr>
                      <w:color w:val="auto"/>
                    </w:rPr>
                  </w:pPr>
                  <w:r>
                    <w:rPr>
                      <w:color w:val="auto"/>
                    </w:rPr>
                    <w:t>8837</w:t>
                  </w:r>
                </w:p>
              </w:tc>
              <w:tc>
                <w:tcPr>
                  <w:tcW w:w="854" w:type="dxa"/>
                  <w:vAlign w:val="center"/>
                </w:tcPr>
                <w:p w14:paraId="1AA993F4">
                  <w:pPr>
                    <w:pStyle w:val="54"/>
                    <w:rPr>
                      <w:color w:val="auto"/>
                    </w:rPr>
                  </w:pPr>
                  <w:r>
                    <w:rPr>
                      <w:color w:val="auto"/>
                    </w:rPr>
                    <w:t>8735</w:t>
                  </w:r>
                </w:p>
              </w:tc>
              <w:tc>
                <w:tcPr>
                  <w:tcW w:w="854" w:type="dxa"/>
                  <w:vAlign w:val="center"/>
                </w:tcPr>
                <w:p w14:paraId="0C06EA83">
                  <w:pPr>
                    <w:pStyle w:val="54"/>
                    <w:rPr>
                      <w:color w:val="auto"/>
                    </w:rPr>
                  </w:pPr>
                  <w:r>
                    <w:rPr>
                      <w:color w:val="auto"/>
                    </w:rPr>
                    <w:t>8703</w:t>
                  </w:r>
                </w:p>
              </w:tc>
              <w:tc>
                <w:tcPr>
                  <w:tcW w:w="538" w:type="dxa"/>
                  <w:vAlign w:val="center"/>
                </w:tcPr>
                <w:p w14:paraId="58CE491D">
                  <w:pPr>
                    <w:pStyle w:val="54"/>
                    <w:rPr>
                      <w:color w:val="auto"/>
                    </w:rPr>
                  </w:pPr>
                  <w:r>
                    <w:rPr>
                      <w:color w:val="auto"/>
                    </w:rPr>
                    <w:t>/</w:t>
                  </w:r>
                </w:p>
              </w:tc>
              <w:tc>
                <w:tcPr>
                  <w:tcW w:w="590" w:type="dxa"/>
                  <w:vAlign w:val="center"/>
                </w:tcPr>
                <w:p w14:paraId="5EFAB7DD">
                  <w:pPr>
                    <w:pStyle w:val="54"/>
                    <w:rPr>
                      <w:color w:val="auto"/>
                    </w:rPr>
                  </w:pPr>
                  <w:r>
                    <w:rPr>
                      <w:color w:val="auto"/>
                    </w:rPr>
                    <w:t>/</w:t>
                  </w:r>
                </w:p>
              </w:tc>
            </w:tr>
            <w:tr w14:paraId="439D1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31BA3514">
                  <w:pPr>
                    <w:pStyle w:val="54"/>
                    <w:rPr>
                      <w:color w:val="auto"/>
                    </w:rPr>
                  </w:pPr>
                </w:p>
              </w:tc>
              <w:tc>
                <w:tcPr>
                  <w:tcW w:w="809" w:type="dxa"/>
                  <w:vMerge w:val="continue"/>
                  <w:vAlign w:val="center"/>
                </w:tcPr>
                <w:p w14:paraId="5C2BFE4E">
                  <w:pPr>
                    <w:pStyle w:val="54"/>
                    <w:rPr>
                      <w:color w:val="auto"/>
                    </w:rPr>
                  </w:pPr>
                </w:p>
              </w:tc>
              <w:tc>
                <w:tcPr>
                  <w:tcW w:w="947" w:type="dxa"/>
                  <w:vMerge w:val="continue"/>
                  <w:vAlign w:val="center"/>
                </w:tcPr>
                <w:p w14:paraId="707E2341">
                  <w:pPr>
                    <w:pStyle w:val="54"/>
                    <w:rPr>
                      <w:color w:val="auto"/>
                    </w:rPr>
                  </w:pPr>
                </w:p>
              </w:tc>
              <w:tc>
                <w:tcPr>
                  <w:tcW w:w="1786" w:type="dxa"/>
                  <w:vAlign w:val="center"/>
                </w:tcPr>
                <w:p w14:paraId="0EFEA256">
                  <w:pPr>
                    <w:pStyle w:val="54"/>
                    <w:rPr>
                      <w:color w:val="auto"/>
                    </w:rPr>
                  </w:pPr>
                  <w:r>
                    <w:rPr>
                      <w:color w:val="auto"/>
                    </w:rPr>
                    <w:t>标干流量</w:t>
                  </w:r>
                </w:p>
              </w:tc>
              <w:tc>
                <w:tcPr>
                  <w:tcW w:w="673" w:type="dxa"/>
                  <w:vAlign w:val="center"/>
                </w:tcPr>
                <w:p w14:paraId="3EEDECA8">
                  <w:pPr>
                    <w:pStyle w:val="54"/>
                    <w:rPr>
                      <w:color w:val="auto"/>
                    </w:rPr>
                  </w:pPr>
                  <w:r>
                    <w:rPr>
                      <w:color w:val="auto"/>
                    </w:rPr>
                    <w:t>Nm</w:t>
                  </w:r>
                  <w:r>
                    <w:rPr>
                      <w:color w:val="auto"/>
                      <w:vertAlign w:val="superscript"/>
                    </w:rPr>
                    <w:t>3</w:t>
                  </w:r>
                  <w:r>
                    <w:rPr>
                      <w:color w:val="auto"/>
                    </w:rPr>
                    <w:t>/h</w:t>
                  </w:r>
                </w:p>
              </w:tc>
              <w:tc>
                <w:tcPr>
                  <w:tcW w:w="854" w:type="dxa"/>
                  <w:vAlign w:val="center"/>
                </w:tcPr>
                <w:p w14:paraId="3B2EE9FA">
                  <w:pPr>
                    <w:pStyle w:val="54"/>
                    <w:rPr>
                      <w:color w:val="auto"/>
                    </w:rPr>
                  </w:pPr>
                  <w:r>
                    <w:rPr>
                      <w:color w:val="auto"/>
                    </w:rPr>
                    <w:t>7064</w:t>
                  </w:r>
                </w:p>
              </w:tc>
              <w:tc>
                <w:tcPr>
                  <w:tcW w:w="854" w:type="dxa"/>
                  <w:vAlign w:val="center"/>
                </w:tcPr>
                <w:p w14:paraId="44EB4C84">
                  <w:pPr>
                    <w:pStyle w:val="54"/>
                    <w:rPr>
                      <w:color w:val="auto"/>
                    </w:rPr>
                  </w:pPr>
                  <w:r>
                    <w:rPr>
                      <w:color w:val="auto"/>
                    </w:rPr>
                    <w:t>7000</w:t>
                  </w:r>
                </w:p>
              </w:tc>
              <w:tc>
                <w:tcPr>
                  <w:tcW w:w="854" w:type="dxa"/>
                  <w:vAlign w:val="center"/>
                </w:tcPr>
                <w:p w14:paraId="7950E59E">
                  <w:pPr>
                    <w:pStyle w:val="54"/>
                    <w:rPr>
                      <w:color w:val="auto"/>
                    </w:rPr>
                  </w:pPr>
                  <w:r>
                    <w:rPr>
                      <w:color w:val="auto"/>
                    </w:rPr>
                    <w:t>6963</w:t>
                  </w:r>
                </w:p>
              </w:tc>
              <w:tc>
                <w:tcPr>
                  <w:tcW w:w="538" w:type="dxa"/>
                  <w:vAlign w:val="center"/>
                </w:tcPr>
                <w:p w14:paraId="25B0B496">
                  <w:pPr>
                    <w:pStyle w:val="54"/>
                    <w:rPr>
                      <w:color w:val="auto"/>
                    </w:rPr>
                  </w:pPr>
                  <w:r>
                    <w:rPr>
                      <w:color w:val="auto"/>
                    </w:rPr>
                    <w:t>/</w:t>
                  </w:r>
                </w:p>
              </w:tc>
              <w:tc>
                <w:tcPr>
                  <w:tcW w:w="590" w:type="dxa"/>
                  <w:vAlign w:val="center"/>
                </w:tcPr>
                <w:p w14:paraId="197C36AA">
                  <w:pPr>
                    <w:pStyle w:val="54"/>
                    <w:rPr>
                      <w:color w:val="auto"/>
                    </w:rPr>
                  </w:pPr>
                  <w:r>
                    <w:rPr>
                      <w:color w:val="auto"/>
                    </w:rPr>
                    <w:t>/</w:t>
                  </w:r>
                </w:p>
              </w:tc>
            </w:tr>
            <w:tr w14:paraId="63590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187828D4">
                  <w:pPr>
                    <w:pStyle w:val="54"/>
                    <w:rPr>
                      <w:color w:val="auto"/>
                    </w:rPr>
                  </w:pPr>
                </w:p>
              </w:tc>
              <w:tc>
                <w:tcPr>
                  <w:tcW w:w="809" w:type="dxa"/>
                  <w:vMerge w:val="continue"/>
                  <w:vAlign w:val="center"/>
                </w:tcPr>
                <w:p w14:paraId="495E21D7">
                  <w:pPr>
                    <w:pStyle w:val="54"/>
                    <w:rPr>
                      <w:color w:val="auto"/>
                    </w:rPr>
                  </w:pPr>
                </w:p>
              </w:tc>
              <w:tc>
                <w:tcPr>
                  <w:tcW w:w="947" w:type="dxa"/>
                  <w:vMerge w:val="continue"/>
                  <w:vAlign w:val="center"/>
                </w:tcPr>
                <w:p w14:paraId="2BA2DD70">
                  <w:pPr>
                    <w:pStyle w:val="54"/>
                    <w:rPr>
                      <w:color w:val="auto"/>
                    </w:rPr>
                  </w:pPr>
                </w:p>
              </w:tc>
              <w:tc>
                <w:tcPr>
                  <w:tcW w:w="1786" w:type="dxa"/>
                  <w:vAlign w:val="center"/>
                </w:tcPr>
                <w:p w14:paraId="12442A25">
                  <w:pPr>
                    <w:pStyle w:val="54"/>
                    <w:rPr>
                      <w:color w:val="auto"/>
                    </w:rPr>
                  </w:pPr>
                  <w:r>
                    <w:rPr>
                      <w:color w:val="auto"/>
                    </w:rPr>
                    <w:t>非甲烷总烃排放</w:t>
                  </w:r>
                </w:p>
                <w:p w14:paraId="5D960892">
                  <w:pPr>
                    <w:pStyle w:val="54"/>
                    <w:rPr>
                      <w:color w:val="auto"/>
                    </w:rPr>
                  </w:pPr>
                  <w:r>
                    <w:rPr>
                      <w:color w:val="auto"/>
                    </w:rPr>
                    <w:t>浓度</w:t>
                  </w:r>
                </w:p>
              </w:tc>
              <w:tc>
                <w:tcPr>
                  <w:tcW w:w="673" w:type="dxa"/>
                  <w:vAlign w:val="center"/>
                </w:tcPr>
                <w:p w14:paraId="63E2DCB2">
                  <w:pPr>
                    <w:pStyle w:val="54"/>
                    <w:rPr>
                      <w:color w:val="auto"/>
                    </w:rPr>
                  </w:pPr>
                  <w:r>
                    <w:rPr>
                      <w:color w:val="auto"/>
                    </w:rPr>
                    <w:t>mg/m</w:t>
                  </w:r>
                  <w:r>
                    <w:rPr>
                      <w:color w:val="auto"/>
                      <w:vertAlign w:val="superscript"/>
                    </w:rPr>
                    <w:t>3</w:t>
                  </w:r>
                </w:p>
              </w:tc>
              <w:tc>
                <w:tcPr>
                  <w:tcW w:w="854" w:type="dxa"/>
                  <w:vAlign w:val="center"/>
                </w:tcPr>
                <w:p w14:paraId="2E502B5D">
                  <w:pPr>
                    <w:pStyle w:val="54"/>
                    <w:rPr>
                      <w:color w:val="auto"/>
                    </w:rPr>
                  </w:pPr>
                  <w:r>
                    <w:rPr>
                      <w:color w:val="auto"/>
                    </w:rPr>
                    <w:t>1.46</w:t>
                  </w:r>
                </w:p>
              </w:tc>
              <w:tc>
                <w:tcPr>
                  <w:tcW w:w="854" w:type="dxa"/>
                  <w:vAlign w:val="center"/>
                </w:tcPr>
                <w:p w14:paraId="1E902DD4">
                  <w:pPr>
                    <w:pStyle w:val="54"/>
                    <w:rPr>
                      <w:color w:val="auto"/>
                    </w:rPr>
                  </w:pPr>
                  <w:r>
                    <w:rPr>
                      <w:color w:val="auto"/>
                    </w:rPr>
                    <w:t>1.43</w:t>
                  </w:r>
                </w:p>
              </w:tc>
              <w:tc>
                <w:tcPr>
                  <w:tcW w:w="854" w:type="dxa"/>
                  <w:vAlign w:val="center"/>
                </w:tcPr>
                <w:p w14:paraId="6105C3A3">
                  <w:pPr>
                    <w:pStyle w:val="54"/>
                    <w:rPr>
                      <w:color w:val="auto"/>
                    </w:rPr>
                  </w:pPr>
                  <w:r>
                    <w:rPr>
                      <w:color w:val="auto"/>
                    </w:rPr>
                    <w:t>1.35</w:t>
                  </w:r>
                </w:p>
              </w:tc>
              <w:tc>
                <w:tcPr>
                  <w:tcW w:w="538" w:type="dxa"/>
                  <w:vAlign w:val="center"/>
                </w:tcPr>
                <w:p w14:paraId="686840CE">
                  <w:pPr>
                    <w:pStyle w:val="54"/>
                    <w:rPr>
                      <w:color w:val="auto"/>
                    </w:rPr>
                  </w:pPr>
                  <w:r>
                    <w:rPr>
                      <w:color w:val="auto"/>
                    </w:rPr>
                    <w:t>&lt;60</w:t>
                  </w:r>
                </w:p>
              </w:tc>
              <w:tc>
                <w:tcPr>
                  <w:tcW w:w="590" w:type="dxa"/>
                  <w:vAlign w:val="center"/>
                </w:tcPr>
                <w:p w14:paraId="2669605C">
                  <w:pPr>
                    <w:pStyle w:val="54"/>
                    <w:rPr>
                      <w:color w:val="auto"/>
                    </w:rPr>
                  </w:pPr>
                  <w:r>
                    <w:rPr>
                      <w:color w:val="auto"/>
                    </w:rPr>
                    <w:t>达标</w:t>
                  </w:r>
                </w:p>
              </w:tc>
            </w:tr>
            <w:tr w14:paraId="740B1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242B6471">
                  <w:pPr>
                    <w:pStyle w:val="54"/>
                    <w:rPr>
                      <w:color w:val="auto"/>
                    </w:rPr>
                  </w:pPr>
                </w:p>
              </w:tc>
              <w:tc>
                <w:tcPr>
                  <w:tcW w:w="809" w:type="dxa"/>
                  <w:vMerge w:val="continue"/>
                  <w:vAlign w:val="center"/>
                </w:tcPr>
                <w:p w14:paraId="5BDC4405">
                  <w:pPr>
                    <w:pStyle w:val="54"/>
                    <w:rPr>
                      <w:color w:val="auto"/>
                    </w:rPr>
                  </w:pPr>
                </w:p>
              </w:tc>
              <w:tc>
                <w:tcPr>
                  <w:tcW w:w="947" w:type="dxa"/>
                  <w:vMerge w:val="continue"/>
                  <w:vAlign w:val="center"/>
                </w:tcPr>
                <w:p w14:paraId="20C93B84">
                  <w:pPr>
                    <w:pStyle w:val="54"/>
                    <w:rPr>
                      <w:color w:val="auto"/>
                    </w:rPr>
                  </w:pPr>
                </w:p>
              </w:tc>
              <w:tc>
                <w:tcPr>
                  <w:tcW w:w="1786" w:type="dxa"/>
                  <w:vAlign w:val="center"/>
                </w:tcPr>
                <w:p w14:paraId="57E92E3E">
                  <w:pPr>
                    <w:pStyle w:val="54"/>
                    <w:rPr>
                      <w:color w:val="auto"/>
                    </w:rPr>
                  </w:pPr>
                  <w:r>
                    <w:rPr>
                      <w:color w:val="auto"/>
                    </w:rPr>
                    <w:t>非甲烷总烃排放</w:t>
                  </w:r>
                </w:p>
                <w:p w14:paraId="20316F6E">
                  <w:pPr>
                    <w:pStyle w:val="54"/>
                    <w:rPr>
                      <w:color w:val="auto"/>
                    </w:rPr>
                  </w:pPr>
                  <w:r>
                    <w:rPr>
                      <w:color w:val="auto"/>
                    </w:rPr>
                    <w:t>速率</w:t>
                  </w:r>
                </w:p>
              </w:tc>
              <w:tc>
                <w:tcPr>
                  <w:tcW w:w="673" w:type="dxa"/>
                  <w:vAlign w:val="center"/>
                </w:tcPr>
                <w:p w14:paraId="5BFADD57">
                  <w:pPr>
                    <w:pStyle w:val="54"/>
                    <w:rPr>
                      <w:color w:val="auto"/>
                    </w:rPr>
                  </w:pPr>
                  <w:r>
                    <w:rPr>
                      <w:color w:val="auto"/>
                    </w:rPr>
                    <w:t>kg/h</w:t>
                  </w:r>
                </w:p>
              </w:tc>
              <w:tc>
                <w:tcPr>
                  <w:tcW w:w="854" w:type="dxa"/>
                  <w:vAlign w:val="center"/>
                </w:tcPr>
                <w:p w14:paraId="42048BE8">
                  <w:pPr>
                    <w:pStyle w:val="54"/>
                    <w:rPr>
                      <w:color w:val="auto"/>
                    </w:rPr>
                  </w:pPr>
                  <w:r>
                    <w:rPr>
                      <w:color w:val="auto"/>
                    </w:rPr>
                    <w:t>0.010</w:t>
                  </w:r>
                </w:p>
              </w:tc>
              <w:tc>
                <w:tcPr>
                  <w:tcW w:w="854" w:type="dxa"/>
                  <w:vAlign w:val="center"/>
                </w:tcPr>
                <w:p w14:paraId="19D22A27">
                  <w:pPr>
                    <w:pStyle w:val="54"/>
                    <w:rPr>
                      <w:color w:val="auto"/>
                    </w:rPr>
                  </w:pPr>
                  <w:r>
                    <w:rPr>
                      <w:color w:val="auto"/>
                    </w:rPr>
                    <w:t>0.010</w:t>
                  </w:r>
                </w:p>
              </w:tc>
              <w:tc>
                <w:tcPr>
                  <w:tcW w:w="854" w:type="dxa"/>
                  <w:vAlign w:val="center"/>
                </w:tcPr>
                <w:p w14:paraId="564B6239">
                  <w:pPr>
                    <w:pStyle w:val="54"/>
                    <w:rPr>
                      <w:color w:val="auto"/>
                    </w:rPr>
                  </w:pPr>
                  <w:r>
                    <w:rPr>
                      <w:color w:val="auto"/>
                    </w:rPr>
                    <w:t>9.40×10</w:t>
                  </w:r>
                  <w:r>
                    <w:rPr>
                      <w:color w:val="auto"/>
                      <w:vertAlign w:val="superscript"/>
                    </w:rPr>
                    <w:t xml:space="preserve">-3 </w:t>
                  </w:r>
                </w:p>
              </w:tc>
              <w:tc>
                <w:tcPr>
                  <w:tcW w:w="538" w:type="dxa"/>
                  <w:vAlign w:val="center"/>
                </w:tcPr>
                <w:p w14:paraId="5E0C6C8E">
                  <w:pPr>
                    <w:pStyle w:val="54"/>
                    <w:rPr>
                      <w:color w:val="auto"/>
                    </w:rPr>
                  </w:pPr>
                  <w:r>
                    <w:rPr>
                      <w:color w:val="auto"/>
                    </w:rPr>
                    <w:t>&lt;3</w:t>
                  </w:r>
                </w:p>
              </w:tc>
              <w:tc>
                <w:tcPr>
                  <w:tcW w:w="590" w:type="dxa"/>
                  <w:vAlign w:val="center"/>
                </w:tcPr>
                <w:p w14:paraId="1E283431">
                  <w:pPr>
                    <w:pStyle w:val="54"/>
                    <w:rPr>
                      <w:color w:val="auto"/>
                    </w:rPr>
                  </w:pPr>
                  <w:r>
                    <w:rPr>
                      <w:color w:val="auto"/>
                    </w:rPr>
                    <w:t>达标</w:t>
                  </w:r>
                </w:p>
              </w:tc>
            </w:tr>
            <w:tr w14:paraId="52B24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restart"/>
                  <w:vAlign w:val="center"/>
                </w:tcPr>
                <w:p w14:paraId="6EBBCF84">
                  <w:pPr>
                    <w:pStyle w:val="54"/>
                    <w:rPr>
                      <w:color w:val="auto"/>
                    </w:rPr>
                  </w:pPr>
                  <w:r>
                    <w:rPr>
                      <w:color w:val="auto"/>
                    </w:rPr>
                    <w:t>2025.07.09</w:t>
                  </w:r>
                </w:p>
              </w:tc>
              <w:tc>
                <w:tcPr>
                  <w:tcW w:w="809" w:type="dxa"/>
                  <w:vMerge w:val="restart"/>
                  <w:vAlign w:val="center"/>
                </w:tcPr>
                <w:p w14:paraId="4DD86DFB">
                  <w:pPr>
                    <w:pStyle w:val="54"/>
                    <w:rPr>
                      <w:color w:val="auto"/>
                    </w:rPr>
                  </w:pPr>
                  <w:r>
                    <w:rPr>
                      <w:color w:val="auto"/>
                    </w:rPr>
                    <w:t>DA002排气筒进口</w:t>
                  </w:r>
                </w:p>
              </w:tc>
              <w:tc>
                <w:tcPr>
                  <w:tcW w:w="947" w:type="dxa"/>
                  <w:vMerge w:val="restart"/>
                  <w:vAlign w:val="center"/>
                </w:tcPr>
                <w:p w14:paraId="7F52922B">
                  <w:pPr>
                    <w:pStyle w:val="54"/>
                    <w:rPr>
                      <w:color w:val="auto"/>
                    </w:rPr>
                  </w:pPr>
                  <w:r>
                    <w:rPr>
                      <w:color w:val="auto"/>
                    </w:rPr>
                    <w:t>/</w:t>
                  </w:r>
                </w:p>
              </w:tc>
              <w:tc>
                <w:tcPr>
                  <w:tcW w:w="1786" w:type="dxa"/>
                  <w:vAlign w:val="center"/>
                </w:tcPr>
                <w:p w14:paraId="7D462FA4">
                  <w:pPr>
                    <w:pStyle w:val="54"/>
                    <w:rPr>
                      <w:color w:val="auto"/>
                    </w:rPr>
                  </w:pPr>
                  <w:r>
                    <w:rPr>
                      <w:color w:val="auto"/>
                    </w:rPr>
                    <w:t>烟道截面积</w:t>
                  </w:r>
                </w:p>
              </w:tc>
              <w:tc>
                <w:tcPr>
                  <w:tcW w:w="673" w:type="dxa"/>
                  <w:vAlign w:val="center"/>
                </w:tcPr>
                <w:p w14:paraId="0138C929">
                  <w:pPr>
                    <w:pStyle w:val="54"/>
                    <w:rPr>
                      <w:color w:val="auto"/>
                    </w:rPr>
                  </w:pPr>
                  <w:r>
                    <w:rPr>
                      <w:color w:val="auto"/>
                    </w:rPr>
                    <w:t>m</w:t>
                  </w:r>
                  <w:r>
                    <w:rPr>
                      <w:color w:val="auto"/>
                      <w:vertAlign w:val="superscript"/>
                    </w:rPr>
                    <w:t>2</w:t>
                  </w:r>
                </w:p>
              </w:tc>
              <w:tc>
                <w:tcPr>
                  <w:tcW w:w="854" w:type="dxa"/>
                  <w:vAlign w:val="center"/>
                </w:tcPr>
                <w:p w14:paraId="4B69DD0B">
                  <w:pPr>
                    <w:pStyle w:val="54"/>
                    <w:rPr>
                      <w:color w:val="auto"/>
                    </w:rPr>
                  </w:pPr>
                  <w:r>
                    <w:rPr>
                      <w:color w:val="auto"/>
                    </w:rPr>
                    <w:t>0.1963</w:t>
                  </w:r>
                </w:p>
              </w:tc>
              <w:tc>
                <w:tcPr>
                  <w:tcW w:w="854" w:type="dxa"/>
                  <w:vAlign w:val="center"/>
                </w:tcPr>
                <w:p w14:paraId="632E93F8">
                  <w:pPr>
                    <w:pStyle w:val="54"/>
                    <w:rPr>
                      <w:color w:val="auto"/>
                    </w:rPr>
                  </w:pPr>
                  <w:r>
                    <w:rPr>
                      <w:color w:val="auto"/>
                    </w:rPr>
                    <w:t>0.1963</w:t>
                  </w:r>
                </w:p>
              </w:tc>
              <w:tc>
                <w:tcPr>
                  <w:tcW w:w="854" w:type="dxa"/>
                  <w:vAlign w:val="center"/>
                </w:tcPr>
                <w:p w14:paraId="3A3098C6">
                  <w:pPr>
                    <w:pStyle w:val="54"/>
                    <w:rPr>
                      <w:color w:val="auto"/>
                    </w:rPr>
                  </w:pPr>
                  <w:r>
                    <w:rPr>
                      <w:color w:val="auto"/>
                    </w:rPr>
                    <w:t>0.1963</w:t>
                  </w:r>
                </w:p>
              </w:tc>
              <w:tc>
                <w:tcPr>
                  <w:tcW w:w="538" w:type="dxa"/>
                  <w:vAlign w:val="center"/>
                </w:tcPr>
                <w:p w14:paraId="1080AB88">
                  <w:pPr>
                    <w:pStyle w:val="54"/>
                    <w:rPr>
                      <w:color w:val="auto"/>
                    </w:rPr>
                  </w:pPr>
                  <w:r>
                    <w:rPr>
                      <w:color w:val="auto"/>
                    </w:rPr>
                    <w:t>/</w:t>
                  </w:r>
                </w:p>
              </w:tc>
              <w:tc>
                <w:tcPr>
                  <w:tcW w:w="590" w:type="dxa"/>
                  <w:vAlign w:val="center"/>
                </w:tcPr>
                <w:p w14:paraId="58C25C08">
                  <w:pPr>
                    <w:pStyle w:val="54"/>
                    <w:rPr>
                      <w:color w:val="auto"/>
                    </w:rPr>
                  </w:pPr>
                  <w:r>
                    <w:rPr>
                      <w:color w:val="auto"/>
                    </w:rPr>
                    <w:t>/</w:t>
                  </w:r>
                </w:p>
              </w:tc>
            </w:tr>
            <w:tr w14:paraId="757FA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407B2843">
                  <w:pPr>
                    <w:pStyle w:val="54"/>
                    <w:rPr>
                      <w:color w:val="auto"/>
                    </w:rPr>
                  </w:pPr>
                </w:p>
              </w:tc>
              <w:tc>
                <w:tcPr>
                  <w:tcW w:w="809" w:type="dxa"/>
                  <w:vMerge w:val="continue"/>
                  <w:vAlign w:val="center"/>
                </w:tcPr>
                <w:p w14:paraId="5737DB40">
                  <w:pPr>
                    <w:pStyle w:val="54"/>
                    <w:rPr>
                      <w:color w:val="auto"/>
                    </w:rPr>
                  </w:pPr>
                </w:p>
              </w:tc>
              <w:tc>
                <w:tcPr>
                  <w:tcW w:w="947" w:type="dxa"/>
                  <w:vMerge w:val="continue"/>
                  <w:vAlign w:val="center"/>
                </w:tcPr>
                <w:p w14:paraId="43CDF5BD">
                  <w:pPr>
                    <w:pStyle w:val="54"/>
                    <w:rPr>
                      <w:color w:val="auto"/>
                    </w:rPr>
                  </w:pPr>
                </w:p>
              </w:tc>
              <w:tc>
                <w:tcPr>
                  <w:tcW w:w="1786" w:type="dxa"/>
                  <w:vAlign w:val="center"/>
                </w:tcPr>
                <w:p w14:paraId="6B8FD5E7">
                  <w:pPr>
                    <w:pStyle w:val="54"/>
                    <w:rPr>
                      <w:color w:val="auto"/>
                    </w:rPr>
                  </w:pPr>
                  <w:r>
                    <w:rPr>
                      <w:color w:val="auto"/>
                    </w:rPr>
                    <w:t>烟气含湿量</w:t>
                  </w:r>
                </w:p>
              </w:tc>
              <w:tc>
                <w:tcPr>
                  <w:tcW w:w="673" w:type="dxa"/>
                  <w:vAlign w:val="center"/>
                </w:tcPr>
                <w:p w14:paraId="35EB0BAE">
                  <w:pPr>
                    <w:pStyle w:val="54"/>
                    <w:rPr>
                      <w:color w:val="auto"/>
                    </w:rPr>
                  </w:pPr>
                  <w:r>
                    <w:rPr>
                      <w:color w:val="auto"/>
                    </w:rPr>
                    <w:t>%</w:t>
                  </w:r>
                </w:p>
              </w:tc>
              <w:tc>
                <w:tcPr>
                  <w:tcW w:w="854" w:type="dxa"/>
                  <w:vAlign w:val="center"/>
                </w:tcPr>
                <w:p w14:paraId="7A875275">
                  <w:pPr>
                    <w:pStyle w:val="54"/>
                    <w:rPr>
                      <w:color w:val="auto"/>
                    </w:rPr>
                  </w:pPr>
                  <w:r>
                    <w:rPr>
                      <w:color w:val="auto"/>
                    </w:rPr>
                    <w:t>4.1</w:t>
                  </w:r>
                </w:p>
              </w:tc>
              <w:tc>
                <w:tcPr>
                  <w:tcW w:w="854" w:type="dxa"/>
                  <w:vAlign w:val="center"/>
                </w:tcPr>
                <w:p w14:paraId="08D02579">
                  <w:pPr>
                    <w:pStyle w:val="54"/>
                    <w:rPr>
                      <w:color w:val="auto"/>
                    </w:rPr>
                  </w:pPr>
                  <w:r>
                    <w:rPr>
                      <w:color w:val="auto"/>
                    </w:rPr>
                    <w:t>4.2</w:t>
                  </w:r>
                </w:p>
              </w:tc>
              <w:tc>
                <w:tcPr>
                  <w:tcW w:w="854" w:type="dxa"/>
                  <w:vAlign w:val="center"/>
                </w:tcPr>
                <w:p w14:paraId="1FE96E27">
                  <w:pPr>
                    <w:pStyle w:val="54"/>
                    <w:rPr>
                      <w:color w:val="auto"/>
                    </w:rPr>
                  </w:pPr>
                  <w:r>
                    <w:rPr>
                      <w:color w:val="auto"/>
                    </w:rPr>
                    <w:t>4.4</w:t>
                  </w:r>
                </w:p>
              </w:tc>
              <w:tc>
                <w:tcPr>
                  <w:tcW w:w="538" w:type="dxa"/>
                  <w:vAlign w:val="center"/>
                </w:tcPr>
                <w:p w14:paraId="4DB0DE12">
                  <w:pPr>
                    <w:pStyle w:val="54"/>
                    <w:rPr>
                      <w:color w:val="auto"/>
                    </w:rPr>
                  </w:pPr>
                  <w:r>
                    <w:rPr>
                      <w:color w:val="auto"/>
                    </w:rPr>
                    <w:t>/</w:t>
                  </w:r>
                </w:p>
              </w:tc>
              <w:tc>
                <w:tcPr>
                  <w:tcW w:w="590" w:type="dxa"/>
                  <w:vAlign w:val="center"/>
                </w:tcPr>
                <w:p w14:paraId="0030C4DD">
                  <w:pPr>
                    <w:pStyle w:val="54"/>
                    <w:rPr>
                      <w:color w:val="auto"/>
                    </w:rPr>
                  </w:pPr>
                  <w:r>
                    <w:rPr>
                      <w:color w:val="auto"/>
                    </w:rPr>
                    <w:t>/</w:t>
                  </w:r>
                </w:p>
              </w:tc>
            </w:tr>
            <w:tr w14:paraId="3000F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1C1BEECE">
                  <w:pPr>
                    <w:pStyle w:val="54"/>
                    <w:rPr>
                      <w:color w:val="auto"/>
                    </w:rPr>
                  </w:pPr>
                </w:p>
              </w:tc>
              <w:tc>
                <w:tcPr>
                  <w:tcW w:w="809" w:type="dxa"/>
                  <w:vMerge w:val="continue"/>
                  <w:vAlign w:val="center"/>
                </w:tcPr>
                <w:p w14:paraId="53333C1C">
                  <w:pPr>
                    <w:pStyle w:val="54"/>
                    <w:rPr>
                      <w:color w:val="auto"/>
                    </w:rPr>
                  </w:pPr>
                </w:p>
              </w:tc>
              <w:tc>
                <w:tcPr>
                  <w:tcW w:w="947" w:type="dxa"/>
                  <w:vMerge w:val="continue"/>
                  <w:vAlign w:val="center"/>
                </w:tcPr>
                <w:p w14:paraId="4FBAB27E">
                  <w:pPr>
                    <w:pStyle w:val="54"/>
                    <w:rPr>
                      <w:color w:val="auto"/>
                    </w:rPr>
                  </w:pPr>
                </w:p>
              </w:tc>
              <w:tc>
                <w:tcPr>
                  <w:tcW w:w="1786" w:type="dxa"/>
                  <w:vAlign w:val="center"/>
                </w:tcPr>
                <w:p w14:paraId="4B27E1F6">
                  <w:pPr>
                    <w:pStyle w:val="54"/>
                    <w:rPr>
                      <w:color w:val="auto"/>
                    </w:rPr>
                  </w:pPr>
                  <w:r>
                    <w:rPr>
                      <w:color w:val="auto"/>
                    </w:rPr>
                    <w:t>烟气温度</w:t>
                  </w:r>
                </w:p>
              </w:tc>
              <w:tc>
                <w:tcPr>
                  <w:tcW w:w="673" w:type="dxa"/>
                  <w:vAlign w:val="center"/>
                </w:tcPr>
                <w:p w14:paraId="34585267">
                  <w:pPr>
                    <w:pStyle w:val="54"/>
                    <w:rPr>
                      <w:color w:val="auto"/>
                    </w:rPr>
                  </w:pPr>
                  <w:r>
                    <w:rPr>
                      <w:color w:val="auto"/>
                    </w:rPr>
                    <w:t>℃</w:t>
                  </w:r>
                </w:p>
              </w:tc>
              <w:tc>
                <w:tcPr>
                  <w:tcW w:w="854" w:type="dxa"/>
                  <w:vAlign w:val="center"/>
                </w:tcPr>
                <w:p w14:paraId="2D81236F">
                  <w:pPr>
                    <w:pStyle w:val="54"/>
                    <w:rPr>
                      <w:color w:val="auto"/>
                    </w:rPr>
                  </w:pPr>
                  <w:r>
                    <w:rPr>
                      <w:color w:val="auto"/>
                    </w:rPr>
                    <w:t>78</w:t>
                  </w:r>
                </w:p>
              </w:tc>
              <w:tc>
                <w:tcPr>
                  <w:tcW w:w="854" w:type="dxa"/>
                  <w:vAlign w:val="center"/>
                </w:tcPr>
                <w:p w14:paraId="2195281E">
                  <w:pPr>
                    <w:pStyle w:val="54"/>
                    <w:rPr>
                      <w:color w:val="auto"/>
                    </w:rPr>
                  </w:pPr>
                  <w:r>
                    <w:rPr>
                      <w:color w:val="auto"/>
                    </w:rPr>
                    <w:t>79</w:t>
                  </w:r>
                </w:p>
              </w:tc>
              <w:tc>
                <w:tcPr>
                  <w:tcW w:w="854" w:type="dxa"/>
                  <w:vAlign w:val="center"/>
                </w:tcPr>
                <w:p w14:paraId="099A14F1">
                  <w:pPr>
                    <w:pStyle w:val="54"/>
                    <w:rPr>
                      <w:color w:val="auto"/>
                    </w:rPr>
                  </w:pPr>
                  <w:r>
                    <w:rPr>
                      <w:color w:val="auto"/>
                    </w:rPr>
                    <w:t>80</w:t>
                  </w:r>
                </w:p>
              </w:tc>
              <w:tc>
                <w:tcPr>
                  <w:tcW w:w="538" w:type="dxa"/>
                  <w:vAlign w:val="center"/>
                </w:tcPr>
                <w:p w14:paraId="6B8F605A">
                  <w:pPr>
                    <w:pStyle w:val="54"/>
                    <w:rPr>
                      <w:color w:val="auto"/>
                    </w:rPr>
                  </w:pPr>
                  <w:r>
                    <w:rPr>
                      <w:color w:val="auto"/>
                    </w:rPr>
                    <w:t>/</w:t>
                  </w:r>
                </w:p>
              </w:tc>
              <w:tc>
                <w:tcPr>
                  <w:tcW w:w="590" w:type="dxa"/>
                  <w:vAlign w:val="center"/>
                </w:tcPr>
                <w:p w14:paraId="6F874092">
                  <w:pPr>
                    <w:pStyle w:val="54"/>
                    <w:rPr>
                      <w:color w:val="auto"/>
                    </w:rPr>
                  </w:pPr>
                  <w:r>
                    <w:rPr>
                      <w:color w:val="auto"/>
                    </w:rPr>
                    <w:t>/</w:t>
                  </w:r>
                </w:p>
              </w:tc>
            </w:tr>
            <w:tr w14:paraId="3D134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023FFA1E">
                  <w:pPr>
                    <w:pStyle w:val="54"/>
                    <w:rPr>
                      <w:color w:val="auto"/>
                    </w:rPr>
                  </w:pPr>
                </w:p>
              </w:tc>
              <w:tc>
                <w:tcPr>
                  <w:tcW w:w="809" w:type="dxa"/>
                  <w:vMerge w:val="continue"/>
                  <w:vAlign w:val="center"/>
                </w:tcPr>
                <w:p w14:paraId="390F11E2">
                  <w:pPr>
                    <w:pStyle w:val="54"/>
                    <w:rPr>
                      <w:color w:val="auto"/>
                    </w:rPr>
                  </w:pPr>
                </w:p>
              </w:tc>
              <w:tc>
                <w:tcPr>
                  <w:tcW w:w="947" w:type="dxa"/>
                  <w:vMerge w:val="continue"/>
                  <w:vAlign w:val="center"/>
                </w:tcPr>
                <w:p w14:paraId="56CE6BE0">
                  <w:pPr>
                    <w:pStyle w:val="54"/>
                    <w:rPr>
                      <w:color w:val="auto"/>
                    </w:rPr>
                  </w:pPr>
                </w:p>
              </w:tc>
              <w:tc>
                <w:tcPr>
                  <w:tcW w:w="1786" w:type="dxa"/>
                  <w:vAlign w:val="center"/>
                </w:tcPr>
                <w:p w14:paraId="382F8738">
                  <w:pPr>
                    <w:pStyle w:val="54"/>
                    <w:rPr>
                      <w:color w:val="auto"/>
                    </w:rPr>
                  </w:pPr>
                  <w:r>
                    <w:rPr>
                      <w:color w:val="auto"/>
                    </w:rPr>
                    <w:t>烟气流速</w:t>
                  </w:r>
                </w:p>
              </w:tc>
              <w:tc>
                <w:tcPr>
                  <w:tcW w:w="673" w:type="dxa"/>
                  <w:vAlign w:val="center"/>
                </w:tcPr>
                <w:p w14:paraId="76595C04">
                  <w:pPr>
                    <w:pStyle w:val="54"/>
                    <w:rPr>
                      <w:color w:val="auto"/>
                    </w:rPr>
                  </w:pPr>
                  <w:r>
                    <w:rPr>
                      <w:color w:val="auto"/>
                    </w:rPr>
                    <w:t>m/s</w:t>
                  </w:r>
                </w:p>
              </w:tc>
              <w:tc>
                <w:tcPr>
                  <w:tcW w:w="854" w:type="dxa"/>
                  <w:vAlign w:val="center"/>
                </w:tcPr>
                <w:p w14:paraId="63BA103D">
                  <w:pPr>
                    <w:pStyle w:val="54"/>
                    <w:rPr>
                      <w:color w:val="auto"/>
                    </w:rPr>
                  </w:pPr>
                  <w:r>
                    <w:rPr>
                      <w:color w:val="auto"/>
                    </w:rPr>
                    <w:t>13.4</w:t>
                  </w:r>
                </w:p>
              </w:tc>
              <w:tc>
                <w:tcPr>
                  <w:tcW w:w="854" w:type="dxa"/>
                  <w:vAlign w:val="center"/>
                </w:tcPr>
                <w:p w14:paraId="21BD4C28">
                  <w:pPr>
                    <w:pStyle w:val="54"/>
                    <w:rPr>
                      <w:color w:val="auto"/>
                    </w:rPr>
                  </w:pPr>
                  <w:r>
                    <w:rPr>
                      <w:color w:val="auto"/>
                    </w:rPr>
                    <w:t>13.1</w:t>
                  </w:r>
                </w:p>
              </w:tc>
              <w:tc>
                <w:tcPr>
                  <w:tcW w:w="854" w:type="dxa"/>
                  <w:vAlign w:val="center"/>
                </w:tcPr>
                <w:p w14:paraId="4C2A2881">
                  <w:pPr>
                    <w:pStyle w:val="54"/>
                    <w:rPr>
                      <w:color w:val="auto"/>
                    </w:rPr>
                  </w:pPr>
                  <w:r>
                    <w:rPr>
                      <w:color w:val="auto"/>
                    </w:rPr>
                    <w:t>13.3</w:t>
                  </w:r>
                </w:p>
              </w:tc>
              <w:tc>
                <w:tcPr>
                  <w:tcW w:w="538" w:type="dxa"/>
                  <w:vAlign w:val="center"/>
                </w:tcPr>
                <w:p w14:paraId="7F0394BD">
                  <w:pPr>
                    <w:pStyle w:val="54"/>
                    <w:rPr>
                      <w:color w:val="auto"/>
                    </w:rPr>
                  </w:pPr>
                  <w:r>
                    <w:rPr>
                      <w:color w:val="auto"/>
                    </w:rPr>
                    <w:t>/</w:t>
                  </w:r>
                </w:p>
              </w:tc>
              <w:tc>
                <w:tcPr>
                  <w:tcW w:w="590" w:type="dxa"/>
                  <w:vAlign w:val="center"/>
                </w:tcPr>
                <w:p w14:paraId="6CCAA949">
                  <w:pPr>
                    <w:pStyle w:val="54"/>
                    <w:rPr>
                      <w:color w:val="auto"/>
                    </w:rPr>
                  </w:pPr>
                  <w:r>
                    <w:rPr>
                      <w:color w:val="auto"/>
                    </w:rPr>
                    <w:t>/</w:t>
                  </w:r>
                </w:p>
              </w:tc>
            </w:tr>
            <w:tr w14:paraId="34AC6A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3F581AC3">
                  <w:pPr>
                    <w:pStyle w:val="54"/>
                    <w:rPr>
                      <w:color w:val="auto"/>
                    </w:rPr>
                  </w:pPr>
                </w:p>
              </w:tc>
              <w:tc>
                <w:tcPr>
                  <w:tcW w:w="809" w:type="dxa"/>
                  <w:vMerge w:val="continue"/>
                  <w:vAlign w:val="center"/>
                </w:tcPr>
                <w:p w14:paraId="75573A68">
                  <w:pPr>
                    <w:pStyle w:val="54"/>
                    <w:rPr>
                      <w:color w:val="auto"/>
                    </w:rPr>
                  </w:pPr>
                </w:p>
              </w:tc>
              <w:tc>
                <w:tcPr>
                  <w:tcW w:w="947" w:type="dxa"/>
                  <w:vMerge w:val="continue"/>
                  <w:vAlign w:val="center"/>
                </w:tcPr>
                <w:p w14:paraId="756FFD81">
                  <w:pPr>
                    <w:pStyle w:val="54"/>
                    <w:rPr>
                      <w:color w:val="auto"/>
                    </w:rPr>
                  </w:pPr>
                </w:p>
              </w:tc>
              <w:tc>
                <w:tcPr>
                  <w:tcW w:w="1786" w:type="dxa"/>
                  <w:vAlign w:val="center"/>
                </w:tcPr>
                <w:p w14:paraId="592312C0">
                  <w:pPr>
                    <w:pStyle w:val="54"/>
                    <w:rPr>
                      <w:color w:val="auto"/>
                    </w:rPr>
                  </w:pPr>
                  <w:r>
                    <w:rPr>
                      <w:color w:val="auto"/>
                    </w:rPr>
                    <w:t>烟气流量</w:t>
                  </w:r>
                </w:p>
              </w:tc>
              <w:tc>
                <w:tcPr>
                  <w:tcW w:w="673" w:type="dxa"/>
                  <w:vAlign w:val="center"/>
                </w:tcPr>
                <w:p w14:paraId="1E3F9CAA">
                  <w:pPr>
                    <w:pStyle w:val="54"/>
                    <w:rPr>
                      <w:color w:val="auto"/>
                    </w:rPr>
                  </w:pPr>
                  <w:r>
                    <w:rPr>
                      <w:color w:val="auto"/>
                    </w:rPr>
                    <w:t>m</w:t>
                  </w:r>
                  <w:r>
                    <w:rPr>
                      <w:color w:val="auto"/>
                      <w:vertAlign w:val="superscript"/>
                    </w:rPr>
                    <w:t>3</w:t>
                  </w:r>
                  <w:r>
                    <w:rPr>
                      <w:color w:val="auto"/>
                    </w:rPr>
                    <w:t>/h</w:t>
                  </w:r>
                </w:p>
              </w:tc>
              <w:tc>
                <w:tcPr>
                  <w:tcW w:w="854" w:type="dxa"/>
                  <w:vAlign w:val="center"/>
                </w:tcPr>
                <w:p w14:paraId="0D1AAC46">
                  <w:pPr>
                    <w:pStyle w:val="54"/>
                    <w:rPr>
                      <w:color w:val="auto"/>
                    </w:rPr>
                  </w:pPr>
                  <w:r>
                    <w:rPr>
                      <w:color w:val="auto"/>
                    </w:rPr>
                    <w:t>9469</w:t>
                  </w:r>
                </w:p>
              </w:tc>
              <w:tc>
                <w:tcPr>
                  <w:tcW w:w="854" w:type="dxa"/>
                  <w:vAlign w:val="center"/>
                </w:tcPr>
                <w:p w14:paraId="5C248123">
                  <w:pPr>
                    <w:pStyle w:val="54"/>
                    <w:rPr>
                      <w:color w:val="auto"/>
                    </w:rPr>
                  </w:pPr>
                  <w:r>
                    <w:rPr>
                      <w:color w:val="auto"/>
                    </w:rPr>
                    <w:t>9257</w:t>
                  </w:r>
                </w:p>
              </w:tc>
              <w:tc>
                <w:tcPr>
                  <w:tcW w:w="854" w:type="dxa"/>
                  <w:vAlign w:val="center"/>
                </w:tcPr>
                <w:p w14:paraId="26F1B509">
                  <w:pPr>
                    <w:pStyle w:val="54"/>
                    <w:rPr>
                      <w:color w:val="auto"/>
                    </w:rPr>
                  </w:pPr>
                  <w:r>
                    <w:rPr>
                      <w:color w:val="auto"/>
                    </w:rPr>
                    <w:t>9398</w:t>
                  </w:r>
                </w:p>
              </w:tc>
              <w:tc>
                <w:tcPr>
                  <w:tcW w:w="538" w:type="dxa"/>
                  <w:vAlign w:val="center"/>
                </w:tcPr>
                <w:p w14:paraId="05604006">
                  <w:pPr>
                    <w:pStyle w:val="54"/>
                    <w:rPr>
                      <w:color w:val="auto"/>
                    </w:rPr>
                  </w:pPr>
                  <w:r>
                    <w:rPr>
                      <w:color w:val="auto"/>
                    </w:rPr>
                    <w:t>/</w:t>
                  </w:r>
                </w:p>
              </w:tc>
              <w:tc>
                <w:tcPr>
                  <w:tcW w:w="590" w:type="dxa"/>
                  <w:vAlign w:val="center"/>
                </w:tcPr>
                <w:p w14:paraId="651816CE">
                  <w:pPr>
                    <w:pStyle w:val="54"/>
                    <w:rPr>
                      <w:color w:val="auto"/>
                    </w:rPr>
                  </w:pPr>
                  <w:r>
                    <w:rPr>
                      <w:color w:val="auto"/>
                    </w:rPr>
                    <w:t>/</w:t>
                  </w:r>
                </w:p>
              </w:tc>
            </w:tr>
            <w:tr w14:paraId="1F99E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1964A29F">
                  <w:pPr>
                    <w:pStyle w:val="54"/>
                    <w:rPr>
                      <w:color w:val="auto"/>
                    </w:rPr>
                  </w:pPr>
                </w:p>
              </w:tc>
              <w:tc>
                <w:tcPr>
                  <w:tcW w:w="809" w:type="dxa"/>
                  <w:vMerge w:val="continue"/>
                  <w:vAlign w:val="center"/>
                </w:tcPr>
                <w:p w14:paraId="03CF05BB">
                  <w:pPr>
                    <w:pStyle w:val="54"/>
                    <w:rPr>
                      <w:color w:val="auto"/>
                    </w:rPr>
                  </w:pPr>
                </w:p>
              </w:tc>
              <w:tc>
                <w:tcPr>
                  <w:tcW w:w="947" w:type="dxa"/>
                  <w:vMerge w:val="continue"/>
                  <w:vAlign w:val="center"/>
                </w:tcPr>
                <w:p w14:paraId="1FEDF616">
                  <w:pPr>
                    <w:pStyle w:val="54"/>
                    <w:rPr>
                      <w:color w:val="auto"/>
                    </w:rPr>
                  </w:pPr>
                </w:p>
              </w:tc>
              <w:tc>
                <w:tcPr>
                  <w:tcW w:w="1786" w:type="dxa"/>
                  <w:vAlign w:val="center"/>
                </w:tcPr>
                <w:p w14:paraId="5B25CC3E">
                  <w:pPr>
                    <w:pStyle w:val="54"/>
                    <w:rPr>
                      <w:color w:val="auto"/>
                    </w:rPr>
                  </w:pPr>
                  <w:r>
                    <w:rPr>
                      <w:color w:val="auto"/>
                    </w:rPr>
                    <w:t>标干流量</w:t>
                  </w:r>
                </w:p>
              </w:tc>
              <w:tc>
                <w:tcPr>
                  <w:tcW w:w="673" w:type="dxa"/>
                  <w:vAlign w:val="center"/>
                </w:tcPr>
                <w:p w14:paraId="59D84522">
                  <w:pPr>
                    <w:pStyle w:val="54"/>
                    <w:rPr>
                      <w:color w:val="auto"/>
                    </w:rPr>
                  </w:pPr>
                  <w:r>
                    <w:rPr>
                      <w:color w:val="auto"/>
                    </w:rPr>
                    <w:t>Nm</w:t>
                  </w:r>
                  <w:r>
                    <w:rPr>
                      <w:color w:val="auto"/>
                      <w:vertAlign w:val="superscript"/>
                    </w:rPr>
                    <w:t>3</w:t>
                  </w:r>
                  <w:r>
                    <w:rPr>
                      <w:color w:val="auto"/>
                    </w:rPr>
                    <w:t>/h</w:t>
                  </w:r>
                </w:p>
              </w:tc>
              <w:tc>
                <w:tcPr>
                  <w:tcW w:w="854" w:type="dxa"/>
                  <w:vAlign w:val="center"/>
                </w:tcPr>
                <w:p w14:paraId="6E58DD65">
                  <w:pPr>
                    <w:pStyle w:val="54"/>
                    <w:rPr>
                      <w:color w:val="auto"/>
                    </w:rPr>
                  </w:pPr>
                  <w:r>
                    <w:rPr>
                      <w:color w:val="auto"/>
                    </w:rPr>
                    <w:t>6959</w:t>
                  </w:r>
                </w:p>
              </w:tc>
              <w:tc>
                <w:tcPr>
                  <w:tcW w:w="854" w:type="dxa"/>
                  <w:vAlign w:val="center"/>
                </w:tcPr>
                <w:p w14:paraId="7CDD0E8C">
                  <w:pPr>
                    <w:pStyle w:val="54"/>
                    <w:rPr>
                      <w:color w:val="auto"/>
                    </w:rPr>
                  </w:pPr>
                  <w:r>
                    <w:rPr>
                      <w:color w:val="auto"/>
                    </w:rPr>
                    <w:t>6771</w:t>
                  </w:r>
                </w:p>
              </w:tc>
              <w:tc>
                <w:tcPr>
                  <w:tcW w:w="854" w:type="dxa"/>
                  <w:vAlign w:val="center"/>
                </w:tcPr>
                <w:p w14:paraId="13E87615">
                  <w:pPr>
                    <w:pStyle w:val="54"/>
                    <w:rPr>
                      <w:color w:val="auto"/>
                    </w:rPr>
                  </w:pPr>
                  <w:r>
                    <w:rPr>
                      <w:color w:val="auto"/>
                    </w:rPr>
                    <w:t>6842</w:t>
                  </w:r>
                </w:p>
              </w:tc>
              <w:tc>
                <w:tcPr>
                  <w:tcW w:w="538" w:type="dxa"/>
                  <w:vAlign w:val="center"/>
                </w:tcPr>
                <w:p w14:paraId="5D1FF7DB">
                  <w:pPr>
                    <w:pStyle w:val="54"/>
                    <w:rPr>
                      <w:color w:val="auto"/>
                    </w:rPr>
                  </w:pPr>
                  <w:r>
                    <w:rPr>
                      <w:color w:val="auto"/>
                    </w:rPr>
                    <w:t>/</w:t>
                  </w:r>
                </w:p>
              </w:tc>
              <w:tc>
                <w:tcPr>
                  <w:tcW w:w="590" w:type="dxa"/>
                  <w:vAlign w:val="center"/>
                </w:tcPr>
                <w:p w14:paraId="22A27C23">
                  <w:pPr>
                    <w:pStyle w:val="54"/>
                    <w:rPr>
                      <w:color w:val="auto"/>
                    </w:rPr>
                  </w:pPr>
                  <w:r>
                    <w:rPr>
                      <w:color w:val="auto"/>
                    </w:rPr>
                    <w:t>/</w:t>
                  </w:r>
                </w:p>
              </w:tc>
            </w:tr>
            <w:tr w14:paraId="1C304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77D3EC92">
                  <w:pPr>
                    <w:pStyle w:val="54"/>
                    <w:rPr>
                      <w:color w:val="auto"/>
                    </w:rPr>
                  </w:pPr>
                </w:p>
              </w:tc>
              <w:tc>
                <w:tcPr>
                  <w:tcW w:w="809" w:type="dxa"/>
                  <w:vMerge w:val="continue"/>
                  <w:vAlign w:val="center"/>
                </w:tcPr>
                <w:p w14:paraId="732E7CAA">
                  <w:pPr>
                    <w:pStyle w:val="54"/>
                    <w:rPr>
                      <w:color w:val="auto"/>
                    </w:rPr>
                  </w:pPr>
                </w:p>
              </w:tc>
              <w:tc>
                <w:tcPr>
                  <w:tcW w:w="947" w:type="dxa"/>
                  <w:vMerge w:val="continue"/>
                  <w:vAlign w:val="center"/>
                </w:tcPr>
                <w:p w14:paraId="77E6AAC0">
                  <w:pPr>
                    <w:pStyle w:val="54"/>
                    <w:rPr>
                      <w:color w:val="auto"/>
                    </w:rPr>
                  </w:pPr>
                </w:p>
              </w:tc>
              <w:tc>
                <w:tcPr>
                  <w:tcW w:w="1786" w:type="dxa"/>
                  <w:vAlign w:val="center"/>
                </w:tcPr>
                <w:p w14:paraId="66A46D13">
                  <w:pPr>
                    <w:pStyle w:val="54"/>
                    <w:rPr>
                      <w:color w:val="auto"/>
                    </w:rPr>
                  </w:pPr>
                  <w:r>
                    <w:rPr>
                      <w:color w:val="auto"/>
                    </w:rPr>
                    <w:t>非甲烷总烃实测</w:t>
                  </w:r>
                </w:p>
                <w:p w14:paraId="499FF2ED">
                  <w:pPr>
                    <w:pStyle w:val="54"/>
                    <w:rPr>
                      <w:color w:val="auto"/>
                    </w:rPr>
                  </w:pPr>
                  <w:r>
                    <w:rPr>
                      <w:color w:val="auto"/>
                    </w:rPr>
                    <w:t>浓度</w:t>
                  </w:r>
                </w:p>
              </w:tc>
              <w:tc>
                <w:tcPr>
                  <w:tcW w:w="673" w:type="dxa"/>
                  <w:vAlign w:val="center"/>
                </w:tcPr>
                <w:p w14:paraId="5859602A">
                  <w:pPr>
                    <w:pStyle w:val="54"/>
                    <w:rPr>
                      <w:color w:val="auto"/>
                    </w:rPr>
                  </w:pPr>
                  <w:r>
                    <w:rPr>
                      <w:color w:val="auto"/>
                    </w:rPr>
                    <w:t>mg/m</w:t>
                  </w:r>
                  <w:r>
                    <w:rPr>
                      <w:color w:val="auto"/>
                      <w:vertAlign w:val="superscript"/>
                    </w:rPr>
                    <w:t>3</w:t>
                  </w:r>
                </w:p>
              </w:tc>
              <w:tc>
                <w:tcPr>
                  <w:tcW w:w="854" w:type="dxa"/>
                  <w:vAlign w:val="center"/>
                </w:tcPr>
                <w:p w14:paraId="562DBF2B">
                  <w:pPr>
                    <w:pStyle w:val="54"/>
                    <w:rPr>
                      <w:color w:val="auto"/>
                    </w:rPr>
                  </w:pPr>
                  <w:r>
                    <w:rPr>
                      <w:color w:val="auto"/>
                    </w:rPr>
                    <w:t>10.6</w:t>
                  </w:r>
                </w:p>
              </w:tc>
              <w:tc>
                <w:tcPr>
                  <w:tcW w:w="854" w:type="dxa"/>
                  <w:vAlign w:val="center"/>
                </w:tcPr>
                <w:p w14:paraId="1F0B6D2E">
                  <w:pPr>
                    <w:pStyle w:val="54"/>
                    <w:rPr>
                      <w:color w:val="auto"/>
                    </w:rPr>
                  </w:pPr>
                  <w:r>
                    <w:rPr>
                      <w:color w:val="auto"/>
                    </w:rPr>
                    <w:t>10.5</w:t>
                  </w:r>
                </w:p>
              </w:tc>
              <w:tc>
                <w:tcPr>
                  <w:tcW w:w="854" w:type="dxa"/>
                  <w:vAlign w:val="center"/>
                </w:tcPr>
                <w:p w14:paraId="69F9B313">
                  <w:pPr>
                    <w:pStyle w:val="54"/>
                    <w:rPr>
                      <w:color w:val="auto"/>
                    </w:rPr>
                  </w:pPr>
                  <w:r>
                    <w:rPr>
                      <w:color w:val="auto"/>
                    </w:rPr>
                    <w:t>10.6</w:t>
                  </w:r>
                </w:p>
              </w:tc>
              <w:tc>
                <w:tcPr>
                  <w:tcW w:w="538" w:type="dxa"/>
                  <w:vAlign w:val="center"/>
                </w:tcPr>
                <w:p w14:paraId="35B694D1">
                  <w:pPr>
                    <w:pStyle w:val="54"/>
                    <w:rPr>
                      <w:color w:val="auto"/>
                    </w:rPr>
                  </w:pPr>
                  <w:r>
                    <w:rPr>
                      <w:color w:val="auto"/>
                    </w:rPr>
                    <w:t>/</w:t>
                  </w:r>
                </w:p>
              </w:tc>
              <w:tc>
                <w:tcPr>
                  <w:tcW w:w="590" w:type="dxa"/>
                  <w:vAlign w:val="center"/>
                </w:tcPr>
                <w:p w14:paraId="2EFF84E0">
                  <w:pPr>
                    <w:pStyle w:val="54"/>
                    <w:rPr>
                      <w:color w:val="auto"/>
                    </w:rPr>
                  </w:pPr>
                  <w:r>
                    <w:rPr>
                      <w:color w:val="auto"/>
                    </w:rPr>
                    <w:t>/</w:t>
                  </w:r>
                </w:p>
              </w:tc>
            </w:tr>
            <w:tr w14:paraId="6750F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787289B3">
                  <w:pPr>
                    <w:pStyle w:val="54"/>
                    <w:rPr>
                      <w:color w:val="auto"/>
                    </w:rPr>
                  </w:pPr>
                </w:p>
              </w:tc>
              <w:tc>
                <w:tcPr>
                  <w:tcW w:w="809" w:type="dxa"/>
                  <w:vMerge w:val="continue"/>
                  <w:vAlign w:val="center"/>
                </w:tcPr>
                <w:p w14:paraId="01F94D1F">
                  <w:pPr>
                    <w:pStyle w:val="54"/>
                    <w:rPr>
                      <w:color w:val="auto"/>
                    </w:rPr>
                  </w:pPr>
                </w:p>
              </w:tc>
              <w:tc>
                <w:tcPr>
                  <w:tcW w:w="947" w:type="dxa"/>
                  <w:vMerge w:val="continue"/>
                  <w:vAlign w:val="center"/>
                </w:tcPr>
                <w:p w14:paraId="1748D0BE">
                  <w:pPr>
                    <w:pStyle w:val="54"/>
                    <w:rPr>
                      <w:color w:val="auto"/>
                    </w:rPr>
                  </w:pPr>
                </w:p>
              </w:tc>
              <w:tc>
                <w:tcPr>
                  <w:tcW w:w="1786" w:type="dxa"/>
                  <w:vAlign w:val="center"/>
                </w:tcPr>
                <w:p w14:paraId="50446103">
                  <w:pPr>
                    <w:pStyle w:val="54"/>
                    <w:rPr>
                      <w:color w:val="auto"/>
                    </w:rPr>
                  </w:pPr>
                  <w:r>
                    <w:rPr>
                      <w:color w:val="auto"/>
                    </w:rPr>
                    <w:t>非甲烷总烃排放</w:t>
                  </w:r>
                </w:p>
                <w:p w14:paraId="6B39748E">
                  <w:pPr>
                    <w:pStyle w:val="54"/>
                    <w:rPr>
                      <w:color w:val="auto"/>
                    </w:rPr>
                  </w:pPr>
                  <w:r>
                    <w:rPr>
                      <w:color w:val="auto"/>
                    </w:rPr>
                    <w:t>速率</w:t>
                  </w:r>
                </w:p>
              </w:tc>
              <w:tc>
                <w:tcPr>
                  <w:tcW w:w="673" w:type="dxa"/>
                  <w:vAlign w:val="center"/>
                </w:tcPr>
                <w:p w14:paraId="59EB7E12">
                  <w:pPr>
                    <w:pStyle w:val="54"/>
                    <w:rPr>
                      <w:color w:val="auto"/>
                    </w:rPr>
                  </w:pPr>
                  <w:r>
                    <w:rPr>
                      <w:color w:val="auto"/>
                    </w:rPr>
                    <w:t>kg/h</w:t>
                  </w:r>
                </w:p>
              </w:tc>
              <w:tc>
                <w:tcPr>
                  <w:tcW w:w="854" w:type="dxa"/>
                  <w:vAlign w:val="center"/>
                </w:tcPr>
                <w:p w14:paraId="68E915F5">
                  <w:pPr>
                    <w:pStyle w:val="54"/>
                    <w:rPr>
                      <w:color w:val="auto"/>
                    </w:rPr>
                  </w:pPr>
                  <w:r>
                    <w:rPr>
                      <w:color w:val="auto"/>
                    </w:rPr>
                    <w:t>0.074</w:t>
                  </w:r>
                </w:p>
              </w:tc>
              <w:tc>
                <w:tcPr>
                  <w:tcW w:w="854" w:type="dxa"/>
                  <w:vAlign w:val="center"/>
                </w:tcPr>
                <w:p w14:paraId="691FCAAE">
                  <w:pPr>
                    <w:pStyle w:val="54"/>
                    <w:rPr>
                      <w:color w:val="auto"/>
                    </w:rPr>
                  </w:pPr>
                  <w:r>
                    <w:rPr>
                      <w:color w:val="auto"/>
                    </w:rPr>
                    <w:t>0.071</w:t>
                  </w:r>
                </w:p>
              </w:tc>
              <w:tc>
                <w:tcPr>
                  <w:tcW w:w="854" w:type="dxa"/>
                  <w:vAlign w:val="center"/>
                </w:tcPr>
                <w:p w14:paraId="628B1BF5">
                  <w:pPr>
                    <w:pStyle w:val="54"/>
                    <w:rPr>
                      <w:color w:val="auto"/>
                    </w:rPr>
                  </w:pPr>
                  <w:r>
                    <w:rPr>
                      <w:color w:val="auto"/>
                    </w:rPr>
                    <w:t>0.073</w:t>
                  </w:r>
                </w:p>
              </w:tc>
              <w:tc>
                <w:tcPr>
                  <w:tcW w:w="538" w:type="dxa"/>
                  <w:vAlign w:val="center"/>
                </w:tcPr>
                <w:p w14:paraId="25F709E0">
                  <w:pPr>
                    <w:pStyle w:val="54"/>
                    <w:rPr>
                      <w:color w:val="auto"/>
                    </w:rPr>
                  </w:pPr>
                  <w:r>
                    <w:rPr>
                      <w:color w:val="auto"/>
                    </w:rPr>
                    <w:t>/</w:t>
                  </w:r>
                </w:p>
              </w:tc>
              <w:tc>
                <w:tcPr>
                  <w:tcW w:w="590" w:type="dxa"/>
                  <w:vAlign w:val="center"/>
                </w:tcPr>
                <w:p w14:paraId="5D5AB796">
                  <w:pPr>
                    <w:pStyle w:val="54"/>
                    <w:rPr>
                      <w:color w:val="auto"/>
                    </w:rPr>
                  </w:pPr>
                  <w:r>
                    <w:rPr>
                      <w:color w:val="auto"/>
                    </w:rPr>
                    <w:t>/</w:t>
                  </w:r>
                </w:p>
              </w:tc>
            </w:tr>
            <w:tr w14:paraId="4CB21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restart"/>
                  <w:vAlign w:val="center"/>
                </w:tcPr>
                <w:p w14:paraId="42AF16B2">
                  <w:pPr>
                    <w:pStyle w:val="54"/>
                    <w:rPr>
                      <w:color w:val="auto"/>
                    </w:rPr>
                  </w:pPr>
                  <w:r>
                    <w:rPr>
                      <w:color w:val="auto"/>
                    </w:rPr>
                    <w:t>2025.07.09</w:t>
                  </w:r>
                </w:p>
              </w:tc>
              <w:tc>
                <w:tcPr>
                  <w:tcW w:w="809" w:type="dxa"/>
                  <w:vMerge w:val="restart"/>
                  <w:vAlign w:val="center"/>
                </w:tcPr>
                <w:p w14:paraId="7426D233">
                  <w:pPr>
                    <w:pStyle w:val="54"/>
                    <w:rPr>
                      <w:color w:val="auto"/>
                    </w:rPr>
                  </w:pPr>
                  <w:r>
                    <w:rPr>
                      <w:color w:val="auto"/>
                    </w:rPr>
                    <w:t>DA001排气筒出口</w:t>
                  </w:r>
                </w:p>
              </w:tc>
              <w:tc>
                <w:tcPr>
                  <w:tcW w:w="947" w:type="dxa"/>
                  <w:vMerge w:val="restart"/>
                  <w:vAlign w:val="center"/>
                </w:tcPr>
                <w:p w14:paraId="621726A8">
                  <w:pPr>
                    <w:pStyle w:val="54"/>
                    <w:rPr>
                      <w:color w:val="auto"/>
                    </w:rPr>
                  </w:pPr>
                  <w:r>
                    <w:rPr>
                      <w:color w:val="auto"/>
                    </w:rPr>
                    <w:t>二级活性炭吸附装置</w:t>
                  </w:r>
                </w:p>
              </w:tc>
              <w:tc>
                <w:tcPr>
                  <w:tcW w:w="1786" w:type="dxa"/>
                  <w:vAlign w:val="center"/>
                </w:tcPr>
                <w:p w14:paraId="5D117AC3">
                  <w:pPr>
                    <w:pStyle w:val="54"/>
                    <w:rPr>
                      <w:color w:val="auto"/>
                    </w:rPr>
                  </w:pPr>
                  <w:r>
                    <w:rPr>
                      <w:color w:val="auto"/>
                    </w:rPr>
                    <w:t>烟道截面积</w:t>
                  </w:r>
                </w:p>
              </w:tc>
              <w:tc>
                <w:tcPr>
                  <w:tcW w:w="673" w:type="dxa"/>
                  <w:vAlign w:val="center"/>
                </w:tcPr>
                <w:p w14:paraId="4F8B3AEF">
                  <w:pPr>
                    <w:pStyle w:val="54"/>
                    <w:rPr>
                      <w:color w:val="auto"/>
                    </w:rPr>
                  </w:pPr>
                  <w:r>
                    <w:rPr>
                      <w:color w:val="auto"/>
                    </w:rPr>
                    <w:t>m</w:t>
                  </w:r>
                  <w:r>
                    <w:rPr>
                      <w:color w:val="auto"/>
                      <w:vertAlign w:val="superscript"/>
                    </w:rPr>
                    <w:t>2</w:t>
                  </w:r>
                </w:p>
              </w:tc>
              <w:tc>
                <w:tcPr>
                  <w:tcW w:w="854" w:type="dxa"/>
                  <w:vAlign w:val="center"/>
                </w:tcPr>
                <w:p w14:paraId="0E86A613">
                  <w:pPr>
                    <w:pStyle w:val="54"/>
                    <w:rPr>
                      <w:color w:val="auto"/>
                    </w:rPr>
                  </w:pPr>
                  <w:r>
                    <w:rPr>
                      <w:color w:val="auto"/>
                    </w:rPr>
                    <w:t>0.1963</w:t>
                  </w:r>
                </w:p>
              </w:tc>
              <w:tc>
                <w:tcPr>
                  <w:tcW w:w="854" w:type="dxa"/>
                  <w:vAlign w:val="center"/>
                </w:tcPr>
                <w:p w14:paraId="75C6F74E">
                  <w:pPr>
                    <w:pStyle w:val="54"/>
                    <w:rPr>
                      <w:color w:val="auto"/>
                    </w:rPr>
                  </w:pPr>
                  <w:r>
                    <w:rPr>
                      <w:color w:val="auto"/>
                    </w:rPr>
                    <w:t>0.1963</w:t>
                  </w:r>
                </w:p>
              </w:tc>
              <w:tc>
                <w:tcPr>
                  <w:tcW w:w="854" w:type="dxa"/>
                  <w:vAlign w:val="center"/>
                </w:tcPr>
                <w:p w14:paraId="4AA09347">
                  <w:pPr>
                    <w:pStyle w:val="54"/>
                    <w:rPr>
                      <w:color w:val="auto"/>
                    </w:rPr>
                  </w:pPr>
                  <w:r>
                    <w:rPr>
                      <w:color w:val="auto"/>
                    </w:rPr>
                    <w:t>0.1963</w:t>
                  </w:r>
                </w:p>
              </w:tc>
              <w:tc>
                <w:tcPr>
                  <w:tcW w:w="538" w:type="dxa"/>
                  <w:vAlign w:val="center"/>
                </w:tcPr>
                <w:p w14:paraId="05B1BA6E">
                  <w:pPr>
                    <w:pStyle w:val="54"/>
                    <w:rPr>
                      <w:color w:val="auto"/>
                    </w:rPr>
                  </w:pPr>
                  <w:r>
                    <w:rPr>
                      <w:color w:val="auto"/>
                    </w:rPr>
                    <w:t>/</w:t>
                  </w:r>
                </w:p>
              </w:tc>
              <w:tc>
                <w:tcPr>
                  <w:tcW w:w="590" w:type="dxa"/>
                  <w:vAlign w:val="center"/>
                </w:tcPr>
                <w:p w14:paraId="463FE05C">
                  <w:pPr>
                    <w:pStyle w:val="54"/>
                    <w:rPr>
                      <w:color w:val="auto"/>
                    </w:rPr>
                  </w:pPr>
                  <w:r>
                    <w:rPr>
                      <w:color w:val="auto"/>
                    </w:rPr>
                    <w:t>/</w:t>
                  </w:r>
                </w:p>
              </w:tc>
            </w:tr>
            <w:tr w14:paraId="78B14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377D7E15">
                  <w:pPr>
                    <w:pStyle w:val="54"/>
                    <w:rPr>
                      <w:color w:val="auto"/>
                    </w:rPr>
                  </w:pPr>
                </w:p>
              </w:tc>
              <w:tc>
                <w:tcPr>
                  <w:tcW w:w="809" w:type="dxa"/>
                  <w:vMerge w:val="continue"/>
                  <w:vAlign w:val="center"/>
                </w:tcPr>
                <w:p w14:paraId="6924AAC1">
                  <w:pPr>
                    <w:pStyle w:val="54"/>
                    <w:rPr>
                      <w:color w:val="auto"/>
                    </w:rPr>
                  </w:pPr>
                </w:p>
              </w:tc>
              <w:tc>
                <w:tcPr>
                  <w:tcW w:w="947" w:type="dxa"/>
                  <w:vMerge w:val="continue"/>
                  <w:vAlign w:val="center"/>
                </w:tcPr>
                <w:p w14:paraId="2FE56417">
                  <w:pPr>
                    <w:pStyle w:val="54"/>
                    <w:rPr>
                      <w:color w:val="auto"/>
                    </w:rPr>
                  </w:pPr>
                </w:p>
              </w:tc>
              <w:tc>
                <w:tcPr>
                  <w:tcW w:w="1786" w:type="dxa"/>
                  <w:vAlign w:val="center"/>
                </w:tcPr>
                <w:p w14:paraId="53D8FD62">
                  <w:pPr>
                    <w:pStyle w:val="54"/>
                    <w:rPr>
                      <w:color w:val="auto"/>
                    </w:rPr>
                  </w:pPr>
                  <w:r>
                    <w:rPr>
                      <w:color w:val="auto"/>
                    </w:rPr>
                    <w:t>烟气含湿量</w:t>
                  </w:r>
                </w:p>
              </w:tc>
              <w:tc>
                <w:tcPr>
                  <w:tcW w:w="673" w:type="dxa"/>
                  <w:vAlign w:val="center"/>
                </w:tcPr>
                <w:p w14:paraId="75A33BF0">
                  <w:pPr>
                    <w:pStyle w:val="54"/>
                    <w:rPr>
                      <w:color w:val="auto"/>
                    </w:rPr>
                  </w:pPr>
                  <w:r>
                    <w:rPr>
                      <w:color w:val="auto"/>
                    </w:rPr>
                    <w:t>%</w:t>
                  </w:r>
                </w:p>
              </w:tc>
              <w:tc>
                <w:tcPr>
                  <w:tcW w:w="854" w:type="dxa"/>
                  <w:vAlign w:val="center"/>
                </w:tcPr>
                <w:p w14:paraId="5CD20984">
                  <w:pPr>
                    <w:pStyle w:val="54"/>
                    <w:rPr>
                      <w:color w:val="auto"/>
                    </w:rPr>
                  </w:pPr>
                  <w:r>
                    <w:rPr>
                      <w:color w:val="auto"/>
                    </w:rPr>
                    <w:t>3.9</w:t>
                  </w:r>
                </w:p>
              </w:tc>
              <w:tc>
                <w:tcPr>
                  <w:tcW w:w="854" w:type="dxa"/>
                  <w:vAlign w:val="center"/>
                </w:tcPr>
                <w:p w14:paraId="3AAF99AF">
                  <w:pPr>
                    <w:pStyle w:val="54"/>
                    <w:rPr>
                      <w:color w:val="auto"/>
                    </w:rPr>
                  </w:pPr>
                  <w:r>
                    <w:rPr>
                      <w:color w:val="auto"/>
                    </w:rPr>
                    <w:t>4.0</w:t>
                  </w:r>
                </w:p>
              </w:tc>
              <w:tc>
                <w:tcPr>
                  <w:tcW w:w="854" w:type="dxa"/>
                  <w:vAlign w:val="center"/>
                </w:tcPr>
                <w:p w14:paraId="638A63B9">
                  <w:pPr>
                    <w:pStyle w:val="54"/>
                    <w:rPr>
                      <w:color w:val="auto"/>
                    </w:rPr>
                  </w:pPr>
                  <w:r>
                    <w:rPr>
                      <w:color w:val="auto"/>
                    </w:rPr>
                    <w:t>4.0</w:t>
                  </w:r>
                </w:p>
              </w:tc>
              <w:tc>
                <w:tcPr>
                  <w:tcW w:w="538" w:type="dxa"/>
                  <w:vAlign w:val="center"/>
                </w:tcPr>
                <w:p w14:paraId="7826FA61">
                  <w:pPr>
                    <w:pStyle w:val="54"/>
                    <w:rPr>
                      <w:color w:val="auto"/>
                    </w:rPr>
                  </w:pPr>
                  <w:r>
                    <w:rPr>
                      <w:color w:val="auto"/>
                    </w:rPr>
                    <w:t>/</w:t>
                  </w:r>
                </w:p>
              </w:tc>
              <w:tc>
                <w:tcPr>
                  <w:tcW w:w="590" w:type="dxa"/>
                  <w:vAlign w:val="center"/>
                </w:tcPr>
                <w:p w14:paraId="70D476D4">
                  <w:pPr>
                    <w:pStyle w:val="54"/>
                    <w:rPr>
                      <w:color w:val="auto"/>
                    </w:rPr>
                  </w:pPr>
                  <w:r>
                    <w:rPr>
                      <w:color w:val="auto"/>
                    </w:rPr>
                    <w:t>/</w:t>
                  </w:r>
                </w:p>
              </w:tc>
            </w:tr>
            <w:tr w14:paraId="57CBA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6D8C0742">
                  <w:pPr>
                    <w:pStyle w:val="54"/>
                    <w:rPr>
                      <w:color w:val="auto"/>
                    </w:rPr>
                  </w:pPr>
                </w:p>
              </w:tc>
              <w:tc>
                <w:tcPr>
                  <w:tcW w:w="809" w:type="dxa"/>
                  <w:vMerge w:val="continue"/>
                  <w:vAlign w:val="center"/>
                </w:tcPr>
                <w:p w14:paraId="4C40E391">
                  <w:pPr>
                    <w:pStyle w:val="54"/>
                    <w:rPr>
                      <w:color w:val="auto"/>
                    </w:rPr>
                  </w:pPr>
                </w:p>
              </w:tc>
              <w:tc>
                <w:tcPr>
                  <w:tcW w:w="947" w:type="dxa"/>
                  <w:vMerge w:val="continue"/>
                  <w:vAlign w:val="center"/>
                </w:tcPr>
                <w:p w14:paraId="6A488F7C">
                  <w:pPr>
                    <w:pStyle w:val="54"/>
                    <w:rPr>
                      <w:color w:val="auto"/>
                    </w:rPr>
                  </w:pPr>
                </w:p>
              </w:tc>
              <w:tc>
                <w:tcPr>
                  <w:tcW w:w="1786" w:type="dxa"/>
                  <w:vAlign w:val="center"/>
                </w:tcPr>
                <w:p w14:paraId="48D38371">
                  <w:pPr>
                    <w:pStyle w:val="54"/>
                    <w:rPr>
                      <w:color w:val="auto"/>
                    </w:rPr>
                  </w:pPr>
                  <w:r>
                    <w:rPr>
                      <w:color w:val="auto"/>
                    </w:rPr>
                    <w:t>烟气温度</w:t>
                  </w:r>
                </w:p>
              </w:tc>
              <w:tc>
                <w:tcPr>
                  <w:tcW w:w="673" w:type="dxa"/>
                  <w:vAlign w:val="center"/>
                </w:tcPr>
                <w:p w14:paraId="222E5852">
                  <w:pPr>
                    <w:pStyle w:val="54"/>
                    <w:rPr>
                      <w:color w:val="auto"/>
                    </w:rPr>
                  </w:pPr>
                  <w:r>
                    <w:rPr>
                      <w:color w:val="auto"/>
                    </w:rPr>
                    <w:t>℃</w:t>
                  </w:r>
                </w:p>
              </w:tc>
              <w:tc>
                <w:tcPr>
                  <w:tcW w:w="854" w:type="dxa"/>
                  <w:vAlign w:val="center"/>
                </w:tcPr>
                <w:p w14:paraId="5FBA8E83">
                  <w:pPr>
                    <w:pStyle w:val="54"/>
                    <w:rPr>
                      <w:color w:val="auto"/>
                    </w:rPr>
                  </w:pPr>
                  <w:r>
                    <w:rPr>
                      <w:color w:val="auto"/>
                    </w:rPr>
                    <w:t>51</w:t>
                  </w:r>
                </w:p>
              </w:tc>
              <w:tc>
                <w:tcPr>
                  <w:tcW w:w="854" w:type="dxa"/>
                  <w:vAlign w:val="center"/>
                </w:tcPr>
                <w:p w14:paraId="396A340A">
                  <w:pPr>
                    <w:pStyle w:val="54"/>
                    <w:rPr>
                      <w:color w:val="auto"/>
                    </w:rPr>
                  </w:pPr>
                  <w:r>
                    <w:rPr>
                      <w:color w:val="auto"/>
                    </w:rPr>
                    <w:t>50</w:t>
                  </w:r>
                </w:p>
              </w:tc>
              <w:tc>
                <w:tcPr>
                  <w:tcW w:w="854" w:type="dxa"/>
                  <w:vAlign w:val="center"/>
                </w:tcPr>
                <w:p w14:paraId="0D1EF352">
                  <w:pPr>
                    <w:pStyle w:val="54"/>
                    <w:rPr>
                      <w:color w:val="auto"/>
                    </w:rPr>
                  </w:pPr>
                  <w:r>
                    <w:rPr>
                      <w:color w:val="auto"/>
                    </w:rPr>
                    <w:t>51</w:t>
                  </w:r>
                </w:p>
              </w:tc>
              <w:tc>
                <w:tcPr>
                  <w:tcW w:w="538" w:type="dxa"/>
                  <w:vAlign w:val="center"/>
                </w:tcPr>
                <w:p w14:paraId="7AEC5059">
                  <w:pPr>
                    <w:pStyle w:val="54"/>
                    <w:rPr>
                      <w:color w:val="auto"/>
                    </w:rPr>
                  </w:pPr>
                  <w:r>
                    <w:rPr>
                      <w:color w:val="auto"/>
                    </w:rPr>
                    <w:t>/</w:t>
                  </w:r>
                </w:p>
              </w:tc>
              <w:tc>
                <w:tcPr>
                  <w:tcW w:w="590" w:type="dxa"/>
                  <w:vAlign w:val="center"/>
                </w:tcPr>
                <w:p w14:paraId="4B5EB55E">
                  <w:pPr>
                    <w:pStyle w:val="54"/>
                    <w:rPr>
                      <w:color w:val="auto"/>
                    </w:rPr>
                  </w:pPr>
                  <w:r>
                    <w:rPr>
                      <w:color w:val="auto"/>
                    </w:rPr>
                    <w:t>/</w:t>
                  </w:r>
                </w:p>
              </w:tc>
            </w:tr>
            <w:tr w14:paraId="710F8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2627CE14">
                  <w:pPr>
                    <w:pStyle w:val="54"/>
                    <w:rPr>
                      <w:color w:val="auto"/>
                    </w:rPr>
                  </w:pPr>
                </w:p>
              </w:tc>
              <w:tc>
                <w:tcPr>
                  <w:tcW w:w="809" w:type="dxa"/>
                  <w:vMerge w:val="continue"/>
                  <w:vAlign w:val="center"/>
                </w:tcPr>
                <w:p w14:paraId="304F59E3">
                  <w:pPr>
                    <w:pStyle w:val="54"/>
                    <w:rPr>
                      <w:color w:val="auto"/>
                    </w:rPr>
                  </w:pPr>
                </w:p>
              </w:tc>
              <w:tc>
                <w:tcPr>
                  <w:tcW w:w="947" w:type="dxa"/>
                  <w:vMerge w:val="continue"/>
                  <w:vAlign w:val="center"/>
                </w:tcPr>
                <w:p w14:paraId="77C85F26">
                  <w:pPr>
                    <w:pStyle w:val="54"/>
                    <w:rPr>
                      <w:color w:val="auto"/>
                    </w:rPr>
                  </w:pPr>
                </w:p>
              </w:tc>
              <w:tc>
                <w:tcPr>
                  <w:tcW w:w="1786" w:type="dxa"/>
                  <w:vAlign w:val="center"/>
                </w:tcPr>
                <w:p w14:paraId="55F7BE36">
                  <w:pPr>
                    <w:pStyle w:val="54"/>
                    <w:rPr>
                      <w:color w:val="auto"/>
                    </w:rPr>
                  </w:pPr>
                  <w:r>
                    <w:rPr>
                      <w:color w:val="auto"/>
                    </w:rPr>
                    <w:t>烟气流速</w:t>
                  </w:r>
                </w:p>
              </w:tc>
              <w:tc>
                <w:tcPr>
                  <w:tcW w:w="673" w:type="dxa"/>
                  <w:vAlign w:val="center"/>
                </w:tcPr>
                <w:p w14:paraId="437D27B2">
                  <w:pPr>
                    <w:pStyle w:val="54"/>
                    <w:rPr>
                      <w:color w:val="auto"/>
                    </w:rPr>
                  </w:pPr>
                  <w:r>
                    <w:rPr>
                      <w:color w:val="auto"/>
                    </w:rPr>
                    <w:t>m/s</w:t>
                  </w:r>
                </w:p>
              </w:tc>
              <w:tc>
                <w:tcPr>
                  <w:tcW w:w="854" w:type="dxa"/>
                  <w:vAlign w:val="center"/>
                </w:tcPr>
                <w:p w14:paraId="12E1576A">
                  <w:pPr>
                    <w:pStyle w:val="54"/>
                    <w:rPr>
                      <w:color w:val="auto"/>
                    </w:rPr>
                  </w:pPr>
                  <w:r>
                    <w:rPr>
                      <w:color w:val="auto"/>
                    </w:rPr>
                    <w:t>12.4</w:t>
                  </w:r>
                </w:p>
              </w:tc>
              <w:tc>
                <w:tcPr>
                  <w:tcW w:w="854" w:type="dxa"/>
                  <w:vAlign w:val="center"/>
                </w:tcPr>
                <w:p w14:paraId="1168F23A">
                  <w:pPr>
                    <w:pStyle w:val="54"/>
                    <w:rPr>
                      <w:color w:val="auto"/>
                    </w:rPr>
                  </w:pPr>
                  <w:r>
                    <w:rPr>
                      <w:color w:val="auto"/>
                    </w:rPr>
                    <w:t>12.4</w:t>
                  </w:r>
                </w:p>
              </w:tc>
              <w:tc>
                <w:tcPr>
                  <w:tcW w:w="854" w:type="dxa"/>
                  <w:vAlign w:val="center"/>
                </w:tcPr>
                <w:p w14:paraId="587FABFD">
                  <w:pPr>
                    <w:pStyle w:val="54"/>
                    <w:rPr>
                      <w:color w:val="auto"/>
                    </w:rPr>
                  </w:pPr>
                  <w:r>
                    <w:rPr>
                      <w:color w:val="auto"/>
                    </w:rPr>
                    <w:t>12.4</w:t>
                  </w:r>
                </w:p>
              </w:tc>
              <w:tc>
                <w:tcPr>
                  <w:tcW w:w="538" w:type="dxa"/>
                  <w:vAlign w:val="center"/>
                </w:tcPr>
                <w:p w14:paraId="1F716F0B">
                  <w:pPr>
                    <w:pStyle w:val="54"/>
                    <w:rPr>
                      <w:color w:val="auto"/>
                    </w:rPr>
                  </w:pPr>
                  <w:r>
                    <w:rPr>
                      <w:color w:val="auto"/>
                    </w:rPr>
                    <w:t>/</w:t>
                  </w:r>
                </w:p>
              </w:tc>
              <w:tc>
                <w:tcPr>
                  <w:tcW w:w="590" w:type="dxa"/>
                  <w:vAlign w:val="center"/>
                </w:tcPr>
                <w:p w14:paraId="12F59D8D">
                  <w:pPr>
                    <w:pStyle w:val="54"/>
                    <w:rPr>
                      <w:color w:val="auto"/>
                    </w:rPr>
                  </w:pPr>
                  <w:r>
                    <w:rPr>
                      <w:color w:val="auto"/>
                    </w:rPr>
                    <w:t>/</w:t>
                  </w:r>
                </w:p>
              </w:tc>
            </w:tr>
            <w:tr w14:paraId="4040D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7845A3AA">
                  <w:pPr>
                    <w:pStyle w:val="54"/>
                    <w:rPr>
                      <w:color w:val="auto"/>
                    </w:rPr>
                  </w:pPr>
                </w:p>
              </w:tc>
              <w:tc>
                <w:tcPr>
                  <w:tcW w:w="809" w:type="dxa"/>
                  <w:vMerge w:val="continue"/>
                  <w:vAlign w:val="center"/>
                </w:tcPr>
                <w:p w14:paraId="0422E677">
                  <w:pPr>
                    <w:pStyle w:val="54"/>
                    <w:rPr>
                      <w:color w:val="auto"/>
                    </w:rPr>
                  </w:pPr>
                </w:p>
              </w:tc>
              <w:tc>
                <w:tcPr>
                  <w:tcW w:w="947" w:type="dxa"/>
                  <w:vMerge w:val="continue"/>
                  <w:vAlign w:val="center"/>
                </w:tcPr>
                <w:p w14:paraId="50B1C8D8">
                  <w:pPr>
                    <w:pStyle w:val="54"/>
                    <w:rPr>
                      <w:color w:val="auto"/>
                    </w:rPr>
                  </w:pPr>
                </w:p>
              </w:tc>
              <w:tc>
                <w:tcPr>
                  <w:tcW w:w="1786" w:type="dxa"/>
                  <w:vAlign w:val="center"/>
                </w:tcPr>
                <w:p w14:paraId="65F57B4B">
                  <w:pPr>
                    <w:pStyle w:val="54"/>
                    <w:rPr>
                      <w:color w:val="auto"/>
                    </w:rPr>
                  </w:pPr>
                  <w:r>
                    <w:rPr>
                      <w:color w:val="auto"/>
                    </w:rPr>
                    <w:t>烟气流量</w:t>
                  </w:r>
                </w:p>
              </w:tc>
              <w:tc>
                <w:tcPr>
                  <w:tcW w:w="673" w:type="dxa"/>
                  <w:vAlign w:val="center"/>
                </w:tcPr>
                <w:p w14:paraId="0383B4D1">
                  <w:pPr>
                    <w:pStyle w:val="54"/>
                    <w:rPr>
                      <w:color w:val="auto"/>
                    </w:rPr>
                  </w:pPr>
                  <w:r>
                    <w:rPr>
                      <w:color w:val="auto"/>
                    </w:rPr>
                    <w:t>m</w:t>
                  </w:r>
                  <w:r>
                    <w:rPr>
                      <w:color w:val="auto"/>
                      <w:vertAlign w:val="superscript"/>
                    </w:rPr>
                    <w:t>3</w:t>
                  </w:r>
                  <w:r>
                    <w:rPr>
                      <w:color w:val="auto"/>
                    </w:rPr>
                    <w:t>/h</w:t>
                  </w:r>
                </w:p>
              </w:tc>
              <w:tc>
                <w:tcPr>
                  <w:tcW w:w="854" w:type="dxa"/>
                  <w:vAlign w:val="center"/>
                </w:tcPr>
                <w:p w14:paraId="20A749C3">
                  <w:pPr>
                    <w:pStyle w:val="54"/>
                    <w:rPr>
                      <w:color w:val="auto"/>
                    </w:rPr>
                  </w:pPr>
                  <w:r>
                    <w:rPr>
                      <w:color w:val="auto"/>
                    </w:rPr>
                    <w:t>8779</w:t>
                  </w:r>
                </w:p>
              </w:tc>
              <w:tc>
                <w:tcPr>
                  <w:tcW w:w="854" w:type="dxa"/>
                  <w:vAlign w:val="center"/>
                </w:tcPr>
                <w:p w14:paraId="6BDD4AE6">
                  <w:pPr>
                    <w:pStyle w:val="54"/>
                    <w:rPr>
                      <w:color w:val="auto"/>
                    </w:rPr>
                  </w:pPr>
                  <w:r>
                    <w:rPr>
                      <w:color w:val="auto"/>
                    </w:rPr>
                    <w:t>8729</w:t>
                  </w:r>
                </w:p>
              </w:tc>
              <w:tc>
                <w:tcPr>
                  <w:tcW w:w="854" w:type="dxa"/>
                  <w:vAlign w:val="center"/>
                </w:tcPr>
                <w:p w14:paraId="1A8CF749">
                  <w:pPr>
                    <w:pStyle w:val="54"/>
                    <w:rPr>
                      <w:color w:val="auto"/>
                    </w:rPr>
                  </w:pPr>
                  <w:r>
                    <w:rPr>
                      <w:color w:val="auto"/>
                    </w:rPr>
                    <w:t>8791</w:t>
                  </w:r>
                </w:p>
              </w:tc>
              <w:tc>
                <w:tcPr>
                  <w:tcW w:w="538" w:type="dxa"/>
                  <w:vAlign w:val="center"/>
                </w:tcPr>
                <w:p w14:paraId="3E538832">
                  <w:pPr>
                    <w:pStyle w:val="54"/>
                    <w:rPr>
                      <w:color w:val="auto"/>
                    </w:rPr>
                  </w:pPr>
                  <w:r>
                    <w:rPr>
                      <w:color w:val="auto"/>
                    </w:rPr>
                    <w:t>/</w:t>
                  </w:r>
                </w:p>
              </w:tc>
              <w:tc>
                <w:tcPr>
                  <w:tcW w:w="590" w:type="dxa"/>
                  <w:vAlign w:val="center"/>
                </w:tcPr>
                <w:p w14:paraId="3F66FD4E">
                  <w:pPr>
                    <w:pStyle w:val="54"/>
                    <w:rPr>
                      <w:color w:val="auto"/>
                    </w:rPr>
                  </w:pPr>
                  <w:r>
                    <w:rPr>
                      <w:color w:val="auto"/>
                    </w:rPr>
                    <w:t>/</w:t>
                  </w:r>
                </w:p>
              </w:tc>
            </w:tr>
            <w:tr w14:paraId="0917D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2180EF08">
                  <w:pPr>
                    <w:pStyle w:val="54"/>
                    <w:rPr>
                      <w:color w:val="auto"/>
                    </w:rPr>
                  </w:pPr>
                </w:p>
              </w:tc>
              <w:tc>
                <w:tcPr>
                  <w:tcW w:w="809" w:type="dxa"/>
                  <w:vMerge w:val="continue"/>
                  <w:vAlign w:val="center"/>
                </w:tcPr>
                <w:p w14:paraId="4FCEE885">
                  <w:pPr>
                    <w:pStyle w:val="54"/>
                    <w:rPr>
                      <w:color w:val="auto"/>
                    </w:rPr>
                  </w:pPr>
                </w:p>
              </w:tc>
              <w:tc>
                <w:tcPr>
                  <w:tcW w:w="947" w:type="dxa"/>
                  <w:vMerge w:val="continue"/>
                  <w:vAlign w:val="center"/>
                </w:tcPr>
                <w:p w14:paraId="5E78B767">
                  <w:pPr>
                    <w:pStyle w:val="54"/>
                    <w:rPr>
                      <w:color w:val="auto"/>
                    </w:rPr>
                  </w:pPr>
                </w:p>
              </w:tc>
              <w:tc>
                <w:tcPr>
                  <w:tcW w:w="1786" w:type="dxa"/>
                  <w:vAlign w:val="center"/>
                </w:tcPr>
                <w:p w14:paraId="160012F5">
                  <w:pPr>
                    <w:pStyle w:val="54"/>
                    <w:rPr>
                      <w:color w:val="auto"/>
                    </w:rPr>
                  </w:pPr>
                  <w:r>
                    <w:rPr>
                      <w:color w:val="auto"/>
                    </w:rPr>
                    <w:t>标干流量</w:t>
                  </w:r>
                </w:p>
              </w:tc>
              <w:tc>
                <w:tcPr>
                  <w:tcW w:w="673" w:type="dxa"/>
                  <w:vAlign w:val="center"/>
                </w:tcPr>
                <w:p w14:paraId="573C44D9">
                  <w:pPr>
                    <w:pStyle w:val="54"/>
                    <w:rPr>
                      <w:color w:val="auto"/>
                    </w:rPr>
                  </w:pPr>
                  <w:r>
                    <w:rPr>
                      <w:color w:val="auto"/>
                    </w:rPr>
                    <w:t>Nm</w:t>
                  </w:r>
                  <w:r>
                    <w:rPr>
                      <w:color w:val="auto"/>
                      <w:vertAlign w:val="superscript"/>
                    </w:rPr>
                    <w:t>3</w:t>
                  </w:r>
                  <w:r>
                    <w:rPr>
                      <w:color w:val="auto"/>
                    </w:rPr>
                    <w:t>/h</w:t>
                  </w:r>
                </w:p>
              </w:tc>
              <w:tc>
                <w:tcPr>
                  <w:tcW w:w="854" w:type="dxa"/>
                  <w:vAlign w:val="center"/>
                </w:tcPr>
                <w:p w14:paraId="7209B175">
                  <w:pPr>
                    <w:pStyle w:val="54"/>
                    <w:rPr>
                      <w:color w:val="auto"/>
                    </w:rPr>
                  </w:pPr>
                  <w:r>
                    <w:rPr>
                      <w:color w:val="auto"/>
                    </w:rPr>
                    <w:t>7044</w:t>
                  </w:r>
                </w:p>
              </w:tc>
              <w:tc>
                <w:tcPr>
                  <w:tcW w:w="854" w:type="dxa"/>
                  <w:vAlign w:val="center"/>
                </w:tcPr>
                <w:p w14:paraId="5A39F370">
                  <w:pPr>
                    <w:pStyle w:val="54"/>
                    <w:rPr>
                      <w:color w:val="auto"/>
                    </w:rPr>
                  </w:pPr>
                  <w:r>
                    <w:rPr>
                      <w:color w:val="auto"/>
                    </w:rPr>
                    <w:t>7009</w:t>
                  </w:r>
                </w:p>
              </w:tc>
              <w:tc>
                <w:tcPr>
                  <w:tcW w:w="854" w:type="dxa"/>
                  <w:vAlign w:val="center"/>
                </w:tcPr>
                <w:p w14:paraId="050F821B">
                  <w:pPr>
                    <w:pStyle w:val="54"/>
                    <w:rPr>
                      <w:color w:val="auto"/>
                    </w:rPr>
                  </w:pPr>
                  <w:r>
                    <w:rPr>
                      <w:color w:val="auto"/>
                    </w:rPr>
                    <w:t>7041</w:t>
                  </w:r>
                </w:p>
              </w:tc>
              <w:tc>
                <w:tcPr>
                  <w:tcW w:w="538" w:type="dxa"/>
                  <w:vAlign w:val="center"/>
                </w:tcPr>
                <w:p w14:paraId="69B0A208">
                  <w:pPr>
                    <w:pStyle w:val="54"/>
                    <w:rPr>
                      <w:color w:val="auto"/>
                    </w:rPr>
                  </w:pPr>
                  <w:r>
                    <w:rPr>
                      <w:color w:val="auto"/>
                    </w:rPr>
                    <w:t>/</w:t>
                  </w:r>
                </w:p>
              </w:tc>
              <w:tc>
                <w:tcPr>
                  <w:tcW w:w="590" w:type="dxa"/>
                  <w:vAlign w:val="center"/>
                </w:tcPr>
                <w:p w14:paraId="0D7DB093">
                  <w:pPr>
                    <w:pStyle w:val="54"/>
                    <w:rPr>
                      <w:color w:val="auto"/>
                    </w:rPr>
                  </w:pPr>
                  <w:r>
                    <w:rPr>
                      <w:color w:val="auto"/>
                    </w:rPr>
                    <w:t>/</w:t>
                  </w:r>
                </w:p>
              </w:tc>
            </w:tr>
            <w:tr w14:paraId="2EB7BC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452B9284">
                  <w:pPr>
                    <w:pStyle w:val="54"/>
                    <w:rPr>
                      <w:color w:val="auto"/>
                    </w:rPr>
                  </w:pPr>
                </w:p>
              </w:tc>
              <w:tc>
                <w:tcPr>
                  <w:tcW w:w="809" w:type="dxa"/>
                  <w:vMerge w:val="continue"/>
                  <w:vAlign w:val="center"/>
                </w:tcPr>
                <w:p w14:paraId="374C6F2A">
                  <w:pPr>
                    <w:pStyle w:val="54"/>
                    <w:rPr>
                      <w:color w:val="auto"/>
                    </w:rPr>
                  </w:pPr>
                </w:p>
              </w:tc>
              <w:tc>
                <w:tcPr>
                  <w:tcW w:w="947" w:type="dxa"/>
                  <w:vMerge w:val="continue"/>
                  <w:vAlign w:val="center"/>
                </w:tcPr>
                <w:p w14:paraId="401E0608">
                  <w:pPr>
                    <w:pStyle w:val="54"/>
                    <w:rPr>
                      <w:color w:val="auto"/>
                    </w:rPr>
                  </w:pPr>
                </w:p>
              </w:tc>
              <w:tc>
                <w:tcPr>
                  <w:tcW w:w="1786" w:type="dxa"/>
                  <w:vAlign w:val="center"/>
                </w:tcPr>
                <w:p w14:paraId="3AB99B89">
                  <w:pPr>
                    <w:pStyle w:val="54"/>
                    <w:rPr>
                      <w:color w:val="auto"/>
                    </w:rPr>
                  </w:pPr>
                  <w:r>
                    <w:rPr>
                      <w:color w:val="auto"/>
                    </w:rPr>
                    <w:t>非甲烷总烃排放</w:t>
                  </w:r>
                </w:p>
                <w:p w14:paraId="0E536D35">
                  <w:pPr>
                    <w:pStyle w:val="54"/>
                    <w:rPr>
                      <w:color w:val="auto"/>
                    </w:rPr>
                  </w:pPr>
                  <w:r>
                    <w:rPr>
                      <w:color w:val="auto"/>
                    </w:rPr>
                    <w:t>浓度</w:t>
                  </w:r>
                </w:p>
              </w:tc>
              <w:tc>
                <w:tcPr>
                  <w:tcW w:w="673" w:type="dxa"/>
                  <w:vAlign w:val="center"/>
                </w:tcPr>
                <w:p w14:paraId="5F278F9E">
                  <w:pPr>
                    <w:pStyle w:val="54"/>
                    <w:rPr>
                      <w:color w:val="auto"/>
                    </w:rPr>
                  </w:pPr>
                  <w:r>
                    <w:rPr>
                      <w:color w:val="auto"/>
                    </w:rPr>
                    <w:t>mg/m</w:t>
                  </w:r>
                  <w:r>
                    <w:rPr>
                      <w:color w:val="auto"/>
                      <w:vertAlign w:val="superscript"/>
                    </w:rPr>
                    <w:t>3</w:t>
                  </w:r>
                </w:p>
              </w:tc>
              <w:tc>
                <w:tcPr>
                  <w:tcW w:w="854" w:type="dxa"/>
                  <w:vAlign w:val="center"/>
                </w:tcPr>
                <w:p w14:paraId="6821E159">
                  <w:pPr>
                    <w:pStyle w:val="54"/>
                    <w:rPr>
                      <w:color w:val="auto"/>
                    </w:rPr>
                  </w:pPr>
                  <w:r>
                    <w:rPr>
                      <w:color w:val="auto"/>
                    </w:rPr>
                    <w:t>2.60</w:t>
                  </w:r>
                </w:p>
              </w:tc>
              <w:tc>
                <w:tcPr>
                  <w:tcW w:w="854" w:type="dxa"/>
                  <w:vAlign w:val="center"/>
                </w:tcPr>
                <w:p w14:paraId="4FBBFCAE">
                  <w:pPr>
                    <w:pStyle w:val="54"/>
                    <w:rPr>
                      <w:color w:val="auto"/>
                    </w:rPr>
                  </w:pPr>
                  <w:r>
                    <w:rPr>
                      <w:color w:val="auto"/>
                    </w:rPr>
                    <w:t>2.72</w:t>
                  </w:r>
                </w:p>
              </w:tc>
              <w:tc>
                <w:tcPr>
                  <w:tcW w:w="854" w:type="dxa"/>
                  <w:vAlign w:val="center"/>
                </w:tcPr>
                <w:p w14:paraId="2F290A0C">
                  <w:pPr>
                    <w:pStyle w:val="54"/>
                    <w:rPr>
                      <w:color w:val="auto"/>
                    </w:rPr>
                  </w:pPr>
                  <w:r>
                    <w:rPr>
                      <w:color w:val="auto"/>
                    </w:rPr>
                    <w:t>2.71</w:t>
                  </w:r>
                </w:p>
              </w:tc>
              <w:tc>
                <w:tcPr>
                  <w:tcW w:w="538" w:type="dxa"/>
                  <w:vAlign w:val="center"/>
                </w:tcPr>
                <w:p w14:paraId="0BCEF993">
                  <w:pPr>
                    <w:pStyle w:val="54"/>
                    <w:rPr>
                      <w:color w:val="auto"/>
                    </w:rPr>
                  </w:pPr>
                  <w:r>
                    <w:rPr>
                      <w:color w:val="auto"/>
                    </w:rPr>
                    <w:t>&lt;60</w:t>
                  </w:r>
                </w:p>
              </w:tc>
              <w:tc>
                <w:tcPr>
                  <w:tcW w:w="590" w:type="dxa"/>
                  <w:vAlign w:val="center"/>
                </w:tcPr>
                <w:p w14:paraId="512E9E61">
                  <w:pPr>
                    <w:pStyle w:val="54"/>
                    <w:rPr>
                      <w:color w:val="auto"/>
                    </w:rPr>
                  </w:pPr>
                  <w:r>
                    <w:rPr>
                      <w:color w:val="auto"/>
                    </w:rPr>
                    <w:t>达标</w:t>
                  </w:r>
                </w:p>
              </w:tc>
            </w:tr>
            <w:tr w14:paraId="78CE5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28" w:type="dxa"/>
                  <w:vMerge w:val="continue"/>
                  <w:vAlign w:val="center"/>
                </w:tcPr>
                <w:p w14:paraId="4E74F86D">
                  <w:pPr>
                    <w:pStyle w:val="54"/>
                    <w:rPr>
                      <w:color w:val="auto"/>
                    </w:rPr>
                  </w:pPr>
                </w:p>
              </w:tc>
              <w:tc>
                <w:tcPr>
                  <w:tcW w:w="809" w:type="dxa"/>
                  <w:vMerge w:val="continue"/>
                  <w:vAlign w:val="center"/>
                </w:tcPr>
                <w:p w14:paraId="55AAFB34">
                  <w:pPr>
                    <w:pStyle w:val="54"/>
                    <w:rPr>
                      <w:color w:val="auto"/>
                    </w:rPr>
                  </w:pPr>
                </w:p>
              </w:tc>
              <w:tc>
                <w:tcPr>
                  <w:tcW w:w="947" w:type="dxa"/>
                  <w:vMerge w:val="continue"/>
                  <w:vAlign w:val="center"/>
                </w:tcPr>
                <w:p w14:paraId="124ECE84">
                  <w:pPr>
                    <w:pStyle w:val="54"/>
                    <w:rPr>
                      <w:color w:val="auto"/>
                    </w:rPr>
                  </w:pPr>
                </w:p>
              </w:tc>
              <w:tc>
                <w:tcPr>
                  <w:tcW w:w="1786" w:type="dxa"/>
                  <w:vAlign w:val="center"/>
                </w:tcPr>
                <w:p w14:paraId="148CCA1B">
                  <w:pPr>
                    <w:pStyle w:val="54"/>
                    <w:rPr>
                      <w:color w:val="auto"/>
                    </w:rPr>
                  </w:pPr>
                  <w:r>
                    <w:rPr>
                      <w:color w:val="auto"/>
                    </w:rPr>
                    <w:t>非甲烷总烃排放</w:t>
                  </w:r>
                </w:p>
                <w:p w14:paraId="4457E7CB">
                  <w:pPr>
                    <w:pStyle w:val="54"/>
                    <w:rPr>
                      <w:color w:val="auto"/>
                    </w:rPr>
                  </w:pPr>
                  <w:r>
                    <w:rPr>
                      <w:color w:val="auto"/>
                    </w:rPr>
                    <w:t>速率</w:t>
                  </w:r>
                </w:p>
              </w:tc>
              <w:tc>
                <w:tcPr>
                  <w:tcW w:w="673" w:type="dxa"/>
                  <w:vAlign w:val="center"/>
                </w:tcPr>
                <w:p w14:paraId="56C18170">
                  <w:pPr>
                    <w:pStyle w:val="54"/>
                    <w:rPr>
                      <w:color w:val="auto"/>
                    </w:rPr>
                  </w:pPr>
                  <w:r>
                    <w:rPr>
                      <w:color w:val="auto"/>
                    </w:rPr>
                    <w:t>kg/h</w:t>
                  </w:r>
                </w:p>
              </w:tc>
              <w:tc>
                <w:tcPr>
                  <w:tcW w:w="854" w:type="dxa"/>
                  <w:vAlign w:val="center"/>
                </w:tcPr>
                <w:p w14:paraId="0A539FF8">
                  <w:pPr>
                    <w:pStyle w:val="54"/>
                    <w:rPr>
                      <w:color w:val="auto"/>
                    </w:rPr>
                  </w:pPr>
                  <w:r>
                    <w:rPr>
                      <w:color w:val="auto"/>
                    </w:rPr>
                    <w:t>0.018</w:t>
                  </w:r>
                </w:p>
              </w:tc>
              <w:tc>
                <w:tcPr>
                  <w:tcW w:w="854" w:type="dxa"/>
                  <w:vAlign w:val="center"/>
                </w:tcPr>
                <w:p w14:paraId="7A8BB79E">
                  <w:pPr>
                    <w:pStyle w:val="54"/>
                    <w:rPr>
                      <w:color w:val="auto"/>
                    </w:rPr>
                  </w:pPr>
                  <w:r>
                    <w:rPr>
                      <w:color w:val="auto"/>
                    </w:rPr>
                    <w:t>0.019</w:t>
                  </w:r>
                </w:p>
              </w:tc>
              <w:tc>
                <w:tcPr>
                  <w:tcW w:w="854" w:type="dxa"/>
                  <w:vAlign w:val="center"/>
                </w:tcPr>
                <w:p w14:paraId="17667125">
                  <w:pPr>
                    <w:pStyle w:val="54"/>
                    <w:rPr>
                      <w:color w:val="auto"/>
                    </w:rPr>
                  </w:pPr>
                  <w:r>
                    <w:rPr>
                      <w:color w:val="auto"/>
                    </w:rPr>
                    <w:t>0.019</w:t>
                  </w:r>
                </w:p>
              </w:tc>
              <w:tc>
                <w:tcPr>
                  <w:tcW w:w="538" w:type="dxa"/>
                  <w:vAlign w:val="center"/>
                </w:tcPr>
                <w:p w14:paraId="710FBB00">
                  <w:pPr>
                    <w:pStyle w:val="54"/>
                    <w:rPr>
                      <w:color w:val="auto"/>
                    </w:rPr>
                  </w:pPr>
                  <w:r>
                    <w:rPr>
                      <w:color w:val="auto"/>
                    </w:rPr>
                    <w:t>&lt;3</w:t>
                  </w:r>
                </w:p>
              </w:tc>
              <w:tc>
                <w:tcPr>
                  <w:tcW w:w="590" w:type="dxa"/>
                  <w:vAlign w:val="center"/>
                </w:tcPr>
                <w:p w14:paraId="393165D0">
                  <w:pPr>
                    <w:pStyle w:val="54"/>
                    <w:rPr>
                      <w:color w:val="auto"/>
                    </w:rPr>
                  </w:pPr>
                  <w:r>
                    <w:rPr>
                      <w:color w:val="auto"/>
                    </w:rPr>
                    <w:t>达标</w:t>
                  </w:r>
                </w:p>
              </w:tc>
            </w:tr>
          </w:tbl>
          <w:p w14:paraId="69034B83">
            <w:pPr>
              <w:pStyle w:val="7"/>
              <w:ind w:firstLine="422" w:firstLineChars="200"/>
              <w:rPr>
                <w:color w:val="auto"/>
              </w:rPr>
            </w:pPr>
            <w:bookmarkStart w:id="47" w:name="_Ref10913"/>
            <w:bookmarkStart w:id="48" w:name="_Ref4136"/>
            <w:bookmarkStart w:id="49" w:name="_Ref11381"/>
            <w:bookmarkStart w:id="50" w:name="_Ref28198"/>
            <w:r>
              <w:rPr>
                <w:color w:val="auto"/>
              </w:rPr>
              <w:t xml:space="preserve">表2- </w:t>
            </w:r>
            <w:r>
              <w:rPr>
                <w:color w:val="auto"/>
              </w:rPr>
              <w:fldChar w:fldCharType="begin"/>
            </w:r>
            <w:r>
              <w:rPr>
                <w:color w:val="auto"/>
              </w:rPr>
              <w:instrText xml:space="preserve"> SEQ 表2- \* ARABIC </w:instrText>
            </w:r>
            <w:r>
              <w:rPr>
                <w:color w:val="auto"/>
              </w:rPr>
              <w:fldChar w:fldCharType="separate"/>
            </w:r>
            <w:r>
              <w:rPr>
                <w:color w:val="auto"/>
              </w:rPr>
              <w:t>11</w:t>
            </w:r>
            <w:r>
              <w:rPr>
                <w:color w:val="auto"/>
              </w:rPr>
              <w:fldChar w:fldCharType="end"/>
            </w:r>
            <w:bookmarkEnd w:id="47"/>
            <w:bookmarkEnd w:id="48"/>
            <w:bookmarkEnd w:id="49"/>
            <w:bookmarkEnd w:id="50"/>
            <w:r>
              <w:rPr>
                <w:color w:val="auto"/>
              </w:rPr>
              <w:t xml:space="preserve"> 无组织废气检测结果</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1182"/>
              <w:gridCol w:w="1281"/>
              <w:gridCol w:w="1009"/>
              <w:gridCol w:w="941"/>
              <w:gridCol w:w="941"/>
              <w:gridCol w:w="941"/>
              <w:gridCol w:w="723"/>
              <w:gridCol w:w="681"/>
            </w:tblGrid>
            <w:tr w14:paraId="2B205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4" w:type="dxa"/>
                  <w:vMerge w:val="restart"/>
                  <w:tcBorders>
                    <w:tl2br w:val="nil"/>
                    <w:tr2bl w:val="nil"/>
                  </w:tcBorders>
                  <w:shd w:val="clear" w:color="auto" w:fill="auto"/>
                  <w:vAlign w:val="center"/>
                </w:tcPr>
                <w:p w14:paraId="5595DF42">
                  <w:pPr>
                    <w:pStyle w:val="52"/>
                    <w:rPr>
                      <w:color w:val="auto"/>
                    </w:rPr>
                  </w:pPr>
                  <w:r>
                    <w:rPr>
                      <w:rFonts w:hint="eastAsia"/>
                      <w:color w:val="auto"/>
                    </w:rPr>
                    <w:t>采样日期</w:t>
                  </w:r>
                </w:p>
              </w:tc>
              <w:tc>
                <w:tcPr>
                  <w:tcW w:w="2463" w:type="dxa"/>
                  <w:gridSpan w:val="2"/>
                  <w:vMerge w:val="restart"/>
                  <w:tcBorders>
                    <w:tl2br w:val="nil"/>
                    <w:tr2bl w:val="nil"/>
                  </w:tcBorders>
                  <w:shd w:val="clear" w:color="auto" w:fill="auto"/>
                  <w:vAlign w:val="center"/>
                </w:tcPr>
                <w:p w14:paraId="0767F0D7">
                  <w:pPr>
                    <w:pStyle w:val="52"/>
                    <w:rPr>
                      <w:color w:val="auto"/>
                    </w:rPr>
                  </w:pPr>
                  <w:r>
                    <w:rPr>
                      <w:rFonts w:hint="eastAsia"/>
                      <w:color w:val="auto"/>
                    </w:rPr>
                    <w:t>检测项目</w:t>
                  </w:r>
                </w:p>
              </w:tc>
              <w:tc>
                <w:tcPr>
                  <w:tcW w:w="1009" w:type="dxa"/>
                  <w:vMerge w:val="restart"/>
                  <w:tcBorders>
                    <w:tl2br w:val="nil"/>
                    <w:tr2bl w:val="nil"/>
                  </w:tcBorders>
                  <w:shd w:val="clear" w:color="auto" w:fill="auto"/>
                  <w:vAlign w:val="center"/>
                </w:tcPr>
                <w:p w14:paraId="19BCBDFD">
                  <w:pPr>
                    <w:pStyle w:val="52"/>
                    <w:rPr>
                      <w:color w:val="auto"/>
                    </w:rPr>
                  </w:pPr>
                  <w:r>
                    <w:rPr>
                      <w:rFonts w:hint="eastAsia"/>
                      <w:color w:val="auto"/>
                    </w:rPr>
                    <w:t>单位</w:t>
                  </w:r>
                </w:p>
              </w:tc>
              <w:tc>
                <w:tcPr>
                  <w:tcW w:w="2823" w:type="dxa"/>
                  <w:gridSpan w:val="3"/>
                  <w:tcBorders>
                    <w:tl2br w:val="nil"/>
                    <w:tr2bl w:val="nil"/>
                  </w:tcBorders>
                  <w:shd w:val="clear" w:color="auto" w:fill="auto"/>
                  <w:vAlign w:val="center"/>
                </w:tcPr>
                <w:p w14:paraId="34269CDD">
                  <w:pPr>
                    <w:pStyle w:val="52"/>
                    <w:rPr>
                      <w:color w:val="auto"/>
                    </w:rPr>
                  </w:pPr>
                  <w:r>
                    <w:rPr>
                      <w:rFonts w:hint="eastAsia"/>
                      <w:color w:val="auto"/>
                    </w:rPr>
                    <w:t>检测结果</w:t>
                  </w:r>
                </w:p>
              </w:tc>
              <w:tc>
                <w:tcPr>
                  <w:tcW w:w="723" w:type="dxa"/>
                  <w:vMerge w:val="restart"/>
                  <w:tcBorders>
                    <w:tl2br w:val="nil"/>
                    <w:tr2bl w:val="nil"/>
                  </w:tcBorders>
                  <w:shd w:val="clear" w:color="auto" w:fill="auto"/>
                  <w:noWrap/>
                  <w:vAlign w:val="center"/>
                </w:tcPr>
                <w:p w14:paraId="680D7216">
                  <w:pPr>
                    <w:pStyle w:val="52"/>
                    <w:rPr>
                      <w:color w:val="auto"/>
                    </w:rPr>
                  </w:pPr>
                  <w:r>
                    <w:rPr>
                      <w:rFonts w:hint="eastAsia"/>
                      <w:color w:val="auto"/>
                    </w:rPr>
                    <w:t>排放限值</w:t>
                  </w:r>
                </w:p>
              </w:tc>
              <w:tc>
                <w:tcPr>
                  <w:tcW w:w="681" w:type="dxa"/>
                  <w:vMerge w:val="restart"/>
                  <w:tcBorders>
                    <w:tl2br w:val="nil"/>
                    <w:tr2bl w:val="nil"/>
                  </w:tcBorders>
                  <w:shd w:val="clear" w:color="auto" w:fill="auto"/>
                  <w:noWrap/>
                  <w:vAlign w:val="center"/>
                </w:tcPr>
                <w:p w14:paraId="21F6A175">
                  <w:pPr>
                    <w:pStyle w:val="52"/>
                    <w:rPr>
                      <w:color w:val="auto"/>
                    </w:rPr>
                  </w:pPr>
                  <w:r>
                    <w:rPr>
                      <w:rFonts w:hint="eastAsia"/>
                      <w:color w:val="auto"/>
                    </w:rPr>
                    <w:t>达标情况</w:t>
                  </w:r>
                </w:p>
              </w:tc>
            </w:tr>
            <w:tr w14:paraId="15B80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4" w:type="dxa"/>
                  <w:vMerge w:val="continue"/>
                  <w:tcBorders>
                    <w:tl2br w:val="nil"/>
                    <w:tr2bl w:val="nil"/>
                  </w:tcBorders>
                  <w:shd w:val="clear" w:color="auto" w:fill="auto"/>
                  <w:vAlign w:val="center"/>
                </w:tcPr>
                <w:p w14:paraId="5E87EFCB">
                  <w:pPr>
                    <w:pStyle w:val="52"/>
                    <w:rPr>
                      <w:color w:val="auto"/>
                    </w:rPr>
                  </w:pPr>
                </w:p>
              </w:tc>
              <w:tc>
                <w:tcPr>
                  <w:tcW w:w="2463" w:type="dxa"/>
                  <w:gridSpan w:val="2"/>
                  <w:vMerge w:val="continue"/>
                  <w:tcBorders>
                    <w:tl2br w:val="nil"/>
                    <w:tr2bl w:val="nil"/>
                  </w:tcBorders>
                  <w:shd w:val="clear" w:color="auto" w:fill="auto"/>
                  <w:vAlign w:val="center"/>
                </w:tcPr>
                <w:p w14:paraId="23847B44">
                  <w:pPr>
                    <w:pStyle w:val="52"/>
                    <w:rPr>
                      <w:color w:val="auto"/>
                    </w:rPr>
                  </w:pPr>
                </w:p>
              </w:tc>
              <w:tc>
                <w:tcPr>
                  <w:tcW w:w="1009" w:type="dxa"/>
                  <w:vMerge w:val="continue"/>
                  <w:tcBorders>
                    <w:tl2br w:val="nil"/>
                    <w:tr2bl w:val="nil"/>
                  </w:tcBorders>
                  <w:shd w:val="clear" w:color="auto" w:fill="auto"/>
                  <w:vAlign w:val="center"/>
                </w:tcPr>
                <w:p w14:paraId="7A5C1D59">
                  <w:pPr>
                    <w:pStyle w:val="52"/>
                    <w:rPr>
                      <w:color w:val="auto"/>
                    </w:rPr>
                  </w:pPr>
                </w:p>
              </w:tc>
              <w:tc>
                <w:tcPr>
                  <w:tcW w:w="941" w:type="dxa"/>
                  <w:tcBorders>
                    <w:tl2br w:val="nil"/>
                    <w:tr2bl w:val="nil"/>
                  </w:tcBorders>
                  <w:shd w:val="clear" w:color="auto" w:fill="auto"/>
                  <w:vAlign w:val="center"/>
                </w:tcPr>
                <w:p w14:paraId="656C43C7">
                  <w:pPr>
                    <w:pStyle w:val="52"/>
                    <w:rPr>
                      <w:color w:val="auto"/>
                    </w:rPr>
                  </w:pPr>
                  <w:r>
                    <w:rPr>
                      <w:color w:val="auto"/>
                    </w:rPr>
                    <w:t>第一次</w:t>
                  </w:r>
                </w:p>
              </w:tc>
              <w:tc>
                <w:tcPr>
                  <w:tcW w:w="941" w:type="dxa"/>
                  <w:tcBorders>
                    <w:tl2br w:val="nil"/>
                    <w:tr2bl w:val="nil"/>
                  </w:tcBorders>
                  <w:shd w:val="clear" w:color="auto" w:fill="auto"/>
                  <w:vAlign w:val="center"/>
                </w:tcPr>
                <w:p w14:paraId="3D6A26C6">
                  <w:pPr>
                    <w:pStyle w:val="52"/>
                    <w:rPr>
                      <w:color w:val="auto"/>
                    </w:rPr>
                  </w:pPr>
                  <w:r>
                    <w:rPr>
                      <w:color w:val="auto"/>
                    </w:rPr>
                    <w:t>第二次</w:t>
                  </w:r>
                </w:p>
              </w:tc>
              <w:tc>
                <w:tcPr>
                  <w:tcW w:w="941" w:type="dxa"/>
                  <w:tcBorders>
                    <w:tl2br w:val="nil"/>
                    <w:tr2bl w:val="nil"/>
                  </w:tcBorders>
                  <w:shd w:val="clear" w:color="auto" w:fill="auto"/>
                  <w:vAlign w:val="center"/>
                </w:tcPr>
                <w:p w14:paraId="6373ED7A">
                  <w:pPr>
                    <w:pStyle w:val="52"/>
                    <w:rPr>
                      <w:color w:val="auto"/>
                    </w:rPr>
                  </w:pPr>
                  <w:r>
                    <w:rPr>
                      <w:color w:val="auto"/>
                    </w:rPr>
                    <w:t>第三次</w:t>
                  </w:r>
                </w:p>
              </w:tc>
              <w:tc>
                <w:tcPr>
                  <w:tcW w:w="723" w:type="dxa"/>
                  <w:vMerge w:val="continue"/>
                  <w:tcBorders>
                    <w:tl2br w:val="nil"/>
                    <w:tr2bl w:val="nil"/>
                  </w:tcBorders>
                  <w:shd w:val="clear" w:color="auto" w:fill="auto"/>
                  <w:noWrap/>
                  <w:vAlign w:val="center"/>
                </w:tcPr>
                <w:p w14:paraId="6F4BA934">
                  <w:pPr>
                    <w:rPr>
                      <w:color w:val="auto"/>
                    </w:rPr>
                  </w:pPr>
                </w:p>
              </w:tc>
              <w:tc>
                <w:tcPr>
                  <w:tcW w:w="681" w:type="dxa"/>
                  <w:vMerge w:val="continue"/>
                  <w:tcBorders>
                    <w:tl2br w:val="nil"/>
                    <w:tr2bl w:val="nil"/>
                  </w:tcBorders>
                  <w:shd w:val="clear" w:color="auto" w:fill="auto"/>
                  <w:noWrap/>
                  <w:vAlign w:val="center"/>
                </w:tcPr>
                <w:p w14:paraId="657EAB26">
                  <w:pPr>
                    <w:rPr>
                      <w:color w:val="auto"/>
                    </w:rPr>
                  </w:pPr>
                </w:p>
              </w:tc>
            </w:tr>
            <w:tr w14:paraId="1E3C8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4" w:type="dxa"/>
                  <w:vMerge w:val="restart"/>
                  <w:tcBorders>
                    <w:tl2br w:val="nil"/>
                    <w:tr2bl w:val="nil"/>
                  </w:tcBorders>
                  <w:shd w:val="clear" w:color="auto" w:fill="auto"/>
                  <w:vAlign w:val="center"/>
                </w:tcPr>
                <w:p w14:paraId="77351123">
                  <w:pPr>
                    <w:pStyle w:val="54"/>
                    <w:rPr>
                      <w:color w:val="auto"/>
                    </w:rPr>
                  </w:pPr>
                  <w:r>
                    <w:rPr>
                      <w:rFonts w:hint="eastAsia"/>
                      <w:color w:val="auto"/>
                    </w:rPr>
                    <w:t>2025.07.09</w:t>
                  </w:r>
                </w:p>
              </w:tc>
              <w:tc>
                <w:tcPr>
                  <w:tcW w:w="1182" w:type="dxa"/>
                  <w:vMerge w:val="restart"/>
                  <w:tcBorders>
                    <w:tl2br w:val="nil"/>
                    <w:tr2bl w:val="nil"/>
                  </w:tcBorders>
                  <w:shd w:val="clear" w:color="auto" w:fill="auto"/>
                  <w:vAlign w:val="center"/>
                </w:tcPr>
                <w:p w14:paraId="31828887">
                  <w:pPr>
                    <w:pStyle w:val="54"/>
                    <w:rPr>
                      <w:color w:val="auto"/>
                    </w:rPr>
                  </w:pPr>
                  <w:r>
                    <w:rPr>
                      <w:color w:val="auto"/>
                    </w:rPr>
                    <w:t>总悬浮颗粒物</w:t>
                  </w:r>
                </w:p>
              </w:tc>
              <w:tc>
                <w:tcPr>
                  <w:tcW w:w="1281" w:type="dxa"/>
                  <w:tcBorders>
                    <w:tl2br w:val="nil"/>
                    <w:tr2bl w:val="nil"/>
                  </w:tcBorders>
                  <w:shd w:val="clear" w:color="auto" w:fill="auto"/>
                  <w:vAlign w:val="center"/>
                </w:tcPr>
                <w:p w14:paraId="6D645CBE">
                  <w:pPr>
                    <w:pStyle w:val="54"/>
                    <w:rPr>
                      <w:color w:val="auto"/>
                    </w:rPr>
                  </w:pPr>
                  <w:r>
                    <w:rPr>
                      <w:color w:val="auto"/>
                    </w:rPr>
                    <w:t>上风向1#</w:t>
                  </w:r>
                </w:p>
              </w:tc>
              <w:tc>
                <w:tcPr>
                  <w:tcW w:w="1009" w:type="dxa"/>
                  <w:tcBorders>
                    <w:tl2br w:val="nil"/>
                    <w:tr2bl w:val="nil"/>
                  </w:tcBorders>
                  <w:shd w:val="clear" w:color="auto" w:fill="auto"/>
                  <w:vAlign w:val="center"/>
                </w:tcPr>
                <w:p w14:paraId="124AAB3B">
                  <w:pPr>
                    <w:pStyle w:val="54"/>
                    <w:rPr>
                      <w:color w:val="auto"/>
                    </w:rPr>
                  </w:pPr>
                  <w:r>
                    <w:rPr>
                      <w:color w:val="auto"/>
                    </w:rPr>
                    <w:t>mg/m</w:t>
                  </w:r>
                  <w:r>
                    <w:rPr>
                      <w:color w:val="auto"/>
                      <w:vertAlign w:val="superscript"/>
                    </w:rPr>
                    <w:t>3</w:t>
                  </w:r>
                </w:p>
              </w:tc>
              <w:tc>
                <w:tcPr>
                  <w:tcW w:w="941" w:type="dxa"/>
                  <w:tcBorders>
                    <w:tl2br w:val="nil"/>
                    <w:tr2bl w:val="nil"/>
                  </w:tcBorders>
                  <w:shd w:val="clear" w:color="auto" w:fill="auto"/>
                  <w:noWrap/>
                  <w:vAlign w:val="center"/>
                </w:tcPr>
                <w:p w14:paraId="2078176C">
                  <w:pPr>
                    <w:pStyle w:val="54"/>
                    <w:rPr>
                      <w:color w:val="auto"/>
                    </w:rPr>
                  </w:pPr>
                  <w:r>
                    <w:rPr>
                      <w:color w:val="auto"/>
                    </w:rPr>
                    <w:t>0.215</w:t>
                  </w:r>
                </w:p>
              </w:tc>
              <w:tc>
                <w:tcPr>
                  <w:tcW w:w="941" w:type="dxa"/>
                  <w:tcBorders>
                    <w:tl2br w:val="nil"/>
                    <w:tr2bl w:val="nil"/>
                  </w:tcBorders>
                  <w:shd w:val="clear" w:color="auto" w:fill="auto"/>
                  <w:noWrap/>
                  <w:vAlign w:val="center"/>
                </w:tcPr>
                <w:p w14:paraId="0227040F">
                  <w:pPr>
                    <w:pStyle w:val="54"/>
                    <w:rPr>
                      <w:color w:val="auto"/>
                    </w:rPr>
                  </w:pPr>
                  <w:r>
                    <w:rPr>
                      <w:color w:val="auto"/>
                    </w:rPr>
                    <w:t>0.254</w:t>
                  </w:r>
                </w:p>
              </w:tc>
              <w:tc>
                <w:tcPr>
                  <w:tcW w:w="941" w:type="dxa"/>
                  <w:tcBorders>
                    <w:tl2br w:val="nil"/>
                    <w:tr2bl w:val="nil"/>
                  </w:tcBorders>
                  <w:shd w:val="clear" w:color="auto" w:fill="auto"/>
                  <w:noWrap/>
                  <w:vAlign w:val="center"/>
                </w:tcPr>
                <w:p w14:paraId="5AFC7EDB">
                  <w:pPr>
                    <w:pStyle w:val="54"/>
                    <w:rPr>
                      <w:color w:val="auto"/>
                    </w:rPr>
                  </w:pPr>
                  <w:r>
                    <w:rPr>
                      <w:color w:val="auto"/>
                    </w:rPr>
                    <w:t>0.235</w:t>
                  </w:r>
                </w:p>
              </w:tc>
              <w:tc>
                <w:tcPr>
                  <w:tcW w:w="723" w:type="dxa"/>
                  <w:tcBorders>
                    <w:tl2br w:val="nil"/>
                    <w:tr2bl w:val="nil"/>
                  </w:tcBorders>
                  <w:shd w:val="clear" w:color="auto" w:fill="auto"/>
                  <w:vAlign w:val="center"/>
                </w:tcPr>
                <w:p w14:paraId="58BC9BBB">
                  <w:pPr>
                    <w:pStyle w:val="54"/>
                    <w:rPr>
                      <w:color w:val="auto"/>
                    </w:rPr>
                  </w:pPr>
                  <w:r>
                    <w:rPr>
                      <w:color w:val="auto"/>
                    </w:rPr>
                    <w:t>&lt;0.5</w:t>
                  </w:r>
                </w:p>
              </w:tc>
              <w:tc>
                <w:tcPr>
                  <w:tcW w:w="681" w:type="dxa"/>
                  <w:tcBorders>
                    <w:tl2br w:val="nil"/>
                    <w:tr2bl w:val="nil"/>
                  </w:tcBorders>
                  <w:shd w:val="clear" w:color="auto" w:fill="auto"/>
                  <w:vAlign w:val="center"/>
                </w:tcPr>
                <w:p w14:paraId="7FE81069">
                  <w:pPr>
                    <w:pStyle w:val="54"/>
                    <w:rPr>
                      <w:color w:val="auto"/>
                    </w:rPr>
                  </w:pPr>
                  <w:r>
                    <w:rPr>
                      <w:rFonts w:hint="eastAsia"/>
                      <w:color w:val="auto"/>
                    </w:rPr>
                    <w:t>达标</w:t>
                  </w:r>
                </w:p>
              </w:tc>
            </w:tr>
            <w:tr w14:paraId="4A00D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34" w:type="dxa"/>
                  <w:vMerge w:val="continue"/>
                  <w:tcBorders>
                    <w:tl2br w:val="nil"/>
                    <w:tr2bl w:val="nil"/>
                  </w:tcBorders>
                  <w:shd w:val="clear" w:color="auto" w:fill="auto"/>
                  <w:vAlign w:val="center"/>
                </w:tcPr>
                <w:p w14:paraId="5A9683AC">
                  <w:pPr>
                    <w:pStyle w:val="54"/>
                    <w:rPr>
                      <w:color w:val="auto"/>
                    </w:rPr>
                  </w:pPr>
                </w:p>
              </w:tc>
              <w:tc>
                <w:tcPr>
                  <w:tcW w:w="1182" w:type="dxa"/>
                  <w:vMerge w:val="continue"/>
                  <w:tcBorders>
                    <w:tl2br w:val="nil"/>
                    <w:tr2bl w:val="nil"/>
                  </w:tcBorders>
                  <w:shd w:val="clear" w:color="auto" w:fill="auto"/>
                  <w:vAlign w:val="center"/>
                </w:tcPr>
                <w:p w14:paraId="48D944BD">
                  <w:pPr>
                    <w:pStyle w:val="54"/>
                    <w:rPr>
                      <w:color w:val="auto"/>
                    </w:rPr>
                  </w:pPr>
                </w:p>
              </w:tc>
              <w:tc>
                <w:tcPr>
                  <w:tcW w:w="1281" w:type="dxa"/>
                  <w:tcBorders>
                    <w:tl2br w:val="nil"/>
                    <w:tr2bl w:val="nil"/>
                  </w:tcBorders>
                  <w:shd w:val="clear" w:color="auto" w:fill="auto"/>
                  <w:vAlign w:val="center"/>
                </w:tcPr>
                <w:p w14:paraId="15AC318C">
                  <w:pPr>
                    <w:pStyle w:val="54"/>
                    <w:rPr>
                      <w:color w:val="auto"/>
                    </w:rPr>
                  </w:pPr>
                  <w:r>
                    <w:rPr>
                      <w:color w:val="auto"/>
                    </w:rPr>
                    <w:t>下风向2#</w:t>
                  </w:r>
                </w:p>
              </w:tc>
              <w:tc>
                <w:tcPr>
                  <w:tcW w:w="1009" w:type="dxa"/>
                  <w:tcBorders>
                    <w:tl2br w:val="nil"/>
                    <w:tr2bl w:val="nil"/>
                  </w:tcBorders>
                  <w:shd w:val="clear" w:color="auto" w:fill="auto"/>
                  <w:vAlign w:val="center"/>
                </w:tcPr>
                <w:p w14:paraId="29D5C1A5">
                  <w:pPr>
                    <w:pStyle w:val="54"/>
                    <w:rPr>
                      <w:color w:val="auto"/>
                    </w:rPr>
                  </w:pPr>
                  <w:r>
                    <w:rPr>
                      <w:color w:val="auto"/>
                    </w:rPr>
                    <w:t>mg/m</w:t>
                  </w:r>
                  <w:r>
                    <w:rPr>
                      <w:color w:val="auto"/>
                      <w:vertAlign w:val="superscript"/>
                    </w:rPr>
                    <w:t>3</w:t>
                  </w:r>
                </w:p>
              </w:tc>
              <w:tc>
                <w:tcPr>
                  <w:tcW w:w="941" w:type="dxa"/>
                  <w:tcBorders>
                    <w:tl2br w:val="nil"/>
                    <w:tr2bl w:val="nil"/>
                  </w:tcBorders>
                  <w:shd w:val="clear" w:color="auto" w:fill="auto"/>
                  <w:noWrap/>
                  <w:vAlign w:val="center"/>
                </w:tcPr>
                <w:p w14:paraId="47D69506">
                  <w:pPr>
                    <w:pStyle w:val="54"/>
                    <w:rPr>
                      <w:color w:val="auto"/>
                    </w:rPr>
                  </w:pPr>
                  <w:r>
                    <w:rPr>
                      <w:color w:val="auto"/>
                    </w:rPr>
                    <w:t>0.333</w:t>
                  </w:r>
                </w:p>
              </w:tc>
              <w:tc>
                <w:tcPr>
                  <w:tcW w:w="941" w:type="dxa"/>
                  <w:tcBorders>
                    <w:tl2br w:val="nil"/>
                    <w:tr2bl w:val="nil"/>
                  </w:tcBorders>
                  <w:shd w:val="clear" w:color="auto" w:fill="auto"/>
                  <w:noWrap/>
                  <w:vAlign w:val="center"/>
                </w:tcPr>
                <w:p w14:paraId="24B0DA44">
                  <w:pPr>
                    <w:pStyle w:val="54"/>
                    <w:rPr>
                      <w:color w:val="auto"/>
                    </w:rPr>
                  </w:pPr>
                  <w:r>
                    <w:rPr>
                      <w:color w:val="auto"/>
                    </w:rPr>
                    <w:t>0.315</w:t>
                  </w:r>
                </w:p>
              </w:tc>
              <w:tc>
                <w:tcPr>
                  <w:tcW w:w="941" w:type="dxa"/>
                  <w:tcBorders>
                    <w:tl2br w:val="nil"/>
                    <w:tr2bl w:val="nil"/>
                  </w:tcBorders>
                  <w:shd w:val="clear" w:color="auto" w:fill="auto"/>
                  <w:noWrap/>
                  <w:vAlign w:val="center"/>
                </w:tcPr>
                <w:p w14:paraId="395E7871">
                  <w:pPr>
                    <w:pStyle w:val="54"/>
                    <w:rPr>
                      <w:color w:val="auto"/>
                    </w:rPr>
                  </w:pPr>
                  <w:r>
                    <w:rPr>
                      <w:color w:val="auto"/>
                    </w:rPr>
                    <w:t>0.361</w:t>
                  </w:r>
                </w:p>
              </w:tc>
              <w:tc>
                <w:tcPr>
                  <w:tcW w:w="723" w:type="dxa"/>
                  <w:tcBorders>
                    <w:tl2br w:val="nil"/>
                    <w:tr2bl w:val="nil"/>
                  </w:tcBorders>
                  <w:shd w:val="clear" w:color="auto" w:fill="auto"/>
                  <w:vAlign w:val="center"/>
                </w:tcPr>
                <w:p w14:paraId="4DF825EE">
                  <w:pPr>
                    <w:pStyle w:val="54"/>
                    <w:rPr>
                      <w:color w:val="auto"/>
                    </w:rPr>
                  </w:pPr>
                  <w:r>
                    <w:rPr>
                      <w:color w:val="auto"/>
                    </w:rPr>
                    <w:t>&lt;0.5</w:t>
                  </w:r>
                </w:p>
              </w:tc>
              <w:tc>
                <w:tcPr>
                  <w:tcW w:w="681" w:type="dxa"/>
                  <w:tcBorders>
                    <w:tl2br w:val="nil"/>
                    <w:tr2bl w:val="nil"/>
                  </w:tcBorders>
                  <w:shd w:val="clear" w:color="auto" w:fill="auto"/>
                  <w:vAlign w:val="center"/>
                </w:tcPr>
                <w:p w14:paraId="7CE6383C">
                  <w:pPr>
                    <w:pStyle w:val="54"/>
                    <w:rPr>
                      <w:color w:val="auto"/>
                    </w:rPr>
                  </w:pPr>
                  <w:r>
                    <w:rPr>
                      <w:rFonts w:hint="eastAsia"/>
                      <w:color w:val="auto"/>
                    </w:rPr>
                    <w:t>达标</w:t>
                  </w:r>
                </w:p>
              </w:tc>
            </w:tr>
            <w:tr w14:paraId="15084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34" w:type="dxa"/>
                  <w:vMerge w:val="continue"/>
                  <w:tcBorders>
                    <w:tl2br w:val="nil"/>
                    <w:tr2bl w:val="nil"/>
                  </w:tcBorders>
                  <w:shd w:val="clear" w:color="auto" w:fill="auto"/>
                  <w:vAlign w:val="center"/>
                </w:tcPr>
                <w:p w14:paraId="74C2A6D2">
                  <w:pPr>
                    <w:pStyle w:val="54"/>
                    <w:rPr>
                      <w:color w:val="auto"/>
                    </w:rPr>
                  </w:pPr>
                </w:p>
              </w:tc>
              <w:tc>
                <w:tcPr>
                  <w:tcW w:w="1182" w:type="dxa"/>
                  <w:vMerge w:val="continue"/>
                  <w:tcBorders>
                    <w:tl2br w:val="nil"/>
                    <w:tr2bl w:val="nil"/>
                  </w:tcBorders>
                  <w:shd w:val="clear" w:color="auto" w:fill="auto"/>
                  <w:vAlign w:val="center"/>
                </w:tcPr>
                <w:p w14:paraId="66D92927">
                  <w:pPr>
                    <w:pStyle w:val="54"/>
                    <w:rPr>
                      <w:color w:val="auto"/>
                    </w:rPr>
                  </w:pPr>
                </w:p>
              </w:tc>
              <w:tc>
                <w:tcPr>
                  <w:tcW w:w="1281" w:type="dxa"/>
                  <w:tcBorders>
                    <w:tl2br w:val="nil"/>
                    <w:tr2bl w:val="nil"/>
                  </w:tcBorders>
                  <w:shd w:val="clear" w:color="auto" w:fill="auto"/>
                  <w:vAlign w:val="center"/>
                </w:tcPr>
                <w:p w14:paraId="438F6CD5">
                  <w:pPr>
                    <w:pStyle w:val="54"/>
                    <w:rPr>
                      <w:color w:val="auto"/>
                    </w:rPr>
                  </w:pPr>
                  <w:r>
                    <w:rPr>
                      <w:color w:val="auto"/>
                    </w:rPr>
                    <w:t>下风向3#</w:t>
                  </w:r>
                </w:p>
              </w:tc>
              <w:tc>
                <w:tcPr>
                  <w:tcW w:w="1009" w:type="dxa"/>
                  <w:tcBorders>
                    <w:tl2br w:val="nil"/>
                    <w:tr2bl w:val="nil"/>
                  </w:tcBorders>
                  <w:shd w:val="clear" w:color="auto" w:fill="auto"/>
                  <w:vAlign w:val="center"/>
                </w:tcPr>
                <w:p w14:paraId="44890BAE">
                  <w:pPr>
                    <w:pStyle w:val="54"/>
                    <w:rPr>
                      <w:color w:val="auto"/>
                    </w:rPr>
                  </w:pPr>
                  <w:r>
                    <w:rPr>
                      <w:color w:val="auto"/>
                    </w:rPr>
                    <w:t>mg/m</w:t>
                  </w:r>
                  <w:r>
                    <w:rPr>
                      <w:color w:val="auto"/>
                      <w:vertAlign w:val="superscript"/>
                    </w:rPr>
                    <w:t>3</w:t>
                  </w:r>
                </w:p>
              </w:tc>
              <w:tc>
                <w:tcPr>
                  <w:tcW w:w="941" w:type="dxa"/>
                  <w:tcBorders>
                    <w:tl2br w:val="nil"/>
                    <w:tr2bl w:val="nil"/>
                  </w:tcBorders>
                  <w:shd w:val="clear" w:color="auto" w:fill="auto"/>
                  <w:noWrap/>
                  <w:vAlign w:val="center"/>
                </w:tcPr>
                <w:p w14:paraId="1747A405">
                  <w:pPr>
                    <w:pStyle w:val="54"/>
                    <w:rPr>
                      <w:color w:val="auto"/>
                    </w:rPr>
                  </w:pPr>
                  <w:r>
                    <w:rPr>
                      <w:color w:val="auto"/>
                    </w:rPr>
                    <w:t>0.288</w:t>
                  </w:r>
                </w:p>
              </w:tc>
              <w:tc>
                <w:tcPr>
                  <w:tcW w:w="941" w:type="dxa"/>
                  <w:tcBorders>
                    <w:tl2br w:val="nil"/>
                    <w:tr2bl w:val="nil"/>
                  </w:tcBorders>
                  <w:shd w:val="clear" w:color="auto" w:fill="auto"/>
                  <w:noWrap/>
                  <w:vAlign w:val="center"/>
                </w:tcPr>
                <w:p w14:paraId="6B40AD4E">
                  <w:pPr>
                    <w:pStyle w:val="54"/>
                    <w:rPr>
                      <w:color w:val="auto"/>
                    </w:rPr>
                  </w:pPr>
                  <w:r>
                    <w:rPr>
                      <w:color w:val="auto"/>
                    </w:rPr>
                    <w:t>0.309</w:t>
                  </w:r>
                </w:p>
              </w:tc>
              <w:tc>
                <w:tcPr>
                  <w:tcW w:w="941" w:type="dxa"/>
                  <w:tcBorders>
                    <w:tl2br w:val="nil"/>
                    <w:tr2bl w:val="nil"/>
                  </w:tcBorders>
                  <w:shd w:val="clear" w:color="auto" w:fill="auto"/>
                  <w:noWrap/>
                  <w:vAlign w:val="center"/>
                </w:tcPr>
                <w:p w14:paraId="6F9A81A6">
                  <w:pPr>
                    <w:pStyle w:val="54"/>
                    <w:rPr>
                      <w:color w:val="auto"/>
                    </w:rPr>
                  </w:pPr>
                  <w:r>
                    <w:rPr>
                      <w:color w:val="auto"/>
                    </w:rPr>
                    <w:t>0.327</w:t>
                  </w:r>
                </w:p>
              </w:tc>
              <w:tc>
                <w:tcPr>
                  <w:tcW w:w="723" w:type="dxa"/>
                  <w:tcBorders>
                    <w:tl2br w:val="nil"/>
                    <w:tr2bl w:val="nil"/>
                  </w:tcBorders>
                  <w:shd w:val="clear" w:color="auto" w:fill="auto"/>
                  <w:vAlign w:val="center"/>
                </w:tcPr>
                <w:p w14:paraId="1255631C">
                  <w:pPr>
                    <w:pStyle w:val="54"/>
                    <w:rPr>
                      <w:color w:val="auto"/>
                    </w:rPr>
                  </w:pPr>
                  <w:r>
                    <w:rPr>
                      <w:color w:val="auto"/>
                    </w:rPr>
                    <w:t>&lt;0.5</w:t>
                  </w:r>
                </w:p>
              </w:tc>
              <w:tc>
                <w:tcPr>
                  <w:tcW w:w="681" w:type="dxa"/>
                  <w:tcBorders>
                    <w:tl2br w:val="nil"/>
                    <w:tr2bl w:val="nil"/>
                  </w:tcBorders>
                  <w:shd w:val="clear" w:color="auto" w:fill="auto"/>
                  <w:vAlign w:val="center"/>
                </w:tcPr>
                <w:p w14:paraId="540FAEFA">
                  <w:pPr>
                    <w:pStyle w:val="54"/>
                    <w:rPr>
                      <w:color w:val="auto"/>
                    </w:rPr>
                  </w:pPr>
                  <w:r>
                    <w:rPr>
                      <w:rFonts w:hint="eastAsia"/>
                      <w:color w:val="auto"/>
                    </w:rPr>
                    <w:t>达标</w:t>
                  </w:r>
                </w:p>
              </w:tc>
            </w:tr>
            <w:tr w14:paraId="129C1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34" w:type="dxa"/>
                  <w:vMerge w:val="continue"/>
                  <w:tcBorders>
                    <w:tl2br w:val="nil"/>
                    <w:tr2bl w:val="nil"/>
                  </w:tcBorders>
                  <w:shd w:val="clear" w:color="auto" w:fill="auto"/>
                  <w:vAlign w:val="center"/>
                </w:tcPr>
                <w:p w14:paraId="548078B6">
                  <w:pPr>
                    <w:pStyle w:val="54"/>
                    <w:rPr>
                      <w:color w:val="auto"/>
                    </w:rPr>
                  </w:pPr>
                </w:p>
              </w:tc>
              <w:tc>
                <w:tcPr>
                  <w:tcW w:w="1182" w:type="dxa"/>
                  <w:vMerge w:val="continue"/>
                  <w:tcBorders>
                    <w:tl2br w:val="nil"/>
                    <w:tr2bl w:val="nil"/>
                  </w:tcBorders>
                  <w:shd w:val="clear" w:color="auto" w:fill="auto"/>
                  <w:vAlign w:val="center"/>
                </w:tcPr>
                <w:p w14:paraId="6B01D4E2">
                  <w:pPr>
                    <w:pStyle w:val="54"/>
                    <w:rPr>
                      <w:color w:val="auto"/>
                    </w:rPr>
                  </w:pPr>
                </w:p>
              </w:tc>
              <w:tc>
                <w:tcPr>
                  <w:tcW w:w="1281" w:type="dxa"/>
                  <w:tcBorders>
                    <w:tl2br w:val="nil"/>
                    <w:tr2bl w:val="nil"/>
                  </w:tcBorders>
                  <w:shd w:val="clear" w:color="auto" w:fill="auto"/>
                  <w:vAlign w:val="center"/>
                </w:tcPr>
                <w:p w14:paraId="29367077">
                  <w:pPr>
                    <w:pStyle w:val="54"/>
                    <w:rPr>
                      <w:color w:val="auto"/>
                    </w:rPr>
                  </w:pPr>
                  <w:r>
                    <w:rPr>
                      <w:color w:val="auto"/>
                    </w:rPr>
                    <w:t>下风向4#</w:t>
                  </w:r>
                </w:p>
              </w:tc>
              <w:tc>
                <w:tcPr>
                  <w:tcW w:w="1009" w:type="dxa"/>
                  <w:tcBorders>
                    <w:tl2br w:val="nil"/>
                    <w:tr2bl w:val="nil"/>
                  </w:tcBorders>
                  <w:shd w:val="clear" w:color="auto" w:fill="auto"/>
                  <w:vAlign w:val="center"/>
                </w:tcPr>
                <w:p w14:paraId="4E0D66BD">
                  <w:pPr>
                    <w:pStyle w:val="54"/>
                    <w:rPr>
                      <w:color w:val="auto"/>
                    </w:rPr>
                  </w:pPr>
                  <w:r>
                    <w:rPr>
                      <w:color w:val="auto"/>
                    </w:rPr>
                    <w:t>mg/m</w:t>
                  </w:r>
                  <w:r>
                    <w:rPr>
                      <w:color w:val="auto"/>
                      <w:vertAlign w:val="superscript"/>
                    </w:rPr>
                    <w:t>3</w:t>
                  </w:r>
                </w:p>
              </w:tc>
              <w:tc>
                <w:tcPr>
                  <w:tcW w:w="941" w:type="dxa"/>
                  <w:tcBorders>
                    <w:tl2br w:val="nil"/>
                    <w:tr2bl w:val="nil"/>
                  </w:tcBorders>
                  <w:shd w:val="clear" w:color="auto" w:fill="auto"/>
                  <w:noWrap/>
                  <w:vAlign w:val="center"/>
                </w:tcPr>
                <w:p w14:paraId="28347316">
                  <w:pPr>
                    <w:pStyle w:val="54"/>
                    <w:rPr>
                      <w:color w:val="auto"/>
                    </w:rPr>
                  </w:pPr>
                  <w:r>
                    <w:rPr>
                      <w:color w:val="auto"/>
                    </w:rPr>
                    <w:t>0.402</w:t>
                  </w:r>
                </w:p>
              </w:tc>
              <w:tc>
                <w:tcPr>
                  <w:tcW w:w="941" w:type="dxa"/>
                  <w:tcBorders>
                    <w:tl2br w:val="nil"/>
                    <w:tr2bl w:val="nil"/>
                  </w:tcBorders>
                  <w:shd w:val="clear" w:color="auto" w:fill="auto"/>
                  <w:noWrap/>
                  <w:vAlign w:val="center"/>
                </w:tcPr>
                <w:p w14:paraId="26E52D80">
                  <w:pPr>
                    <w:pStyle w:val="54"/>
                    <w:rPr>
                      <w:color w:val="auto"/>
                    </w:rPr>
                  </w:pPr>
                  <w:r>
                    <w:rPr>
                      <w:color w:val="auto"/>
                    </w:rPr>
                    <w:t>0.379</w:t>
                  </w:r>
                </w:p>
              </w:tc>
              <w:tc>
                <w:tcPr>
                  <w:tcW w:w="941" w:type="dxa"/>
                  <w:tcBorders>
                    <w:tl2br w:val="nil"/>
                    <w:tr2bl w:val="nil"/>
                  </w:tcBorders>
                  <w:shd w:val="clear" w:color="auto" w:fill="auto"/>
                  <w:noWrap/>
                  <w:vAlign w:val="center"/>
                </w:tcPr>
                <w:p w14:paraId="3C805D20">
                  <w:pPr>
                    <w:pStyle w:val="54"/>
                    <w:rPr>
                      <w:color w:val="auto"/>
                    </w:rPr>
                  </w:pPr>
                  <w:r>
                    <w:rPr>
                      <w:color w:val="auto"/>
                    </w:rPr>
                    <w:t>0.352</w:t>
                  </w:r>
                </w:p>
              </w:tc>
              <w:tc>
                <w:tcPr>
                  <w:tcW w:w="723" w:type="dxa"/>
                  <w:tcBorders>
                    <w:tl2br w:val="nil"/>
                    <w:tr2bl w:val="nil"/>
                  </w:tcBorders>
                  <w:shd w:val="clear" w:color="auto" w:fill="auto"/>
                  <w:vAlign w:val="center"/>
                </w:tcPr>
                <w:p w14:paraId="44C41ED5">
                  <w:pPr>
                    <w:pStyle w:val="54"/>
                    <w:rPr>
                      <w:color w:val="auto"/>
                    </w:rPr>
                  </w:pPr>
                  <w:r>
                    <w:rPr>
                      <w:color w:val="auto"/>
                    </w:rPr>
                    <w:t>&lt;0.5</w:t>
                  </w:r>
                </w:p>
              </w:tc>
              <w:tc>
                <w:tcPr>
                  <w:tcW w:w="681" w:type="dxa"/>
                  <w:tcBorders>
                    <w:tl2br w:val="nil"/>
                    <w:tr2bl w:val="nil"/>
                  </w:tcBorders>
                  <w:shd w:val="clear" w:color="auto" w:fill="auto"/>
                  <w:vAlign w:val="center"/>
                </w:tcPr>
                <w:p w14:paraId="700C6272">
                  <w:pPr>
                    <w:pStyle w:val="54"/>
                    <w:rPr>
                      <w:color w:val="auto"/>
                    </w:rPr>
                  </w:pPr>
                  <w:r>
                    <w:rPr>
                      <w:rFonts w:hint="eastAsia"/>
                      <w:color w:val="auto"/>
                    </w:rPr>
                    <w:t>达标</w:t>
                  </w:r>
                </w:p>
              </w:tc>
            </w:tr>
            <w:tr w14:paraId="4C532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34" w:type="dxa"/>
                  <w:vMerge w:val="continue"/>
                  <w:tcBorders>
                    <w:tl2br w:val="nil"/>
                    <w:tr2bl w:val="nil"/>
                  </w:tcBorders>
                  <w:shd w:val="clear" w:color="auto" w:fill="auto"/>
                  <w:vAlign w:val="center"/>
                </w:tcPr>
                <w:p w14:paraId="355CEEBD">
                  <w:pPr>
                    <w:pStyle w:val="54"/>
                    <w:rPr>
                      <w:color w:val="auto"/>
                    </w:rPr>
                  </w:pPr>
                </w:p>
              </w:tc>
              <w:tc>
                <w:tcPr>
                  <w:tcW w:w="1182" w:type="dxa"/>
                  <w:vMerge w:val="restart"/>
                  <w:tcBorders>
                    <w:tl2br w:val="nil"/>
                    <w:tr2bl w:val="nil"/>
                  </w:tcBorders>
                  <w:shd w:val="clear" w:color="auto" w:fill="auto"/>
                  <w:vAlign w:val="center"/>
                </w:tcPr>
                <w:p w14:paraId="57BAAD13">
                  <w:pPr>
                    <w:pStyle w:val="54"/>
                    <w:rPr>
                      <w:color w:val="auto"/>
                    </w:rPr>
                  </w:pPr>
                  <w:r>
                    <w:rPr>
                      <w:color w:val="auto"/>
                    </w:rPr>
                    <w:t>二氧化硫</w:t>
                  </w:r>
                </w:p>
              </w:tc>
              <w:tc>
                <w:tcPr>
                  <w:tcW w:w="1281" w:type="dxa"/>
                  <w:tcBorders>
                    <w:tl2br w:val="nil"/>
                    <w:tr2bl w:val="nil"/>
                  </w:tcBorders>
                  <w:shd w:val="clear" w:color="auto" w:fill="auto"/>
                  <w:vAlign w:val="center"/>
                </w:tcPr>
                <w:p w14:paraId="0E1A7C2F">
                  <w:pPr>
                    <w:pStyle w:val="54"/>
                    <w:rPr>
                      <w:color w:val="auto"/>
                    </w:rPr>
                  </w:pPr>
                  <w:r>
                    <w:rPr>
                      <w:color w:val="auto"/>
                    </w:rPr>
                    <w:t>上风向1#</w:t>
                  </w:r>
                </w:p>
              </w:tc>
              <w:tc>
                <w:tcPr>
                  <w:tcW w:w="1009" w:type="dxa"/>
                  <w:tcBorders>
                    <w:tl2br w:val="nil"/>
                    <w:tr2bl w:val="nil"/>
                  </w:tcBorders>
                  <w:shd w:val="clear" w:color="auto" w:fill="auto"/>
                  <w:vAlign w:val="center"/>
                </w:tcPr>
                <w:p w14:paraId="10C554EE">
                  <w:pPr>
                    <w:pStyle w:val="54"/>
                    <w:rPr>
                      <w:color w:val="auto"/>
                    </w:rPr>
                  </w:pPr>
                  <w:r>
                    <w:rPr>
                      <w:color w:val="auto"/>
                    </w:rPr>
                    <w:t>mg/m</w:t>
                  </w:r>
                  <w:r>
                    <w:rPr>
                      <w:color w:val="auto"/>
                      <w:vertAlign w:val="superscript"/>
                    </w:rPr>
                    <w:t>3</w:t>
                  </w:r>
                </w:p>
              </w:tc>
              <w:tc>
                <w:tcPr>
                  <w:tcW w:w="941" w:type="dxa"/>
                  <w:tcBorders>
                    <w:tl2br w:val="nil"/>
                    <w:tr2bl w:val="nil"/>
                  </w:tcBorders>
                  <w:shd w:val="clear" w:color="auto" w:fill="auto"/>
                  <w:noWrap/>
                  <w:vAlign w:val="center"/>
                </w:tcPr>
                <w:p w14:paraId="3E5D36D5">
                  <w:pPr>
                    <w:pStyle w:val="54"/>
                    <w:rPr>
                      <w:color w:val="auto"/>
                    </w:rPr>
                  </w:pPr>
                  <w:r>
                    <w:rPr>
                      <w:color w:val="auto"/>
                    </w:rPr>
                    <w:t>0.030</w:t>
                  </w:r>
                </w:p>
              </w:tc>
              <w:tc>
                <w:tcPr>
                  <w:tcW w:w="941" w:type="dxa"/>
                  <w:tcBorders>
                    <w:tl2br w:val="nil"/>
                    <w:tr2bl w:val="nil"/>
                  </w:tcBorders>
                  <w:shd w:val="clear" w:color="auto" w:fill="auto"/>
                  <w:noWrap/>
                  <w:vAlign w:val="center"/>
                </w:tcPr>
                <w:p w14:paraId="0E3526AD">
                  <w:pPr>
                    <w:pStyle w:val="54"/>
                    <w:rPr>
                      <w:color w:val="auto"/>
                    </w:rPr>
                  </w:pPr>
                  <w:r>
                    <w:rPr>
                      <w:color w:val="auto"/>
                    </w:rPr>
                    <w:t>0.027</w:t>
                  </w:r>
                </w:p>
              </w:tc>
              <w:tc>
                <w:tcPr>
                  <w:tcW w:w="941" w:type="dxa"/>
                  <w:tcBorders>
                    <w:tl2br w:val="nil"/>
                    <w:tr2bl w:val="nil"/>
                  </w:tcBorders>
                  <w:shd w:val="clear" w:color="auto" w:fill="auto"/>
                  <w:noWrap/>
                  <w:vAlign w:val="center"/>
                </w:tcPr>
                <w:p w14:paraId="71EA058A">
                  <w:pPr>
                    <w:pStyle w:val="54"/>
                    <w:rPr>
                      <w:color w:val="auto"/>
                    </w:rPr>
                  </w:pPr>
                  <w:r>
                    <w:rPr>
                      <w:color w:val="auto"/>
                    </w:rPr>
                    <w:t>0.029</w:t>
                  </w:r>
                </w:p>
              </w:tc>
              <w:tc>
                <w:tcPr>
                  <w:tcW w:w="723" w:type="dxa"/>
                  <w:tcBorders>
                    <w:tl2br w:val="nil"/>
                    <w:tr2bl w:val="nil"/>
                  </w:tcBorders>
                  <w:shd w:val="clear" w:color="auto" w:fill="auto"/>
                  <w:noWrap/>
                  <w:vAlign w:val="center"/>
                </w:tcPr>
                <w:p w14:paraId="6BA1E6E5">
                  <w:pPr>
                    <w:pStyle w:val="54"/>
                    <w:rPr>
                      <w:color w:val="auto"/>
                    </w:rPr>
                  </w:pPr>
                  <w:r>
                    <w:rPr>
                      <w:color w:val="auto"/>
                    </w:rPr>
                    <w:t>&lt;0.4</w:t>
                  </w:r>
                </w:p>
              </w:tc>
              <w:tc>
                <w:tcPr>
                  <w:tcW w:w="681" w:type="dxa"/>
                  <w:tcBorders>
                    <w:tl2br w:val="nil"/>
                    <w:tr2bl w:val="nil"/>
                  </w:tcBorders>
                  <w:shd w:val="clear" w:color="auto" w:fill="auto"/>
                  <w:vAlign w:val="center"/>
                </w:tcPr>
                <w:p w14:paraId="73A8E92A">
                  <w:pPr>
                    <w:pStyle w:val="54"/>
                    <w:rPr>
                      <w:color w:val="auto"/>
                    </w:rPr>
                  </w:pPr>
                  <w:r>
                    <w:rPr>
                      <w:rFonts w:hint="eastAsia"/>
                      <w:color w:val="auto"/>
                    </w:rPr>
                    <w:t>达标</w:t>
                  </w:r>
                </w:p>
              </w:tc>
            </w:tr>
            <w:tr w14:paraId="064B5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34" w:type="dxa"/>
                  <w:vMerge w:val="continue"/>
                  <w:tcBorders>
                    <w:tl2br w:val="nil"/>
                    <w:tr2bl w:val="nil"/>
                  </w:tcBorders>
                  <w:shd w:val="clear" w:color="auto" w:fill="auto"/>
                  <w:vAlign w:val="center"/>
                </w:tcPr>
                <w:p w14:paraId="512B228F">
                  <w:pPr>
                    <w:pStyle w:val="54"/>
                    <w:rPr>
                      <w:color w:val="auto"/>
                    </w:rPr>
                  </w:pPr>
                </w:p>
              </w:tc>
              <w:tc>
                <w:tcPr>
                  <w:tcW w:w="1182" w:type="dxa"/>
                  <w:vMerge w:val="continue"/>
                  <w:tcBorders>
                    <w:tl2br w:val="nil"/>
                    <w:tr2bl w:val="nil"/>
                  </w:tcBorders>
                  <w:shd w:val="clear" w:color="auto" w:fill="auto"/>
                  <w:vAlign w:val="center"/>
                </w:tcPr>
                <w:p w14:paraId="72E77051">
                  <w:pPr>
                    <w:pStyle w:val="54"/>
                    <w:rPr>
                      <w:color w:val="auto"/>
                    </w:rPr>
                  </w:pPr>
                </w:p>
              </w:tc>
              <w:tc>
                <w:tcPr>
                  <w:tcW w:w="1281" w:type="dxa"/>
                  <w:tcBorders>
                    <w:tl2br w:val="nil"/>
                    <w:tr2bl w:val="nil"/>
                  </w:tcBorders>
                  <w:shd w:val="clear" w:color="auto" w:fill="auto"/>
                  <w:vAlign w:val="center"/>
                </w:tcPr>
                <w:p w14:paraId="67C64BA6">
                  <w:pPr>
                    <w:pStyle w:val="54"/>
                    <w:rPr>
                      <w:color w:val="auto"/>
                    </w:rPr>
                  </w:pPr>
                  <w:r>
                    <w:rPr>
                      <w:color w:val="auto"/>
                    </w:rPr>
                    <w:t>下风向2#</w:t>
                  </w:r>
                </w:p>
              </w:tc>
              <w:tc>
                <w:tcPr>
                  <w:tcW w:w="1009" w:type="dxa"/>
                  <w:tcBorders>
                    <w:tl2br w:val="nil"/>
                    <w:tr2bl w:val="nil"/>
                  </w:tcBorders>
                  <w:shd w:val="clear" w:color="auto" w:fill="auto"/>
                  <w:vAlign w:val="center"/>
                </w:tcPr>
                <w:p w14:paraId="230E1124">
                  <w:pPr>
                    <w:pStyle w:val="54"/>
                    <w:rPr>
                      <w:color w:val="auto"/>
                    </w:rPr>
                  </w:pPr>
                  <w:r>
                    <w:rPr>
                      <w:color w:val="auto"/>
                    </w:rPr>
                    <w:t>mg/m</w:t>
                  </w:r>
                  <w:r>
                    <w:rPr>
                      <w:color w:val="auto"/>
                      <w:vertAlign w:val="superscript"/>
                    </w:rPr>
                    <w:t>3</w:t>
                  </w:r>
                </w:p>
              </w:tc>
              <w:tc>
                <w:tcPr>
                  <w:tcW w:w="941" w:type="dxa"/>
                  <w:tcBorders>
                    <w:tl2br w:val="nil"/>
                    <w:tr2bl w:val="nil"/>
                  </w:tcBorders>
                  <w:shd w:val="clear" w:color="auto" w:fill="auto"/>
                  <w:noWrap/>
                  <w:vAlign w:val="center"/>
                </w:tcPr>
                <w:p w14:paraId="58CD7685">
                  <w:pPr>
                    <w:pStyle w:val="54"/>
                    <w:rPr>
                      <w:color w:val="auto"/>
                    </w:rPr>
                  </w:pPr>
                  <w:r>
                    <w:rPr>
                      <w:color w:val="auto"/>
                    </w:rPr>
                    <w:t>0.036</w:t>
                  </w:r>
                </w:p>
              </w:tc>
              <w:tc>
                <w:tcPr>
                  <w:tcW w:w="941" w:type="dxa"/>
                  <w:tcBorders>
                    <w:tl2br w:val="nil"/>
                    <w:tr2bl w:val="nil"/>
                  </w:tcBorders>
                  <w:shd w:val="clear" w:color="auto" w:fill="auto"/>
                  <w:noWrap/>
                  <w:vAlign w:val="center"/>
                </w:tcPr>
                <w:p w14:paraId="2608E6CD">
                  <w:pPr>
                    <w:pStyle w:val="54"/>
                    <w:rPr>
                      <w:color w:val="auto"/>
                    </w:rPr>
                  </w:pPr>
                  <w:r>
                    <w:rPr>
                      <w:color w:val="auto"/>
                    </w:rPr>
                    <w:t>0.035</w:t>
                  </w:r>
                </w:p>
              </w:tc>
              <w:tc>
                <w:tcPr>
                  <w:tcW w:w="941" w:type="dxa"/>
                  <w:tcBorders>
                    <w:tl2br w:val="nil"/>
                    <w:tr2bl w:val="nil"/>
                  </w:tcBorders>
                  <w:shd w:val="clear" w:color="auto" w:fill="auto"/>
                  <w:noWrap/>
                  <w:vAlign w:val="center"/>
                </w:tcPr>
                <w:p w14:paraId="5302577E">
                  <w:pPr>
                    <w:pStyle w:val="54"/>
                    <w:rPr>
                      <w:color w:val="auto"/>
                    </w:rPr>
                  </w:pPr>
                  <w:r>
                    <w:rPr>
                      <w:color w:val="auto"/>
                    </w:rPr>
                    <w:t>0.039</w:t>
                  </w:r>
                </w:p>
              </w:tc>
              <w:tc>
                <w:tcPr>
                  <w:tcW w:w="723" w:type="dxa"/>
                  <w:tcBorders>
                    <w:tl2br w:val="nil"/>
                    <w:tr2bl w:val="nil"/>
                  </w:tcBorders>
                  <w:shd w:val="clear" w:color="auto" w:fill="auto"/>
                  <w:noWrap/>
                  <w:vAlign w:val="center"/>
                </w:tcPr>
                <w:p w14:paraId="4A12D4DA">
                  <w:pPr>
                    <w:pStyle w:val="54"/>
                    <w:rPr>
                      <w:color w:val="auto"/>
                    </w:rPr>
                  </w:pPr>
                  <w:r>
                    <w:rPr>
                      <w:color w:val="auto"/>
                    </w:rPr>
                    <w:t>&lt;0.4</w:t>
                  </w:r>
                </w:p>
              </w:tc>
              <w:tc>
                <w:tcPr>
                  <w:tcW w:w="681" w:type="dxa"/>
                  <w:tcBorders>
                    <w:tl2br w:val="nil"/>
                    <w:tr2bl w:val="nil"/>
                  </w:tcBorders>
                  <w:shd w:val="clear" w:color="auto" w:fill="auto"/>
                  <w:vAlign w:val="center"/>
                </w:tcPr>
                <w:p w14:paraId="6154C54F">
                  <w:pPr>
                    <w:pStyle w:val="54"/>
                    <w:rPr>
                      <w:color w:val="auto"/>
                    </w:rPr>
                  </w:pPr>
                  <w:r>
                    <w:rPr>
                      <w:rFonts w:hint="eastAsia"/>
                      <w:color w:val="auto"/>
                    </w:rPr>
                    <w:t>达标</w:t>
                  </w:r>
                </w:p>
              </w:tc>
            </w:tr>
            <w:tr w14:paraId="317B5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34" w:type="dxa"/>
                  <w:vMerge w:val="continue"/>
                  <w:tcBorders>
                    <w:tl2br w:val="nil"/>
                    <w:tr2bl w:val="nil"/>
                  </w:tcBorders>
                  <w:shd w:val="clear" w:color="auto" w:fill="auto"/>
                  <w:vAlign w:val="center"/>
                </w:tcPr>
                <w:p w14:paraId="4C82D36B">
                  <w:pPr>
                    <w:pStyle w:val="54"/>
                    <w:rPr>
                      <w:color w:val="auto"/>
                    </w:rPr>
                  </w:pPr>
                </w:p>
              </w:tc>
              <w:tc>
                <w:tcPr>
                  <w:tcW w:w="1182" w:type="dxa"/>
                  <w:vMerge w:val="continue"/>
                  <w:tcBorders>
                    <w:tl2br w:val="nil"/>
                    <w:tr2bl w:val="nil"/>
                  </w:tcBorders>
                  <w:shd w:val="clear" w:color="auto" w:fill="auto"/>
                  <w:vAlign w:val="center"/>
                </w:tcPr>
                <w:p w14:paraId="57CBE147">
                  <w:pPr>
                    <w:pStyle w:val="54"/>
                    <w:rPr>
                      <w:color w:val="auto"/>
                    </w:rPr>
                  </w:pPr>
                </w:p>
              </w:tc>
              <w:tc>
                <w:tcPr>
                  <w:tcW w:w="1281" w:type="dxa"/>
                  <w:tcBorders>
                    <w:tl2br w:val="nil"/>
                    <w:tr2bl w:val="nil"/>
                  </w:tcBorders>
                  <w:shd w:val="clear" w:color="auto" w:fill="auto"/>
                  <w:vAlign w:val="center"/>
                </w:tcPr>
                <w:p w14:paraId="27570938">
                  <w:pPr>
                    <w:pStyle w:val="54"/>
                    <w:rPr>
                      <w:color w:val="auto"/>
                    </w:rPr>
                  </w:pPr>
                  <w:r>
                    <w:rPr>
                      <w:color w:val="auto"/>
                    </w:rPr>
                    <w:t>下风向3#</w:t>
                  </w:r>
                </w:p>
              </w:tc>
              <w:tc>
                <w:tcPr>
                  <w:tcW w:w="1009" w:type="dxa"/>
                  <w:tcBorders>
                    <w:tl2br w:val="nil"/>
                    <w:tr2bl w:val="nil"/>
                  </w:tcBorders>
                  <w:shd w:val="clear" w:color="auto" w:fill="auto"/>
                  <w:vAlign w:val="center"/>
                </w:tcPr>
                <w:p w14:paraId="7A01F164">
                  <w:pPr>
                    <w:pStyle w:val="54"/>
                    <w:rPr>
                      <w:color w:val="auto"/>
                    </w:rPr>
                  </w:pPr>
                  <w:r>
                    <w:rPr>
                      <w:color w:val="auto"/>
                    </w:rPr>
                    <w:t>mg/m</w:t>
                  </w:r>
                  <w:r>
                    <w:rPr>
                      <w:color w:val="auto"/>
                      <w:vertAlign w:val="superscript"/>
                    </w:rPr>
                    <w:t>3</w:t>
                  </w:r>
                </w:p>
              </w:tc>
              <w:tc>
                <w:tcPr>
                  <w:tcW w:w="941" w:type="dxa"/>
                  <w:tcBorders>
                    <w:tl2br w:val="nil"/>
                    <w:tr2bl w:val="nil"/>
                  </w:tcBorders>
                  <w:shd w:val="clear" w:color="auto" w:fill="auto"/>
                  <w:noWrap/>
                  <w:vAlign w:val="center"/>
                </w:tcPr>
                <w:p w14:paraId="4F81F886">
                  <w:pPr>
                    <w:pStyle w:val="54"/>
                    <w:rPr>
                      <w:color w:val="auto"/>
                    </w:rPr>
                  </w:pPr>
                  <w:r>
                    <w:rPr>
                      <w:color w:val="auto"/>
                    </w:rPr>
                    <w:t>0.046</w:t>
                  </w:r>
                </w:p>
              </w:tc>
              <w:tc>
                <w:tcPr>
                  <w:tcW w:w="941" w:type="dxa"/>
                  <w:tcBorders>
                    <w:tl2br w:val="nil"/>
                    <w:tr2bl w:val="nil"/>
                  </w:tcBorders>
                  <w:shd w:val="clear" w:color="auto" w:fill="auto"/>
                  <w:noWrap/>
                  <w:vAlign w:val="center"/>
                </w:tcPr>
                <w:p w14:paraId="0F296EC7">
                  <w:pPr>
                    <w:pStyle w:val="54"/>
                    <w:rPr>
                      <w:color w:val="auto"/>
                    </w:rPr>
                  </w:pPr>
                  <w:r>
                    <w:rPr>
                      <w:color w:val="auto"/>
                    </w:rPr>
                    <w:t>0.043</w:t>
                  </w:r>
                </w:p>
              </w:tc>
              <w:tc>
                <w:tcPr>
                  <w:tcW w:w="941" w:type="dxa"/>
                  <w:tcBorders>
                    <w:tl2br w:val="nil"/>
                    <w:tr2bl w:val="nil"/>
                  </w:tcBorders>
                  <w:shd w:val="clear" w:color="auto" w:fill="auto"/>
                  <w:noWrap/>
                  <w:vAlign w:val="center"/>
                </w:tcPr>
                <w:p w14:paraId="2D021F68">
                  <w:pPr>
                    <w:pStyle w:val="54"/>
                    <w:rPr>
                      <w:color w:val="auto"/>
                    </w:rPr>
                  </w:pPr>
                  <w:r>
                    <w:rPr>
                      <w:color w:val="auto"/>
                    </w:rPr>
                    <w:t>0.045</w:t>
                  </w:r>
                </w:p>
              </w:tc>
              <w:tc>
                <w:tcPr>
                  <w:tcW w:w="723" w:type="dxa"/>
                  <w:tcBorders>
                    <w:tl2br w:val="nil"/>
                    <w:tr2bl w:val="nil"/>
                  </w:tcBorders>
                  <w:shd w:val="clear" w:color="auto" w:fill="auto"/>
                  <w:noWrap/>
                  <w:vAlign w:val="center"/>
                </w:tcPr>
                <w:p w14:paraId="6D1F3F79">
                  <w:pPr>
                    <w:pStyle w:val="54"/>
                    <w:rPr>
                      <w:color w:val="auto"/>
                    </w:rPr>
                  </w:pPr>
                  <w:r>
                    <w:rPr>
                      <w:color w:val="auto"/>
                    </w:rPr>
                    <w:t>&lt;0.4</w:t>
                  </w:r>
                </w:p>
              </w:tc>
              <w:tc>
                <w:tcPr>
                  <w:tcW w:w="681" w:type="dxa"/>
                  <w:tcBorders>
                    <w:tl2br w:val="nil"/>
                    <w:tr2bl w:val="nil"/>
                  </w:tcBorders>
                  <w:shd w:val="clear" w:color="auto" w:fill="auto"/>
                  <w:vAlign w:val="center"/>
                </w:tcPr>
                <w:p w14:paraId="44A8162E">
                  <w:pPr>
                    <w:pStyle w:val="54"/>
                    <w:rPr>
                      <w:color w:val="auto"/>
                    </w:rPr>
                  </w:pPr>
                  <w:r>
                    <w:rPr>
                      <w:rFonts w:hint="eastAsia"/>
                      <w:color w:val="auto"/>
                    </w:rPr>
                    <w:t>达标</w:t>
                  </w:r>
                </w:p>
              </w:tc>
            </w:tr>
            <w:tr w14:paraId="2492D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34" w:type="dxa"/>
                  <w:vMerge w:val="continue"/>
                  <w:tcBorders>
                    <w:tl2br w:val="nil"/>
                    <w:tr2bl w:val="nil"/>
                  </w:tcBorders>
                  <w:shd w:val="clear" w:color="auto" w:fill="auto"/>
                  <w:vAlign w:val="center"/>
                </w:tcPr>
                <w:p w14:paraId="2645D53D">
                  <w:pPr>
                    <w:pStyle w:val="54"/>
                    <w:rPr>
                      <w:color w:val="auto"/>
                    </w:rPr>
                  </w:pPr>
                </w:p>
              </w:tc>
              <w:tc>
                <w:tcPr>
                  <w:tcW w:w="1182" w:type="dxa"/>
                  <w:vMerge w:val="continue"/>
                  <w:tcBorders>
                    <w:tl2br w:val="nil"/>
                    <w:tr2bl w:val="nil"/>
                  </w:tcBorders>
                  <w:shd w:val="clear" w:color="auto" w:fill="auto"/>
                  <w:vAlign w:val="center"/>
                </w:tcPr>
                <w:p w14:paraId="6C34EFAB">
                  <w:pPr>
                    <w:pStyle w:val="54"/>
                    <w:rPr>
                      <w:color w:val="auto"/>
                    </w:rPr>
                  </w:pPr>
                </w:p>
              </w:tc>
              <w:tc>
                <w:tcPr>
                  <w:tcW w:w="1281" w:type="dxa"/>
                  <w:tcBorders>
                    <w:tl2br w:val="nil"/>
                    <w:tr2bl w:val="nil"/>
                  </w:tcBorders>
                  <w:shd w:val="clear" w:color="auto" w:fill="auto"/>
                  <w:vAlign w:val="center"/>
                </w:tcPr>
                <w:p w14:paraId="46F405F0">
                  <w:pPr>
                    <w:pStyle w:val="54"/>
                    <w:rPr>
                      <w:color w:val="auto"/>
                    </w:rPr>
                  </w:pPr>
                  <w:r>
                    <w:rPr>
                      <w:color w:val="auto"/>
                    </w:rPr>
                    <w:t>下风向4#</w:t>
                  </w:r>
                </w:p>
              </w:tc>
              <w:tc>
                <w:tcPr>
                  <w:tcW w:w="1009" w:type="dxa"/>
                  <w:tcBorders>
                    <w:tl2br w:val="nil"/>
                    <w:tr2bl w:val="nil"/>
                  </w:tcBorders>
                  <w:shd w:val="clear" w:color="auto" w:fill="auto"/>
                  <w:vAlign w:val="center"/>
                </w:tcPr>
                <w:p w14:paraId="5BFF19CB">
                  <w:pPr>
                    <w:pStyle w:val="54"/>
                    <w:rPr>
                      <w:color w:val="auto"/>
                    </w:rPr>
                  </w:pPr>
                  <w:r>
                    <w:rPr>
                      <w:color w:val="auto"/>
                    </w:rPr>
                    <w:t>mg/m</w:t>
                  </w:r>
                  <w:r>
                    <w:rPr>
                      <w:color w:val="auto"/>
                      <w:vertAlign w:val="superscript"/>
                    </w:rPr>
                    <w:t>3</w:t>
                  </w:r>
                </w:p>
              </w:tc>
              <w:tc>
                <w:tcPr>
                  <w:tcW w:w="941" w:type="dxa"/>
                  <w:tcBorders>
                    <w:tl2br w:val="nil"/>
                    <w:tr2bl w:val="nil"/>
                  </w:tcBorders>
                  <w:shd w:val="clear" w:color="auto" w:fill="auto"/>
                  <w:noWrap/>
                  <w:vAlign w:val="center"/>
                </w:tcPr>
                <w:p w14:paraId="2DB66204">
                  <w:pPr>
                    <w:pStyle w:val="54"/>
                    <w:rPr>
                      <w:color w:val="auto"/>
                    </w:rPr>
                  </w:pPr>
                  <w:r>
                    <w:rPr>
                      <w:color w:val="auto"/>
                    </w:rPr>
                    <w:t>0.034</w:t>
                  </w:r>
                </w:p>
              </w:tc>
              <w:tc>
                <w:tcPr>
                  <w:tcW w:w="941" w:type="dxa"/>
                  <w:tcBorders>
                    <w:tl2br w:val="nil"/>
                    <w:tr2bl w:val="nil"/>
                  </w:tcBorders>
                  <w:shd w:val="clear" w:color="auto" w:fill="auto"/>
                  <w:noWrap/>
                  <w:vAlign w:val="center"/>
                </w:tcPr>
                <w:p w14:paraId="0004718D">
                  <w:pPr>
                    <w:pStyle w:val="54"/>
                    <w:rPr>
                      <w:color w:val="auto"/>
                    </w:rPr>
                  </w:pPr>
                  <w:r>
                    <w:rPr>
                      <w:color w:val="auto"/>
                    </w:rPr>
                    <w:t>0.032</w:t>
                  </w:r>
                </w:p>
              </w:tc>
              <w:tc>
                <w:tcPr>
                  <w:tcW w:w="941" w:type="dxa"/>
                  <w:tcBorders>
                    <w:tl2br w:val="nil"/>
                    <w:tr2bl w:val="nil"/>
                  </w:tcBorders>
                  <w:shd w:val="clear" w:color="auto" w:fill="auto"/>
                  <w:noWrap/>
                  <w:vAlign w:val="center"/>
                </w:tcPr>
                <w:p w14:paraId="7EEB04BB">
                  <w:pPr>
                    <w:pStyle w:val="54"/>
                    <w:rPr>
                      <w:color w:val="auto"/>
                    </w:rPr>
                  </w:pPr>
                  <w:r>
                    <w:rPr>
                      <w:color w:val="auto"/>
                    </w:rPr>
                    <w:t>0.038</w:t>
                  </w:r>
                </w:p>
              </w:tc>
              <w:tc>
                <w:tcPr>
                  <w:tcW w:w="723" w:type="dxa"/>
                  <w:tcBorders>
                    <w:tl2br w:val="nil"/>
                    <w:tr2bl w:val="nil"/>
                  </w:tcBorders>
                  <w:shd w:val="clear" w:color="auto" w:fill="auto"/>
                  <w:noWrap/>
                  <w:vAlign w:val="center"/>
                </w:tcPr>
                <w:p w14:paraId="2C7EF6C1">
                  <w:pPr>
                    <w:pStyle w:val="54"/>
                    <w:rPr>
                      <w:color w:val="auto"/>
                    </w:rPr>
                  </w:pPr>
                  <w:r>
                    <w:rPr>
                      <w:color w:val="auto"/>
                    </w:rPr>
                    <w:t>&lt;0.4</w:t>
                  </w:r>
                </w:p>
              </w:tc>
              <w:tc>
                <w:tcPr>
                  <w:tcW w:w="681" w:type="dxa"/>
                  <w:tcBorders>
                    <w:tl2br w:val="nil"/>
                    <w:tr2bl w:val="nil"/>
                  </w:tcBorders>
                  <w:shd w:val="clear" w:color="auto" w:fill="auto"/>
                  <w:vAlign w:val="center"/>
                </w:tcPr>
                <w:p w14:paraId="75DDA4EE">
                  <w:pPr>
                    <w:pStyle w:val="54"/>
                    <w:rPr>
                      <w:color w:val="auto"/>
                    </w:rPr>
                  </w:pPr>
                  <w:r>
                    <w:rPr>
                      <w:rFonts w:hint="eastAsia"/>
                      <w:color w:val="auto"/>
                    </w:rPr>
                    <w:t>达标</w:t>
                  </w:r>
                </w:p>
              </w:tc>
            </w:tr>
            <w:tr w14:paraId="18B4E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34" w:type="dxa"/>
                  <w:vMerge w:val="continue"/>
                  <w:tcBorders>
                    <w:tl2br w:val="nil"/>
                    <w:tr2bl w:val="nil"/>
                  </w:tcBorders>
                  <w:shd w:val="clear" w:color="auto" w:fill="auto"/>
                  <w:vAlign w:val="center"/>
                </w:tcPr>
                <w:p w14:paraId="6C090D7A">
                  <w:pPr>
                    <w:pStyle w:val="54"/>
                    <w:rPr>
                      <w:color w:val="auto"/>
                    </w:rPr>
                  </w:pPr>
                </w:p>
              </w:tc>
              <w:tc>
                <w:tcPr>
                  <w:tcW w:w="1182" w:type="dxa"/>
                  <w:vMerge w:val="restart"/>
                  <w:tcBorders>
                    <w:tl2br w:val="nil"/>
                    <w:tr2bl w:val="nil"/>
                  </w:tcBorders>
                  <w:shd w:val="clear" w:color="auto" w:fill="auto"/>
                  <w:vAlign w:val="center"/>
                </w:tcPr>
                <w:p w14:paraId="146FB7B2">
                  <w:pPr>
                    <w:pStyle w:val="54"/>
                    <w:rPr>
                      <w:color w:val="auto"/>
                    </w:rPr>
                  </w:pPr>
                  <w:r>
                    <w:rPr>
                      <w:color w:val="auto"/>
                    </w:rPr>
                    <w:t>氮氧化物</w:t>
                  </w:r>
                </w:p>
              </w:tc>
              <w:tc>
                <w:tcPr>
                  <w:tcW w:w="1281" w:type="dxa"/>
                  <w:tcBorders>
                    <w:tl2br w:val="nil"/>
                    <w:tr2bl w:val="nil"/>
                  </w:tcBorders>
                  <w:shd w:val="clear" w:color="auto" w:fill="auto"/>
                  <w:vAlign w:val="center"/>
                </w:tcPr>
                <w:p w14:paraId="2B01B695">
                  <w:pPr>
                    <w:pStyle w:val="54"/>
                    <w:rPr>
                      <w:color w:val="auto"/>
                    </w:rPr>
                  </w:pPr>
                  <w:r>
                    <w:rPr>
                      <w:color w:val="auto"/>
                    </w:rPr>
                    <w:t>上风向1#</w:t>
                  </w:r>
                </w:p>
              </w:tc>
              <w:tc>
                <w:tcPr>
                  <w:tcW w:w="1009" w:type="dxa"/>
                  <w:tcBorders>
                    <w:tl2br w:val="nil"/>
                    <w:tr2bl w:val="nil"/>
                  </w:tcBorders>
                  <w:shd w:val="clear" w:color="auto" w:fill="auto"/>
                  <w:vAlign w:val="center"/>
                </w:tcPr>
                <w:p w14:paraId="5C271F1B">
                  <w:pPr>
                    <w:pStyle w:val="54"/>
                    <w:rPr>
                      <w:color w:val="auto"/>
                    </w:rPr>
                  </w:pPr>
                  <w:r>
                    <w:rPr>
                      <w:color w:val="auto"/>
                    </w:rPr>
                    <w:t>mg/m</w:t>
                  </w:r>
                  <w:r>
                    <w:rPr>
                      <w:color w:val="auto"/>
                      <w:vertAlign w:val="superscript"/>
                    </w:rPr>
                    <w:t>3</w:t>
                  </w:r>
                </w:p>
              </w:tc>
              <w:tc>
                <w:tcPr>
                  <w:tcW w:w="941" w:type="dxa"/>
                  <w:tcBorders>
                    <w:tl2br w:val="nil"/>
                    <w:tr2bl w:val="nil"/>
                  </w:tcBorders>
                  <w:shd w:val="clear" w:color="auto" w:fill="auto"/>
                  <w:noWrap/>
                  <w:vAlign w:val="center"/>
                </w:tcPr>
                <w:p w14:paraId="54357443">
                  <w:pPr>
                    <w:pStyle w:val="54"/>
                    <w:rPr>
                      <w:color w:val="auto"/>
                    </w:rPr>
                  </w:pPr>
                  <w:r>
                    <w:rPr>
                      <w:color w:val="auto"/>
                    </w:rPr>
                    <w:t>0.047</w:t>
                  </w:r>
                </w:p>
              </w:tc>
              <w:tc>
                <w:tcPr>
                  <w:tcW w:w="941" w:type="dxa"/>
                  <w:tcBorders>
                    <w:tl2br w:val="nil"/>
                    <w:tr2bl w:val="nil"/>
                  </w:tcBorders>
                  <w:shd w:val="clear" w:color="auto" w:fill="auto"/>
                  <w:noWrap/>
                  <w:vAlign w:val="center"/>
                </w:tcPr>
                <w:p w14:paraId="178C0ECA">
                  <w:pPr>
                    <w:pStyle w:val="54"/>
                    <w:rPr>
                      <w:color w:val="auto"/>
                    </w:rPr>
                  </w:pPr>
                  <w:r>
                    <w:rPr>
                      <w:color w:val="auto"/>
                    </w:rPr>
                    <w:t>0.050</w:t>
                  </w:r>
                </w:p>
              </w:tc>
              <w:tc>
                <w:tcPr>
                  <w:tcW w:w="941" w:type="dxa"/>
                  <w:tcBorders>
                    <w:tl2br w:val="nil"/>
                    <w:tr2bl w:val="nil"/>
                  </w:tcBorders>
                  <w:shd w:val="clear" w:color="auto" w:fill="auto"/>
                  <w:noWrap/>
                  <w:vAlign w:val="center"/>
                </w:tcPr>
                <w:p w14:paraId="7425CB93">
                  <w:pPr>
                    <w:pStyle w:val="54"/>
                    <w:rPr>
                      <w:color w:val="auto"/>
                    </w:rPr>
                  </w:pPr>
                  <w:r>
                    <w:rPr>
                      <w:color w:val="auto"/>
                    </w:rPr>
                    <w:t>0.055</w:t>
                  </w:r>
                </w:p>
              </w:tc>
              <w:tc>
                <w:tcPr>
                  <w:tcW w:w="723" w:type="dxa"/>
                  <w:tcBorders>
                    <w:tl2br w:val="nil"/>
                    <w:tr2bl w:val="nil"/>
                  </w:tcBorders>
                  <w:shd w:val="clear" w:color="auto" w:fill="auto"/>
                  <w:noWrap/>
                  <w:vAlign w:val="center"/>
                </w:tcPr>
                <w:p w14:paraId="4B562E9A">
                  <w:pPr>
                    <w:pStyle w:val="54"/>
                    <w:rPr>
                      <w:color w:val="auto"/>
                    </w:rPr>
                  </w:pPr>
                  <w:r>
                    <w:rPr>
                      <w:color w:val="auto"/>
                    </w:rPr>
                    <w:t>&lt;0.12</w:t>
                  </w:r>
                </w:p>
              </w:tc>
              <w:tc>
                <w:tcPr>
                  <w:tcW w:w="681" w:type="dxa"/>
                  <w:tcBorders>
                    <w:tl2br w:val="nil"/>
                    <w:tr2bl w:val="nil"/>
                  </w:tcBorders>
                  <w:shd w:val="clear" w:color="auto" w:fill="auto"/>
                  <w:vAlign w:val="center"/>
                </w:tcPr>
                <w:p w14:paraId="7423AB4B">
                  <w:pPr>
                    <w:pStyle w:val="54"/>
                    <w:rPr>
                      <w:color w:val="auto"/>
                    </w:rPr>
                  </w:pPr>
                  <w:r>
                    <w:rPr>
                      <w:rFonts w:hint="eastAsia"/>
                      <w:color w:val="auto"/>
                    </w:rPr>
                    <w:t>达标</w:t>
                  </w:r>
                </w:p>
              </w:tc>
            </w:tr>
            <w:tr w14:paraId="29C66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34" w:type="dxa"/>
                  <w:vMerge w:val="continue"/>
                  <w:tcBorders>
                    <w:tl2br w:val="nil"/>
                    <w:tr2bl w:val="nil"/>
                  </w:tcBorders>
                  <w:shd w:val="clear" w:color="auto" w:fill="auto"/>
                  <w:vAlign w:val="center"/>
                </w:tcPr>
                <w:p w14:paraId="1F1653E2">
                  <w:pPr>
                    <w:pStyle w:val="54"/>
                    <w:rPr>
                      <w:color w:val="auto"/>
                    </w:rPr>
                  </w:pPr>
                </w:p>
              </w:tc>
              <w:tc>
                <w:tcPr>
                  <w:tcW w:w="1182" w:type="dxa"/>
                  <w:vMerge w:val="continue"/>
                  <w:tcBorders>
                    <w:tl2br w:val="nil"/>
                    <w:tr2bl w:val="nil"/>
                  </w:tcBorders>
                  <w:shd w:val="clear" w:color="auto" w:fill="auto"/>
                  <w:vAlign w:val="center"/>
                </w:tcPr>
                <w:p w14:paraId="32969467">
                  <w:pPr>
                    <w:pStyle w:val="54"/>
                    <w:rPr>
                      <w:color w:val="auto"/>
                    </w:rPr>
                  </w:pPr>
                </w:p>
              </w:tc>
              <w:tc>
                <w:tcPr>
                  <w:tcW w:w="1281" w:type="dxa"/>
                  <w:tcBorders>
                    <w:tl2br w:val="nil"/>
                    <w:tr2bl w:val="nil"/>
                  </w:tcBorders>
                  <w:shd w:val="clear" w:color="auto" w:fill="auto"/>
                  <w:vAlign w:val="center"/>
                </w:tcPr>
                <w:p w14:paraId="7481FE97">
                  <w:pPr>
                    <w:pStyle w:val="54"/>
                    <w:rPr>
                      <w:color w:val="auto"/>
                    </w:rPr>
                  </w:pPr>
                  <w:r>
                    <w:rPr>
                      <w:color w:val="auto"/>
                    </w:rPr>
                    <w:t>下风向2#</w:t>
                  </w:r>
                </w:p>
              </w:tc>
              <w:tc>
                <w:tcPr>
                  <w:tcW w:w="1009" w:type="dxa"/>
                  <w:tcBorders>
                    <w:tl2br w:val="nil"/>
                    <w:tr2bl w:val="nil"/>
                  </w:tcBorders>
                  <w:shd w:val="clear" w:color="auto" w:fill="auto"/>
                  <w:vAlign w:val="center"/>
                </w:tcPr>
                <w:p w14:paraId="57309FDE">
                  <w:pPr>
                    <w:pStyle w:val="54"/>
                    <w:rPr>
                      <w:color w:val="auto"/>
                    </w:rPr>
                  </w:pPr>
                  <w:r>
                    <w:rPr>
                      <w:color w:val="auto"/>
                    </w:rPr>
                    <w:t>mg/m</w:t>
                  </w:r>
                  <w:r>
                    <w:rPr>
                      <w:color w:val="auto"/>
                      <w:vertAlign w:val="superscript"/>
                    </w:rPr>
                    <w:t>3</w:t>
                  </w:r>
                </w:p>
              </w:tc>
              <w:tc>
                <w:tcPr>
                  <w:tcW w:w="941" w:type="dxa"/>
                  <w:tcBorders>
                    <w:tl2br w:val="nil"/>
                    <w:tr2bl w:val="nil"/>
                  </w:tcBorders>
                  <w:shd w:val="clear" w:color="auto" w:fill="auto"/>
                  <w:noWrap/>
                  <w:vAlign w:val="center"/>
                </w:tcPr>
                <w:p w14:paraId="31ADF3B6">
                  <w:pPr>
                    <w:pStyle w:val="54"/>
                    <w:rPr>
                      <w:color w:val="auto"/>
                    </w:rPr>
                  </w:pPr>
                  <w:r>
                    <w:rPr>
                      <w:color w:val="auto"/>
                    </w:rPr>
                    <w:t>0.066</w:t>
                  </w:r>
                </w:p>
              </w:tc>
              <w:tc>
                <w:tcPr>
                  <w:tcW w:w="941" w:type="dxa"/>
                  <w:tcBorders>
                    <w:tl2br w:val="nil"/>
                    <w:tr2bl w:val="nil"/>
                  </w:tcBorders>
                  <w:shd w:val="clear" w:color="auto" w:fill="auto"/>
                  <w:noWrap/>
                  <w:vAlign w:val="center"/>
                </w:tcPr>
                <w:p w14:paraId="48233DE5">
                  <w:pPr>
                    <w:pStyle w:val="54"/>
                    <w:rPr>
                      <w:color w:val="auto"/>
                    </w:rPr>
                  </w:pPr>
                  <w:r>
                    <w:rPr>
                      <w:color w:val="auto"/>
                    </w:rPr>
                    <w:t>0.061</w:t>
                  </w:r>
                </w:p>
              </w:tc>
              <w:tc>
                <w:tcPr>
                  <w:tcW w:w="941" w:type="dxa"/>
                  <w:tcBorders>
                    <w:tl2br w:val="nil"/>
                    <w:tr2bl w:val="nil"/>
                  </w:tcBorders>
                  <w:shd w:val="clear" w:color="auto" w:fill="auto"/>
                  <w:noWrap/>
                  <w:vAlign w:val="center"/>
                </w:tcPr>
                <w:p w14:paraId="68B70ED7">
                  <w:pPr>
                    <w:pStyle w:val="54"/>
                    <w:rPr>
                      <w:color w:val="auto"/>
                    </w:rPr>
                  </w:pPr>
                  <w:r>
                    <w:rPr>
                      <w:color w:val="auto"/>
                    </w:rPr>
                    <w:t>0.059</w:t>
                  </w:r>
                </w:p>
              </w:tc>
              <w:tc>
                <w:tcPr>
                  <w:tcW w:w="723" w:type="dxa"/>
                  <w:tcBorders>
                    <w:tl2br w:val="nil"/>
                    <w:tr2bl w:val="nil"/>
                  </w:tcBorders>
                  <w:shd w:val="clear" w:color="auto" w:fill="auto"/>
                  <w:noWrap/>
                  <w:vAlign w:val="center"/>
                </w:tcPr>
                <w:p w14:paraId="0A4196E3">
                  <w:pPr>
                    <w:pStyle w:val="54"/>
                    <w:rPr>
                      <w:color w:val="auto"/>
                    </w:rPr>
                  </w:pPr>
                  <w:r>
                    <w:rPr>
                      <w:color w:val="auto"/>
                    </w:rPr>
                    <w:t>&lt;0.12</w:t>
                  </w:r>
                </w:p>
              </w:tc>
              <w:tc>
                <w:tcPr>
                  <w:tcW w:w="681" w:type="dxa"/>
                  <w:tcBorders>
                    <w:tl2br w:val="nil"/>
                    <w:tr2bl w:val="nil"/>
                  </w:tcBorders>
                  <w:shd w:val="clear" w:color="auto" w:fill="auto"/>
                  <w:vAlign w:val="center"/>
                </w:tcPr>
                <w:p w14:paraId="4338F9EE">
                  <w:pPr>
                    <w:pStyle w:val="54"/>
                    <w:rPr>
                      <w:color w:val="auto"/>
                    </w:rPr>
                  </w:pPr>
                  <w:r>
                    <w:rPr>
                      <w:rFonts w:hint="eastAsia"/>
                      <w:color w:val="auto"/>
                    </w:rPr>
                    <w:t>达标</w:t>
                  </w:r>
                </w:p>
              </w:tc>
            </w:tr>
            <w:tr w14:paraId="77E26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34" w:type="dxa"/>
                  <w:vMerge w:val="continue"/>
                  <w:tcBorders>
                    <w:tl2br w:val="nil"/>
                    <w:tr2bl w:val="nil"/>
                  </w:tcBorders>
                  <w:shd w:val="clear" w:color="auto" w:fill="auto"/>
                  <w:vAlign w:val="center"/>
                </w:tcPr>
                <w:p w14:paraId="7E3D4726">
                  <w:pPr>
                    <w:pStyle w:val="54"/>
                    <w:rPr>
                      <w:color w:val="auto"/>
                    </w:rPr>
                  </w:pPr>
                </w:p>
              </w:tc>
              <w:tc>
                <w:tcPr>
                  <w:tcW w:w="1182" w:type="dxa"/>
                  <w:vMerge w:val="continue"/>
                  <w:tcBorders>
                    <w:tl2br w:val="nil"/>
                    <w:tr2bl w:val="nil"/>
                  </w:tcBorders>
                  <w:shd w:val="clear" w:color="auto" w:fill="auto"/>
                  <w:vAlign w:val="center"/>
                </w:tcPr>
                <w:p w14:paraId="1010E24C">
                  <w:pPr>
                    <w:pStyle w:val="54"/>
                    <w:rPr>
                      <w:color w:val="auto"/>
                    </w:rPr>
                  </w:pPr>
                </w:p>
              </w:tc>
              <w:tc>
                <w:tcPr>
                  <w:tcW w:w="1281" w:type="dxa"/>
                  <w:tcBorders>
                    <w:tl2br w:val="nil"/>
                    <w:tr2bl w:val="nil"/>
                  </w:tcBorders>
                  <w:shd w:val="clear" w:color="auto" w:fill="auto"/>
                  <w:vAlign w:val="center"/>
                </w:tcPr>
                <w:p w14:paraId="5F04F26D">
                  <w:pPr>
                    <w:pStyle w:val="54"/>
                    <w:rPr>
                      <w:color w:val="auto"/>
                    </w:rPr>
                  </w:pPr>
                  <w:r>
                    <w:rPr>
                      <w:color w:val="auto"/>
                    </w:rPr>
                    <w:t>下风向3#</w:t>
                  </w:r>
                </w:p>
              </w:tc>
              <w:tc>
                <w:tcPr>
                  <w:tcW w:w="1009" w:type="dxa"/>
                  <w:tcBorders>
                    <w:tl2br w:val="nil"/>
                    <w:tr2bl w:val="nil"/>
                  </w:tcBorders>
                  <w:shd w:val="clear" w:color="auto" w:fill="auto"/>
                  <w:vAlign w:val="center"/>
                </w:tcPr>
                <w:p w14:paraId="6A9D05FE">
                  <w:pPr>
                    <w:pStyle w:val="54"/>
                    <w:rPr>
                      <w:color w:val="auto"/>
                    </w:rPr>
                  </w:pPr>
                  <w:r>
                    <w:rPr>
                      <w:color w:val="auto"/>
                    </w:rPr>
                    <w:t>mg/m</w:t>
                  </w:r>
                  <w:r>
                    <w:rPr>
                      <w:color w:val="auto"/>
                      <w:vertAlign w:val="superscript"/>
                    </w:rPr>
                    <w:t>3</w:t>
                  </w:r>
                </w:p>
              </w:tc>
              <w:tc>
                <w:tcPr>
                  <w:tcW w:w="941" w:type="dxa"/>
                  <w:tcBorders>
                    <w:tl2br w:val="nil"/>
                    <w:tr2bl w:val="nil"/>
                  </w:tcBorders>
                  <w:shd w:val="clear" w:color="auto" w:fill="auto"/>
                  <w:noWrap/>
                  <w:vAlign w:val="center"/>
                </w:tcPr>
                <w:p w14:paraId="0D2F9542">
                  <w:pPr>
                    <w:pStyle w:val="54"/>
                    <w:rPr>
                      <w:color w:val="auto"/>
                    </w:rPr>
                  </w:pPr>
                  <w:r>
                    <w:rPr>
                      <w:color w:val="auto"/>
                    </w:rPr>
                    <w:t>0.076</w:t>
                  </w:r>
                </w:p>
              </w:tc>
              <w:tc>
                <w:tcPr>
                  <w:tcW w:w="941" w:type="dxa"/>
                  <w:tcBorders>
                    <w:tl2br w:val="nil"/>
                    <w:tr2bl w:val="nil"/>
                  </w:tcBorders>
                  <w:shd w:val="clear" w:color="auto" w:fill="auto"/>
                  <w:noWrap/>
                  <w:vAlign w:val="center"/>
                </w:tcPr>
                <w:p w14:paraId="33B3CB8A">
                  <w:pPr>
                    <w:pStyle w:val="54"/>
                    <w:rPr>
                      <w:color w:val="auto"/>
                    </w:rPr>
                  </w:pPr>
                  <w:r>
                    <w:rPr>
                      <w:color w:val="auto"/>
                    </w:rPr>
                    <w:t>0.067</w:t>
                  </w:r>
                </w:p>
              </w:tc>
              <w:tc>
                <w:tcPr>
                  <w:tcW w:w="941" w:type="dxa"/>
                  <w:tcBorders>
                    <w:tl2br w:val="nil"/>
                    <w:tr2bl w:val="nil"/>
                  </w:tcBorders>
                  <w:shd w:val="clear" w:color="auto" w:fill="auto"/>
                  <w:noWrap/>
                  <w:vAlign w:val="center"/>
                </w:tcPr>
                <w:p w14:paraId="6DD11817">
                  <w:pPr>
                    <w:pStyle w:val="54"/>
                    <w:rPr>
                      <w:color w:val="auto"/>
                    </w:rPr>
                  </w:pPr>
                  <w:r>
                    <w:rPr>
                      <w:color w:val="auto"/>
                    </w:rPr>
                    <w:t>0.071</w:t>
                  </w:r>
                </w:p>
              </w:tc>
              <w:tc>
                <w:tcPr>
                  <w:tcW w:w="723" w:type="dxa"/>
                  <w:tcBorders>
                    <w:tl2br w:val="nil"/>
                    <w:tr2bl w:val="nil"/>
                  </w:tcBorders>
                  <w:shd w:val="clear" w:color="auto" w:fill="auto"/>
                  <w:noWrap/>
                  <w:vAlign w:val="center"/>
                </w:tcPr>
                <w:p w14:paraId="1C5CCE23">
                  <w:pPr>
                    <w:pStyle w:val="54"/>
                    <w:rPr>
                      <w:color w:val="auto"/>
                    </w:rPr>
                  </w:pPr>
                  <w:r>
                    <w:rPr>
                      <w:color w:val="auto"/>
                    </w:rPr>
                    <w:t>&lt;0.12</w:t>
                  </w:r>
                </w:p>
              </w:tc>
              <w:tc>
                <w:tcPr>
                  <w:tcW w:w="681" w:type="dxa"/>
                  <w:tcBorders>
                    <w:tl2br w:val="nil"/>
                    <w:tr2bl w:val="nil"/>
                  </w:tcBorders>
                  <w:shd w:val="clear" w:color="auto" w:fill="auto"/>
                  <w:vAlign w:val="center"/>
                </w:tcPr>
                <w:p w14:paraId="42D11061">
                  <w:pPr>
                    <w:pStyle w:val="54"/>
                    <w:rPr>
                      <w:color w:val="auto"/>
                    </w:rPr>
                  </w:pPr>
                  <w:r>
                    <w:rPr>
                      <w:rFonts w:hint="eastAsia"/>
                      <w:color w:val="auto"/>
                    </w:rPr>
                    <w:t>达标</w:t>
                  </w:r>
                </w:p>
              </w:tc>
            </w:tr>
            <w:tr w14:paraId="2D1D4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34" w:type="dxa"/>
                  <w:vMerge w:val="continue"/>
                  <w:tcBorders>
                    <w:tl2br w:val="nil"/>
                    <w:tr2bl w:val="nil"/>
                  </w:tcBorders>
                  <w:shd w:val="clear" w:color="auto" w:fill="auto"/>
                  <w:vAlign w:val="center"/>
                </w:tcPr>
                <w:p w14:paraId="64E74687">
                  <w:pPr>
                    <w:pStyle w:val="54"/>
                    <w:rPr>
                      <w:color w:val="auto"/>
                    </w:rPr>
                  </w:pPr>
                </w:p>
              </w:tc>
              <w:tc>
                <w:tcPr>
                  <w:tcW w:w="1182" w:type="dxa"/>
                  <w:vMerge w:val="continue"/>
                  <w:tcBorders>
                    <w:tl2br w:val="nil"/>
                    <w:tr2bl w:val="nil"/>
                  </w:tcBorders>
                  <w:shd w:val="clear" w:color="auto" w:fill="auto"/>
                  <w:vAlign w:val="center"/>
                </w:tcPr>
                <w:p w14:paraId="3EABE74C">
                  <w:pPr>
                    <w:pStyle w:val="54"/>
                    <w:rPr>
                      <w:color w:val="auto"/>
                    </w:rPr>
                  </w:pPr>
                </w:p>
              </w:tc>
              <w:tc>
                <w:tcPr>
                  <w:tcW w:w="1281" w:type="dxa"/>
                  <w:tcBorders>
                    <w:tl2br w:val="nil"/>
                    <w:tr2bl w:val="nil"/>
                  </w:tcBorders>
                  <w:shd w:val="clear" w:color="auto" w:fill="auto"/>
                  <w:vAlign w:val="center"/>
                </w:tcPr>
                <w:p w14:paraId="7CA930AA">
                  <w:pPr>
                    <w:pStyle w:val="54"/>
                    <w:rPr>
                      <w:color w:val="auto"/>
                    </w:rPr>
                  </w:pPr>
                  <w:r>
                    <w:rPr>
                      <w:color w:val="auto"/>
                    </w:rPr>
                    <w:t>下风向4#</w:t>
                  </w:r>
                </w:p>
              </w:tc>
              <w:tc>
                <w:tcPr>
                  <w:tcW w:w="1009" w:type="dxa"/>
                  <w:tcBorders>
                    <w:tl2br w:val="nil"/>
                    <w:tr2bl w:val="nil"/>
                  </w:tcBorders>
                  <w:shd w:val="clear" w:color="auto" w:fill="auto"/>
                  <w:vAlign w:val="center"/>
                </w:tcPr>
                <w:p w14:paraId="34383BC6">
                  <w:pPr>
                    <w:pStyle w:val="54"/>
                    <w:rPr>
                      <w:color w:val="auto"/>
                    </w:rPr>
                  </w:pPr>
                  <w:r>
                    <w:rPr>
                      <w:color w:val="auto"/>
                    </w:rPr>
                    <w:t>mg/m</w:t>
                  </w:r>
                  <w:r>
                    <w:rPr>
                      <w:color w:val="auto"/>
                      <w:vertAlign w:val="superscript"/>
                    </w:rPr>
                    <w:t>3</w:t>
                  </w:r>
                </w:p>
              </w:tc>
              <w:tc>
                <w:tcPr>
                  <w:tcW w:w="941" w:type="dxa"/>
                  <w:tcBorders>
                    <w:tl2br w:val="nil"/>
                    <w:tr2bl w:val="nil"/>
                  </w:tcBorders>
                  <w:shd w:val="clear" w:color="auto" w:fill="auto"/>
                  <w:noWrap/>
                  <w:vAlign w:val="center"/>
                </w:tcPr>
                <w:p w14:paraId="76924344">
                  <w:pPr>
                    <w:pStyle w:val="54"/>
                    <w:rPr>
                      <w:color w:val="auto"/>
                    </w:rPr>
                  </w:pPr>
                  <w:r>
                    <w:rPr>
                      <w:color w:val="auto"/>
                    </w:rPr>
                    <w:t>0.063</w:t>
                  </w:r>
                </w:p>
              </w:tc>
              <w:tc>
                <w:tcPr>
                  <w:tcW w:w="941" w:type="dxa"/>
                  <w:tcBorders>
                    <w:tl2br w:val="nil"/>
                    <w:tr2bl w:val="nil"/>
                  </w:tcBorders>
                  <w:shd w:val="clear" w:color="auto" w:fill="auto"/>
                  <w:noWrap/>
                  <w:vAlign w:val="center"/>
                </w:tcPr>
                <w:p w14:paraId="637E4F2D">
                  <w:pPr>
                    <w:pStyle w:val="54"/>
                    <w:rPr>
                      <w:color w:val="auto"/>
                    </w:rPr>
                  </w:pPr>
                  <w:r>
                    <w:rPr>
                      <w:color w:val="auto"/>
                    </w:rPr>
                    <w:t>0.060</w:t>
                  </w:r>
                </w:p>
              </w:tc>
              <w:tc>
                <w:tcPr>
                  <w:tcW w:w="941" w:type="dxa"/>
                  <w:tcBorders>
                    <w:tl2br w:val="nil"/>
                    <w:tr2bl w:val="nil"/>
                  </w:tcBorders>
                  <w:shd w:val="clear" w:color="auto" w:fill="auto"/>
                  <w:noWrap/>
                  <w:vAlign w:val="center"/>
                </w:tcPr>
                <w:p w14:paraId="4264B20D">
                  <w:pPr>
                    <w:pStyle w:val="54"/>
                    <w:rPr>
                      <w:color w:val="auto"/>
                    </w:rPr>
                  </w:pPr>
                  <w:r>
                    <w:rPr>
                      <w:color w:val="auto"/>
                    </w:rPr>
                    <w:t>0.073</w:t>
                  </w:r>
                </w:p>
              </w:tc>
              <w:tc>
                <w:tcPr>
                  <w:tcW w:w="723" w:type="dxa"/>
                  <w:tcBorders>
                    <w:tl2br w:val="nil"/>
                    <w:tr2bl w:val="nil"/>
                  </w:tcBorders>
                  <w:shd w:val="clear" w:color="auto" w:fill="auto"/>
                  <w:noWrap/>
                  <w:vAlign w:val="center"/>
                </w:tcPr>
                <w:p w14:paraId="1EA4426B">
                  <w:pPr>
                    <w:pStyle w:val="54"/>
                    <w:rPr>
                      <w:color w:val="auto"/>
                    </w:rPr>
                  </w:pPr>
                  <w:r>
                    <w:rPr>
                      <w:color w:val="auto"/>
                    </w:rPr>
                    <w:t>&lt;0.12</w:t>
                  </w:r>
                </w:p>
              </w:tc>
              <w:tc>
                <w:tcPr>
                  <w:tcW w:w="681" w:type="dxa"/>
                  <w:tcBorders>
                    <w:tl2br w:val="nil"/>
                    <w:tr2bl w:val="nil"/>
                  </w:tcBorders>
                  <w:shd w:val="clear" w:color="auto" w:fill="auto"/>
                  <w:vAlign w:val="center"/>
                </w:tcPr>
                <w:p w14:paraId="38E5A228">
                  <w:pPr>
                    <w:pStyle w:val="54"/>
                    <w:rPr>
                      <w:color w:val="auto"/>
                    </w:rPr>
                  </w:pPr>
                  <w:r>
                    <w:rPr>
                      <w:rFonts w:hint="eastAsia"/>
                      <w:color w:val="auto"/>
                    </w:rPr>
                    <w:t>达标</w:t>
                  </w:r>
                </w:p>
              </w:tc>
            </w:tr>
            <w:tr w14:paraId="09C4F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34" w:type="dxa"/>
                  <w:vMerge w:val="continue"/>
                  <w:tcBorders>
                    <w:tl2br w:val="nil"/>
                    <w:tr2bl w:val="nil"/>
                  </w:tcBorders>
                  <w:shd w:val="clear" w:color="auto" w:fill="auto"/>
                  <w:vAlign w:val="center"/>
                </w:tcPr>
                <w:p w14:paraId="5D5E6554">
                  <w:pPr>
                    <w:pStyle w:val="54"/>
                    <w:rPr>
                      <w:color w:val="auto"/>
                    </w:rPr>
                  </w:pPr>
                </w:p>
              </w:tc>
              <w:tc>
                <w:tcPr>
                  <w:tcW w:w="1182" w:type="dxa"/>
                  <w:vMerge w:val="restart"/>
                  <w:tcBorders>
                    <w:tl2br w:val="nil"/>
                    <w:tr2bl w:val="nil"/>
                  </w:tcBorders>
                  <w:shd w:val="clear" w:color="auto" w:fill="auto"/>
                  <w:vAlign w:val="center"/>
                </w:tcPr>
                <w:p w14:paraId="38B24480">
                  <w:pPr>
                    <w:pStyle w:val="54"/>
                    <w:rPr>
                      <w:color w:val="auto"/>
                    </w:rPr>
                  </w:pPr>
                  <w:r>
                    <w:rPr>
                      <w:color w:val="auto"/>
                    </w:rPr>
                    <w:t>非甲烷</w:t>
                  </w:r>
                </w:p>
                <w:p w14:paraId="704512C6">
                  <w:pPr>
                    <w:pStyle w:val="54"/>
                    <w:rPr>
                      <w:color w:val="auto"/>
                    </w:rPr>
                  </w:pPr>
                  <w:r>
                    <w:rPr>
                      <w:color w:val="auto"/>
                    </w:rPr>
                    <w:t>总烃</w:t>
                  </w:r>
                </w:p>
              </w:tc>
              <w:tc>
                <w:tcPr>
                  <w:tcW w:w="1281" w:type="dxa"/>
                  <w:tcBorders>
                    <w:tl2br w:val="nil"/>
                    <w:tr2bl w:val="nil"/>
                  </w:tcBorders>
                  <w:shd w:val="clear" w:color="auto" w:fill="auto"/>
                  <w:vAlign w:val="center"/>
                </w:tcPr>
                <w:p w14:paraId="5CB57D04">
                  <w:pPr>
                    <w:pStyle w:val="54"/>
                    <w:rPr>
                      <w:color w:val="auto"/>
                    </w:rPr>
                  </w:pPr>
                  <w:r>
                    <w:rPr>
                      <w:color w:val="auto"/>
                    </w:rPr>
                    <w:t>上风向1#</w:t>
                  </w:r>
                </w:p>
              </w:tc>
              <w:tc>
                <w:tcPr>
                  <w:tcW w:w="1009" w:type="dxa"/>
                  <w:tcBorders>
                    <w:tl2br w:val="nil"/>
                    <w:tr2bl w:val="nil"/>
                  </w:tcBorders>
                  <w:shd w:val="clear" w:color="auto" w:fill="auto"/>
                  <w:vAlign w:val="center"/>
                </w:tcPr>
                <w:p w14:paraId="247D5ED7">
                  <w:pPr>
                    <w:pStyle w:val="54"/>
                    <w:rPr>
                      <w:color w:val="auto"/>
                    </w:rPr>
                  </w:pPr>
                  <w:r>
                    <w:rPr>
                      <w:color w:val="auto"/>
                    </w:rPr>
                    <w:t>mg/m</w:t>
                  </w:r>
                  <w:r>
                    <w:rPr>
                      <w:color w:val="auto"/>
                      <w:vertAlign w:val="superscript"/>
                    </w:rPr>
                    <w:t>3</w:t>
                  </w:r>
                </w:p>
              </w:tc>
              <w:tc>
                <w:tcPr>
                  <w:tcW w:w="941" w:type="dxa"/>
                  <w:tcBorders>
                    <w:tl2br w:val="nil"/>
                    <w:tr2bl w:val="nil"/>
                  </w:tcBorders>
                  <w:shd w:val="clear" w:color="auto" w:fill="auto"/>
                  <w:noWrap/>
                  <w:vAlign w:val="center"/>
                </w:tcPr>
                <w:p w14:paraId="6973FD2B">
                  <w:pPr>
                    <w:pStyle w:val="54"/>
                    <w:rPr>
                      <w:color w:val="auto"/>
                    </w:rPr>
                  </w:pPr>
                  <w:r>
                    <w:rPr>
                      <w:color w:val="auto"/>
                    </w:rPr>
                    <w:t>0.65</w:t>
                  </w:r>
                </w:p>
              </w:tc>
              <w:tc>
                <w:tcPr>
                  <w:tcW w:w="941" w:type="dxa"/>
                  <w:tcBorders>
                    <w:tl2br w:val="nil"/>
                    <w:tr2bl w:val="nil"/>
                  </w:tcBorders>
                  <w:shd w:val="clear" w:color="auto" w:fill="auto"/>
                  <w:noWrap/>
                  <w:vAlign w:val="center"/>
                </w:tcPr>
                <w:p w14:paraId="4B60893B">
                  <w:pPr>
                    <w:pStyle w:val="54"/>
                    <w:rPr>
                      <w:color w:val="auto"/>
                    </w:rPr>
                  </w:pPr>
                  <w:r>
                    <w:rPr>
                      <w:color w:val="auto"/>
                    </w:rPr>
                    <w:t>0.58</w:t>
                  </w:r>
                </w:p>
              </w:tc>
              <w:tc>
                <w:tcPr>
                  <w:tcW w:w="941" w:type="dxa"/>
                  <w:tcBorders>
                    <w:tl2br w:val="nil"/>
                    <w:tr2bl w:val="nil"/>
                  </w:tcBorders>
                  <w:shd w:val="clear" w:color="auto" w:fill="auto"/>
                  <w:noWrap/>
                  <w:vAlign w:val="center"/>
                </w:tcPr>
                <w:p w14:paraId="30493C3D">
                  <w:pPr>
                    <w:pStyle w:val="54"/>
                    <w:rPr>
                      <w:color w:val="auto"/>
                    </w:rPr>
                  </w:pPr>
                  <w:r>
                    <w:rPr>
                      <w:color w:val="auto"/>
                    </w:rPr>
                    <w:t>0.70</w:t>
                  </w:r>
                </w:p>
              </w:tc>
              <w:tc>
                <w:tcPr>
                  <w:tcW w:w="723" w:type="dxa"/>
                  <w:tcBorders>
                    <w:tl2br w:val="nil"/>
                    <w:tr2bl w:val="nil"/>
                  </w:tcBorders>
                  <w:shd w:val="clear" w:color="auto" w:fill="auto"/>
                  <w:noWrap/>
                  <w:vAlign w:val="center"/>
                </w:tcPr>
                <w:p w14:paraId="2494014C">
                  <w:pPr>
                    <w:pStyle w:val="54"/>
                    <w:rPr>
                      <w:color w:val="auto"/>
                    </w:rPr>
                  </w:pPr>
                  <w:r>
                    <w:rPr>
                      <w:color w:val="auto"/>
                    </w:rPr>
                    <w:t>&lt;4</w:t>
                  </w:r>
                </w:p>
              </w:tc>
              <w:tc>
                <w:tcPr>
                  <w:tcW w:w="681" w:type="dxa"/>
                  <w:tcBorders>
                    <w:tl2br w:val="nil"/>
                    <w:tr2bl w:val="nil"/>
                  </w:tcBorders>
                  <w:shd w:val="clear" w:color="auto" w:fill="auto"/>
                  <w:vAlign w:val="center"/>
                </w:tcPr>
                <w:p w14:paraId="2514D0C7">
                  <w:pPr>
                    <w:pStyle w:val="54"/>
                    <w:rPr>
                      <w:color w:val="auto"/>
                    </w:rPr>
                  </w:pPr>
                  <w:r>
                    <w:rPr>
                      <w:rFonts w:hint="eastAsia"/>
                      <w:color w:val="auto"/>
                    </w:rPr>
                    <w:t>达标</w:t>
                  </w:r>
                </w:p>
              </w:tc>
            </w:tr>
            <w:tr w14:paraId="53A9C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34" w:type="dxa"/>
                  <w:vMerge w:val="continue"/>
                  <w:tcBorders>
                    <w:tl2br w:val="nil"/>
                    <w:tr2bl w:val="nil"/>
                  </w:tcBorders>
                  <w:shd w:val="clear" w:color="auto" w:fill="auto"/>
                  <w:vAlign w:val="center"/>
                </w:tcPr>
                <w:p w14:paraId="724F9E1C">
                  <w:pPr>
                    <w:pStyle w:val="54"/>
                    <w:rPr>
                      <w:color w:val="auto"/>
                    </w:rPr>
                  </w:pPr>
                </w:p>
              </w:tc>
              <w:tc>
                <w:tcPr>
                  <w:tcW w:w="1182" w:type="dxa"/>
                  <w:vMerge w:val="continue"/>
                  <w:tcBorders>
                    <w:tl2br w:val="nil"/>
                    <w:tr2bl w:val="nil"/>
                  </w:tcBorders>
                  <w:shd w:val="clear" w:color="auto" w:fill="auto"/>
                  <w:vAlign w:val="center"/>
                </w:tcPr>
                <w:p w14:paraId="55F7E5A3">
                  <w:pPr>
                    <w:pStyle w:val="54"/>
                    <w:rPr>
                      <w:color w:val="auto"/>
                    </w:rPr>
                  </w:pPr>
                </w:p>
              </w:tc>
              <w:tc>
                <w:tcPr>
                  <w:tcW w:w="1281" w:type="dxa"/>
                  <w:tcBorders>
                    <w:tl2br w:val="nil"/>
                    <w:tr2bl w:val="nil"/>
                  </w:tcBorders>
                  <w:shd w:val="clear" w:color="auto" w:fill="auto"/>
                  <w:vAlign w:val="center"/>
                </w:tcPr>
                <w:p w14:paraId="57A9015E">
                  <w:pPr>
                    <w:pStyle w:val="54"/>
                    <w:rPr>
                      <w:color w:val="auto"/>
                    </w:rPr>
                  </w:pPr>
                  <w:r>
                    <w:rPr>
                      <w:color w:val="auto"/>
                    </w:rPr>
                    <w:t>下风向2#</w:t>
                  </w:r>
                </w:p>
              </w:tc>
              <w:tc>
                <w:tcPr>
                  <w:tcW w:w="1009" w:type="dxa"/>
                  <w:tcBorders>
                    <w:tl2br w:val="nil"/>
                    <w:tr2bl w:val="nil"/>
                  </w:tcBorders>
                  <w:shd w:val="clear" w:color="auto" w:fill="auto"/>
                  <w:vAlign w:val="center"/>
                </w:tcPr>
                <w:p w14:paraId="2700667F">
                  <w:pPr>
                    <w:pStyle w:val="54"/>
                    <w:rPr>
                      <w:color w:val="auto"/>
                    </w:rPr>
                  </w:pPr>
                  <w:r>
                    <w:rPr>
                      <w:color w:val="auto"/>
                    </w:rPr>
                    <w:t>mg/m</w:t>
                  </w:r>
                  <w:r>
                    <w:rPr>
                      <w:color w:val="auto"/>
                      <w:vertAlign w:val="superscript"/>
                    </w:rPr>
                    <w:t>3</w:t>
                  </w:r>
                </w:p>
              </w:tc>
              <w:tc>
                <w:tcPr>
                  <w:tcW w:w="941" w:type="dxa"/>
                  <w:tcBorders>
                    <w:tl2br w:val="nil"/>
                    <w:tr2bl w:val="nil"/>
                  </w:tcBorders>
                  <w:shd w:val="clear" w:color="auto" w:fill="auto"/>
                  <w:noWrap/>
                  <w:vAlign w:val="center"/>
                </w:tcPr>
                <w:p w14:paraId="6C466F3B">
                  <w:pPr>
                    <w:pStyle w:val="54"/>
                    <w:rPr>
                      <w:color w:val="auto"/>
                    </w:rPr>
                  </w:pPr>
                  <w:r>
                    <w:rPr>
                      <w:color w:val="auto"/>
                    </w:rPr>
                    <w:t>0.98</w:t>
                  </w:r>
                </w:p>
              </w:tc>
              <w:tc>
                <w:tcPr>
                  <w:tcW w:w="941" w:type="dxa"/>
                  <w:tcBorders>
                    <w:tl2br w:val="nil"/>
                    <w:tr2bl w:val="nil"/>
                  </w:tcBorders>
                  <w:shd w:val="clear" w:color="auto" w:fill="auto"/>
                  <w:noWrap/>
                  <w:vAlign w:val="center"/>
                </w:tcPr>
                <w:p w14:paraId="33B32DB6">
                  <w:pPr>
                    <w:pStyle w:val="54"/>
                    <w:rPr>
                      <w:color w:val="auto"/>
                    </w:rPr>
                  </w:pPr>
                  <w:r>
                    <w:rPr>
                      <w:color w:val="auto"/>
                    </w:rPr>
                    <w:t>0.98</w:t>
                  </w:r>
                </w:p>
              </w:tc>
              <w:tc>
                <w:tcPr>
                  <w:tcW w:w="941" w:type="dxa"/>
                  <w:tcBorders>
                    <w:tl2br w:val="nil"/>
                    <w:tr2bl w:val="nil"/>
                  </w:tcBorders>
                  <w:shd w:val="clear" w:color="auto" w:fill="auto"/>
                  <w:noWrap/>
                  <w:vAlign w:val="center"/>
                </w:tcPr>
                <w:p w14:paraId="34D38E6C">
                  <w:pPr>
                    <w:pStyle w:val="54"/>
                    <w:rPr>
                      <w:color w:val="auto"/>
                    </w:rPr>
                  </w:pPr>
                  <w:r>
                    <w:rPr>
                      <w:color w:val="auto"/>
                    </w:rPr>
                    <w:t>1.35</w:t>
                  </w:r>
                </w:p>
              </w:tc>
              <w:tc>
                <w:tcPr>
                  <w:tcW w:w="723" w:type="dxa"/>
                  <w:tcBorders>
                    <w:tl2br w:val="nil"/>
                    <w:tr2bl w:val="nil"/>
                  </w:tcBorders>
                  <w:shd w:val="clear" w:color="auto" w:fill="auto"/>
                  <w:noWrap/>
                  <w:vAlign w:val="center"/>
                </w:tcPr>
                <w:p w14:paraId="6945F5DF">
                  <w:pPr>
                    <w:pStyle w:val="54"/>
                    <w:rPr>
                      <w:color w:val="auto"/>
                    </w:rPr>
                  </w:pPr>
                  <w:r>
                    <w:rPr>
                      <w:color w:val="auto"/>
                    </w:rPr>
                    <w:t>&lt;4</w:t>
                  </w:r>
                </w:p>
              </w:tc>
              <w:tc>
                <w:tcPr>
                  <w:tcW w:w="681" w:type="dxa"/>
                  <w:tcBorders>
                    <w:tl2br w:val="nil"/>
                    <w:tr2bl w:val="nil"/>
                  </w:tcBorders>
                  <w:shd w:val="clear" w:color="auto" w:fill="auto"/>
                  <w:vAlign w:val="center"/>
                </w:tcPr>
                <w:p w14:paraId="518A8BDA">
                  <w:pPr>
                    <w:pStyle w:val="54"/>
                    <w:rPr>
                      <w:color w:val="auto"/>
                    </w:rPr>
                  </w:pPr>
                  <w:r>
                    <w:rPr>
                      <w:rFonts w:hint="eastAsia"/>
                      <w:color w:val="auto"/>
                    </w:rPr>
                    <w:t>达标</w:t>
                  </w:r>
                </w:p>
              </w:tc>
            </w:tr>
            <w:tr w14:paraId="19A9C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34" w:type="dxa"/>
                  <w:vMerge w:val="continue"/>
                  <w:tcBorders>
                    <w:tl2br w:val="nil"/>
                    <w:tr2bl w:val="nil"/>
                  </w:tcBorders>
                  <w:shd w:val="clear" w:color="auto" w:fill="auto"/>
                  <w:vAlign w:val="center"/>
                </w:tcPr>
                <w:p w14:paraId="1797C5EC">
                  <w:pPr>
                    <w:pStyle w:val="54"/>
                    <w:rPr>
                      <w:color w:val="auto"/>
                    </w:rPr>
                  </w:pPr>
                </w:p>
              </w:tc>
              <w:tc>
                <w:tcPr>
                  <w:tcW w:w="1182" w:type="dxa"/>
                  <w:vMerge w:val="continue"/>
                  <w:tcBorders>
                    <w:tl2br w:val="nil"/>
                    <w:tr2bl w:val="nil"/>
                  </w:tcBorders>
                  <w:shd w:val="clear" w:color="auto" w:fill="auto"/>
                  <w:vAlign w:val="center"/>
                </w:tcPr>
                <w:p w14:paraId="049BBDAC">
                  <w:pPr>
                    <w:pStyle w:val="54"/>
                    <w:rPr>
                      <w:color w:val="auto"/>
                    </w:rPr>
                  </w:pPr>
                </w:p>
              </w:tc>
              <w:tc>
                <w:tcPr>
                  <w:tcW w:w="1281" w:type="dxa"/>
                  <w:tcBorders>
                    <w:tl2br w:val="nil"/>
                    <w:tr2bl w:val="nil"/>
                  </w:tcBorders>
                  <w:shd w:val="clear" w:color="auto" w:fill="auto"/>
                  <w:vAlign w:val="center"/>
                </w:tcPr>
                <w:p w14:paraId="51C5CC6D">
                  <w:pPr>
                    <w:pStyle w:val="54"/>
                    <w:rPr>
                      <w:color w:val="auto"/>
                    </w:rPr>
                  </w:pPr>
                  <w:r>
                    <w:rPr>
                      <w:color w:val="auto"/>
                    </w:rPr>
                    <w:t>下风向3#</w:t>
                  </w:r>
                </w:p>
              </w:tc>
              <w:tc>
                <w:tcPr>
                  <w:tcW w:w="1009" w:type="dxa"/>
                  <w:tcBorders>
                    <w:tl2br w:val="nil"/>
                    <w:tr2bl w:val="nil"/>
                  </w:tcBorders>
                  <w:shd w:val="clear" w:color="auto" w:fill="auto"/>
                  <w:vAlign w:val="center"/>
                </w:tcPr>
                <w:p w14:paraId="2B0E128D">
                  <w:pPr>
                    <w:pStyle w:val="54"/>
                    <w:rPr>
                      <w:color w:val="auto"/>
                    </w:rPr>
                  </w:pPr>
                  <w:r>
                    <w:rPr>
                      <w:color w:val="auto"/>
                    </w:rPr>
                    <w:t>mg/m</w:t>
                  </w:r>
                  <w:r>
                    <w:rPr>
                      <w:color w:val="auto"/>
                      <w:vertAlign w:val="superscript"/>
                    </w:rPr>
                    <w:t>3</w:t>
                  </w:r>
                </w:p>
              </w:tc>
              <w:tc>
                <w:tcPr>
                  <w:tcW w:w="941" w:type="dxa"/>
                  <w:tcBorders>
                    <w:tl2br w:val="nil"/>
                    <w:tr2bl w:val="nil"/>
                  </w:tcBorders>
                  <w:shd w:val="clear" w:color="auto" w:fill="auto"/>
                  <w:noWrap/>
                  <w:vAlign w:val="center"/>
                </w:tcPr>
                <w:p w14:paraId="48369343">
                  <w:pPr>
                    <w:pStyle w:val="54"/>
                    <w:rPr>
                      <w:color w:val="auto"/>
                    </w:rPr>
                  </w:pPr>
                  <w:r>
                    <w:rPr>
                      <w:color w:val="auto"/>
                    </w:rPr>
                    <w:t>0.97</w:t>
                  </w:r>
                </w:p>
              </w:tc>
              <w:tc>
                <w:tcPr>
                  <w:tcW w:w="941" w:type="dxa"/>
                  <w:tcBorders>
                    <w:tl2br w:val="nil"/>
                    <w:tr2bl w:val="nil"/>
                  </w:tcBorders>
                  <w:shd w:val="clear" w:color="auto" w:fill="auto"/>
                  <w:noWrap/>
                  <w:vAlign w:val="center"/>
                </w:tcPr>
                <w:p w14:paraId="5205C441">
                  <w:pPr>
                    <w:pStyle w:val="54"/>
                    <w:rPr>
                      <w:color w:val="auto"/>
                    </w:rPr>
                  </w:pPr>
                  <w:r>
                    <w:rPr>
                      <w:color w:val="auto"/>
                    </w:rPr>
                    <w:t>1.56</w:t>
                  </w:r>
                </w:p>
              </w:tc>
              <w:tc>
                <w:tcPr>
                  <w:tcW w:w="941" w:type="dxa"/>
                  <w:tcBorders>
                    <w:tl2br w:val="nil"/>
                    <w:tr2bl w:val="nil"/>
                  </w:tcBorders>
                  <w:shd w:val="clear" w:color="auto" w:fill="auto"/>
                  <w:noWrap/>
                  <w:vAlign w:val="center"/>
                </w:tcPr>
                <w:p w14:paraId="103192B0">
                  <w:pPr>
                    <w:pStyle w:val="54"/>
                    <w:rPr>
                      <w:color w:val="auto"/>
                    </w:rPr>
                  </w:pPr>
                  <w:r>
                    <w:rPr>
                      <w:color w:val="auto"/>
                    </w:rPr>
                    <w:t>1.51</w:t>
                  </w:r>
                </w:p>
              </w:tc>
              <w:tc>
                <w:tcPr>
                  <w:tcW w:w="723" w:type="dxa"/>
                  <w:tcBorders>
                    <w:tl2br w:val="nil"/>
                    <w:tr2bl w:val="nil"/>
                  </w:tcBorders>
                  <w:shd w:val="clear" w:color="auto" w:fill="auto"/>
                  <w:noWrap/>
                  <w:vAlign w:val="center"/>
                </w:tcPr>
                <w:p w14:paraId="6F8F6E0F">
                  <w:pPr>
                    <w:pStyle w:val="54"/>
                    <w:rPr>
                      <w:color w:val="auto"/>
                    </w:rPr>
                  </w:pPr>
                  <w:r>
                    <w:rPr>
                      <w:color w:val="auto"/>
                    </w:rPr>
                    <w:t>&lt;4</w:t>
                  </w:r>
                </w:p>
              </w:tc>
              <w:tc>
                <w:tcPr>
                  <w:tcW w:w="681" w:type="dxa"/>
                  <w:tcBorders>
                    <w:tl2br w:val="nil"/>
                    <w:tr2bl w:val="nil"/>
                  </w:tcBorders>
                  <w:shd w:val="clear" w:color="auto" w:fill="auto"/>
                  <w:vAlign w:val="center"/>
                </w:tcPr>
                <w:p w14:paraId="01A20BC2">
                  <w:pPr>
                    <w:pStyle w:val="54"/>
                    <w:rPr>
                      <w:color w:val="auto"/>
                    </w:rPr>
                  </w:pPr>
                  <w:r>
                    <w:rPr>
                      <w:rFonts w:hint="eastAsia"/>
                      <w:color w:val="auto"/>
                    </w:rPr>
                    <w:t>达标</w:t>
                  </w:r>
                </w:p>
              </w:tc>
            </w:tr>
            <w:tr w14:paraId="2144F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34" w:type="dxa"/>
                  <w:vMerge w:val="continue"/>
                  <w:tcBorders>
                    <w:tl2br w:val="nil"/>
                    <w:tr2bl w:val="nil"/>
                  </w:tcBorders>
                  <w:shd w:val="clear" w:color="auto" w:fill="auto"/>
                  <w:vAlign w:val="center"/>
                </w:tcPr>
                <w:p w14:paraId="0A11B767">
                  <w:pPr>
                    <w:pStyle w:val="54"/>
                    <w:rPr>
                      <w:color w:val="auto"/>
                    </w:rPr>
                  </w:pPr>
                </w:p>
              </w:tc>
              <w:tc>
                <w:tcPr>
                  <w:tcW w:w="1182" w:type="dxa"/>
                  <w:vMerge w:val="continue"/>
                  <w:tcBorders>
                    <w:tl2br w:val="nil"/>
                    <w:tr2bl w:val="nil"/>
                  </w:tcBorders>
                  <w:shd w:val="clear" w:color="auto" w:fill="auto"/>
                  <w:vAlign w:val="center"/>
                </w:tcPr>
                <w:p w14:paraId="2AE2F05A">
                  <w:pPr>
                    <w:pStyle w:val="54"/>
                    <w:rPr>
                      <w:color w:val="auto"/>
                    </w:rPr>
                  </w:pPr>
                </w:p>
              </w:tc>
              <w:tc>
                <w:tcPr>
                  <w:tcW w:w="1281" w:type="dxa"/>
                  <w:tcBorders>
                    <w:tl2br w:val="nil"/>
                    <w:tr2bl w:val="nil"/>
                  </w:tcBorders>
                  <w:shd w:val="clear" w:color="auto" w:fill="auto"/>
                  <w:vAlign w:val="center"/>
                </w:tcPr>
                <w:p w14:paraId="6080951C">
                  <w:pPr>
                    <w:pStyle w:val="54"/>
                    <w:rPr>
                      <w:color w:val="auto"/>
                    </w:rPr>
                  </w:pPr>
                  <w:r>
                    <w:rPr>
                      <w:color w:val="auto"/>
                    </w:rPr>
                    <w:t>下风向4#</w:t>
                  </w:r>
                </w:p>
              </w:tc>
              <w:tc>
                <w:tcPr>
                  <w:tcW w:w="1009" w:type="dxa"/>
                  <w:tcBorders>
                    <w:tl2br w:val="nil"/>
                    <w:tr2bl w:val="nil"/>
                  </w:tcBorders>
                  <w:shd w:val="clear" w:color="auto" w:fill="auto"/>
                  <w:vAlign w:val="center"/>
                </w:tcPr>
                <w:p w14:paraId="231B7AF4">
                  <w:pPr>
                    <w:pStyle w:val="54"/>
                    <w:rPr>
                      <w:color w:val="auto"/>
                    </w:rPr>
                  </w:pPr>
                  <w:r>
                    <w:rPr>
                      <w:color w:val="auto"/>
                    </w:rPr>
                    <w:t>mg/m</w:t>
                  </w:r>
                  <w:r>
                    <w:rPr>
                      <w:color w:val="auto"/>
                      <w:vertAlign w:val="superscript"/>
                    </w:rPr>
                    <w:t>3</w:t>
                  </w:r>
                </w:p>
              </w:tc>
              <w:tc>
                <w:tcPr>
                  <w:tcW w:w="941" w:type="dxa"/>
                  <w:tcBorders>
                    <w:tl2br w:val="nil"/>
                    <w:tr2bl w:val="nil"/>
                  </w:tcBorders>
                  <w:shd w:val="clear" w:color="auto" w:fill="auto"/>
                  <w:noWrap/>
                  <w:vAlign w:val="center"/>
                </w:tcPr>
                <w:p w14:paraId="18A154BE">
                  <w:pPr>
                    <w:pStyle w:val="54"/>
                    <w:rPr>
                      <w:color w:val="auto"/>
                    </w:rPr>
                  </w:pPr>
                  <w:r>
                    <w:rPr>
                      <w:color w:val="auto"/>
                    </w:rPr>
                    <w:t>0.97</w:t>
                  </w:r>
                </w:p>
              </w:tc>
              <w:tc>
                <w:tcPr>
                  <w:tcW w:w="941" w:type="dxa"/>
                  <w:tcBorders>
                    <w:tl2br w:val="nil"/>
                    <w:tr2bl w:val="nil"/>
                  </w:tcBorders>
                  <w:shd w:val="clear" w:color="auto" w:fill="auto"/>
                  <w:noWrap/>
                  <w:vAlign w:val="center"/>
                </w:tcPr>
                <w:p w14:paraId="3C342929">
                  <w:pPr>
                    <w:pStyle w:val="54"/>
                    <w:rPr>
                      <w:color w:val="auto"/>
                    </w:rPr>
                  </w:pPr>
                  <w:r>
                    <w:rPr>
                      <w:color w:val="auto"/>
                    </w:rPr>
                    <w:t>1.63</w:t>
                  </w:r>
                </w:p>
              </w:tc>
              <w:tc>
                <w:tcPr>
                  <w:tcW w:w="941" w:type="dxa"/>
                  <w:tcBorders>
                    <w:tl2br w:val="nil"/>
                    <w:tr2bl w:val="nil"/>
                  </w:tcBorders>
                  <w:shd w:val="clear" w:color="auto" w:fill="auto"/>
                  <w:noWrap/>
                  <w:vAlign w:val="center"/>
                </w:tcPr>
                <w:p w14:paraId="2E47EA96">
                  <w:pPr>
                    <w:pStyle w:val="54"/>
                    <w:rPr>
                      <w:color w:val="auto"/>
                    </w:rPr>
                  </w:pPr>
                  <w:r>
                    <w:rPr>
                      <w:color w:val="auto"/>
                    </w:rPr>
                    <w:t>1.56</w:t>
                  </w:r>
                </w:p>
              </w:tc>
              <w:tc>
                <w:tcPr>
                  <w:tcW w:w="723" w:type="dxa"/>
                  <w:tcBorders>
                    <w:tl2br w:val="nil"/>
                    <w:tr2bl w:val="nil"/>
                  </w:tcBorders>
                  <w:shd w:val="clear" w:color="auto" w:fill="auto"/>
                  <w:noWrap/>
                  <w:vAlign w:val="center"/>
                </w:tcPr>
                <w:p w14:paraId="34119637">
                  <w:pPr>
                    <w:pStyle w:val="54"/>
                    <w:rPr>
                      <w:color w:val="auto"/>
                    </w:rPr>
                  </w:pPr>
                  <w:r>
                    <w:rPr>
                      <w:color w:val="auto"/>
                    </w:rPr>
                    <w:t>&lt;4</w:t>
                  </w:r>
                </w:p>
              </w:tc>
              <w:tc>
                <w:tcPr>
                  <w:tcW w:w="681" w:type="dxa"/>
                  <w:tcBorders>
                    <w:tl2br w:val="nil"/>
                    <w:tr2bl w:val="nil"/>
                  </w:tcBorders>
                  <w:shd w:val="clear" w:color="auto" w:fill="auto"/>
                  <w:vAlign w:val="center"/>
                </w:tcPr>
                <w:p w14:paraId="3BC87D02">
                  <w:pPr>
                    <w:pStyle w:val="54"/>
                    <w:rPr>
                      <w:color w:val="auto"/>
                    </w:rPr>
                  </w:pPr>
                  <w:r>
                    <w:rPr>
                      <w:rFonts w:hint="eastAsia"/>
                      <w:color w:val="auto"/>
                    </w:rPr>
                    <w:t>达标</w:t>
                  </w:r>
                </w:p>
              </w:tc>
            </w:tr>
            <w:tr w14:paraId="57B78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34" w:type="dxa"/>
                  <w:vMerge w:val="continue"/>
                  <w:tcBorders>
                    <w:tl2br w:val="nil"/>
                    <w:tr2bl w:val="nil"/>
                  </w:tcBorders>
                  <w:shd w:val="clear" w:color="auto" w:fill="auto"/>
                  <w:vAlign w:val="center"/>
                </w:tcPr>
                <w:p w14:paraId="28D2DFBB">
                  <w:pPr>
                    <w:pStyle w:val="54"/>
                    <w:rPr>
                      <w:color w:val="auto"/>
                    </w:rPr>
                  </w:pPr>
                </w:p>
              </w:tc>
              <w:tc>
                <w:tcPr>
                  <w:tcW w:w="1182" w:type="dxa"/>
                  <w:vMerge w:val="continue"/>
                  <w:tcBorders>
                    <w:tl2br w:val="nil"/>
                    <w:tr2bl w:val="nil"/>
                  </w:tcBorders>
                  <w:shd w:val="clear" w:color="auto" w:fill="auto"/>
                  <w:vAlign w:val="center"/>
                </w:tcPr>
                <w:p w14:paraId="2C1BFE16">
                  <w:pPr>
                    <w:pStyle w:val="54"/>
                    <w:rPr>
                      <w:color w:val="auto"/>
                    </w:rPr>
                  </w:pPr>
                </w:p>
              </w:tc>
              <w:tc>
                <w:tcPr>
                  <w:tcW w:w="1281" w:type="dxa"/>
                  <w:tcBorders>
                    <w:tl2br w:val="nil"/>
                    <w:tr2bl w:val="nil"/>
                  </w:tcBorders>
                  <w:shd w:val="clear" w:color="auto" w:fill="auto"/>
                  <w:vAlign w:val="center"/>
                </w:tcPr>
                <w:p w14:paraId="6EF9AFCC">
                  <w:pPr>
                    <w:pStyle w:val="54"/>
                    <w:rPr>
                      <w:color w:val="auto"/>
                    </w:rPr>
                  </w:pPr>
                  <w:r>
                    <w:rPr>
                      <w:color w:val="auto"/>
                    </w:rPr>
                    <w:t>厂内5#</w:t>
                  </w:r>
                </w:p>
              </w:tc>
              <w:tc>
                <w:tcPr>
                  <w:tcW w:w="1009" w:type="dxa"/>
                  <w:tcBorders>
                    <w:tl2br w:val="nil"/>
                    <w:tr2bl w:val="nil"/>
                  </w:tcBorders>
                  <w:shd w:val="clear" w:color="auto" w:fill="auto"/>
                  <w:vAlign w:val="center"/>
                </w:tcPr>
                <w:p w14:paraId="6069C090">
                  <w:pPr>
                    <w:pStyle w:val="54"/>
                    <w:rPr>
                      <w:color w:val="auto"/>
                    </w:rPr>
                  </w:pPr>
                  <w:r>
                    <w:rPr>
                      <w:color w:val="auto"/>
                    </w:rPr>
                    <w:t>mg/m</w:t>
                  </w:r>
                  <w:r>
                    <w:rPr>
                      <w:color w:val="auto"/>
                      <w:vertAlign w:val="superscript"/>
                    </w:rPr>
                    <w:t>3</w:t>
                  </w:r>
                </w:p>
              </w:tc>
              <w:tc>
                <w:tcPr>
                  <w:tcW w:w="941" w:type="dxa"/>
                  <w:tcBorders>
                    <w:tl2br w:val="nil"/>
                    <w:tr2bl w:val="nil"/>
                  </w:tcBorders>
                  <w:shd w:val="clear" w:color="auto" w:fill="auto"/>
                  <w:noWrap/>
                  <w:vAlign w:val="center"/>
                </w:tcPr>
                <w:p w14:paraId="16B7E35D">
                  <w:pPr>
                    <w:pStyle w:val="54"/>
                    <w:rPr>
                      <w:color w:val="auto"/>
                    </w:rPr>
                  </w:pPr>
                  <w:r>
                    <w:rPr>
                      <w:color w:val="auto"/>
                    </w:rPr>
                    <w:t>2.41</w:t>
                  </w:r>
                </w:p>
              </w:tc>
              <w:tc>
                <w:tcPr>
                  <w:tcW w:w="941" w:type="dxa"/>
                  <w:tcBorders>
                    <w:tl2br w:val="nil"/>
                    <w:tr2bl w:val="nil"/>
                  </w:tcBorders>
                  <w:shd w:val="clear" w:color="auto" w:fill="auto"/>
                  <w:noWrap/>
                  <w:vAlign w:val="center"/>
                </w:tcPr>
                <w:p w14:paraId="452AD2CE">
                  <w:pPr>
                    <w:pStyle w:val="54"/>
                    <w:rPr>
                      <w:color w:val="auto"/>
                    </w:rPr>
                  </w:pPr>
                  <w:r>
                    <w:rPr>
                      <w:color w:val="auto"/>
                    </w:rPr>
                    <w:t>2.31</w:t>
                  </w:r>
                </w:p>
              </w:tc>
              <w:tc>
                <w:tcPr>
                  <w:tcW w:w="941" w:type="dxa"/>
                  <w:tcBorders>
                    <w:tl2br w:val="nil"/>
                    <w:tr2bl w:val="nil"/>
                  </w:tcBorders>
                  <w:shd w:val="clear" w:color="auto" w:fill="auto"/>
                  <w:noWrap/>
                  <w:vAlign w:val="center"/>
                </w:tcPr>
                <w:p w14:paraId="5BAD3CDF">
                  <w:pPr>
                    <w:pStyle w:val="54"/>
                    <w:rPr>
                      <w:color w:val="auto"/>
                    </w:rPr>
                  </w:pPr>
                  <w:r>
                    <w:rPr>
                      <w:color w:val="auto"/>
                    </w:rPr>
                    <w:t>2.21</w:t>
                  </w:r>
                </w:p>
              </w:tc>
              <w:tc>
                <w:tcPr>
                  <w:tcW w:w="723" w:type="dxa"/>
                  <w:tcBorders>
                    <w:tl2br w:val="nil"/>
                    <w:tr2bl w:val="nil"/>
                  </w:tcBorders>
                  <w:shd w:val="clear" w:color="auto" w:fill="auto"/>
                  <w:noWrap/>
                  <w:vAlign w:val="center"/>
                </w:tcPr>
                <w:p w14:paraId="72AC70C2">
                  <w:pPr>
                    <w:pStyle w:val="54"/>
                    <w:rPr>
                      <w:color w:val="auto"/>
                    </w:rPr>
                  </w:pPr>
                  <w:r>
                    <w:rPr>
                      <w:color w:val="auto"/>
                    </w:rPr>
                    <w:t>&lt;6</w:t>
                  </w:r>
                </w:p>
              </w:tc>
              <w:tc>
                <w:tcPr>
                  <w:tcW w:w="681" w:type="dxa"/>
                  <w:tcBorders>
                    <w:tl2br w:val="nil"/>
                    <w:tr2bl w:val="nil"/>
                  </w:tcBorders>
                  <w:shd w:val="clear" w:color="auto" w:fill="auto"/>
                  <w:vAlign w:val="center"/>
                </w:tcPr>
                <w:p w14:paraId="3F540586">
                  <w:pPr>
                    <w:pStyle w:val="54"/>
                    <w:rPr>
                      <w:color w:val="auto"/>
                    </w:rPr>
                  </w:pPr>
                  <w:r>
                    <w:rPr>
                      <w:rFonts w:hint="eastAsia"/>
                      <w:color w:val="auto"/>
                    </w:rPr>
                    <w:t>达标</w:t>
                  </w:r>
                </w:p>
              </w:tc>
            </w:tr>
            <w:tr w14:paraId="792D3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4" w:type="dxa"/>
                  <w:vMerge w:val="restart"/>
                  <w:tcBorders>
                    <w:tl2br w:val="nil"/>
                    <w:tr2bl w:val="nil"/>
                  </w:tcBorders>
                  <w:shd w:val="clear" w:color="auto" w:fill="auto"/>
                  <w:vAlign w:val="center"/>
                </w:tcPr>
                <w:p w14:paraId="2BE4F9DB">
                  <w:pPr>
                    <w:pStyle w:val="54"/>
                    <w:rPr>
                      <w:color w:val="auto"/>
                    </w:rPr>
                  </w:pPr>
                  <w:r>
                    <w:rPr>
                      <w:rFonts w:hint="eastAsia"/>
                      <w:color w:val="auto"/>
                    </w:rPr>
                    <w:t>2025.07.10</w:t>
                  </w:r>
                </w:p>
              </w:tc>
              <w:tc>
                <w:tcPr>
                  <w:tcW w:w="1182" w:type="dxa"/>
                  <w:vMerge w:val="restart"/>
                  <w:tcBorders>
                    <w:tl2br w:val="nil"/>
                    <w:tr2bl w:val="nil"/>
                  </w:tcBorders>
                  <w:shd w:val="clear" w:color="auto" w:fill="auto"/>
                  <w:vAlign w:val="center"/>
                </w:tcPr>
                <w:p w14:paraId="3C650F01">
                  <w:pPr>
                    <w:pStyle w:val="54"/>
                    <w:rPr>
                      <w:color w:val="auto"/>
                    </w:rPr>
                  </w:pPr>
                  <w:r>
                    <w:rPr>
                      <w:color w:val="auto"/>
                    </w:rPr>
                    <w:t>总悬浮颗粒物</w:t>
                  </w:r>
                </w:p>
              </w:tc>
              <w:tc>
                <w:tcPr>
                  <w:tcW w:w="1281" w:type="dxa"/>
                  <w:tcBorders>
                    <w:tl2br w:val="nil"/>
                    <w:tr2bl w:val="nil"/>
                  </w:tcBorders>
                  <w:shd w:val="clear" w:color="auto" w:fill="auto"/>
                  <w:vAlign w:val="center"/>
                </w:tcPr>
                <w:p w14:paraId="021A2485">
                  <w:pPr>
                    <w:pStyle w:val="54"/>
                    <w:rPr>
                      <w:color w:val="auto"/>
                    </w:rPr>
                  </w:pPr>
                  <w:r>
                    <w:rPr>
                      <w:color w:val="auto"/>
                    </w:rPr>
                    <w:t>上风向1#</w:t>
                  </w:r>
                </w:p>
              </w:tc>
              <w:tc>
                <w:tcPr>
                  <w:tcW w:w="1009" w:type="dxa"/>
                  <w:tcBorders>
                    <w:tl2br w:val="nil"/>
                    <w:tr2bl w:val="nil"/>
                  </w:tcBorders>
                  <w:shd w:val="clear" w:color="auto" w:fill="auto"/>
                  <w:vAlign w:val="center"/>
                </w:tcPr>
                <w:p w14:paraId="0E8A9729">
                  <w:pPr>
                    <w:pStyle w:val="54"/>
                    <w:rPr>
                      <w:color w:val="auto"/>
                    </w:rPr>
                  </w:pPr>
                  <w:r>
                    <w:rPr>
                      <w:color w:val="auto"/>
                    </w:rPr>
                    <w:t>mg/m</w:t>
                  </w:r>
                  <w:r>
                    <w:rPr>
                      <w:color w:val="auto"/>
                      <w:vertAlign w:val="superscript"/>
                    </w:rPr>
                    <w:t>3</w:t>
                  </w:r>
                </w:p>
              </w:tc>
              <w:tc>
                <w:tcPr>
                  <w:tcW w:w="941" w:type="dxa"/>
                  <w:tcBorders>
                    <w:tl2br w:val="nil"/>
                    <w:tr2bl w:val="nil"/>
                  </w:tcBorders>
                  <w:shd w:val="clear" w:color="auto" w:fill="auto"/>
                  <w:noWrap/>
                  <w:vAlign w:val="center"/>
                </w:tcPr>
                <w:p w14:paraId="1857B7F2">
                  <w:pPr>
                    <w:pStyle w:val="54"/>
                    <w:rPr>
                      <w:color w:val="auto"/>
                    </w:rPr>
                  </w:pPr>
                  <w:r>
                    <w:rPr>
                      <w:color w:val="auto"/>
                    </w:rPr>
                    <w:t>0.240</w:t>
                  </w:r>
                </w:p>
              </w:tc>
              <w:tc>
                <w:tcPr>
                  <w:tcW w:w="941" w:type="dxa"/>
                  <w:tcBorders>
                    <w:tl2br w:val="nil"/>
                    <w:tr2bl w:val="nil"/>
                  </w:tcBorders>
                  <w:shd w:val="clear" w:color="auto" w:fill="auto"/>
                  <w:noWrap/>
                  <w:vAlign w:val="center"/>
                </w:tcPr>
                <w:p w14:paraId="161FEED3">
                  <w:pPr>
                    <w:pStyle w:val="54"/>
                    <w:rPr>
                      <w:color w:val="auto"/>
                    </w:rPr>
                  </w:pPr>
                  <w:r>
                    <w:rPr>
                      <w:color w:val="auto"/>
                    </w:rPr>
                    <w:t>0.231</w:t>
                  </w:r>
                </w:p>
              </w:tc>
              <w:tc>
                <w:tcPr>
                  <w:tcW w:w="941" w:type="dxa"/>
                  <w:tcBorders>
                    <w:tl2br w:val="nil"/>
                    <w:tr2bl w:val="nil"/>
                  </w:tcBorders>
                  <w:shd w:val="clear" w:color="auto" w:fill="auto"/>
                  <w:noWrap/>
                  <w:vAlign w:val="center"/>
                </w:tcPr>
                <w:p w14:paraId="6D9F0D11">
                  <w:pPr>
                    <w:pStyle w:val="54"/>
                    <w:rPr>
                      <w:color w:val="auto"/>
                    </w:rPr>
                  </w:pPr>
                  <w:r>
                    <w:rPr>
                      <w:color w:val="auto"/>
                    </w:rPr>
                    <w:t>0.261</w:t>
                  </w:r>
                </w:p>
              </w:tc>
              <w:tc>
                <w:tcPr>
                  <w:tcW w:w="723" w:type="dxa"/>
                  <w:tcBorders>
                    <w:tl2br w:val="nil"/>
                    <w:tr2bl w:val="nil"/>
                  </w:tcBorders>
                  <w:shd w:val="clear" w:color="auto" w:fill="auto"/>
                  <w:vAlign w:val="center"/>
                </w:tcPr>
                <w:p w14:paraId="50B59D9B">
                  <w:pPr>
                    <w:pStyle w:val="54"/>
                    <w:rPr>
                      <w:color w:val="auto"/>
                    </w:rPr>
                  </w:pPr>
                  <w:r>
                    <w:rPr>
                      <w:color w:val="auto"/>
                    </w:rPr>
                    <w:t>&lt;0.5</w:t>
                  </w:r>
                </w:p>
              </w:tc>
              <w:tc>
                <w:tcPr>
                  <w:tcW w:w="681" w:type="dxa"/>
                  <w:tcBorders>
                    <w:tl2br w:val="nil"/>
                    <w:tr2bl w:val="nil"/>
                  </w:tcBorders>
                  <w:shd w:val="clear" w:color="auto" w:fill="auto"/>
                  <w:vAlign w:val="center"/>
                </w:tcPr>
                <w:p w14:paraId="31425A6A">
                  <w:pPr>
                    <w:pStyle w:val="54"/>
                    <w:rPr>
                      <w:color w:val="auto"/>
                    </w:rPr>
                  </w:pPr>
                  <w:r>
                    <w:rPr>
                      <w:rFonts w:hint="eastAsia"/>
                      <w:color w:val="auto"/>
                    </w:rPr>
                    <w:t>达标</w:t>
                  </w:r>
                </w:p>
              </w:tc>
            </w:tr>
            <w:tr w14:paraId="797F4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34" w:type="dxa"/>
                  <w:vMerge w:val="continue"/>
                  <w:tcBorders>
                    <w:tl2br w:val="nil"/>
                    <w:tr2bl w:val="nil"/>
                  </w:tcBorders>
                  <w:shd w:val="clear" w:color="auto" w:fill="auto"/>
                  <w:vAlign w:val="center"/>
                </w:tcPr>
                <w:p w14:paraId="28B1840F">
                  <w:pPr>
                    <w:pStyle w:val="54"/>
                    <w:rPr>
                      <w:color w:val="auto"/>
                    </w:rPr>
                  </w:pPr>
                </w:p>
              </w:tc>
              <w:tc>
                <w:tcPr>
                  <w:tcW w:w="1182" w:type="dxa"/>
                  <w:vMerge w:val="continue"/>
                  <w:tcBorders>
                    <w:tl2br w:val="nil"/>
                    <w:tr2bl w:val="nil"/>
                  </w:tcBorders>
                  <w:shd w:val="clear" w:color="auto" w:fill="auto"/>
                  <w:vAlign w:val="center"/>
                </w:tcPr>
                <w:p w14:paraId="2F59DC73">
                  <w:pPr>
                    <w:pStyle w:val="54"/>
                    <w:rPr>
                      <w:color w:val="auto"/>
                    </w:rPr>
                  </w:pPr>
                </w:p>
              </w:tc>
              <w:tc>
                <w:tcPr>
                  <w:tcW w:w="1281" w:type="dxa"/>
                  <w:tcBorders>
                    <w:tl2br w:val="nil"/>
                    <w:tr2bl w:val="nil"/>
                  </w:tcBorders>
                  <w:shd w:val="clear" w:color="auto" w:fill="auto"/>
                  <w:vAlign w:val="center"/>
                </w:tcPr>
                <w:p w14:paraId="53131DD9">
                  <w:pPr>
                    <w:pStyle w:val="54"/>
                    <w:rPr>
                      <w:color w:val="auto"/>
                    </w:rPr>
                  </w:pPr>
                  <w:r>
                    <w:rPr>
                      <w:color w:val="auto"/>
                    </w:rPr>
                    <w:t>下风向2#</w:t>
                  </w:r>
                </w:p>
              </w:tc>
              <w:tc>
                <w:tcPr>
                  <w:tcW w:w="1009" w:type="dxa"/>
                  <w:tcBorders>
                    <w:tl2br w:val="nil"/>
                    <w:tr2bl w:val="nil"/>
                  </w:tcBorders>
                  <w:shd w:val="clear" w:color="auto" w:fill="auto"/>
                  <w:vAlign w:val="center"/>
                </w:tcPr>
                <w:p w14:paraId="427CF545">
                  <w:pPr>
                    <w:pStyle w:val="54"/>
                    <w:rPr>
                      <w:color w:val="auto"/>
                    </w:rPr>
                  </w:pPr>
                  <w:r>
                    <w:rPr>
                      <w:color w:val="auto"/>
                    </w:rPr>
                    <w:t>mg/m</w:t>
                  </w:r>
                  <w:r>
                    <w:rPr>
                      <w:color w:val="auto"/>
                      <w:vertAlign w:val="superscript"/>
                    </w:rPr>
                    <w:t>3</w:t>
                  </w:r>
                </w:p>
              </w:tc>
              <w:tc>
                <w:tcPr>
                  <w:tcW w:w="941" w:type="dxa"/>
                  <w:tcBorders>
                    <w:tl2br w:val="nil"/>
                    <w:tr2bl w:val="nil"/>
                  </w:tcBorders>
                  <w:shd w:val="clear" w:color="auto" w:fill="auto"/>
                  <w:noWrap/>
                  <w:vAlign w:val="center"/>
                </w:tcPr>
                <w:p w14:paraId="092D0721">
                  <w:pPr>
                    <w:pStyle w:val="54"/>
                    <w:rPr>
                      <w:color w:val="auto"/>
                    </w:rPr>
                  </w:pPr>
                  <w:r>
                    <w:rPr>
                      <w:color w:val="auto"/>
                    </w:rPr>
                    <w:t>0.345</w:t>
                  </w:r>
                </w:p>
              </w:tc>
              <w:tc>
                <w:tcPr>
                  <w:tcW w:w="941" w:type="dxa"/>
                  <w:tcBorders>
                    <w:tl2br w:val="nil"/>
                    <w:tr2bl w:val="nil"/>
                  </w:tcBorders>
                  <w:shd w:val="clear" w:color="auto" w:fill="auto"/>
                  <w:noWrap/>
                  <w:vAlign w:val="center"/>
                </w:tcPr>
                <w:p w14:paraId="4CEB004C">
                  <w:pPr>
                    <w:pStyle w:val="54"/>
                    <w:rPr>
                      <w:color w:val="auto"/>
                    </w:rPr>
                  </w:pPr>
                  <w:r>
                    <w:rPr>
                      <w:color w:val="auto"/>
                    </w:rPr>
                    <w:t>0.324</w:t>
                  </w:r>
                </w:p>
              </w:tc>
              <w:tc>
                <w:tcPr>
                  <w:tcW w:w="941" w:type="dxa"/>
                  <w:tcBorders>
                    <w:tl2br w:val="nil"/>
                    <w:tr2bl w:val="nil"/>
                  </w:tcBorders>
                  <w:shd w:val="clear" w:color="auto" w:fill="auto"/>
                  <w:noWrap/>
                  <w:vAlign w:val="center"/>
                </w:tcPr>
                <w:p w14:paraId="0E99E327">
                  <w:pPr>
                    <w:pStyle w:val="54"/>
                    <w:rPr>
                      <w:color w:val="auto"/>
                    </w:rPr>
                  </w:pPr>
                  <w:r>
                    <w:rPr>
                      <w:color w:val="auto"/>
                    </w:rPr>
                    <w:t>0.373</w:t>
                  </w:r>
                </w:p>
              </w:tc>
              <w:tc>
                <w:tcPr>
                  <w:tcW w:w="723" w:type="dxa"/>
                  <w:tcBorders>
                    <w:tl2br w:val="nil"/>
                    <w:tr2bl w:val="nil"/>
                  </w:tcBorders>
                  <w:shd w:val="clear" w:color="auto" w:fill="auto"/>
                  <w:vAlign w:val="center"/>
                </w:tcPr>
                <w:p w14:paraId="61E7FF1E">
                  <w:pPr>
                    <w:pStyle w:val="54"/>
                    <w:rPr>
                      <w:color w:val="auto"/>
                    </w:rPr>
                  </w:pPr>
                  <w:r>
                    <w:rPr>
                      <w:color w:val="auto"/>
                    </w:rPr>
                    <w:t>&lt;0.5</w:t>
                  </w:r>
                </w:p>
              </w:tc>
              <w:tc>
                <w:tcPr>
                  <w:tcW w:w="681" w:type="dxa"/>
                  <w:tcBorders>
                    <w:tl2br w:val="nil"/>
                    <w:tr2bl w:val="nil"/>
                  </w:tcBorders>
                  <w:shd w:val="clear" w:color="auto" w:fill="auto"/>
                  <w:vAlign w:val="center"/>
                </w:tcPr>
                <w:p w14:paraId="7B16232E">
                  <w:pPr>
                    <w:pStyle w:val="54"/>
                    <w:rPr>
                      <w:color w:val="auto"/>
                    </w:rPr>
                  </w:pPr>
                  <w:r>
                    <w:rPr>
                      <w:rFonts w:hint="eastAsia"/>
                      <w:color w:val="auto"/>
                    </w:rPr>
                    <w:t>达标</w:t>
                  </w:r>
                </w:p>
              </w:tc>
            </w:tr>
            <w:tr w14:paraId="5F9D1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34" w:type="dxa"/>
                  <w:vMerge w:val="continue"/>
                  <w:tcBorders>
                    <w:tl2br w:val="nil"/>
                    <w:tr2bl w:val="nil"/>
                  </w:tcBorders>
                  <w:shd w:val="clear" w:color="auto" w:fill="auto"/>
                  <w:vAlign w:val="center"/>
                </w:tcPr>
                <w:p w14:paraId="57587DE7">
                  <w:pPr>
                    <w:pStyle w:val="54"/>
                    <w:rPr>
                      <w:color w:val="auto"/>
                    </w:rPr>
                  </w:pPr>
                </w:p>
              </w:tc>
              <w:tc>
                <w:tcPr>
                  <w:tcW w:w="1182" w:type="dxa"/>
                  <w:vMerge w:val="continue"/>
                  <w:tcBorders>
                    <w:tl2br w:val="nil"/>
                    <w:tr2bl w:val="nil"/>
                  </w:tcBorders>
                  <w:shd w:val="clear" w:color="auto" w:fill="auto"/>
                  <w:vAlign w:val="center"/>
                </w:tcPr>
                <w:p w14:paraId="2930B431">
                  <w:pPr>
                    <w:pStyle w:val="54"/>
                    <w:rPr>
                      <w:color w:val="auto"/>
                    </w:rPr>
                  </w:pPr>
                </w:p>
              </w:tc>
              <w:tc>
                <w:tcPr>
                  <w:tcW w:w="1281" w:type="dxa"/>
                  <w:tcBorders>
                    <w:tl2br w:val="nil"/>
                    <w:tr2bl w:val="nil"/>
                  </w:tcBorders>
                  <w:shd w:val="clear" w:color="auto" w:fill="auto"/>
                  <w:vAlign w:val="center"/>
                </w:tcPr>
                <w:p w14:paraId="7F627678">
                  <w:pPr>
                    <w:pStyle w:val="54"/>
                    <w:rPr>
                      <w:color w:val="auto"/>
                    </w:rPr>
                  </w:pPr>
                  <w:r>
                    <w:rPr>
                      <w:color w:val="auto"/>
                    </w:rPr>
                    <w:t>下风向3#</w:t>
                  </w:r>
                </w:p>
              </w:tc>
              <w:tc>
                <w:tcPr>
                  <w:tcW w:w="1009" w:type="dxa"/>
                  <w:tcBorders>
                    <w:tl2br w:val="nil"/>
                    <w:tr2bl w:val="nil"/>
                  </w:tcBorders>
                  <w:shd w:val="clear" w:color="auto" w:fill="auto"/>
                  <w:vAlign w:val="center"/>
                </w:tcPr>
                <w:p w14:paraId="38A42E13">
                  <w:pPr>
                    <w:pStyle w:val="54"/>
                    <w:rPr>
                      <w:color w:val="auto"/>
                    </w:rPr>
                  </w:pPr>
                  <w:r>
                    <w:rPr>
                      <w:color w:val="auto"/>
                    </w:rPr>
                    <w:t>mg/m</w:t>
                  </w:r>
                  <w:r>
                    <w:rPr>
                      <w:color w:val="auto"/>
                      <w:vertAlign w:val="superscript"/>
                    </w:rPr>
                    <w:t>3</w:t>
                  </w:r>
                </w:p>
              </w:tc>
              <w:tc>
                <w:tcPr>
                  <w:tcW w:w="941" w:type="dxa"/>
                  <w:tcBorders>
                    <w:tl2br w:val="nil"/>
                    <w:tr2bl w:val="nil"/>
                  </w:tcBorders>
                  <w:shd w:val="clear" w:color="auto" w:fill="auto"/>
                  <w:noWrap/>
                  <w:vAlign w:val="center"/>
                </w:tcPr>
                <w:p w14:paraId="1F3228C6">
                  <w:pPr>
                    <w:pStyle w:val="54"/>
                    <w:rPr>
                      <w:color w:val="auto"/>
                    </w:rPr>
                  </w:pPr>
                  <w:r>
                    <w:rPr>
                      <w:color w:val="auto"/>
                    </w:rPr>
                    <w:t>0.304</w:t>
                  </w:r>
                </w:p>
              </w:tc>
              <w:tc>
                <w:tcPr>
                  <w:tcW w:w="941" w:type="dxa"/>
                  <w:tcBorders>
                    <w:tl2br w:val="nil"/>
                    <w:tr2bl w:val="nil"/>
                  </w:tcBorders>
                  <w:shd w:val="clear" w:color="auto" w:fill="auto"/>
                  <w:noWrap/>
                  <w:vAlign w:val="center"/>
                </w:tcPr>
                <w:p w14:paraId="5519325A">
                  <w:pPr>
                    <w:pStyle w:val="54"/>
                    <w:rPr>
                      <w:color w:val="auto"/>
                    </w:rPr>
                  </w:pPr>
                  <w:r>
                    <w:rPr>
                      <w:color w:val="auto"/>
                    </w:rPr>
                    <w:t>0.331</w:t>
                  </w:r>
                </w:p>
              </w:tc>
              <w:tc>
                <w:tcPr>
                  <w:tcW w:w="941" w:type="dxa"/>
                  <w:tcBorders>
                    <w:tl2br w:val="nil"/>
                    <w:tr2bl w:val="nil"/>
                  </w:tcBorders>
                  <w:shd w:val="clear" w:color="auto" w:fill="auto"/>
                  <w:noWrap/>
                  <w:vAlign w:val="center"/>
                </w:tcPr>
                <w:p w14:paraId="24C51481">
                  <w:pPr>
                    <w:pStyle w:val="54"/>
                    <w:rPr>
                      <w:color w:val="auto"/>
                    </w:rPr>
                  </w:pPr>
                  <w:r>
                    <w:rPr>
                      <w:color w:val="auto"/>
                    </w:rPr>
                    <w:t>0.350</w:t>
                  </w:r>
                </w:p>
              </w:tc>
              <w:tc>
                <w:tcPr>
                  <w:tcW w:w="723" w:type="dxa"/>
                  <w:tcBorders>
                    <w:tl2br w:val="nil"/>
                    <w:tr2bl w:val="nil"/>
                  </w:tcBorders>
                  <w:shd w:val="clear" w:color="auto" w:fill="auto"/>
                  <w:vAlign w:val="center"/>
                </w:tcPr>
                <w:p w14:paraId="232FFEB8">
                  <w:pPr>
                    <w:pStyle w:val="54"/>
                    <w:rPr>
                      <w:color w:val="auto"/>
                    </w:rPr>
                  </w:pPr>
                  <w:r>
                    <w:rPr>
                      <w:color w:val="auto"/>
                    </w:rPr>
                    <w:t>&lt;0.5</w:t>
                  </w:r>
                </w:p>
              </w:tc>
              <w:tc>
                <w:tcPr>
                  <w:tcW w:w="681" w:type="dxa"/>
                  <w:tcBorders>
                    <w:tl2br w:val="nil"/>
                    <w:tr2bl w:val="nil"/>
                  </w:tcBorders>
                  <w:shd w:val="clear" w:color="auto" w:fill="auto"/>
                  <w:vAlign w:val="center"/>
                </w:tcPr>
                <w:p w14:paraId="78F6080F">
                  <w:pPr>
                    <w:pStyle w:val="54"/>
                    <w:rPr>
                      <w:color w:val="auto"/>
                    </w:rPr>
                  </w:pPr>
                  <w:r>
                    <w:rPr>
                      <w:rFonts w:hint="eastAsia"/>
                      <w:color w:val="auto"/>
                    </w:rPr>
                    <w:t>达标</w:t>
                  </w:r>
                </w:p>
              </w:tc>
            </w:tr>
            <w:tr w14:paraId="6CD2A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34" w:type="dxa"/>
                  <w:vMerge w:val="continue"/>
                  <w:tcBorders>
                    <w:tl2br w:val="nil"/>
                    <w:tr2bl w:val="nil"/>
                  </w:tcBorders>
                  <w:shd w:val="clear" w:color="auto" w:fill="auto"/>
                  <w:vAlign w:val="center"/>
                </w:tcPr>
                <w:p w14:paraId="7C93F0A5">
                  <w:pPr>
                    <w:pStyle w:val="54"/>
                    <w:rPr>
                      <w:color w:val="auto"/>
                    </w:rPr>
                  </w:pPr>
                </w:p>
              </w:tc>
              <w:tc>
                <w:tcPr>
                  <w:tcW w:w="1182" w:type="dxa"/>
                  <w:vMerge w:val="continue"/>
                  <w:tcBorders>
                    <w:tl2br w:val="nil"/>
                    <w:tr2bl w:val="nil"/>
                  </w:tcBorders>
                  <w:shd w:val="clear" w:color="auto" w:fill="auto"/>
                  <w:vAlign w:val="center"/>
                </w:tcPr>
                <w:p w14:paraId="1DA16311">
                  <w:pPr>
                    <w:pStyle w:val="54"/>
                    <w:rPr>
                      <w:color w:val="auto"/>
                    </w:rPr>
                  </w:pPr>
                </w:p>
              </w:tc>
              <w:tc>
                <w:tcPr>
                  <w:tcW w:w="1281" w:type="dxa"/>
                  <w:tcBorders>
                    <w:tl2br w:val="nil"/>
                    <w:tr2bl w:val="nil"/>
                  </w:tcBorders>
                  <w:shd w:val="clear" w:color="auto" w:fill="auto"/>
                  <w:vAlign w:val="center"/>
                </w:tcPr>
                <w:p w14:paraId="56B0F7BF">
                  <w:pPr>
                    <w:pStyle w:val="54"/>
                    <w:rPr>
                      <w:color w:val="auto"/>
                    </w:rPr>
                  </w:pPr>
                  <w:r>
                    <w:rPr>
                      <w:color w:val="auto"/>
                    </w:rPr>
                    <w:t>下风向4#</w:t>
                  </w:r>
                </w:p>
              </w:tc>
              <w:tc>
                <w:tcPr>
                  <w:tcW w:w="1009" w:type="dxa"/>
                  <w:tcBorders>
                    <w:tl2br w:val="nil"/>
                    <w:tr2bl w:val="nil"/>
                  </w:tcBorders>
                  <w:shd w:val="clear" w:color="auto" w:fill="auto"/>
                  <w:vAlign w:val="center"/>
                </w:tcPr>
                <w:p w14:paraId="0EF803D5">
                  <w:pPr>
                    <w:pStyle w:val="54"/>
                    <w:rPr>
                      <w:color w:val="auto"/>
                    </w:rPr>
                  </w:pPr>
                  <w:r>
                    <w:rPr>
                      <w:color w:val="auto"/>
                    </w:rPr>
                    <w:t>mg/m</w:t>
                  </w:r>
                  <w:r>
                    <w:rPr>
                      <w:color w:val="auto"/>
                      <w:vertAlign w:val="superscript"/>
                    </w:rPr>
                    <w:t>3</w:t>
                  </w:r>
                </w:p>
              </w:tc>
              <w:tc>
                <w:tcPr>
                  <w:tcW w:w="941" w:type="dxa"/>
                  <w:tcBorders>
                    <w:tl2br w:val="nil"/>
                    <w:tr2bl w:val="nil"/>
                  </w:tcBorders>
                  <w:shd w:val="clear" w:color="auto" w:fill="auto"/>
                  <w:noWrap/>
                  <w:vAlign w:val="center"/>
                </w:tcPr>
                <w:p w14:paraId="061E6FF9">
                  <w:pPr>
                    <w:pStyle w:val="54"/>
                    <w:rPr>
                      <w:color w:val="auto"/>
                    </w:rPr>
                  </w:pPr>
                  <w:r>
                    <w:rPr>
                      <w:color w:val="auto"/>
                    </w:rPr>
                    <w:t>0.374</w:t>
                  </w:r>
                </w:p>
              </w:tc>
              <w:tc>
                <w:tcPr>
                  <w:tcW w:w="941" w:type="dxa"/>
                  <w:tcBorders>
                    <w:tl2br w:val="nil"/>
                    <w:tr2bl w:val="nil"/>
                  </w:tcBorders>
                  <w:shd w:val="clear" w:color="auto" w:fill="auto"/>
                  <w:noWrap/>
                  <w:vAlign w:val="center"/>
                </w:tcPr>
                <w:p w14:paraId="2FCC2B27">
                  <w:pPr>
                    <w:pStyle w:val="54"/>
                    <w:rPr>
                      <w:color w:val="auto"/>
                    </w:rPr>
                  </w:pPr>
                  <w:r>
                    <w:rPr>
                      <w:color w:val="auto"/>
                    </w:rPr>
                    <w:t>0.403</w:t>
                  </w:r>
                </w:p>
              </w:tc>
              <w:tc>
                <w:tcPr>
                  <w:tcW w:w="941" w:type="dxa"/>
                  <w:tcBorders>
                    <w:tl2br w:val="nil"/>
                    <w:tr2bl w:val="nil"/>
                  </w:tcBorders>
                  <w:shd w:val="clear" w:color="auto" w:fill="auto"/>
                  <w:noWrap/>
                  <w:vAlign w:val="center"/>
                </w:tcPr>
                <w:p w14:paraId="1C3E4CBC">
                  <w:pPr>
                    <w:pStyle w:val="54"/>
                    <w:rPr>
                      <w:color w:val="auto"/>
                    </w:rPr>
                  </w:pPr>
                  <w:r>
                    <w:rPr>
                      <w:color w:val="auto"/>
                    </w:rPr>
                    <w:t>0.367</w:t>
                  </w:r>
                </w:p>
              </w:tc>
              <w:tc>
                <w:tcPr>
                  <w:tcW w:w="723" w:type="dxa"/>
                  <w:tcBorders>
                    <w:tl2br w:val="nil"/>
                    <w:tr2bl w:val="nil"/>
                  </w:tcBorders>
                  <w:shd w:val="clear" w:color="auto" w:fill="auto"/>
                  <w:vAlign w:val="center"/>
                </w:tcPr>
                <w:p w14:paraId="6995FC20">
                  <w:pPr>
                    <w:pStyle w:val="54"/>
                    <w:rPr>
                      <w:color w:val="auto"/>
                    </w:rPr>
                  </w:pPr>
                  <w:r>
                    <w:rPr>
                      <w:color w:val="auto"/>
                    </w:rPr>
                    <w:t>&lt;0.5</w:t>
                  </w:r>
                </w:p>
              </w:tc>
              <w:tc>
                <w:tcPr>
                  <w:tcW w:w="681" w:type="dxa"/>
                  <w:tcBorders>
                    <w:tl2br w:val="nil"/>
                    <w:tr2bl w:val="nil"/>
                  </w:tcBorders>
                  <w:shd w:val="clear" w:color="auto" w:fill="auto"/>
                  <w:vAlign w:val="center"/>
                </w:tcPr>
                <w:p w14:paraId="37590797">
                  <w:pPr>
                    <w:pStyle w:val="54"/>
                    <w:rPr>
                      <w:color w:val="auto"/>
                    </w:rPr>
                  </w:pPr>
                  <w:r>
                    <w:rPr>
                      <w:rFonts w:hint="eastAsia"/>
                      <w:color w:val="auto"/>
                    </w:rPr>
                    <w:t>达标</w:t>
                  </w:r>
                </w:p>
              </w:tc>
            </w:tr>
            <w:tr w14:paraId="65C64B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34" w:type="dxa"/>
                  <w:vMerge w:val="continue"/>
                  <w:tcBorders>
                    <w:tl2br w:val="nil"/>
                    <w:tr2bl w:val="nil"/>
                  </w:tcBorders>
                  <w:shd w:val="clear" w:color="auto" w:fill="auto"/>
                  <w:vAlign w:val="center"/>
                </w:tcPr>
                <w:p w14:paraId="2E21AA6E">
                  <w:pPr>
                    <w:pStyle w:val="54"/>
                    <w:rPr>
                      <w:color w:val="auto"/>
                    </w:rPr>
                  </w:pPr>
                </w:p>
              </w:tc>
              <w:tc>
                <w:tcPr>
                  <w:tcW w:w="1182" w:type="dxa"/>
                  <w:vMerge w:val="restart"/>
                  <w:tcBorders>
                    <w:tl2br w:val="nil"/>
                    <w:tr2bl w:val="nil"/>
                  </w:tcBorders>
                  <w:shd w:val="clear" w:color="auto" w:fill="auto"/>
                  <w:vAlign w:val="center"/>
                </w:tcPr>
                <w:p w14:paraId="1965B8D4">
                  <w:pPr>
                    <w:pStyle w:val="54"/>
                    <w:rPr>
                      <w:color w:val="auto"/>
                    </w:rPr>
                  </w:pPr>
                  <w:r>
                    <w:rPr>
                      <w:color w:val="auto"/>
                    </w:rPr>
                    <w:t>二氧化硫</w:t>
                  </w:r>
                </w:p>
              </w:tc>
              <w:tc>
                <w:tcPr>
                  <w:tcW w:w="1281" w:type="dxa"/>
                  <w:tcBorders>
                    <w:tl2br w:val="nil"/>
                    <w:tr2bl w:val="nil"/>
                  </w:tcBorders>
                  <w:shd w:val="clear" w:color="auto" w:fill="auto"/>
                  <w:vAlign w:val="center"/>
                </w:tcPr>
                <w:p w14:paraId="026B038D">
                  <w:pPr>
                    <w:pStyle w:val="54"/>
                    <w:rPr>
                      <w:color w:val="auto"/>
                    </w:rPr>
                  </w:pPr>
                  <w:r>
                    <w:rPr>
                      <w:color w:val="auto"/>
                    </w:rPr>
                    <w:t>上风向1#</w:t>
                  </w:r>
                </w:p>
              </w:tc>
              <w:tc>
                <w:tcPr>
                  <w:tcW w:w="1009" w:type="dxa"/>
                  <w:tcBorders>
                    <w:tl2br w:val="nil"/>
                    <w:tr2bl w:val="nil"/>
                  </w:tcBorders>
                  <w:shd w:val="clear" w:color="auto" w:fill="auto"/>
                  <w:vAlign w:val="center"/>
                </w:tcPr>
                <w:p w14:paraId="6C2551BD">
                  <w:pPr>
                    <w:pStyle w:val="54"/>
                    <w:rPr>
                      <w:color w:val="auto"/>
                    </w:rPr>
                  </w:pPr>
                  <w:r>
                    <w:rPr>
                      <w:color w:val="auto"/>
                    </w:rPr>
                    <w:t>mg/m</w:t>
                  </w:r>
                  <w:r>
                    <w:rPr>
                      <w:color w:val="auto"/>
                      <w:vertAlign w:val="superscript"/>
                    </w:rPr>
                    <w:t>3</w:t>
                  </w:r>
                </w:p>
              </w:tc>
              <w:tc>
                <w:tcPr>
                  <w:tcW w:w="941" w:type="dxa"/>
                  <w:tcBorders>
                    <w:tl2br w:val="nil"/>
                    <w:tr2bl w:val="nil"/>
                  </w:tcBorders>
                  <w:shd w:val="clear" w:color="auto" w:fill="auto"/>
                  <w:noWrap/>
                  <w:vAlign w:val="center"/>
                </w:tcPr>
                <w:p w14:paraId="5DC55C79">
                  <w:pPr>
                    <w:pStyle w:val="54"/>
                    <w:rPr>
                      <w:color w:val="auto"/>
                    </w:rPr>
                  </w:pPr>
                  <w:r>
                    <w:rPr>
                      <w:color w:val="auto"/>
                    </w:rPr>
                    <w:t>0.027</w:t>
                  </w:r>
                </w:p>
              </w:tc>
              <w:tc>
                <w:tcPr>
                  <w:tcW w:w="941" w:type="dxa"/>
                  <w:tcBorders>
                    <w:tl2br w:val="nil"/>
                    <w:tr2bl w:val="nil"/>
                  </w:tcBorders>
                  <w:shd w:val="clear" w:color="auto" w:fill="auto"/>
                  <w:noWrap/>
                  <w:vAlign w:val="center"/>
                </w:tcPr>
                <w:p w14:paraId="706F69C4">
                  <w:pPr>
                    <w:pStyle w:val="54"/>
                    <w:rPr>
                      <w:color w:val="auto"/>
                    </w:rPr>
                  </w:pPr>
                  <w:r>
                    <w:rPr>
                      <w:color w:val="auto"/>
                    </w:rPr>
                    <w:t>0.025</w:t>
                  </w:r>
                </w:p>
              </w:tc>
              <w:tc>
                <w:tcPr>
                  <w:tcW w:w="941" w:type="dxa"/>
                  <w:tcBorders>
                    <w:tl2br w:val="nil"/>
                    <w:tr2bl w:val="nil"/>
                  </w:tcBorders>
                  <w:shd w:val="clear" w:color="auto" w:fill="auto"/>
                  <w:noWrap/>
                  <w:vAlign w:val="center"/>
                </w:tcPr>
                <w:p w14:paraId="02A88DBB">
                  <w:pPr>
                    <w:pStyle w:val="54"/>
                    <w:rPr>
                      <w:color w:val="auto"/>
                    </w:rPr>
                  </w:pPr>
                  <w:r>
                    <w:rPr>
                      <w:color w:val="auto"/>
                    </w:rPr>
                    <w:t>0.028</w:t>
                  </w:r>
                </w:p>
              </w:tc>
              <w:tc>
                <w:tcPr>
                  <w:tcW w:w="723" w:type="dxa"/>
                  <w:tcBorders>
                    <w:tl2br w:val="nil"/>
                    <w:tr2bl w:val="nil"/>
                  </w:tcBorders>
                  <w:shd w:val="clear" w:color="auto" w:fill="auto"/>
                  <w:noWrap/>
                  <w:vAlign w:val="center"/>
                </w:tcPr>
                <w:p w14:paraId="70AFCD2F">
                  <w:pPr>
                    <w:pStyle w:val="54"/>
                    <w:rPr>
                      <w:color w:val="auto"/>
                    </w:rPr>
                  </w:pPr>
                  <w:r>
                    <w:rPr>
                      <w:color w:val="auto"/>
                    </w:rPr>
                    <w:t>&lt;0.4</w:t>
                  </w:r>
                </w:p>
              </w:tc>
              <w:tc>
                <w:tcPr>
                  <w:tcW w:w="681" w:type="dxa"/>
                  <w:tcBorders>
                    <w:tl2br w:val="nil"/>
                    <w:tr2bl w:val="nil"/>
                  </w:tcBorders>
                  <w:shd w:val="clear" w:color="auto" w:fill="auto"/>
                  <w:vAlign w:val="center"/>
                </w:tcPr>
                <w:p w14:paraId="0AFEBDE1">
                  <w:pPr>
                    <w:pStyle w:val="54"/>
                    <w:rPr>
                      <w:color w:val="auto"/>
                    </w:rPr>
                  </w:pPr>
                  <w:r>
                    <w:rPr>
                      <w:rFonts w:hint="eastAsia"/>
                      <w:color w:val="auto"/>
                    </w:rPr>
                    <w:t>达标</w:t>
                  </w:r>
                </w:p>
              </w:tc>
            </w:tr>
            <w:tr w14:paraId="21709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34" w:type="dxa"/>
                  <w:vMerge w:val="continue"/>
                  <w:tcBorders>
                    <w:tl2br w:val="nil"/>
                    <w:tr2bl w:val="nil"/>
                  </w:tcBorders>
                  <w:shd w:val="clear" w:color="auto" w:fill="auto"/>
                  <w:vAlign w:val="center"/>
                </w:tcPr>
                <w:p w14:paraId="7E41A4F0">
                  <w:pPr>
                    <w:pStyle w:val="54"/>
                    <w:rPr>
                      <w:color w:val="auto"/>
                    </w:rPr>
                  </w:pPr>
                </w:p>
              </w:tc>
              <w:tc>
                <w:tcPr>
                  <w:tcW w:w="1182" w:type="dxa"/>
                  <w:vMerge w:val="continue"/>
                  <w:tcBorders>
                    <w:tl2br w:val="nil"/>
                    <w:tr2bl w:val="nil"/>
                  </w:tcBorders>
                  <w:shd w:val="clear" w:color="auto" w:fill="auto"/>
                  <w:vAlign w:val="center"/>
                </w:tcPr>
                <w:p w14:paraId="2FD31FAB">
                  <w:pPr>
                    <w:pStyle w:val="54"/>
                    <w:rPr>
                      <w:color w:val="auto"/>
                    </w:rPr>
                  </w:pPr>
                </w:p>
              </w:tc>
              <w:tc>
                <w:tcPr>
                  <w:tcW w:w="1281" w:type="dxa"/>
                  <w:tcBorders>
                    <w:tl2br w:val="nil"/>
                    <w:tr2bl w:val="nil"/>
                  </w:tcBorders>
                  <w:shd w:val="clear" w:color="auto" w:fill="auto"/>
                  <w:vAlign w:val="center"/>
                </w:tcPr>
                <w:p w14:paraId="4F216E0D">
                  <w:pPr>
                    <w:pStyle w:val="54"/>
                    <w:rPr>
                      <w:color w:val="auto"/>
                    </w:rPr>
                  </w:pPr>
                  <w:r>
                    <w:rPr>
                      <w:color w:val="auto"/>
                    </w:rPr>
                    <w:t>下风向2#</w:t>
                  </w:r>
                </w:p>
              </w:tc>
              <w:tc>
                <w:tcPr>
                  <w:tcW w:w="1009" w:type="dxa"/>
                  <w:tcBorders>
                    <w:tl2br w:val="nil"/>
                    <w:tr2bl w:val="nil"/>
                  </w:tcBorders>
                  <w:shd w:val="clear" w:color="auto" w:fill="auto"/>
                  <w:vAlign w:val="center"/>
                </w:tcPr>
                <w:p w14:paraId="460398C9">
                  <w:pPr>
                    <w:pStyle w:val="54"/>
                    <w:rPr>
                      <w:color w:val="auto"/>
                    </w:rPr>
                  </w:pPr>
                  <w:r>
                    <w:rPr>
                      <w:color w:val="auto"/>
                    </w:rPr>
                    <w:t>mg/m</w:t>
                  </w:r>
                  <w:r>
                    <w:rPr>
                      <w:color w:val="auto"/>
                      <w:vertAlign w:val="superscript"/>
                    </w:rPr>
                    <w:t>3</w:t>
                  </w:r>
                </w:p>
              </w:tc>
              <w:tc>
                <w:tcPr>
                  <w:tcW w:w="941" w:type="dxa"/>
                  <w:tcBorders>
                    <w:tl2br w:val="nil"/>
                    <w:tr2bl w:val="nil"/>
                  </w:tcBorders>
                  <w:shd w:val="clear" w:color="auto" w:fill="auto"/>
                  <w:noWrap/>
                  <w:vAlign w:val="center"/>
                </w:tcPr>
                <w:p w14:paraId="101A53A1">
                  <w:pPr>
                    <w:pStyle w:val="54"/>
                    <w:rPr>
                      <w:color w:val="auto"/>
                    </w:rPr>
                  </w:pPr>
                  <w:r>
                    <w:rPr>
                      <w:color w:val="auto"/>
                    </w:rPr>
                    <w:t>0.038</w:t>
                  </w:r>
                </w:p>
              </w:tc>
              <w:tc>
                <w:tcPr>
                  <w:tcW w:w="941" w:type="dxa"/>
                  <w:tcBorders>
                    <w:tl2br w:val="nil"/>
                    <w:tr2bl w:val="nil"/>
                  </w:tcBorders>
                  <w:shd w:val="clear" w:color="auto" w:fill="auto"/>
                  <w:noWrap/>
                  <w:vAlign w:val="center"/>
                </w:tcPr>
                <w:p w14:paraId="23896A15">
                  <w:pPr>
                    <w:pStyle w:val="54"/>
                    <w:rPr>
                      <w:color w:val="auto"/>
                    </w:rPr>
                  </w:pPr>
                  <w:r>
                    <w:rPr>
                      <w:color w:val="auto"/>
                    </w:rPr>
                    <w:t>0.037</w:t>
                  </w:r>
                </w:p>
              </w:tc>
              <w:tc>
                <w:tcPr>
                  <w:tcW w:w="941" w:type="dxa"/>
                  <w:tcBorders>
                    <w:tl2br w:val="nil"/>
                    <w:tr2bl w:val="nil"/>
                  </w:tcBorders>
                  <w:shd w:val="clear" w:color="auto" w:fill="auto"/>
                  <w:noWrap/>
                  <w:vAlign w:val="center"/>
                </w:tcPr>
                <w:p w14:paraId="756A21B9">
                  <w:pPr>
                    <w:pStyle w:val="54"/>
                    <w:rPr>
                      <w:color w:val="auto"/>
                    </w:rPr>
                  </w:pPr>
                  <w:r>
                    <w:rPr>
                      <w:color w:val="auto"/>
                    </w:rPr>
                    <w:t>0.034</w:t>
                  </w:r>
                </w:p>
              </w:tc>
              <w:tc>
                <w:tcPr>
                  <w:tcW w:w="723" w:type="dxa"/>
                  <w:tcBorders>
                    <w:tl2br w:val="nil"/>
                    <w:tr2bl w:val="nil"/>
                  </w:tcBorders>
                  <w:shd w:val="clear" w:color="auto" w:fill="auto"/>
                  <w:noWrap/>
                  <w:vAlign w:val="center"/>
                </w:tcPr>
                <w:p w14:paraId="68C6341D">
                  <w:pPr>
                    <w:pStyle w:val="54"/>
                    <w:rPr>
                      <w:color w:val="auto"/>
                    </w:rPr>
                  </w:pPr>
                  <w:r>
                    <w:rPr>
                      <w:color w:val="auto"/>
                    </w:rPr>
                    <w:t>&lt;0.4</w:t>
                  </w:r>
                </w:p>
              </w:tc>
              <w:tc>
                <w:tcPr>
                  <w:tcW w:w="681" w:type="dxa"/>
                  <w:tcBorders>
                    <w:tl2br w:val="nil"/>
                    <w:tr2bl w:val="nil"/>
                  </w:tcBorders>
                  <w:shd w:val="clear" w:color="auto" w:fill="auto"/>
                  <w:vAlign w:val="center"/>
                </w:tcPr>
                <w:p w14:paraId="197BDF47">
                  <w:pPr>
                    <w:pStyle w:val="54"/>
                    <w:rPr>
                      <w:color w:val="auto"/>
                    </w:rPr>
                  </w:pPr>
                  <w:r>
                    <w:rPr>
                      <w:rFonts w:hint="eastAsia"/>
                      <w:color w:val="auto"/>
                    </w:rPr>
                    <w:t>达标</w:t>
                  </w:r>
                </w:p>
              </w:tc>
            </w:tr>
            <w:tr w14:paraId="59EA6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34" w:type="dxa"/>
                  <w:vMerge w:val="continue"/>
                  <w:tcBorders>
                    <w:tl2br w:val="nil"/>
                    <w:tr2bl w:val="nil"/>
                  </w:tcBorders>
                  <w:shd w:val="clear" w:color="auto" w:fill="auto"/>
                  <w:vAlign w:val="center"/>
                </w:tcPr>
                <w:p w14:paraId="0DE23611">
                  <w:pPr>
                    <w:pStyle w:val="54"/>
                    <w:rPr>
                      <w:color w:val="auto"/>
                    </w:rPr>
                  </w:pPr>
                </w:p>
              </w:tc>
              <w:tc>
                <w:tcPr>
                  <w:tcW w:w="1182" w:type="dxa"/>
                  <w:vMerge w:val="continue"/>
                  <w:tcBorders>
                    <w:tl2br w:val="nil"/>
                    <w:tr2bl w:val="nil"/>
                  </w:tcBorders>
                  <w:shd w:val="clear" w:color="auto" w:fill="auto"/>
                  <w:vAlign w:val="center"/>
                </w:tcPr>
                <w:p w14:paraId="038BCA97">
                  <w:pPr>
                    <w:pStyle w:val="54"/>
                    <w:rPr>
                      <w:color w:val="auto"/>
                    </w:rPr>
                  </w:pPr>
                </w:p>
              </w:tc>
              <w:tc>
                <w:tcPr>
                  <w:tcW w:w="1281" w:type="dxa"/>
                  <w:tcBorders>
                    <w:tl2br w:val="nil"/>
                    <w:tr2bl w:val="nil"/>
                  </w:tcBorders>
                  <w:shd w:val="clear" w:color="auto" w:fill="auto"/>
                  <w:vAlign w:val="center"/>
                </w:tcPr>
                <w:p w14:paraId="601DFB63">
                  <w:pPr>
                    <w:pStyle w:val="54"/>
                    <w:rPr>
                      <w:color w:val="auto"/>
                    </w:rPr>
                  </w:pPr>
                  <w:r>
                    <w:rPr>
                      <w:color w:val="auto"/>
                    </w:rPr>
                    <w:t>下风向3#</w:t>
                  </w:r>
                </w:p>
              </w:tc>
              <w:tc>
                <w:tcPr>
                  <w:tcW w:w="1009" w:type="dxa"/>
                  <w:tcBorders>
                    <w:tl2br w:val="nil"/>
                    <w:tr2bl w:val="nil"/>
                  </w:tcBorders>
                  <w:shd w:val="clear" w:color="auto" w:fill="auto"/>
                  <w:vAlign w:val="center"/>
                </w:tcPr>
                <w:p w14:paraId="484D6EFC">
                  <w:pPr>
                    <w:pStyle w:val="54"/>
                    <w:rPr>
                      <w:color w:val="auto"/>
                    </w:rPr>
                  </w:pPr>
                  <w:r>
                    <w:rPr>
                      <w:color w:val="auto"/>
                    </w:rPr>
                    <w:t>mg/m</w:t>
                  </w:r>
                  <w:r>
                    <w:rPr>
                      <w:color w:val="auto"/>
                      <w:vertAlign w:val="superscript"/>
                    </w:rPr>
                    <w:t>3</w:t>
                  </w:r>
                </w:p>
              </w:tc>
              <w:tc>
                <w:tcPr>
                  <w:tcW w:w="941" w:type="dxa"/>
                  <w:tcBorders>
                    <w:tl2br w:val="nil"/>
                    <w:tr2bl w:val="nil"/>
                  </w:tcBorders>
                  <w:shd w:val="clear" w:color="auto" w:fill="auto"/>
                  <w:noWrap/>
                  <w:vAlign w:val="center"/>
                </w:tcPr>
                <w:p w14:paraId="7181C659">
                  <w:pPr>
                    <w:pStyle w:val="54"/>
                    <w:rPr>
                      <w:color w:val="auto"/>
                    </w:rPr>
                  </w:pPr>
                  <w:r>
                    <w:rPr>
                      <w:color w:val="auto"/>
                    </w:rPr>
                    <w:t>0.048</w:t>
                  </w:r>
                </w:p>
              </w:tc>
              <w:tc>
                <w:tcPr>
                  <w:tcW w:w="941" w:type="dxa"/>
                  <w:tcBorders>
                    <w:tl2br w:val="nil"/>
                    <w:tr2bl w:val="nil"/>
                  </w:tcBorders>
                  <w:shd w:val="clear" w:color="auto" w:fill="auto"/>
                  <w:noWrap/>
                  <w:vAlign w:val="center"/>
                </w:tcPr>
                <w:p w14:paraId="5BA089A1">
                  <w:pPr>
                    <w:pStyle w:val="54"/>
                    <w:rPr>
                      <w:color w:val="auto"/>
                    </w:rPr>
                  </w:pPr>
                  <w:r>
                    <w:rPr>
                      <w:color w:val="auto"/>
                    </w:rPr>
                    <w:t>0.043</w:t>
                  </w:r>
                </w:p>
              </w:tc>
              <w:tc>
                <w:tcPr>
                  <w:tcW w:w="941" w:type="dxa"/>
                  <w:tcBorders>
                    <w:tl2br w:val="nil"/>
                    <w:tr2bl w:val="nil"/>
                  </w:tcBorders>
                  <w:shd w:val="clear" w:color="auto" w:fill="auto"/>
                  <w:noWrap/>
                  <w:vAlign w:val="center"/>
                </w:tcPr>
                <w:p w14:paraId="12E1C547">
                  <w:pPr>
                    <w:pStyle w:val="54"/>
                    <w:rPr>
                      <w:color w:val="auto"/>
                    </w:rPr>
                  </w:pPr>
                  <w:r>
                    <w:rPr>
                      <w:color w:val="auto"/>
                    </w:rPr>
                    <w:t>0.047</w:t>
                  </w:r>
                </w:p>
              </w:tc>
              <w:tc>
                <w:tcPr>
                  <w:tcW w:w="723" w:type="dxa"/>
                  <w:tcBorders>
                    <w:tl2br w:val="nil"/>
                    <w:tr2bl w:val="nil"/>
                  </w:tcBorders>
                  <w:shd w:val="clear" w:color="auto" w:fill="auto"/>
                  <w:noWrap/>
                  <w:vAlign w:val="center"/>
                </w:tcPr>
                <w:p w14:paraId="1496A949">
                  <w:pPr>
                    <w:pStyle w:val="54"/>
                    <w:rPr>
                      <w:color w:val="auto"/>
                    </w:rPr>
                  </w:pPr>
                  <w:r>
                    <w:rPr>
                      <w:color w:val="auto"/>
                    </w:rPr>
                    <w:t>&lt;0.4</w:t>
                  </w:r>
                </w:p>
              </w:tc>
              <w:tc>
                <w:tcPr>
                  <w:tcW w:w="681" w:type="dxa"/>
                  <w:tcBorders>
                    <w:tl2br w:val="nil"/>
                    <w:tr2bl w:val="nil"/>
                  </w:tcBorders>
                  <w:shd w:val="clear" w:color="auto" w:fill="auto"/>
                  <w:vAlign w:val="center"/>
                </w:tcPr>
                <w:p w14:paraId="5D183738">
                  <w:pPr>
                    <w:pStyle w:val="54"/>
                    <w:rPr>
                      <w:color w:val="auto"/>
                    </w:rPr>
                  </w:pPr>
                  <w:r>
                    <w:rPr>
                      <w:rFonts w:hint="eastAsia"/>
                      <w:color w:val="auto"/>
                    </w:rPr>
                    <w:t>达标</w:t>
                  </w:r>
                </w:p>
              </w:tc>
            </w:tr>
            <w:tr w14:paraId="4FE9D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34" w:type="dxa"/>
                  <w:vMerge w:val="continue"/>
                  <w:tcBorders>
                    <w:tl2br w:val="nil"/>
                    <w:tr2bl w:val="nil"/>
                  </w:tcBorders>
                  <w:shd w:val="clear" w:color="auto" w:fill="auto"/>
                  <w:vAlign w:val="center"/>
                </w:tcPr>
                <w:p w14:paraId="3EBE63B7">
                  <w:pPr>
                    <w:pStyle w:val="54"/>
                    <w:rPr>
                      <w:color w:val="auto"/>
                    </w:rPr>
                  </w:pPr>
                </w:p>
              </w:tc>
              <w:tc>
                <w:tcPr>
                  <w:tcW w:w="1182" w:type="dxa"/>
                  <w:vMerge w:val="continue"/>
                  <w:tcBorders>
                    <w:tl2br w:val="nil"/>
                    <w:tr2bl w:val="nil"/>
                  </w:tcBorders>
                  <w:shd w:val="clear" w:color="auto" w:fill="auto"/>
                  <w:vAlign w:val="center"/>
                </w:tcPr>
                <w:p w14:paraId="258CB31D">
                  <w:pPr>
                    <w:pStyle w:val="54"/>
                    <w:rPr>
                      <w:color w:val="auto"/>
                    </w:rPr>
                  </w:pPr>
                </w:p>
              </w:tc>
              <w:tc>
                <w:tcPr>
                  <w:tcW w:w="1281" w:type="dxa"/>
                  <w:tcBorders>
                    <w:tl2br w:val="nil"/>
                    <w:tr2bl w:val="nil"/>
                  </w:tcBorders>
                  <w:shd w:val="clear" w:color="auto" w:fill="auto"/>
                  <w:vAlign w:val="center"/>
                </w:tcPr>
                <w:p w14:paraId="5A22741F">
                  <w:pPr>
                    <w:pStyle w:val="54"/>
                    <w:rPr>
                      <w:color w:val="auto"/>
                    </w:rPr>
                  </w:pPr>
                  <w:r>
                    <w:rPr>
                      <w:color w:val="auto"/>
                    </w:rPr>
                    <w:t>下风向4#</w:t>
                  </w:r>
                </w:p>
              </w:tc>
              <w:tc>
                <w:tcPr>
                  <w:tcW w:w="1009" w:type="dxa"/>
                  <w:tcBorders>
                    <w:tl2br w:val="nil"/>
                    <w:tr2bl w:val="nil"/>
                  </w:tcBorders>
                  <w:shd w:val="clear" w:color="auto" w:fill="auto"/>
                  <w:vAlign w:val="center"/>
                </w:tcPr>
                <w:p w14:paraId="1C25F57D">
                  <w:pPr>
                    <w:pStyle w:val="54"/>
                    <w:rPr>
                      <w:color w:val="auto"/>
                    </w:rPr>
                  </w:pPr>
                  <w:r>
                    <w:rPr>
                      <w:color w:val="auto"/>
                    </w:rPr>
                    <w:t>mg/m</w:t>
                  </w:r>
                  <w:r>
                    <w:rPr>
                      <w:color w:val="auto"/>
                      <w:vertAlign w:val="superscript"/>
                    </w:rPr>
                    <w:t>3</w:t>
                  </w:r>
                </w:p>
              </w:tc>
              <w:tc>
                <w:tcPr>
                  <w:tcW w:w="941" w:type="dxa"/>
                  <w:tcBorders>
                    <w:tl2br w:val="nil"/>
                    <w:tr2bl w:val="nil"/>
                  </w:tcBorders>
                  <w:shd w:val="clear" w:color="auto" w:fill="auto"/>
                  <w:noWrap/>
                  <w:vAlign w:val="center"/>
                </w:tcPr>
                <w:p w14:paraId="7C46A053">
                  <w:pPr>
                    <w:pStyle w:val="54"/>
                    <w:rPr>
                      <w:color w:val="auto"/>
                    </w:rPr>
                  </w:pPr>
                  <w:r>
                    <w:rPr>
                      <w:color w:val="auto"/>
                    </w:rPr>
                    <w:t>0.042</w:t>
                  </w:r>
                </w:p>
              </w:tc>
              <w:tc>
                <w:tcPr>
                  <w:tcW w:w="941" w:type="dxa"/>
                  <w:tcBorders>
                    <w:tl2br w:val="nil"/>
                    <w:tr2bl w:val="nil"/>
                  </w:tcBorders>
                  <w:shd w:val="clear" w:color="auto" w:fill="auto"/>
                  <w:noWrap/>
                  <w:vAlign w:val="center"/>
                </w:tcPr>
                <w:p w14:paraId="60BD6E88">
                  <w:pPr>
                    <w:pStyle w:val="54"/>
                    <w:rPr>
                      <w:color w:val="auto"/>
                    </w:rPr>
                  </w:pPr>
                  <w:r>
                    <w:rPr>
                      <w:color w:val="auto"/>
                    </w:rPr>
                    <w:t>0.039</w:t>
                  </w:r>
                </w:p>
              </w:tc>
              <w:tc>
                <w:tcPr>
                  <w:tcW w:w="941" w:type="dxa"/>
                  <w:tcBorders>
                    <w:tl2br w:val="nil"/>
                    <w:tr2bl w:val="nil"/>
                  </w:tcBorders>
                  <w:shd w:val="clear" w:color="auto" w:fill="auto"/>
                  <w:noWrap/>
                  <w:vAlign w:val="center"/>
                </w:tcPr>
                <w:p w14:paraId="1FE0C2A8">
                  <w:pPr>
                    <w:pStyle w:val="54"/>
                    <w:rPr>
                      <w:color w:val="auto"/>
                    </w:rPr>
                  </w:pPr>
                  <w:r>
                    <w:rPr>
                      <w:color w:val="auto"/>
                    </w:rPr>
                    <w:t>0.040</w:t>
                  </w:r>
                </w:p>
              </w:tc>
              <w:tc>
                <w:tcPr>
                  <w:tcW w:w="723" w:type="dxa"/>
                  <w:tcBorders>
                    <w:tl2br w:val="nil"/>
                    <w:tr2bl w:val="nil"/>
                  </w:tcBorders>
                  <w:shd w:val="clear" w:color="auto" w:fill="auto"/>
                  <w:noWrap/>
                  <w:vAlign w:val="center"/>
                </w:tcPr>
                <w:p w14:paraId="09863F4C">
                  <w:pPr>
                    <w:pStyle w:val="54"/>
                    <w:rPr>
                      <w:color w:val="auto"/>
                    </w:rPr>
                  </w:pPr>
                  <w:r>
                    <w:rPr>
                      <w:color w:val="auto"/>
                    </w:rPr>
                    <w:t>&lt;0.4</w:t>
                  </w:r>
                </w:p>
              </w:tc>
              <w:tc>
                <w:tcPr>
                  <w:tcW w:w="681" w:type="dxa"/>
                  <w:tcBorders>
                    <w:tl2br w:val="nil"/>
                    <w:tr2bl w:val="nil"/>
                  </w:tcBorders>
                  <w:shd w:val="clear" w:color="auto" w:fill="auto"/>
                  <w:vAlign w:val="center"/>
                </w:tcPr>
                <w:p w14:paraId="79D6E27A">
                  <w:pPr>
                    <w:pStyle w:val="54"/>
                    <w:rPr>
                      <w:color w:val="auto"/>
                    </w:rPr>
                  </w:pPr>
                  <w:r>
                    <w:rPr>
                      <w:rFonts w:hint="eastAsia"/>
                      <w:color w:val="auto"/>
                    </w:rPr>
                    <w:t>达标</w:t>
                  </w:r>
                </w:p>
              </w:tc>
            </w:tr>
            <w:tr w14:paraId="7BECE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34" w:type="dxa"/>
                  <w:vMerge w:val="continue"/>
                  <w:tcBorders>
                    <w:tl2br w:val="nil"/>
                    <w:tr2bl w:val="nil"/>
                  </w:tcBorders>
                  <w:shd w:val="clear" w:color="auto" w:fill="auto"/>
                  <w:vAlign w:val="center"/>
                </w:tcPr>
                <w:p w14:paraId="3AC8C8DB">
                  <w:pPr>
                    <w:pStyle w:val="54"/>
                    <w:rPr>
                      <w:color w:val="auto"/>
                    </w:rPr>
                  </w:pPr>
                </w:p>
              </w:tc>
              <w:tc>
                <w:tcPr>
                  <w:tcW w:w="1182" w:type="dxa"/>
                  <w:vMerge w:val="restart"/>
                  <w:tcBorders>
                    <w:tl2br w:val="nil"/>
                    <w:tr2bl w:val="nil"/>
                  </w:tcBorders>
                  <w:shd w:val="clear" w:color="auto" w:fill="auto"/>
                  <w:vAlign w:val="center"/>
                </w:tcPr>
                <w:p w14:paraId="0AFFB399">
                  <w:pPr>
                    <w:pStyle w:val="54"/>
                    <w:rPr>
                      <w:color w:val="auto"/>
                    </w:rPr>
                  </w:pPr>
                  <w:r>
                    <w:rPr>
                      <w:color w:val="auto"/>
                    </w:rPr>
                    <w:t>氮氧化物</w:t>
                  </w:r>
                </w:p>
              </w:tc>
              <w:tc>
                <w:tcPr>
                  <w:tcW w:w="1281" w:type="dxa"/>
                  <w:tcBorders>
                    <w:tl2br w:val="nil"/>
                    <w:tr2bl w:val="nil"/>
                  </w:tcBorders>
                  <w:shd w:val="clear" w:color="auto" w:fill="auto"/>
                  <w:vAlign w:val="center"/>
                </w:tcPr>
                <w:p w14:paraId="6FB0FD88">
                  <w:pPr>
                    <w:pStyle w:val="54"/>
                    <w:rPr>
                      <w:color w:val="auto"/>
                    </w:rPr>
                  </w:pPr>
                  <w:r>
                    <w:rPr>
                      <w:color w:val="auto"/>
                    </w:rPr>
                    <w:t>上风向1#</w:t>
                  </w:r>
                </w:p>
              </w:tc>
              <w:tc>
                <w:tcPr>
                  <w:tcW w:w="1009" w:type="dxa"/>
                  <w:tcBorders>
                    <w:tl2br w:val="nil"/>
                    <w:tr2bl w:val="nil"/>
                  </w:tcBorders>
                  <w:shd w:val="clear" w:color="auto" w:fill="auto"/>
                  <w:vAlign w:val="center"/>
                </w:tcPr>
                <w:p w14:paraId="52A74774">
                  <w:pPr>
                    <w:pStyle w:val="54"/>
                    <w:rPr>
                      <w:color w:val="auto"/>
                    </w:rPr>
                  </w:pPr>
                  <w:r>
                    <w:rPr>
                      <w:color w:val="auto"/>
                    </w:rPr>
                    <w:t>mg/m</w:t>
                  </w:r>
                  <w:r>
                    <w:rPr>
                      <w:color w:val="auto"/>
                      <w:vertAlign w:val="superscript"/>
                    </w:rPr>
                    <w:t>3</w:t>
                  </w:r>
                </w:p>
              </w:tc>
              <w:tc>
                <w:tcPr>
                  <w:tcW w:w="941" w:type="dxa"/>
                  <w:tcBorders>
                    <w:tl2br w:val="nil"/>
                    <w:tr2bl w:val="nil"/>
                  </w:tcBorders>
                  <w:shd w:val="clear" w:color="auto" w:fill="auto"/>
                  <w:noWrap/>
                  <w:vAlign w:val="center"/>
                </w:tcPr>
                <w:p w14:paraId="5EECF54C">
                  <w:pPr>
                    <w:pStyle w:val="54"/>
                    <w:rPr>
                      <w:color w:val="auto"/>
                    </w:rPr>
                  </w:pPr>
                  <w:r>
                    <w:rPr>
                      <w:color w:val="auto"/>
                    </w:rPr>
                    <w:t>0.051</w:t>
                  </w:r>
                </w:p>
              </w:tc>
              <w:tc>
                <w:tcPr>
                  <w:tcW w:w="941" w:type="dxa"/>
                  <w:tcBorders>
                    <w:tl2br w:val="nil"/>
                    <w:tr2bl w:val="nil"/>
                  </w:tcBorders>
                  <w:shd w:val="clear" w:color="auto" w:fill="auto"/>
                  <w:noWrap/>
                  <w:vAlign w:val="center"/>
                </w:tcPr>
                <w:p w14:paraId="04419B1C">
                  <w:pPr>
                    <w:pStyle w:val="54"/>
                    <w:rPr>
                      <w:color w:val="auto"/>
                    </w:rPr>
                  </w:pPr>
                  <w:r>
                    <w:rPr>
                      <w:color w:val="auto"/>
                    </w:rPr>
                    <w:t>0.053</w:t>
                  </w:r>
                </w:p>
              </w:tc>
              <w:tc>
                <w:tcPr>
                  <w:tcW w:w="941" w:type="dxa"/>
                  <w:tcBorders>
                    <w:tl2br w:val="nil"/>
                    <w:tr2bl w:val="nil"/>
                  </w:tcBorders>
                  <w:shd w:val="clear" w:color="auto" w:fill="auto"/>
                  <w:noWrap/>
                  <w:vAlign w:val="center"/>
                </w:tcPr>
                <w:p w14:paraId="307B00B9">
                  <w:pPr>
                    <w:pStyle w:val="54"/>
                    <w:rPr>
                      <w:color w:val="auto"/>
                    </w:rPr>
                  </w:pPr>
                  <w:r>
                    <w:rPr>
                      <w:color w:val="auto"/>
                    </w:rPr>
                    <w:t>0.052</w:t>
                  </w:r>
                </w:p>
              </w:tc>
              <w:tc>
                <w:tcPr>
                  <w:tcW w:w="723" w:type="dxa"/>
                  <w:tcBorders>
                    <w:tl2br w:val="nil"/>
                    <w:tr2bl w:val="nil"/>
                  </w:tcBorders>
                  <w:shd w:val="clear" w:color="auto" w:fill="auto"/>
                  <w:noWrap/>
                  <w:vAlign w:val="center"/>
                </w:tcPr>
                <w:p w14:paraId="2F889377">
                  <w:pPr>
                    <w:pStyle w:val="54"/>
                    <w:rPr>
                      <w:color w:val="auto"/>
                    </w:rPr>
                  </w:pPr>
                  <w:r>
                    <w:rPr>
                      <w:color w:val="auto"/>
                    </w:rPr>
                    <w:t>&lt;0.12</w:t>
                  </w:r>
                </w:p>
              </w:tc>
              <w:tc>
                <w:tcPr>
                  <w:tcW w:w="681" w:type="dxa"/>
                  <w:tcBorders>
                    <w:tl2br w:val="nil"/>
                    <w:tr2bl w:val="nil"/>
                  </w:tcBorders>
                  <w:shd w:val="clear" w:color="auto" w:fill="auto"/>
                  <w:vAlign w:val="center"/>
                </w:tcPr>
                <w:p w14:paraId="74AD0660">
                  <w:pPr>
                    <w:pStyle w:val="54"/>
                    <w:rPr>
                      <w:color w:val="auto"/>
                    </w:rPr>
                  </w:pPr>
                  <w:r>
                    <w:rPr>
                      <w:rFonts w:hint="eastAsia"/>
                      <w:color w:val="auto"/>
                    </w:rPr>
                    <w:t>达标</w:t>
                  </w:r>
                </w:p>
              </w:tc>
            </w:tr>
            <w:tr w14:paraId="75FA8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34" w:type="dxa"/>
                  <w:vMerge w:val="continue"/>
                  <w:tcBorders>
                    <w:tl2br w:val="nil"/>
                    <w:tr2bl w:val="nil"/>
                  </w:tcBorders>
                  <w:shd w:val="clear" w:color="auto" w:fill="auto"/>
                  <w:vAlign w:val="center"/>
                </w:tcPr>
                <w:p w14:paraId="6AEA51A8">
                  <w:pPr>
                    <w:pStyle w:val="54"/>
                    <w:rPr>
                      <w:color w:val="auto"/>
                    </w:rPr>
                  </w:pPr>
                </w:p>
              </w:tc>
              <w:tc>
                <w:tcPr>
                  <w:tcW w:w="1182" w:type="dxa"/>
                  <w:vMerge w:val="continue"/>
                  <w:tcBorders>
                    <w:tl2br w:val="nil"/>
                    <w:tr2bl w:val="nil"/>
                  </w:tcBorders>
                  <w:shd w:val="clear" w:color="auto" w:fill="auto"/>
                  <w:vAlign w:val="center"/>
                </w:tcPr>
                <w:p w14:paraId="654E98B8">
                  <w:pPr>
                    <w:pStyle w:val="54"/>
                    <w:rPr>
                      <w:color w:val="auto"/>
                    </w:rPr>
                  </w:pPr>
                </w:p>
              </w:tc>
              <w:tc>
                <w:tcPr>
                  <w:tcW w:w="1281" w:type="dxa"/>
                  <w:tcBorders>
                    <w:tl2br w:val="nil"/>
                    <w:tr2bl w:val="nil"/>
                  </w:tcBorders>
                  <w:shd w:val="clear" w:color="auto" w:fill="auto"/>
                  <w:vAlign w:val="center"/>
                </w:tcPr>
                <w:p w14:paraId="0A4F9B71">
                  <w:pPr>
                    <w:pStyle w:val="54"/>
                    <w:rPr>
                      <w:color w:val="auto"/>
                    </w:rPr>
                  </w:pPr>
                  <w:r>
                    <w:rPr>
                      <w:color w:val="auto"/>
                    </w:rPr>
                    <w:t>下风向2#</w:t>
                  </w:r>
                </w:p>
              </w:tc>
              <w:tc>
                <w:tcPr>
                  <w:tcW w:w="1009" w:type="dxa"/>
                  <w:tcBorders>
                    <w:tl2br w:val="nil"/>
                    <w:tr2bl w:val="nil"/>
                  </w:tcBorders>
                  <w:shd w:val="clear" w:color="auto" w:fill="auto"/>
                  <w:vAlign w:val="center"/>
                </w:tcPr>
                <w:p w14:paraId="3496D339">
                  <w:pPr>
                    <w:pStyle w:val="54"/>
                    <w:rPr>
                      <w:color w:val="auto"/>
                    </w:rPr>
                  </w:pPr>
                  <w:r>
                    <w:rPr>
                      <w:color w:val="auto"/>
                    </w:rPr>
                    <w:t>mg/m</w:t>
                  </w:r>
                  <w:r>
                    <w:rPr>
                      <w:color w:val="auto"/>
                      <w:vertAlign w:val="superscript"/>
                    </w:rPr>
                    <w:t>3</w:t>
                  </w:r>
                </w:p>
              </w:tc>
              <w:tc>
                <w:tcPr>
                  <w:tcW w:w="941" w:type="dxa"/>
                  <w:tcBorders>
                    <w:tl2br w:val="nil"/>
                    <w:tr2bl w:val="nil"/>
                  </w:tcBorders>
                  <w:shd w:val="clear" w:color="auto" w:fill="auto"/>
                  <w:noWrap/>
                  <w:vAlign w:val="center"/>
                </w:tcPr>
                <w:p w14:paraId="3E0C300D">
                  <w:pPr>
                    <w:pStyle w:val="54"/>
                    <w:rPr>
                      <w:color w:val="auto"/>
                    </w:rPr>
                  </w:pPr>
                  <w:r>
                    <w:rPr>
                      <w:color w:val="auto"/>
                    </w:rPr>
                    <w:t>0.065</w:t>
                  </w:r>
                </w:p>
              </w:tc>
              <w:tc>
                <w:tcPr>
                  <w:tcW w:w="941" w:type="dxa"/>
                  <w:tcBorders>
                    <w:tl2br w:val="nil"/>
                    <w:tr2bl w:val="nil"/>
                  </w:tcBorders>
                  <w:shd w:val="clear" w:color="auto" w:fill="auto"/>
                  <w:noWrap/>
                  <w:vAlign w:val="center"/>
                </w:tcPr>
                <w:p w14:paraId="6AFCAF08">
                  <w:pPr>
                    <w:pStyle w:val="54"/>
                    <w:rPr>
                      <w:color w:val="auto"/>
                    </w:rPr>
                  </w:pPr>
                  <w:r>
                    <w:rPr>
                      <w:color w:val="auto"/>
                    </w:rPr>
                    <w:t>0.071</w:t>
                  </w:r>
                </w:p>
              </w:tc>
              <w:tc>
                <w:tcPr>
                  <w:tcW w:w="941" w:type="dxa"/>
                  <w:tcBorders>
                    <w:tl2br w:val="nil"/>
                    <w:tr2bl w:val="nil"/>
                  </w:tcBorders>
                  <w:shd w:val="clear" w:color="auto" w:fill="auto"/>
                  <w:noWrap/>
                  <w:vAlign w:val="center"/>
                </w:tcPr>
                <w:p w14:paraId="4816E555">
                  <w:pPr>
                    <w:pStyle w:val="54"/>
                    <w:rPr>
                      <w:color w:val="auto"/>
                    </w:rPr>
                  </w:pPr>
                  <w:r>
                    <w:rPr>
                      <w:color w:val="auto"/>
                    </w:rPr>
                    <w:t>0.068</w:t>
                  </w:r>
                </w:p>
              </w:tc>
              <w:tc>
                <w:tcPr>
                  <w:tcW w:w="723" w:type="dxa"/>
                  <w:tcBorders>
                    <w:tl2br w:val="nil"/>
                    <w:tr2bl w:val="nil"/>
                  </w:tcBorders>
                  <w:shd w:val="clear" w:color="auto" w:fill="auto"/>
                  <w:noWrap/>
                  <w:vAlign w:val="center"/>
                </w:tcPr>
                <w:p w14:paraId="549BB3CC">
                  <w:pPr>
                    <w:pStyle w:val="54"/>
                    <w:rPr>
                      <w:color w:val="auto"/>
                    </w:rPr>
                  </w:pPr>
                  <w:r>
                    <w:rPr>
                      <w:color w:val="auto"/>
                    </w:rPr>
                    <w:t>&lt;0.12</w:t>
                  </w:r>
                </w:p>
              </w:tc>
              <w:tc>
                <w:tcPr>
                  <w:tcW w:w="681" w:type="dxa"/>
                  <w:tcBorders>
                    <w:tl2br w:val="nil"/>
                    <w:tr2bl w:val="nil"/>
                  </w:tcBorders>
                  <w:shd w:val="clear" w:color="auto" w:fill="auto"/>
                  <w:vAlign w:val="center"/>
                </w:tcPr>
                <w:p w14:paraId="753DD826">
                  <w:pPr>
                    <w:pStyle w:val="54"/>
                    <w:rPr>
                      <w:color w:val="auto"/>
                    </w:rPr>
                  </w:pPr>
                  <w:r>
                    <w:rPr>
                      <w:rFonts w:hint="eastAsia"/>
                      <w:color w:val="auto"/>
                    </w:rPr>
                    <w:t>达标</w:t>
                  </w:r>
                </w:p>
              </w:tc>
            </w:tr>
            <w:tr w14:paraId="46DD1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34" w:type="dxa"/>
                  <w:vMerge w:val="continue"/>
                  <w:tcBorders>
                    <w:tl2br w:val="nil"/>
                    <w:tr2bl w:val="nil"/>
                  </w:tcBorders>
                  <w:shd w:val="clear" w:color="auto" w:fill="auto"/>
                  <w:vAlign w:val="center"/>
                </w:tcPr>
                <w:p w14:paraId="2290946B">
                  <w:pPr>
                    <w:pStyle w:val="54"/>
                    <w:rPr>
                      <w:color w:val="auto"/>
                    </w:rPr>
                  </w:pPr>
                </w:p>
              </w:tc>
              <w:tc>
                <w:tcPr>
                  <w:tcW w:w="1182" w:type="dxa"/>
                  <w:vMerge w:val="continue"/>
                  <w:tcBorders>
                    <w:tl2br w:val="nil"/>
                    <w:tr2bl w:val="nil"/>
                  </w:tcBorders>
                  <w:shd w:val="clear" w:color="auto" w:fill="auto"/>
                  <w:vAlign w:val="center"/>
                </w:tcPr>
                <w:p w14:paraId="7A3C2327">
                  <w:pPr>
                    <w:pStyle w:val="54"/>
                    <w:rPr>
                      <w:color w:val="auto"/>
                    </w:rPr>
                  </w:pPr>
                </w:p>
              </w:tc>
              <w:tc>
                <w:tcPr>
                  <w:tcW w:w="1281" w:type="dxa"/>
                  <w:tcBorders>
                    <w:tl2br w:val="nil"/>
                    <w:tr2bl w:val="nil"/>
                  </w:tcBorders>
                  <w:shd w:val="clear" w:color="auto" w:fill="auto"/>
                  <w:vAlign w:val="center"/>
                </w:tcPr>
                <w:p w14:paraId="034A0F95">
                  <w:pPr>
                    <w:pStyle w:val="54"/>
                    <w:rPr>
                      <w:color w:val="auto"/>
                    </w:rPr>
                  </w:pPr>
                  <w:r>
                    <w:rPr>
                      <w:color w:val="auto"/>
                    </w:rPr>
                    <w:t>下风向3#</w:t>
                  </w:r>
                </w:p>
              </w:tc>
              <w:tc>
                <w:tcPr>
                  <w:tcW w:w="1009" w:type="dxa"/>
                  <w:tcBorders>
                    <w:tl2br w:val="nil"/>
                    <w:tr2bl w:val="nil"/>
                  </w:tcBorders>
                  <w:shd w:val="clear" w:color="auto" w:fill="auto"/>
                  <w:vAlign w:val="center"/>
                </w:tcPr>
                <w:p w14:paraId="26FD5029">
                  <w:pPr>
                    <w:pStyle w:val="54"/>
                    <w:rPr>
                      <w:color w:val="auto"/>
                    </w:rPr>
                  </w:pPr>
                  <w:r>
                    <w:rPr>
                      <w:color w:val="auto"/>
                    </w:rPr>
                    <w:t>mg/m</w:t>
                  </w:r>
                  <w:r>
                    <w:rPr>
                      <w:color w:val="auto"/>
                      <w:vertAlign w:val="superscript"/>
                    </w:rPr>
                    <w:t>3</w:t>
                  </w:r>
                </w:p>
              </w:tc>
              <w:tc>
                <w:tcPr>
                  <w:tcW w:w="941" w:type="dxa"/>
                  <w:tcBorders>
                    <w:tl2br w:val="nil"/>
                    <w:tr2bl w:val="nil"/>
                  </w:tcBorders>
                  <w:shd w:val="clear" w:color="auto" w:fill="auto"/>
                  <w:noWrap/>
                  <w:vAlign w:val="center"/>
                </w:tcPr>
                <w:p w14:paraId="33ABCB61">
                  <w:pPr>
                    <w:pStyle w:val="54"/>
                    <w:rPr>
                      <w:color w:val="auto"/>
                    </w:rPr>
                  </w:pPr>
                  <w:r>
                    <w:rPr>
                      <w:color w:val="auto"/>
                    </w:rPr>
                    <w:t>0.059</w:t>
                  </w:r>
                </w:p>
              </w:tc>
              <w:tc>
                <w:tcPr>
                  <w:tcW w:w="941" w:type="dxa"/>
                  <w:tcBorders>
                    <w:tl2br w:val="nil"/>
                    <w:tr2bl w:val="nil"/>
                  </w:tcBorders>
                  <w:shd w:val="clear" w:color="auto" w:fill="auto"/>
                  <w:noWrap/>
                  <w:vAlign w:val="center"/>
                </w:tcPr>
                <w:p w14:paraId="33FAAC45">
                  <w:pPr>
                    <w:pStyle w:val="54"/>
                    <w:rPr>
                      <w:color w:val="auto"/>
                    </w:rPr>
                  </w:pPr>
                  <w:r>
                    <w:rPr>
                      <w:color w:val="auto"/>
                    </w:rPr>
                    <w:t>0.064</w:t>
                  </w:r>
                </w:p>
              </w:tc>
              <w:tc>
                <w:tcPr>
                  <w:tcW w:w="941" w:type="dxa"/>
                  <w:tcBorders>
                    <w:tl2br w:val="nil"/>
                    <w:tr2bl w:val="nil"/>
                  </w:tcBorders>
                  <w:shd w:val="clear" w:color="auto" w:fill="auto"/>
                  <w:noWrap/>
                  <w:vAlign w:val="center"/>
                </w:tcPr>
                <w:p w14:paraId="38E84A0F">
                  <w:pPr>
                    <w:pStyle w:val="54"/>
                    <w:rPr>
                      <w:color w:val="auto"/>
                    </w:rPr>
                  </w:pPr>
                  <w:r>
                    <w:rPr>
                      <w:color w:val="auto"/>
                    </w:rPr>
                    <w:t>0.62</w:t>
                  </w:r>
                </w:p>
              </w:tc>
              <w:tc>
                <w:tcPr>
                  <w:tcW w:w="723" w:type="dxa"/>
                  <w:tcBorders>
                    <w:tl2br w:val="nil"/>
                    <w:tr2bl w:val="nil"/>
                  </w:tcBorders>
                  <w:shd w:val="clear" w:color="auto" w:fill="auto"/>
                  <w:noWrap/>
                  <w:vAlign w:val="center"/>
                </w:tcPr>
                <w:p w14:paraId="1CA1673B">
                  <w:pPr>
                    <w:pStyle w:val="54"/>
                    <w:rPr>
                      <w:color w:val="auto"/>
                    </w:rPr>
                  </w:pPr>
                  <w:r>
                    <w:rPr>
                      <w:color w:val="auto"/>
                    </w:rPr>
                    <w:t>&lt;0.12</w:t>
                  </w:r>
                </w:p>
              </w:tc>
              <w:tc>
                <w:tcPr>
                  <w:tcW w:w="681" w:type="dxa"/>
                  <w:tcBorders>
                    <w:tl2br w:val="nil"/>
                    <w:tr2bl w:val="nil"/>
                  </w:tcBorders>
                  <w:shd w:val="clear" w:color="auto" w:fill="auto"/>
                  <w:vAlign w:val="center"/>
                </w:tcPr>
                <w:p w14:paraId="39BEFED5">
                  <w:pPr>
                    <w:pStyle w:val="54"/>
                    <w:rPr>
                      <w:color w:val="auto"/>
                    </w:rPr>
                  </w:pPr>
                  <w:r>
                    <w:rPr>
                      <w:rFonts w:hint="eastAsia"/>
                      <w:color w:val="auto"/>
                    </w:rPr>
                    <w:t>达标</w:t>
                  </w:r>
                </w:p>
              </w:tc>
            </w:tr>
            <w:tr w14:paraId="3094A2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34" w:type="dxa"/>
                  <w:vMerge w:val="continue"/>
                  <w:tcBorders>
                    <w:tl2br w:val="nil"/>
                    <w:tr2bl w:val="nil"/>
                  </w:tcBorders>
                  <w:shd w:val="clear" w:color="auto" w:fill="auto"/>
                  <w:vAlign w:val="center"/>
                </w:tcPr>
                <w:p w14:paraId="7C18C21D">
                  <w:pPr>
                    <w:pStyle w:val="54"/>
                    <w:rPr>
                      <w:color w:val="auto"/>
                    </w:rPr>
                  </w:pPr>
                </w:p>
              </w:tc>
              <w:tc>
                <w:tcPr>
                  <w:tcW w:w="1182" w:type="dxa"/>
                  <w:vMerge w:val="continue"/>
                  <w:tcBorders>
                    <w:tl2br w:val="nil"/>
                    <w:tr2bl w:val="nil"/>
                  </w:tcBorders>
                  <w:shd w:val="clear" w:color="auto" w:fill="auto"/>
                  <w:vAlign w:val="center"/>
                </w:tcPr>
                <w:p w14:paraId="65C39FEC">
                  <w:pPr>
                    <w:pStyle w:val="54"/>
                    <w:rPr>
                      <w:color w:val="auto"/>
                    </w:rPr>
                  </w:pPr>
                </w:p>
              </w:tc>
              <w:tc>
                <w:tcPr>
                  <w:tcW w:w="1281" w:type="dxa"/>
                  <w:tcBorders>
                    <w:tl2br w:val="nil"/>
                    <w:tr2bl w:val="nil"/>
                  </w:tcBorders>
                  <w:shd w:val="clear" w:color="auto" w:fill="auto"/>
                  <w:vAlign w:val="center"/>
                </w:tcPr>
                <w:p w14:paraId="26C00247">
                  <w:pPr>
                    <w:pStyle w:val="54"/>
                    <w:rPr>
                      <w:color w:val="auto"/>
                    </w:rPr>
                  </w:pPr>
                  <w:r>
                    <w:rPr>
                      <w:color w:val="auto"/>
                    </w:rPr>
                    <w:t>下风向4#</w:t>
                  </w:r>
                </w:p>
              </w:tc>
              <w:tc>
                <w:tcPr>
                  <w:tcW w:w="1009" w:type="dxa"/>
                  <w:tcBorders>
                    <w:tl2br w:val="nil"/>
                    <w:tr2bl w:val="nil"/>
                  </w:tcBorders>
                  <w:shd w:val="clear" w:color="auto" w:fill="auto"/>
                  <w:vAlign w:val="center"/>
                </w:tcPr>
                <w:p w14:paraId="4D2699DA">
                  <w:pPr>
                    <w:pStyle w:val="54"/>
                    <w:rPr>
                      <w:color w:val="auto"/>
                    </w:rPr>
                  </w:pPr>
                  <w:r>
                    <w:rPr>
                      <w:color w:val="auto"/>
                    </w:rPr>
                    <w:t>mg/m</w:t>
                  </w:r>
                  <w:r>
                    <w:rPr>
                      <w:color w:val="auto"/>
                      <w:vertAlign w:val="superscript"/>
                    </w:rPr>
                    <w:t>3</w:t>
                  </w:r>
                </w:p>
              </w:tc>
              <w:tc>
                <w:tcPr>
                  <w:tcW w:w="941" w:type="dxa"/>
                  <w:tcBorders>
                    <w:tl2br w:val="nil"/>
                    <w:tr2bl w:val="nil"/>
                  </w:tcBorders>
                  <w:shd w:val="clear" w:color="auto" w:fill="auto"/>
                  <w:noWrap/>
                  <w:vAlign w:val="center"/>
                </w:tcPr>
                <w:p w14:paraId="311EBEB5">
                  <w:pPr>
                    <w:pStyle w:val="54"/>
                    <w:rPr>
                      <w:color w:val="auto"/>
                    </w:rPr>
                  </w:pPr>
                  <w:r>
                    <w:rPr>
                      <w:color w:val="auto"/>
                    </w:rPr>
                    <w:t>0.074</w:t>
                  </w:r>
                </w:p>
              </w:tc>
              <w:tc>
                <w:tcPr>
                  <w:tcW w:w="941" w:type="dxa"/>
                  <w:tcBorders>
                    <w:tl2br w:val="nil"/>
                    <w:tr2bl w:val="nil"/>
                  </w:tcBorders>
                  <w:shd w:val="clear" w:color="auto" w:fill="auto"/>
                  <w:noWrap/>
                  <w:vAlign w:val="center"/>
                </w:tcPr>
                <w:p w14:paraId="72371389">
                  <w:pPr>
                    <w:pStyle w:val="54"/>
                    <w:rPr>
                      <w:color w:val="auto"/>
                    </w:rPr>
                  </w:pPr>
                  <w:r>
                    <w:rPr>
                      <w:color w:val="auto"/>
                    </w:rPr>
                    <w:t>0.069</w:t>
                  </w:r>
                </w:p>
              </w:tc>
              <w:tc>
                <w:tcPr>
                  <w:tcW w:w="941" w:type="dxa"/>
                  <w:tcBorders>
                    <w:tl2br w:val="nil"/>
                    <w:tr2bl w:val="nil"/>
                  </w:tcBorders>
                  <w:shd w:val="clear" w:color="auto" w:fill="auto"/>
                  <w:noWrap/>
                  <w:vAlign w:val="center"/>
                </w:tcPr>
                <w:p w14:paraId="5DEE40F2">
                  <w:pPr>
                    <w:pStyle w:val="54"/>
                    <w:rPr>
                      <w:color w:val="auto"/>
                    </w:rPr>
                  </w:pPr>
                  <w:r>
                    <w:rPr>
                      <w:color w:val="auto"/>
                    </w:rPr>
                    <w:t>0.078</w:t>
                  </w:r>
                </w:p>
              </w:tc>
              <w:tc>
                <w:tcPr>
                  <w:tcW w:w="723" w:type="dxa"/>
                  <w:tcBorders>
                    <w:tl2br w:val="nil"/>
                    <w:tr2bl w:val="nil"/>
                  </w:tcBorders>
                  <w:shd w:val="clear" w:color="auto" w:fill="auto"/>
                  <w:noWrap/>
                  <w:vAlign w:val="center"/>
                </w:tcPr>
                <w:p w14:paraId="7045865B">
                  <w:pPr>
                    <w:pStyle w:val="54"/>
                    <w:rPr>
                      <w:color w:val="auto"/>
                    </w:rPr>
                  </w:pPr>
                  <w:r>
                    <w:rPr>
                      <w:color w:val="auto"/>
                    </w:rPr>
                    <w:t>&lt;0.12</w:t>
                  </w:r>
                </w:p>
              </w:tc>
              <w:tc>
                <w:tcPr>
                  <w:tcW w:w="681" w:type="dxa"/>
                  <w:tcBorders>
                    <w:tl2br w:val="nil"/>
                    <w:tr2bl w:val="nil"/>
                  </w:tcBorders>
                  <w:shd w:val="clear" w:color="auto" w:fill="auto"/>
                  <w:vAlign w:val="center"/>
                </w:tcPr>
                <w:p w14:paraId="764C4E61">
                  <w:pPr>
                    <w:pStyle w:val="54"/>
                    <w:rPr>
                      <w:color w:val="auto"/>
                    </w:rPr>
                  </w:pPr>
                  <w:r>
                    <w:rPr>
                      <w:rFonts w:hint="eastAsia"/>
                      <w:color w:val="auto"/>
                    </w:rPr>
                    <w:t>达标</w:t>
                  </w:r>
                </w:p>
              </w:tc>
            </w:tr>
            <w:tr w14:paraId="0512D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34" w:type="dxa"/>
                  <w:vMerge w:val="continue"/>
                  <w:tcBorders>
                    <w:tl2br w:val="nil"/>
                    <w:tr2bl w:val="nil"/>
                  </w:tcBorders>
                  <w:shd w:val="clear" w:color="auto" w:fill="auto"/>
                  <w:vAlign w:val="center"/>
                </w:tcPr>
                <w:p w14:paraId="686B77CB">
                  <w:pPr>
                    <w:pStyle w:val="54"/>
                    <w:rPr>
                      <w:color w:val="auto"/>
                    </w:rPr>
                  </w:pPr>
                </w:p>
              </w:tc>
              <w:tc>
                <w:tcPr>
                  <w:tcW w:w="1182" w:type="dxa"/>
                  <w:vMerge w:val="restart"/>
                  <w:tcBorders>
                    <w:tl2br w:val="nil"/>
                    <w:tr2bl w:val="nil"/>
                  </w:tcBorders>
                  <w:shd w:val="clear" w:color="auto" w:fill="auto"/>
                  <w:vAlign w:val="center"/>
                </w:tcPr>
                <w:p w14:paraId="1F10F45A">
                  <w:pPr>
                    <w:pStyle w:val="54"/>
                    <w:rPr>
                      <w:color w:val="auto"/>
                    </w:rPr>
                  </w:pPr>
                  <w:r>
                    <w:rPr>
                      <w:color w:val="auto"/>
                    </w:rPr>
                    <w:t>非甲烷</w:t>
                  </w:r>
                </w:p>
                <w:p w14:paraId="283F8E76">
                  <w:pPr>
                    <w:pStyle w:val="54"/>
                    <w:rPr>
                      <w:color w:val="auto"/>
                    </w:rPr>
                  </w:pPr>
                  <w:r>
                    <w:rPr>
                      <w:color w:val="auto"/>
                    </w:rPr>
                    <w:t>总烃</w:t>
                  </w:r>
                </w:p>
              </w:tc>
              <w:tc>
                <w:tcPr>
                  <w:tcW w:w="1281" w:type="dxa"/>
                  <w:tcBorders>
                    <w:tl2br w:val="nil"/>
                    <w:tr2bl w:val="nil"/>
                  </w:tcBorders>
                  <w:shd w:val="clear" w:color="auto" w:fill="auto"/>
                  <w:vAlign w:val="center"/>
                </w:tcPr>
                <w:p w14:paraId="7F17F09D">
                  <w:pPr>
                    <w:pStyle w:val="54"/>
                    <w:rPr>
                      <w:color w:val="auto"/>
                    </w:rPr>
                  </w:pPr>
                  <w:r>
                    <w:rPr>
                      <w:color w:val="auto"/>
                    </w:rPr>
                    <w:t>上风向1#</w:t>
                  </w:r>
                </w:p>
              </w:tc>
              <w:tc>
                <w:tcPr>
                  <w:tcW w:w="1009" w:type="dxa"/>
                  <w:tcBorders>
                    <w:tl2br w:val="nil"/>
                    <w:tr2bl w:val="nil"/>
                  </w:tcBorders>
                  <w:shd w:val="clear" w:color="auto" w:fill="auto"/>
                  <w:vAlign w:val="center"/>
                </w:tcPr>
                <w:p w14:paraId="53E75CED">
                  <w:pPr>
                    <w:pStyle w:val="54"/>
                    <w:rPr>
                      <w:color w:val="auto"/>
                    </w:rPr>
                  </w:pPr>
                  <w:r>
                    <w:rPr>
                      <w:color w:val="auto"/>
                    </w:rPr>
                    <w:t>mg/m</w:t>
                  </w:r>
                  <w:r>
                    <w:rPr>
                      <w:color w:val="auto"/>
                      <w:vertAlign w:val="superscript"/>
                    </w:rPr>
                    <w:t>3</w:t>
                  </w:r>
                </w:p>
              </w:tc>
              <w:tc>
                <w:tcPr>
                  <w:tcW w:w="941" w:type="dxa"/>
                  <w:tcBorders>
                    <w:tl2br w:val="nil"/>
                    <w:tr2bl w:val="nil"/>
                  </w:tcBorders>
                  <w:shd w:val="clear" w:color="auto" w:fill="auto"/>
                  <w:noWrap/>
                  <w:vAlign w:val="center"/>
                </w:tcPr>
                <w:p w14:paraId="47B541F7">
                  <w:pPr>
                    <w:pStyle w:val="54"/>
                    <w:rPr>
                      <w:color w:val="auto"/>
                    </w:rPr>
                  </w:pPr>
                  <w:r>
                    <w:rPr>
                      <w:color w:val="auto"/>
                    </w:rPr>
                    <w:t>0.52</w:t>
                  </w:r>
                </w:p>
              </w:tc>
              <w:tc>
                <w:tcPr>
                  <w:tcW w:w="941" w:type="dxa"/>
                  <w:tcBorders>
                    <w:tl2br w:val="nil"/>
                    <w:tr2bl w:val="nil"/>
                  </w:tcBorders>
                  <w:shd w:val="clear" w:color="auto" w:fill="auto"/>
                  <w:noWrap/>
                  <w:vAlign w:val="center"/>
                </w:tcPr>
                <w:p w14:paraId="2905833C">
                  <w:pPr>
                    <w:pStyle w:val="54"/>
                    <w:rPr>
                      <w:color w:val="auto"/>
                    </w:rPr>
                  </w:pPr>
                  <w:r>
                    <w:rPr>
                      <w:color w:val="auto"/>
                    </w:rPr>
                    <w:t>0.81</w:t>
                  </w:r>
                </w:p>
              </w:tc>
              <w:tc>
                <w:tcPr>
                  <w:tcW w:w="941" w:type="dxa"/>
                  <w:tcBorders>
                    <w:tl2br w:val="nil"/>
                    <w:tr2bl w:val="nil"/>
                  </w:tcBorders>
                  <w:shd w:val="clear" w:color="auto" w:fill="auto"/>
                  <w:noWrap/>
                  <w:vAlign w:val="center"/>
                </w:tcPr>
                <w:p w14:paraId="40256A1A">
                  <w:pPr>
                    <w:pStyle w:val="54"/>
                    <w:rPr>
                      <w:color w:val="auto"/>
                    </w:rPr>
                  </w:pPr>
                  <w:r>
                    <w:rPr>
                      <w:color w:val="auto"/>
                    </w:rPr>
                    <w:t>0.42</w:t>
                  </w:r>
                </w:p>
              </w:tc>
              <w:tc>
                <w:tcPr>
                  <w:tcW w:w="723" w:type="dxa"/>
                  <w:tcBorders>
                    <w:tl2br w:val="nil"/>
                    <w:tr2bl w:val="nil"/>
                  </w:tcBorders>
                  <w:shd w:val="clear" w:color="auto" w:fill="auto"/>
                  <w:noWrap/>
                  <w:vAlign w:val="center"/>
                </w:tcPr>
                <w:p w14:paraId="49E64F2F">
                  <w:pPr>
                    <w:pStyle w:val="54"/>
                    <w:rPr>
                      <w:color w:val="auto"/>
                    </w:rPr>
                  </w:pPr>
                  <w:r>
                    <w:rPr>
                      <w:color w:val="auto"/>
                    </w:rPr>
                    <w:t>&lt;4</w:t>
                  </w:r>
                </w:p>
              </w:tc>
              <w:tc>
                <w:tcPr>
                  <w:tcW w:w="681" w:type="dxa"/>
                  <w:tcBorders>
                    <w:tl2br w:val="nil"/>
                    <w:tr2bl w:val="nil"/>
                  </w:tcBorders>
                  <w:shd w:val="clear" w:color="auto" w:fill="auto"/>
                  <w:vAlign w:val="center"/>
                </w:tcPr>
                <w:p w14:paraId="587D447D">
                  <w:pPr>
                    <w:pStyle w:val="54"/>
                    <w:rPr>
                      <w:color w:val="auto"/>
                    </w:rPr>
                  </w:pPr>
                  <w:r>
                    <w:rPr>
                      <w:rFonts w:hint="eastAsia"/>
                      <w:color w:val="auto"/>
                    </w:rPr>
                    <w:t>达标</w:t>
                  </w:r>
                </w:p>
              </w:tc>
            </w:tr>
            <w:tr w14:paraId="63A95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34" w:type="dxa"/>
                  <w:vMerge w:val="continue"/>
                  <w:tcBorders>
                    <w:tl2br w:val="nil"/>
                    <w:tr2bl w:val="nil"/>
                  </w:tcBorders>
                  <w:shd w:val="clear" w:color="auto" w:fill="auto"/>
                  <w:vAlign w:val="center"/>
                </w:tcPr>
                <w:p w14:paraId="12690FA1">
                  <w:pPr>
                    <w:pStyle w:val="54"/>
                    <w:rPr>
                      <w:color w:val="auto"/>
                    </w:rPr>
                  </w:pPr>
                </w:p>
              </w:tc>
              <w:tc>
                <w:tcPr>
                  <w:tcW w:w="1182" w:type="dxa"/>
                  <w:vMerge w:val="continue"/>
                  <w:tcBorders>
                    <w:tl2br w:val="nil"/>
                    <w:tr2bl w:val="nil"/>
                  </w:tcBorders>
                  <w:shd w:val="clear" w:color="auto" w:fill="auto"/>
                  <w:vAlign w:val="center"/>
                </w:tcPr>
                <w:p w14:paraId="15123576">
                  <w:pPr>
                    <w:pStyle w:val="54"/>
                    <w:rPr>
                      <w:color w:val="auto"/>
                    </w:rPr>
                  </w:pPr>
                </w:p>
              </w:tc>
              <w:tc>
                <w:tcPr>
                  <w:tcW w:w="1281" w:type="dxa"/>
                  <w:tcBorders>
                    <w:tl2br w:val="nil"/>
                    <w:tr2bl w:val="nil"/>
                  </w:tcBorders>
                  <w:shd w:val="clear" w:color="auto" w:fill="auto"/>
                  <w:vAlign w:val="center"/>
                </w:tcPr>
                <w:p w14:paraId="16FC0612">
                  <w:pPr>
                    <w:pStyle w:val="54"/>
                    <w:rPr>
                      <w:color w:val="auto"/>
                    </w:rPr>
                  </w:pPr>
                  <w:r>
                    <w:rPr>
                      <w:color w:val="auto"/>
                    </w:rPr>
                    <w:t>下风向2#</w:t>
                  </w:r>
                </w:p>
              </w:tc>
              <w:tc>
                <w:tcPr>
                  <w:tcW w:w="1009" w:type="dxa"/>
                  <w:tcBorders>
                    <w:tl2br w:val="nil"/>
                    <w:tr2bl w:val="nil"/>
                  </w:tcBorders>
                  <w:shd w:val="clear" w:color="auto" w:fill="auto"/>
                  <w:vAlign w:val="center"/>
                </w:tcPr>
                <w:p w14:paraId="0C7120F8">
                  <w:pPr>
                    <w:pStyle w:val="54"/>
                    <w:rPr>
                      <w:color w:val="auto"/>
                    </w:rPr>
                  </w:pPr>
                  <w:r>
                    <w:rPr>
                      <w:color w:val="auto"/>
                    </w:rPr>
                    <w:t>mg/m</w:t>
                  </w:r>
                  <w:r>
                    <w:rPr>
                      <w:color w:val="auto"/>
                      <w:vertAlign w:val="superscript"/>
                    </w:rPr>
                    <w:t>3</w:t>
                  </w:r>
                </w:p>
              </w:tc>
              <w:tc>
                <w:tcPr>
                  <w:tcW w:w="941" w:type="dxa"/>
                  <w:tcBorders>
                    <w:tl2br w:val="nil"/>
                    <w:tr2bl w:val="nil"/>
                  </w:tcBorders>
                  <w:shd w:val="clear" w:color="auto" w:fill="auto"/>
                  <w:noWrap/>
                  <w:vAlign w:val="center"/>
                </w:tcPr>
                <w:p w14:paraId="06A3252B">
                  <w:pPr>
                    <w:pStyle w:val="54"/>
                    <w:rPr>
                      <w:color w:val="auto"/>
                    </w:rPr>
                  </w:pPr>
                  <w:r>
                    <w:rPr>
                      <w:color w:val="auto"/>
                    </w:rPr>
                    <w:t>1.36</w:t>
                  </w:r>
                </w:p>
              </w:tc>
              <w:tc>
                <w:tcPr>
                  <w:tcW w:w="941" w:type="dxa"/>
                  <w:tcBorders>
                    <w:tl2br w:val="nil"/>
                    <w:tr2bl w:val="nil"/>
                  </w:tcBorders>
                  <w:shd w:val="clear" w:color="auto" w:fill="auto"/>
                  <w:noWrap/>
                  <w:vAlign w:val="center"/>
                </w:tcPr>
                <w:p w14:paraId="7A7B57FC">
                  <w:pPr>
                    <w:pStyle w:val="54"/>
                    <w:rPr>
                      <w:color w:val="auto"/>
                    </w:rPr>
                  </w:pPr>
                  <w:r>
                    <w:rPr>
                      <w:color w:val="auto"/>
                    </w:rPr>
                    <w:t>1.56</w:t>
                  </w:r>
                </w:p>
              </w:tc>
              <w:tc>
                <w:tcPr>
                  <w:tcW w:w="941" w:type="dxa"/>
                  <w:tcBorders>
                    <w:tl2br w:val="nil"/>
                    <w:tr2bl w:val="nil"/>
                  </w:tcBorders>
                  <w:shd w:val="clear" w:color="auto" w:fill="auto"/>
                  <w:noWrap/>
                  <w:vAlign w:val="center"/>
                </w:tcPr>
                <w:p w14:paraId="4E94FEFC">
                  <w:pPr>
                    <w:pStyle w:val="54"/>
                    <w:rPr>
                      <w:color w:val="auto"/>
                    </w:rPr>
                  </w:pPr>
                  <w:r>
                    <w:rPr>
                      <w:color w:val="auto"/>
                    </w:rPr>
                    <w:t>1.94</w:t>
                  </w:r>
                </w:p>
              </w:tc>
              <w:tc>
                <w:tcPr>
                  <w:tcW w:w="723" w:type="dxa"/>
                  <w:tcBorders>
                    <w:tl2br w:val="nil"/>
                    <w:tr2bl w:val="nil"/>
                  </w:tcBorders>
                  <w:shd w:val="clear" w:color="auto" w:fill="auto"/>
                  <w:noWrap/>
                  <w:vAlign w:val="center"/>
                </w:tcPr>
                <w:p w14:paraId="6C86F083">
                  <w:pPr>
                    <w:pStyle w:val="54"/>
                    <w:rPr>
                      <w:color w:val="auto"/>
                    </w:rPr>
                  </w:pPr>
                  <w:r>
                    <w:rPr>
                      <w:color w:val="auto"/>
                    </w:rPr>
                    <w:t>&lt;4</w:t>
                  </w:r>
                </w:p>
              </w:tc>
              <w:tc>
                <w:tcPr>
                  <w:tcW w:w="681" w:type="dxa"/>
                  <w:tcBorders>
                    <w:tl2br w:val="nil"/>
                    <w:tr2bl w:val="nil"/>
                  </w:tcBorders>
                  <w:shd w:val="clear" w:color="auto" w:fill="auto"/>
                  <w:vAlign w:val="center"/>
                </w:tcPr>
                <w:p w14:paraId="3E4526E8">
                  <w:pPr>
                    <w:pStyle w:val="54"/>
                    <w:rPr>
                      <w:color w:val="auto"/>
                    </w:rPr>
                  </w:pPr>
                  <w:r>
                    <w:rPr>
                      <w:rFonts w:hint="eastAsia"/>
                      <w:color w:val="auto"/>
                    </w:rPr>
                    <w:t>达标</w:t>
                  </w:r>
                </w:p>
              </w:tc>
            </w:tr>
            <w:tr w14:paraId="7560A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34" w:type="dxa"/>
                  <w:vMerge w:val="continue"/>
                  <w:tcBorders>
                    <w:tl2br w:val="nil"/>
                    <w:tr2bl w:val="nil"/>
                  </w:tcBorders>
                  <w:shd w:val="clear" w:color="auto" w:fill="auto"/>
                  <w:vAlign w:val="center"/>
                </w:tcPr>
                <w:p w14:paraId="6C10BE87">
                  <w:pPr>
                    <w:pStyle w:val="54"/>
                    <w:rPr>
                      <w:color w:val="auto"/>
                    </w:rPr>
                  </w:pPr>
                </w:p>
              </w:tc>
              <w:tc>
                <w:tcPr>
                  <w:tcW w:w="1182" w:type="dxa"/>
                  <w:vMerge w:val="continue"/>
                  <w:tcBorders>
                    <w:tl2br w:val="nil"/>
                    <w:tr2bl w:val="nil"/>
                  </w:tcBorders>
                  <w:shd w:val="clear" w:color="auto" w:fill="auto"/>
                  <w:vAlign w:val="center"/>
                </w:tcPr>
                <w:p w14:paraId="2DBAAAF5">
                  <w:pPr>
                    <w:pStyle w:val="54"/>
                    <w:rPr>
                      <w:color w:val="auto"/>
                    </w:rPr>
                  </w:pPr>
                </w:p>
              </w:tc>
              <w:tc>
                <w:tcPr>
                  <w:tcW w:w="1281" w:type="dxa"/>
                  <w:tcBorders>
                    <w:tl2br w:val="nil"/>
                    <w:tr2bl w:val="nil"/>
                  </w:tcBorders>
                  <w:shd w:val="clear" w:color="auto" w:fill="auto"/>
                  <w:vAlign w:val="center"/>
                </w:tcPr>
                <w:p w14:paraId="32C4D1D3">
                  <w:pPr>
                    <w:pStyle w:val="54"/>
                    <w:rPr>
                      <w:color w:val="auto"/>
                    </w:rPr>
                  </w:pPr>
                  <w:r>
                    <w:rPr>
                      <w:color w:val="auto"/>
                    </w:rPr>
                    <w:t>下风向3#</w:t>
                  </w:r>
                </w:p>
              </w:tc>
              <w:tc>
                <w:tcPr>
                  <w:tcW w:w="1009" w:type="dxa"/>
                  <w:tcBorders>
                    <w:tl2br w:val="nil"/>
                    <w:tr2bl w:val="nil"/>
                  </w:tcBorders>
                  <w:shd w:val="clear" w:color="auto" w:fill="auto"/>
                  <w:vAlign w:val="center"/>
                </w:tcPr>
                <w:p w14:paraId="779714A1">
                  <w:pPr>
                    <w:pStyle w:val="54"/>
                    <w:rPr>
                      <w:color w:val="auto"/>
                    </w:rPr>
                  </w:pPr>
                  <w:r>
                    <w:rPr>
                      <w:color w:val="auto"/>
                    </w:rPr>
                    <w:t>mg/m</w:t>
                  </w:r>
                  <w:r>
                    <w:rPr>
                      <w:color w:val="auto"/>
                      <w:vertAlign w:val="superscript"/>
                    </w:rPr>
                    <w:t>3</w:t>
                  </w:r>
                </w:p>
              </w:tc>
              <w:tc>
                <w:tcPr>
                  <w:tcW w:w="941" w:type="dxa"/>
                  <w:tcBorders>
                    <w:tl2br w:val="nil"/>
                    <w:tr2bl w:val="nil"/>
                  </w:tcBorders>
                  <w:shd w:val="clear" w:color="auto" w:fill="auto"/>
                  <w:noWrap/>
                  <w:vAlign w:val="center"/>
                </w:tcPr>
                <w:p w14:paraId="779C4285">
                  <w:pPr>
                    <w:pStyle w:val="54"/>
                    <w:rPr>
                      <w:color w:val="auto"/>
                    </w:rPr>
                  </w:pPr>
                  <w:r>
                    <w:rPr>
                      <w:color w:val="auto"/>
                    </w:rPr>
                    <w:t>1.30</w:t>
                  </w:r>
                </w:p>
              </w:tc>
              <w:tc>
                <w:tcPr>
                  <w:tcW w:w="941" w:type="dxa"/>
                  <w:tcBorders>
                    <w:tl2br w:val="nil"/>
                    <w:tr2bl w:val="nil"/>
                  </w:tcBorders>
                  <w:shd w:val="clear" w:color="auto" w:fill="auto"/>
                  <w:noWrap/>
                  <w:vAlign w:val="center"/>
                </w:tcPr>
                <w:p w14:paraId="2AA1B4C9">
                  <w:pPr>
                    <w:pStyle w:val="54"/>
                    <w:rPr>
                      <w:color w:val="auto"/>
                    </w:rPr>
                  </w:pPr>
                  <w:r>
                    <w:rPr>
                      <w:color w:val="auto"/>
                    </w:rPr>
                    <w:t>1.34</w:t>
                  </w:r>
                </w:p>
              </w:tc>
              <w:tc>
                <w:tcPr>
                  <w:tcW w:w="941" w:type="dxa"/>
                  <w:tcBorders>
                    <w:tl2br w:val="nil"/>
                    <w:tr2bl w:val="nil"/>
                  </w:tcBorders>
                  <w:shd w:val="clear" w:color="auto" w:fill="auto"/>
                  <w:noWrap/>
                  <w:vAlign w:val="center"/>
                </w:tcPr>
                <w:p w14:paraId="28F4B744">
                  <w:pPr>
                    <w:pStyle w:val="54"/>
                    <w:rPr>
                      <w:color w:val="auto"/>
                    </w:rPr>
                  </w:pPr>
                  <w:r>
                    <w:rPr>
                      <w:color w:val="auto"/>
                    </w:rPr>
                    <w:t>1.94</w:t>
                  </w:r>
                </w:p>
              </w:tc>
              <w:tc>
                <w:tcPr>
                  <w:tcW w:w="723" w:type="dxa"/>
                  <w:tcBorders>
                    <w:tl2br w:val="nil"/>
                    <w:tr2bl w:val="nil"/>
                  </w:tcBorders>
                  <w:shd w:val="clear" w:color="auto" w:fill="auto"/>
                  <w:noWrap/>
                  <w:vAlign w:val="center"/>
                </w:tcPr>
                <w:p w14:paraId="7AF86910">
                  <w:pPr>
                    <w:pStyle w:val="54"/>
                    <w:rPr>
                      <w:color w:val="auto"/>
                    </w:rPr>
                  </w:pPr>
                  <w:r>
                    <w:rPr>
                      <w:color w:val="auto"/>
                    </w:rPr>
                    <w:t>&lt;4</w:t>
                  </w:r>
                </w:p>
              </w:tc>
              <w:tc>
                <w:tcPr>
                  <w:tcW w:w="681" w:type="dxa"/>
                  <w:tcBorders>
                    <w:tl2br w:val="nil"/>
                    <w:tr2bl w:val="nil"/>
                  </w:tcBorders>
                  <w:shd w:val="clear" w:color="auto" w:fill="auto"/>
                  <w:vAlign w:val="center"/>
                </w:tcPr>
                <w:p w14:paraId="328742D9">
                  <w:pPr>
                    <w:pStyle w:val="54"/>
                    <w:rPr>
                      <w:color w:val="auto"/>
                    </w:rPr>
                  </w:pPr>
                  <w:r>
                    <w:rPr>
                      <w:rFonts w:hint="eastAsia"/>
                      <w:color w:val="auto"/>
                    </w:rPr>
                    <w:t>达标</w:t>
                  </w:r>
                </w:p>
              </w:tc>
            </w:tr>
            <w:tr w14:paraId="2D215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34" w:type="dxa"/>
                  <w:vMerge w:val="continue"/>
                  <w:tcBorders>
                    <w:tl2br w:val="nil"/>
                    <w:tr2bl w:val="nil"/>
                  </w:tcBorders>
                  <w:shd w:val="clear" w:color="auto" w:fill="auto"/>
                  <w:vAlign w:val="center"/>
                </w:tcPr>
                <w:p w14:paraId="34158DE9">
                  <w:pPr>
                    <w:pStyle w:val="54"/>
                    <w:rPr>
                      <w:color w:val="auto"/>
                    </w:rPr>
                  </w:pPr>
                </w:p>
              </w:tc>
              <w:tc>
                <w:tcPr>
                  <w:tcW w:w="1182" w:type="dxa"/>
                  <w:vMerge w:val="continue"/>
                  <w:tcBorders>
                    <w:tl2br w:val="nil"/>
                    <w:tr2bl w:val="nil"/>
                  </w:tcBorders>
                  <w:shd w:val="clear" w:color="auto" w:fill="auto"/>
                  <w:vAlign w:val="center"/>
                </w:tcPr>
                <w:p w14:paraId="2F26D0F9">
                  <w:pPr>
                    <w:pStyle w:val="54"/>
                    <w:rPr>
                      <w:color w:val="auto"/>
                    </w:rPr>
                  </w:pPr>
                </w:p>
              </w:tc>
              <w:tc>
                <w:tcPr>
                  <w:tcW w:w="1281" w:type="dxa"/>
                  <w:tcBorders>
                    <w:tl2br w:val="nil"/>
                    <w:tr2bl w:val="nil"/>
                  </w:tcBorders>
                  <w:shd w:val="clear" w:color="auto" w:fill="auto"/>
                  <w:vAlign w:val="center"/>
                </w:tcPr>
                <w:p w14:paraId="72147C2E">
                  <w:pPr>
                    <w:pStyle w:val="54"/>
                    <w:rPr>
                      <w:color w:val="auto"/>
                    </w:rPr>
                  </w:pPr>
                  <w:r>
                    <w:rPr>
                      <w:color w:val="auto"/>
                    </w:rPr>
                    <w:t>下风向4#</w:t>
                  </w:r>
                </w:p>
              </w:tc>
              <w:tc>
                <w:tcPr>
                  <w:tcW w:w="1009" w:type="dxa"/>
                  <w:tcBorders>
                    <w:tl2br w:val="nil"/>
                    <w:tr2bl w:val="nil"/>
                  </w:tcBorders>
                  <w:shd w:val="clear" w:color="auto" w:fill="auto"/>
                  <w:vAlign w:val="center"/>
                </w:tcPr>
                <w:p w14:paraId="1DB21410">
                  <w:pPr>
                    <w:pStyle w:val="54"/>
                    <w:rPr>
                      <w:color w:val="auto"/>
                    </w:rPr>
                  </w:pPr>
                  <w:r>
                    <w:rPr>
                      <w:color w:val="auto"/>
                    </w:rPr>
                    <w:t>mg/m</w:t>
                  </w:r>
                  <w:r>
                    <w:rPr>
                      <w:color w:val="auto"/>
                      <w:vertAlign w:val="superscript"/>
                    </w:rPr>
                    <w:t>3</w:t>
                  </w:r>
                </w:p>
              </w:tc>
              <w:tc>
                <w:tcPr>
                  <w:tcW w:w="941" w:type="dxa"/>
                  <w:tcBorders>
                    <w:tl2br w:val="nil"/>
                    <w:tr2bl w:val="nil"/>
                  </w:tcBorders>
                  <w:shd w:val="clear" w:color="auto" w:fill="auto"/>
                  <w:noWrap/>
                  <w:vAlign w:val="center"/>
                </w:tcPr>
                <w:p w14:paraId="3722DCB1">
                  <w:pPr>
                    <w:pStyle w:val="54"/>
                    <w:rPr>
                      <w:color w:val="auto"/>
                    </w:rPr>
                  </w:pPr>
                  <w:r>
                    <w:rPr>
                      <w:color w:val="auto"/>
                    </w:rPr>
                    <w:t>1.40</w:t>
                  </w:r>
                </w:p>
              </w:tc>
              <w:tc>
                <w:tcPr>
                  <w:tcW w:w="941" w:type="dxa"/>
                  <w:tcBorders>
                    <w:tl2br w:val="nil"/>
                    <w:tr2bl w:val="nil"/>
                  </w:tcBorders>
                  <w:shd w:val="clear" w:color="auto" w:fill="auto"/>
                  <w:noWrap/>
                  <w:vAlign w:val="center"/>
                </w:tcPr>
                <w:p w14:paraId="11A58E90">
                  <w:pPr>
                    <w:pStyle w:val="54"/>
                    <w:rPr>
                      <w:color w:val="auto"/>
                    </w:rPr>
                  </w:pPr>
                  <w:r>
                    <w:rPr>
                      <w:color w:val="auto"/>
                    </w:rPr>
                    <w:t>1.80</w:t>
                  </w:r>
                </w:p>
              </w:tc>
              <w:tc>
                <w:tcPr>
                  <w:tcW w:w="941" w:type="dxa"/>
                  <w:tcBorders>
                    <w:tl2br w:val="nil"/>
                    <w:tr2bl w:val="nil"/>
                  </w:tcBorders>
                  <w:shd w:val="clear" w:color="auto" w:fill="auto"/>
                  <w:noWrap/>
                  <w:vAlign w:val="center"/>
                </w:tcPr>
                <w:p w14:paraId="3D78358B">
                  <w:pPr>
                    <w:pStyle w:val="54"/>
                    <w:rPr>
                      <w:color w:val="auto"/>
                    </w:rPr>
                  </w:pPr>
                  <w:r>
                    <w:rPr>
                      <w:color w:val="auto"/>
                    </w:rPr>
                    <w:t>1.76</w:t>
                  </w:r>
                </w:p>
              </w:tc>
              <w:tc>
                <w:tcPr>
                  <w:tcW w:w="723" w:type="dxa"/>
                  <w:tcBorders>
                    <w:tl2br w:val="nil"/>
                    <w:tr2bl w:val="nil"/>
                  </w:tcBorders>
                  <w:shd w:val="clear" w:color="auto" w:fill="auto"/>
                  <w:noWrap/>
                  <w:vAlign w:val="center"/>
                </w:tcPr>
                <w:p w14:paraId="374F11FF">
                  <w:pPr>
                    <w:pStyle w:val="54"/>
                    <w:rPr>
                      <w:color w:val="auto"/>
                    </w:rPr>
                  </w:pPr>
                  <w:r>
                    <w:rPr>
                      <w:color w:val="auto"/>
                    </w:rPr>
                    <w:t>&lt;4</w:t>
                  </w:r>
                </w:p>
              </w:tc>
              <w:tc>
                <w:tcPr>
                  <w:tcW w:w="681" w:type="dxa"/>
                  <w:tcBorders>
                    <w:tl2br w:val="nil"/>
                    <w:tr2bl w:val="nil"/>
                  </w:tcBorders>
                  <w:shd w:val="clear" w:color="auto" w:fill="auto"/>
                  <w:vAlign w:val="center"/>
                </w:tcPr>
                <w:p w14:paraId="029D5A71">
                  <w:pPr>
                    <w:pStyle w:val="54"/>
                    <w:rPr>
                      <w:color w:val="auto"/>
                    </w:rPr>
                  </w:pPr>
                  <w:r>
                    <w:rPr>
                      <w:rFonts w:hint="eastAsia"/>
                      <w:color w:val="auto"/>
                    </w:rPr>
                    <w:t>达标</w:t>
                  </w:r>
                </w:p>
              </w:tc>
            </w:tr>
            <w:tr w14:paraId="1958B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34" w:type="dxa"/>
                  <w:vMerge w:val="continue"/>
                  <w:tcBorders>
                    <w:tl2br w:val="nil"/>
                    <w:tr2bl w:val="nil"/>
                  </w:tcBorders>
                  <w:shd w:val="clear" w:color="auto" w:fill="auto"/>
                  <w:vAlign w:val="center"/>
                </w:tcPr>
                <w:p w14:paraId="24792074">
                  <w:pPr>
                    <w:pStyle w:val="54"/>
                    <w:rPr>
                      <w:color w:val="auto"/>
                    </w:rPr>
                  </w:pPr>
                </w:p>
              </w:tc>
              <w:tc>
                <w:tcPr>
                  <w:tcW w:w="1182" w:type="dxa"/>
                  <w:vMerge w:val="continue"/>
                  <w:tcBorders>
                    <w:tl2br w:val="nil"/>
                    <w:tr2bl w:val="nil"/>
                  </w:tcBorders>
                  <w:shd w:val="clear" w:color="auto" w:fill="auto"/>
                  <w:vAlign w:val="center"/>
                </w:tcPr>
                <w:p w14:paraId="351E0C2B">
                  <w:pPr>
                    <w:pStyle w:val="54"/>
                    <w:rPr>
                      <w:color w:val="auto"/>
                    </w:rPr>
                  </w:pPr>
                </w:p>
              </w:tc>
              <w:tc>
                <w:tcPr>
                  <w:tcW w:w="1281" w:type="dxa"/>
                  <w:tcBorders>
                    <w:tl2br w:val="nil"/>
                    <w:tr2bl w:val="nil"/>
                  </w:tcBorders>
                  <w:shd w:val="clear" w:color="auto" w:fill="auto"/>
                  <w:vAlign w:val="center"/>
                </w:tcPr>
                <w:p w14:paraId="071707B8">
                  <w:pPr>
                    <w:pStyle w:val="54"/>
                    <w:rPr>
                      <w:color w:val="auto"/>
                    </w:rPr>
                  </w:pPr>
                  <w:r>
                    <w:rPr>
                      <w:color w:val="auto"/>
                    </w:rPr>
                    <w:t>厂内5#</w:t>
                  </w:r>
                </w:p>
              </w:tc>
              <w:tc>
                <w:tcPr>
                  <w:tcW w:w="1009" w:type="dxa"/>
                  <w:tcBorders>
                    <w:tl2br w:val="nil"/>
                    <w:tr2bl w:val="nil"/>
                  </w:tcBorders>
                  <w:shd w:val="clear" w:color="auto" w:fill="auto"/>
                  <w:vAlign w:val="center"/>
                </w:tcPr>
                <w:p w14:paraId="22104FF1">
                  <w:pPr>
                    <w:pStyle w:val="54"/>
                    <w:rPr>
                      <w:color w:val="auto"/>
                    </w:rPr>
                  </w:pPr>
                  <w:r>
                    <w:rPr>
                      <w:color w:val="auto"/>
                    </w:rPr>
                    <w:t>mg/m</w:t>
                  </w:r>
                  <w:r>
                    <w:rPr>
                      <w:color w:val="auto"/>
                      <w:vertAlign w:val="superscript"/>
                    </w:rPr>
                    <w:t>3</w:t>
                  </w:r>
                </w:p>
              </w:tc>
              <w:tc>
                <w:tcPr>
                  <w:tcW w:w="941" w:type="dxa"/>
                  <w:tcBorders>
                    <w:tl2br w:val="nil"/>
                    <w:tr2bl w:val="nil"/>
                  </w:tcBorders>
                  <w:shd w:val="clear" w:color="auto" w:fill="auto"/>
                  <w:noWrap/>
                  <w:vAlign w:val="center"/>
                </w:tcPr>
                <w:p w14:paraId="34286AF0">
                  <w:pPr>
                    <w:pStyle w:val="54"/>
                    <w:rPr>
                      <w:color w:val="auto"/>
                    </w:rPr>
                  </w:pPr>
                  <w:r>
                    <w:rPr>
                      <w:color w:val="auto"/>
                    </w:rPr>
                    <w:t>2.34</w:t>
                  </w:r>
                </w:p>
              </w:tc>
              <w:tc>
                <w:tcPr>
                  <w:tcW w:w="941" w:type="dxa"/>
                  <w:tcBorders>
                    <w:tl2br w:val="nil"/>
                    <w:tr2bl w:val="nil"/>
                  </w:tcBorders>
                  <w:shd w:val="clear" w:color="auto" w:fill="auto"/>
                  <w:noWrap/>
                  <w:vAlign w:val="center"/>
                </w:tcPr>
                <w:p w14:paraId="34529ED9">
                  <w:pPr>
                    <w:pStyle w:val="54"/>
                    <w:rPr>
                      <w:color w:val="auto"/>
                    </w:rPr>
                  </w:pPr>
                  <w:r>
                    <w:rPr>
                      <w:color w:val="auto"/>
                    </w:rPr>
                    <w:t>2.47</w:t>
                  </w:r>
                </w:p>
              </w:tc>
              <w:tc>
                <w:tcPr>
                  <w:tcW w:w="941" w:type="dxa"/>
                  <w:tcBorders>
                    <w:tl2br w:val="nil"/>
                    <w:tr2bl w:val="nil"/>
                  </w:tcBorders>
                  <w:shd w:val="clear" w:color="auto" w:fill="auto"/>
                  <w:noWrap/>
                  <w:vAlign w:val="center"/>
                </w:tcPr>
                <w:p w14:paraId="27F14E57">
                  <w:pPr>
                    <w:pStyle w:val="54"/>
                    <w:rPr>
                      <w:color w:val="auto"/>
                    </w:rPr>
                  </w:pPr>
                  <w:r>
                    <w:rPr>
                      <w:color w:val="auto"/>
                    </w:rPr>
                    <w:t>2.32</w:t>
                  </w:r>
                </w:p>
              </w:tc>
              <w:tc>
                <w:tcPr>
                  <w:tcW w:w="723" w:type="dxa"/>
                  <w:tcBorders>
                    <w:tl2br w:val="nil"/>
                    <w:tr2bl w:val="nil"/>
                  </w:tcBorders>
                  <w:shd w:val="clear" w:color="auto" w:fill="auto"/>
                  <w:noWrap/>
                  <w:vAlign w:val="center"/>
                </w:tcPr>
                <w:p w14:paraId="77309DD6">
                  <w:pPr>
                    <w:pStyle w:val="54"/>
                    <w:rPr>
                      <w:color w:val="auto"/>
                    </w:rPr>
                  </w:pPr>
                  <w:r>
                    <w:rPr>
                      <w:color w:val="auto"/>
                    </w:rPr>
                    <w:t>&lt;6</w:t>
                  </w:r>
                </w:p>
              </w:tc>
              <w:tc>
                <w:tcPr>
                  <w:tcW w:w="681" w:type="dxa"/>
                  <w:tcBorders>
                    <w:tl2br w:val="nil"/>
                    <w:tr2bl w:val="nil"/>
                  </w:tcBorders>
                  <w:shd w:val="clear" w:color="auto" w:fill="auto"/>
                  <w:vAlign w:val="center"/>
                </w:tcPr>
                <w:p w14:paraId="095ADDDF">
                  <w:pPr>
                    <w:pStyle w:val="54"/>
                    <w:rPr>
                      <w:color w:val="auto"/>
                    </w:rPr>
                  </w:pPr>
                  <w:r>
                    <w:rPr>
                      <w:rFonts w:hint="eastAsia"/>
                      <w:color w:val="auto"/>
                    </w:rPr>
                    <w:t>达标</w:t>
                  </w:r>
                </w:p>
              </w:tc>
            </w:tr>
          </w:tbl>
          <w:p w14:paraId="02862A93">
            <w:pPr>
              <w:pStyle w:val="50"/>
              <w:ind w:firstLine="482"/>
              <w:rPr>
                <w:b/>
                <w:bCs/>
                <w:color w:val="auto"/>
              </w:rPr>
            </w:pPr>
            <w:r>
              <w:rPr>
                <w:b/>
                <w:bCs/>
                <w:color w:val="auto"/>
              </w:rPr>
              <w:t>②废水</w:t>
            </w:r>
          </w:p>
          <w:p w14:paraId="060D0915">
            <w:pPr>
              <w:pStyle w:val="50"/>
              <w:ind w:firstLine="480"/>
              <w:rPr>
                <w:color w:val="auto"/>
              </w:rPr>
            </w:pPr>
            <w:r>
              <w:rPr>
                <w:rFonts w:hint="eastAsia"/>
                <w:color w:val="auto"/>
              </w:rPr>
              <w:t>现有项目使用生活用水、冷却水用水、乳化液配制用水、清洗液配制用水，其中仅生活污水外排。</w:t>
            </w:r>
          </w:p>
          <w:p w14:paraId="53D051A4">
            <w:pPr>
              <w:pStyle w:val="50"/>
              <w:ind w:firstLine="480"/>
              <w:rPr>
                <w:color w:val="auto"/>
              </w:rPr>
            </w:pPr>
            <w:r>
              <w:rPr>
                <w:color w:val="auto"/>
              </w:rPr>
              <w:t>根据</w:t>
            </w:r>
            <w:r>
              <w:rPr>
                <w:rFonts w:hint="eastAsia"/>
                <w:color w:val="auto"/>
              </w:rPr>
              <w:t>验收</w:t>
            </w:r>
            <w:r>
              <w:rPr>
                <w:color w:val="auto"/>
              </w:rPr>
              <w:t>检测报告</w:t>
            </w:r>
            <w:r>
              <w:rPr>
                <w:rFonts w:hint="eastAsia"/>
                <w:color w:val="auto"/>
              </w:rPr>
              <w:t>（</w:t>
            </w:r>
            <w:r>
              <w:rPr>
                <w:color w:val="auto"/>
              </w:rPr>
              <w:t>检测</w:t>
            </w:r>
            <w:r>
              <w:rPr>
                <w:rFonts w:hint="eastAsia"/>
                <w:color w:val="auto"/>
              </w:rPr>
              <w:t>公司为江苏迈斯特环境检测有限公司、</w:t>
            </w:r>
            <w:r>
              <w:rPr>
                <w:color w:val="auto"/>
              </w:rPr>
              <w:t>检测</w:t>
            </w:r>
            <w:r>
              <w:rPr>
                <w:rFonts w:hint="eastAsia"/>
                <w:color w:val="auto"/>
              </w:rPr>
              <w:t>时间为2025.07.09~2025.07.10、报告编号为MST20250701401）</w:t>
            </w:r>
            <w:r>
              <w:rPr>
                <w:color w:val="auto"/>
              </w:rPr>
              <w:t>，现有项目废</w:t>
            </w:r>
            <w:r>
              <w:rPr>
                <w:rFonts w:hint="eastAsia"/>
                <w:color w:val="auto"/>
              </w:rPr>
              <w:t>水</w:t>
            </w:r>
            <w:r>
              <w:rPr>
                <w:color w:val="auto"/>
              </w:rPr>
              <w:t>检测结果见</w:t>
            </w:r>
            <w:r>
              <w:rPr>
                <w:color w:val="auto"/>
              </w:rPr>
              <w:fldChar w:fldCharType="begin"/>
            </w:r>
            <w:r>
              <w:rPr>
                <w:color w:val="auto"/>
              </w:rPr>
              <w:instrText xml:space="preserve"> REF _Ref26288 \h </w:instrText>
            </w:r>
            <w:r>
              <w:rPr>
                <w:color w:val="auto"/>
              </w:rPr>
              <w:fldChar w:fldCharType="separate"/>
            </w:r>
            <w:r>
              <w:rPr>
                <w:color w:val="auto"/>
              </w:rPr>
              <w:t>表2- 12</w:t>
            </w:r>
            <w:r>
              <w:rPr>
                <w:color w:val="auto"/>
              </w:rPr>
              <w:fldChar w:fldCharType="end"/>
            </w:r>
            <w:r>
              <w:rPr>
                <w:color w:val="auto"/>
              </w:rPr>
              <w:t>。</w:t>
            </w:r>
          </w:p>
          <w:p w14:paraId="0D67B46D">
            <w:pPr>
              <w:pStyle w:val="7"/>
              <w:rPr>
                <w:color w:val="auto"/>
              </w:rPr>
            </w:pPr>
            <w:bookmarkStart w:id="51" w:name="_Ref26288"/>
            <w:r>
              <w:rPr>
                <w:color w:val="auto"/>
              </w:rPr>
              <w:t xml:space="preserve">表2- </w:t>
            </w:r>
            <w:r>
              <w:rPr>
                <w:color w:val="auto"/>
              </w:rPr>
              <w:fldChar w:fldCharType="begin"/>
            </w:r>
            <w:r>
              <w:rPr>
                <w:color w:val="auto"/>
              </w:rPr>
              <w:instrText xml:space="preserve"> SEQ 表2- \* ARABIC </w:instrText>
            </w:r>
            <w:r>
              <w:rPr>
                <w:color w:val="auto"/>
              </w:rPr>
              <w:fldChar w:fldCharType="separate"/>
            </w:r>
            <w:r>
              <w:rPr>
                <w:color w:val="auto"/>
              </w:rPr>
              <w:t>12</w:t>
            </w:r>
            <w:r>
              <w:rPr>
                <w:color w:val="auto"/>
              </w:rPr>
              <w:fldChar w:fldCharType="end"/>
            </w:r>
            <w:bookmarkEnd w:id="51"/>
            <w:r>
              <w:rPr>
                <w:color w:val="auto"/>
              </w:rPr>
              <w:t xml:space="preserve"> 废水</w:t>
            </w:r>
            <w:r>
              <w:rPr>
                <w:rFonts w:hint="eastAsia"/>
                <w:color w:val="auto"/>
              </w:rPr>
              <w:t>检测</w:t>
            </w:r>
            <w:r>
              <w:rPr>
                <w:color w:val="auto"/>
              </w:rPr>
              <w:t>结果（单位：mg/L，pH无量纲）</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7"/>
              <w:gridCol w:w="900"/>
              <w:gridCol w:w="1418"/>
              <w:gridCol w:w="964"/>
              <w:gridCol w:w="964"/>
              <w:gridCol w:w="964"/>
              <w:gridCol w:w="967"/>
              <w:gridCol w:w="758"/>
              <w:gridCol w:w="741"/>
            </w:tblGrid>
            <w:tr w14:paraId="68DCD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7" w:type="dxa"/>
                  <w:vMerge w:val="restart"/>
                  <w:tcBorders>
                    <w:tl2br w:val="nil"/>
                    <w:tr2bl w:val="nil"/>
                  </w:tcBorders>
                  <w:vAlign w:val="center"/>
                </w:tcPr>
                <w:p w14:paraId="70B20C58">
                  <w:pPr>
                    <w:pStyle w:val="52"/>
                    <w:rPr>
                      <w:color w:val="auto"/>
                    </w:rPr>
                  </w:pPr>
                  <w:r>
                    <w:rPr>
                      <w:rFonts w:hint="eastAsia"/>
                      <w:color w:val="auto"/>
                    </w:rPr>
                    <w:t>采样日期</w:t>
                  </w:r>
                </w:p>
              </w:tc>
              <w:tc>
                <w:tcPr>
                  <w:tcW w:w="900" w:type="dxa"/>
                  <w:vMerge w:val="restart"/>
                  <w:tcBorders>
                    <w:tl2br w:val="nil"/>
                    <w:tr2bl w:val="nil"/>
                  </w:tcBorders>
                  <w:vAlign w:val="center"/>
                </w:tcPr>
                <w:p w14:paraId="3BB26215">
                  <w:pPr>
                    <w:pStyle w:val="52"/>
                    <w:rPr>
                      <w:color w:val="auto"/>
                    </w:rPr>
                  </w:pPr>
                  <w:r>
                    <w:rPr>
                      <w:color w:val="auto"/>
                    </w:rPr>
                    <w:t>检测</w:t>
                  </w:r>
                </w:p>
                <w:p w14:paraId="447F4D93">
                  <w:pPr>
                    <w:pStyle w:val="52"/>
                    <w:rPr>
                      <w:color w:val="auto"/>
                    </w:rPr>
                  </w:pPr>
                  <w:r>
                    <w:rPr>
                      <w:color w:val="auto"/>
                    </w:rPr>
                    <w:t>点位</w:t>
                  </w:r>
                </w:p>
              </w:tc>
              <w:tc>
                <w:tcPr>
                  <w:tcW w:w="1418" w:type="dxa"/>
                  <w:vMerge w:val="restart"/>
                  <w:tcBorders>
                    <w:tl2br w:val="nil"/>
                    <w:tr2bl w:val="nil"/>
                  </w:tcBorders>
                  <w:vAlign w:val="center"/>
                </w:tcPr>
                <w:p w14:paraId="6A23F183">
                  <w:pPr>
                    <w:pStyle w:val="52"/>
                    <w:rPr>
                      <w:color w:val="auto"/>
                    </w:rPr>
                  </w:pPr>
                  <w:r>
                    <w:rPr>
                      <w:color w:val="auto"/>
                    </w:rPr>
                    <w:t>检测项目</w:t>
                  </w:r>
                </w:p>
              </w:tc>
              <w:tc>
                <w:tcPr>
                  <w:tcW w:w="3859" w:type="dxa"/>
                  <w:gridSpan w:val="4"/>
                  <w:tcBorders>
                    <w:tl2br w:val="nil"/>
                    <w:tr2bl w:val="nil"/>
                  </w:tcBorders>
                  <w:vAlign w:val="center"/>
                </w:tcPr>
                <w:p w14:paraId="4F096395">
                  <w:pPr>
                    <w:pStyle w:val="52"/>
                    <w:rPr>
                      <w:color w:val="auto"/>
                    </w:rPr>
                  </w:pPr>
                  <w:r>
                    <w:rPr>
                      <w:rFonts w:hint="eastAsia"/>
                      <w:color w:val="auto"/>
                    </w:rPr>
                    <w:t>检测结果</w:t>
                  </w:r>
                </w:p>
              </w:tc>
              <w:tc>
                <w:tcPr>
                  <w:tcW w:w="758" w:type="dxa"/>
                  <w:vMerge w:val="restart"/>
                  <w:tcBorders>
                    <w:tl2br w:val="nil"/>
                    <w:tr2bl w:val="nil"/>
                  </w:tcBorders>
                  <w:vAlign w:val="center"/>
                </w:tcPr>
                <w:p w14:paraId="234161CE">
                  <w:pPr>
                    <w:pStyle w:val="52"/>
                    <w:rPr>
                      <w:color w:val="auto"/>
                    </w:rPr>
                  </w:pPr>
                  <w:r>
                    <w:rPr>
                      <w:color w:val="auto"/>
                    </w:rPr>
                    <w:t>限值</w:t>
                  </w:r>
                </w:p>
              </w:tc>
              <w:tc>
                <w:tcPr>
                  <w:tcW w:w="741" w:type="dxa"/>
                  <w:vMerge w:val="restart"/>
                  <w:tcBorders>
                    <w:tl2br w:val="nil"/>
                    <w:tr2bl w:val="nil"/>
                  </w:tcBorders>
                  <w:vAlign w:val="center"/>
                </w:tcPr>
                <w:p w14:paraId="09EDBFFE">
                  <w:pPr>
                    <w:pStyle w:val="52"/>
                    <w:rPr>
                      <w:color w:val="auto"/>
                    </w:rPr>
                  </w:pPr>
                  <w:r>
                    <w:rPr>
                      <w:color w:val="auto"/>
                    </w:rPr>
                    <w:t>达标</w:t>
                  </w:r>
                </w:p>
                <w:p w14:paraId="6A93E295">
                  <w:pPr>
                    <w:pStyle w:val="52"/>
                    <w:rPr>
                      <w:color w:val="auto"/>
                    </w:rPr>
                  </w:pPr>
                  <w:r>
                    <w:rPr>
                      <w:color w:val="auto"/>
                    </w:rPr>
                    <w:t>情况</w:t>
                  </w:r>
                </w:p>
              </w:tc>
            </w:tr>
            <w:tr w14:paraId="13CA0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7" w:type="dxa"/>
                  <w:vMerge w:val="continue"/>
                  <w:tcBorders>
                    <w:tl2br w:val="nil"/>
                    <w:tr2bl w:val="nil"/>
                  </w:tcBorders>
                  <w:vAlign w:val="center"/>
                </w:tcPr>
                <w:p w14:paraId="6E234321">
                  <w:pPr>
                    <w:pStyle w:val="52"/>
                    <w:rPr>
                      <w:color w:val="auto"/>
                    </w:rPr>
                  </w:pPr>
                </w:p>
              </w:tc>
              <w:tc>
                <w:tcPr>
                  <w:tcW w:w="900" w:type="dxa"/>
                  <w:vMerge w:val="continue"/>
                  <w:tcBorders>
                    <w:tl2br w:val="nil"/>
                    <w:tr2bl w:val="nil"/>
                  </w:tcBorders>
                  <w:vAlign w:val="center"/>
                </w:tcPr>
                <w:p w14:paraId="63558847">
                  <w:pPr>
                    <w:pStyle w:val="52"/>
                    <w:rPr>
                      <w:color w:val="auto"/>
                    </w:rPr>
                  </w:pPr>
                </w:p>
              </w:tc>
              <w:tc>
                <w:tcPr>
                  <w:tcW w:w="1418" w:type="dxa"/>
                  <w:vMerge w:val="continue"/>
                  <w:tcBorders>
                    <w:tl2br w:val="nil"/>
                    <w:tr2bl w:val="nil"/>
                  </w:tcBorders>
                  <w:vAlign w:val="center"/>
                </w:tcPr>
                <w:p w14:paraId="3B413525">
                  <w:pPr>
                    <w:pStyle w:val="52"/>
                    <w:rPr>
                      <w:color w:val="auto"/>
                    </w:rPr>
                  </w:pPr>
                </w:p>
              </w:tc>
              <w:tc>
                <w:tcPr>
                  <w:tcW w:w="964" w:type="dxa"/>
                  <w:tcBorders>
                    <w:tl2br w:val="nil"/>
                    <w:tr2bl w:val="nil"/>
                  </w:tcBorders>
                  <w:vAlign w:val="center"/>
                </w:tcPr>
                <w:p w14:paraId="05671734">
                  <w:pPr>
                    <w:pStyle w:val="52"/>
                    <w:rPr>
                      <w:color w:val="auto"/>
                    </w:rPr>
                  </w:pPr>
                  <w:r>
                    <w:rPr>
                      <w:color w:val="auto"/>
                    </w:rPr>
                    <w:t>1</w:t>
                  </w:r>
                </w:p>
              </w:tc>
              <w:tc>
                <w:tcPr>
                  <w:tcW w:w="964" w:type="dxa"/>
                  <w:tcBorders>
                    <w:tl2br w:val="nil"/>
                    <w:tr2bl w:val="nil"/>
                  </w:tcBorders>
                  <w:vAlign w:val="center"/>
                </w:tcPr>
                <w:p w14:paraId="48B24C64">
                  <w:pPr>
                    <w:pStyle w:val="52"/>
                    <w:rPr>
                      <w:color w:val="auto"/>
                    </w:rPr>
                  </w:pPr>
                  <w:r>
                    <w:rPr>
                      <w:color w:val="auto"/>
                    </w:rPr>
                    <w:t>3</w:t>
                  </w:r>
                </w:p>
              </w:tc>
              <w:tc>
                <w:tcPr>
                  <w:tcW w:w="964" w:type="dxa"/>
                  <w:tcBorders>
                    <w:tl2br w:val="nil"/>
                    <w:tr2bl w:val="nil"/>
                  </w:tcBorders>
                  <w:vAlign w:val="center"/>
                </w:tcPr>
                <w:p w14:paraId="02853626">
                  <w:pPr>
                    <w:pStyle w:val="52"/>
                    <w:rPr>
                      <w:color w:val="auto"/>
                    </w:rPr>
                  </w:pPr>
                  <w:r>
                    <w:rPr>
                      <w:color w:val="auto"/>
                    </w:rPr>
                    <w:t>3</w:t>
                  </w:r>
                </w:p>
              </w:tc>
              <w:tc>
                <w:tcPr>
                  <w:tcW w:w="967" w:type="dxa"/>
                  <w:tcBorders>
                    <w:tl2br w:val="nil"/>
                    <w:tr2bl w:val="nil"/>
                  </w:tcBorders>
                  <w:vAlign w:val="center"/>
                </w:tcPr>
                <w:p w14:paraId="7B8602B8">
                  <w:pPr>
                    <w:pStyle w:val="52"/>
                    <w:rPr>
                      <w:color w:val="auto"/>
                    </w:rPr>
                  </w:pPr>
                  <w:r>
                    <w:rPr>
                      <w:rFonts w:hint="eastAsia"/>
                      <w:color w:val="auto"/>
                    </w:rPr>
                    <w:t>4</w:t>
                  </w:r>
                </w:p>
              </w:tc>
              <w:tc>
                <w:tcPr>
                  <w:tcW w:w="758" w:type="dxa"/>
                  <w:vMerge w:val="continue"/>
                  <w:tcBorders>
                    <w:tl2br w:val="nil"/>
                    <w:tr2bl w:val="nil"/>
                  </w:tcBorders>
                  <w:vAlign w:val="center"/>
                </w:tcPr>
                <w:p w14:paraId="013D9C2D">
                  <w:pPr>
                    <w:pStyle w:val="52"/>
                    <w:rPr>
                      <w:color w:val="auto"/>
                    </w:rPr>
                  </w:pPr>
                </w:p>
              </w:tc>
              <w:tc>
                <w:tcPr>
                  <w:tcW w:w="741" w:type="dxa"/>
                  <w:vMerge w:val="continue"/>
                  <w:tcBorders>
                    <w:tl2br w:val="nil"/>
                    <w:tr2bl w:val="nil"/>
                  </w:tcBorders>
                  <w:vAlign w:val="center"/>
                </w:tcPr>
                <w:p w14:paraId="0E99C558">
                  <w:pPr>
                    <w:pStyle w:val="52"/>
                    <w:rPr>
                      <w:color w:val="auto"/>
                    </w:rPr>
                  </w:pPr>
                </w:p>
              </w:tc>
            </w:tr>
            <w:tr w14:paraId="04F71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7" w:type="dxa"/>
                  <w:vMerge w:val="restart"/>
                  <w:tcBorders>
                    <w:tl2br w:val="nil"/>
                    <w:tr2bl w:val="nil"/>
                  </w:tcBorders>
                  <w:shd w:val="clear" w:color="auto" w:fill="auto"/>
                  <w:vAlign w:val="center"/>
                </w:tcPr>
                <w:p w14:paraId="102CACFB">
                  <w:pPr>
                    <w:pStyle w:val="54"/>
                    <w:rPr>
                      <w:color w:val="auto"/>
                    </w:rPr>
                  </w:pPr>
                  <w:r>
                    <w:rPr>
                      <w:rFonts w:hint="eastAsia"/>
                      <w:color w:val="auto"/>
                    </w:rPr>
                    <w:t>2025.07.09</w:t>
                  </w:r>
                </w:p>
              </w:tc>
              <w:tc>
                <w:tcPr>
                  <w:tcW w:w="900" w:type="dxa"/>
                  <w:vMerge w:val="restart"/>
                  <w:tcBorders>
                    <w:tl2br w:val="nil"/>
                    <w:tr2bl w:val="nil"/>
                  </w:tcBorders>
                  <w:vAlign w:val="center"/>
                </w:tcPr>
                <w:p w14:paraId="5B75C9A8">
                  <w:pPr>
                    <w:pStyle w:val="54"/>
                    <w:rPr>
                      <w:color w:val="auto"/>
                    </w:rPr>
                  </w:pPr>
                  <w:r>
                    <w:rPr>
                      <w:color w:val="auto"/>
                    </w:rPr>
                    <w:t>W1生活污水排放口</w:t>
                  </w:r>
                </w:p>
              </w:tc>
              <w:tc>
                <w:tcPr>
                  <w:tcW w:w="1418" w:type="dxa"/>
                  <w:tcBorders>
                    <w:tl2br w:val="nil"/>
                    <w:tr2bl w:val="nil"/>
                  </w:tcBorders>
                  <w:vAlign w:val="center"/>
                </w:tcPr>
                <w:p w14:paraId="7091566D">
                  <w:pPr>
                    <w:pStyle w:val="54"/>
                    <w:rPr>
                      <w:color w:val="auto"/>
                    </w:rPr>
                  </w:pPr>
                  <w:r>
                    <w:rPr>
                      <w:color w:val="auto"/>
                    </w:rPr>
                    <w:t>pH值</w:t>
                  </w:r>
                </w:p>
              </w:tc>
              <w:tc>
                <w:tcPr>
                  <w:tcW w:w="964" w:type="dxa"/>
                  <w:tcBorders>
                    <w:tl2br w:val="nil"/>
                    <w:tr2bl w:val="nil"/>
                  </w:tcBorders>
                  <w:vAlign w:val="center"/>
                </w:tcPr>
                <w:p w14:paraId="48B1695C">
                  <w:pPr>
                    <w:pStyle w:val="54"/>
                    <w:rPr>
                      <w:color w:val="auto"/>
                    </w:rPr>
                  </w:pPr>
                  <w:r>
                    <w:rPr>
                      <w:color w:val="auto"/>
                    </w:rPr>
                    <w:t>8</w:t>
                  </w:r>
                </w:p>
              </w:tc>
              <w:tc>
                <w:tcPr>
                  <w:tcW w:w="964" w:type="dxa"/>
                  <w:tcBorders>
                    <w:tl2br w:val="nil"/>
                    <w:tr2bl w:val="nil"/>
                  </w:tcBorders>
                  <w:vAlign w:val="center"/>
                </w:tcPr>
                <w:p w14:paraId="0CE57038">
                  <w:pPr>
                    <w:pStyle w:val="54"/>
                    <w:rPr>
                      <w:color w:val="auto"/>
                    </w:rPr>
                  </w:pPr>
                  <w:r>
                    <w:rPr>
                      <w:color w:val="auto"/>
                    </w:rPr>
                    <w:t>7.9</w:t>
                  </w:r>
                </w:p>
              </w:tc>
              <w:tc>
                <w:tcPr>
                  <w:tcW w:w="964" w:type="dxa"/>
                  <w:tcBorders>
                    <w:tl2br w:val="nil"/>
                    <w:tr2bl w:val="nil"/>
                  </w:tcBorders>
                  <w:vAlign w:val="center"/>
                </w:tcPr>
                <w:p w14:paraId="1E8449D4">
                  <w:pPr>
                    <w:pStyle w:val="54"/>
                    <w:rPr>
                      <w:color w:val="auto"/>
                    </w:rPr>
                  </w:pPr>
                  <w:r>
                    <w:rPr>
                      <w:color w:val="auto"/>
                    </w:rPr>
                    <w:t>7.8</w:t>
                  </w:r>
                </w:p>
              </w:tc>
              <w:tc>
                <w:tcPr>
                  <w:tcW w:w="967" w:type="dxa"/>
                  <w:tcBorders>
                    <w:tl2br w:val="nil"/>
                    <w:tr2bl w:val="nil"/>
                  </w:tcBorders>
                  <w:vAlign w:val="center"/>
                </w:tcPr>
                <w:p w14:paraId="55EDC5EC">
                  <w:pPr>
                    <w:pStyle w:val="54"/>
                    <w:rPr>
                      <w:color w:val="auto"/>
                    </w:rPr>
                  </w:pPr>
                  <w:r>
                    <w:rPr>
                      <w:color w:val="auto"/>
                    </w:rPr>
                    <w:t>7.9</w:t>
                  </w:r>
                </w:p>
              </w:tc>
              <w:tc>
                <w:tcPr>
                  <w:tcW w:w="758" w:type="dxa"/>
                  <w:tcBorders>
                    <w:tl2br w:val="nil"/>
                    <w:tr2bl w:val="nil"/>
                  </w:tcBorders>
                  <w:vAlign w:val="center"/>
                </w:tcPr>
                <w:p w14:paraId="320E1A37">
                  <w:pPr>
                    <w:pStyle w:val="54"/>
                    <w:rPr>
                      <w:color w:val="auto"/>
                    </w:rPr>
                  </w:pPr>
                  <w:r>
                    <w:rPr>
                      <w:rFonts w:hint="eastAsia"/>
                      <w:color w:val="auto"/>
                    </w:rPr>
                    <w:t>6~9</w:t>
                  </w:r>
                </w:p>
              </w:tc>
              <w:tc>
                <w:tcPr>
                  <w:tcW w:w="741" w:type="dxa"/>
                  <w:tcBorders>
                    <w:tl2br w:val="nil"/>
                    <w:tr2bl w:val="nil"/>
                  </w:tcBorders>
                  <w:vAlign w:val="center"/>
                </w:tcPr>
                <w:p w14:paraId="214E3921">
                  <w:pPr>
                    <w:pStyle w:val="54"/>
                    <w:rPr>
                      <w:color w:val="auto"/>
                    </w:rPr>
                  </w:pPr>
                  <w:r>
                    <w:rPr>
                      <w:color w:val="auto"/>
                    </w:rPr>
                    <w:t>达标</w:t>
                  </w:r>
                </w:p>
              </w:tc>
            </w:tr>
            <w:tr w14:paraId="4FA43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jc w:val="center"/>
              </w:trPr>
              <w:tc>
                <w:tcPr>
                  <w:tcW w:w="757" w:type="dxa"/>
                  <w:vMerge w:val="continue"/>
                  <w:tcBorders>
                    <w:tl2br w:val="nil"/>
                    <w:tr2bl w:val="nil"/>
                  </w:tcBorders>
                  <w:vAlign w:val="center"/>
                </w:tcPr>
                <w:p w14:paraId="50684B07">
                  <w:pPr>
                    <w:pStyle w:val="54"/>
                    <w:rPr>
                      <w:color w:val="auto"/>
                    </w:rPr>
                  </w:pPr>
                </w:p>
              </w:tc>
              <w:tc>
                <w:tcPr>
                  <w:tcW w:w="900" w:type="dxa"/>
                  <w:vMerge w:val="continue"/>
                  <w:tcBorders>
                    <w:tl2br w:val="nil"/>
                    <w:tr2bl w:val="nil"/>
                  </w:tcBorders>
                  <w:vAlign w:val="center"/>
                </w:tcPr>
                <w:p w14:paraId="00B765EB">
                  <w:pPr>
                    <w:pStyle w:val="54"/>
                    <w:rPr>
                      <w:color w:val="auto"/>
                    </w:rPr>
                  </w:pPr>
                </w:p>
              </w:tc>
              <w:tc>
                <w:tcPr>
                  <w:tcW w:w="1418" w:type="dxa"/>
                  <w:tcBorders>
                    <w:tl2br w:val="nil"/>
                    <w:tr2bl w:val="nil"/>
                  </w:tcBorders>
                  <w:vAlign w:val="center"/>
                </w:tcPr>
                <w:p w14:paraId="50F122EA">
                  <w:pPr>
                    <w:pStyle w:val="54"/>
                    <w:rPr>
                      <w:color w:val="auto"/>
                    </w:rPr>
                  </w:pPr>
                  <w:r>
                    <w:rPr>
                      <w:rFonts w:hint="eastAsia"/>
                      <w:color w:val="auto"/>
                    </w:rPr>
                    <w:t>化学需氧量</w:t>
                  </w:r>
                </w:p>
              </w:tc>
              <w:tc>
                <w:tcPr>
                  <w:tcW w:w="964" w:type="dxa"/>
                  <w:tcBorders>
                    <w:tl2br w:val="nil"/>
                    <w:tr2bl w:val="nil"/>
                  </w:tcBorders>
                  <w:vAlign w:val="center"/>
                </w:tcPr>
                <w:p w14:paraId="5FDB0204">
                  <w:pPr>
                    <w:pStyle w:val="54"/>
                    <w:rPr>
                      <w:color w:val="auto"/>
                    </w:rPr>
                  </w:pPr>
                  <w:r>
                    <w:rPr>
                      <w:color w:val="auto"/>
                    </w:rPr>
                    <w:t>138</w:t>
                  </w:r>
                </w:p>
              </w:tc>
              <w:tc>
                <w:tcPr>
                  <w:tcW w:w="964" w:type="dxa"/>
                  <w:tcBorders>
                    <w:tl2br w:val="nil"/>
                    <w:tr2bl w:val="nil"/>
                  </w:tcBorders>
                  <w:vAlign w:val="center"/>
                </w:tcPr>
                <w:p w14:paraId="43A47C88">
                  <w:pPr>
                    <w:pStyle w:val="54"/>
                    <w:rPr>
                      <w:color w:val="auto"/>
                    </w:rPr>
                  </w:pPr>
                  <w:r>
                    <w:rPr>
                      <w:color w:val="auto"/>
                    </w:rPr>
                    <w:t>126</w:t>
                  </w:r>
                </w:p>
              </w:tc>
              <w:tc>
                <w:tcPr>
                  <w:tcW w:w="964" w:type="dxa"/>
                  <w:tcBorders>
                    <w:tl2br w:val="nil"/>
                    <w:tr2bl w:val="nil"/>
                  </w:tcBorders>
                  <w:vAlign w:val="center"/>
                </w:tcPr>
                <w:p w14:paraId="77F56F21">
                  <w:pPr>
                    <w:pStyle w:val="54"/>
                    <w:rPr>
                      <w:color w:val="auto"/>
                    </w:rPr>
                  </w:pPr>
                  <w:r>
                    <w:rPr>
                      <w:color w:val="auto"/>
                    </w:rPr>
                    <w:t>131</w:t>
                  </w:r>
                </w:p>
              </w:tc>
              <w:tc>
                <w:tcPr>
                  <w:tcW w:w="967" w:type="dxa"/>
                  <w:tcBorders>
                    <w:tl2br w:val="nil"/>
                    <w:tr2bl w:val="nil"/>
                  </w:tcBorders>
                  <w:vAlign w:val="center"/>
                </w:tcPr>
                <w:p w14:paraId="16C0845C">
                  <w:pPr>
                    <w:pStyle w:val="54"/>
                    <w:rPr>
                      <w:color w:val="auto"/>
                    </w:rPr>
                  </w:pPr>
                  <w:r>
                    <w:rPr>
                      <w:color w:val="auto"/>
                    </w:rPr>
                    <w:t>155</w:t>
                  </w:r>
                </w:p>
              </w:tc>
              <w:tc>
                <w:tcPr>
                  <w:tcW w:w="758" w:type="dxa"/>
                  <w:tcBorders>
                    <w:tl2br w:val="nil"/>
                    <w:tr2bl w:val="nil"/>
                  </w:tcBorders>
                  <w:vAlign w:val="center"/>
                </w:tcPr>
                <w:p w14:paraId="1BC79A7A">
                  <w:pPr>
                    <w:pStyle w:val="54"/>
                    <w:rPr>
                      <w:color w:val="auto"/>
                    </w:rPr>
                  </w:pPr>
                  <w:r>
                    <w:rPr>
                      <w:color w:val="auto"/>
                    </w:rPr>
                    <w:t>≤374</w:t>
                  </w:r>
                </w:p>
              </w:tc>
              <w:tc>
                <w:tcPr>
                  <w:tcW w:w="741" w:type="dxa"/>
                  <w:tcBorders>
                    <w:tl2br w:val="nil"/>
                    <w:tr2bl w:val="nil"/>
                  </w:tcBorders>
                  <w:vAlign w:val="center"/>
                </w:tcPr>
                <w:p w14:paraId="3F035792">
                  <w:pPr>
                    <w:pStyle w:val="54"/>
                    <w:rPr>
                      <w:color w:val="auto"/>
                    </w:rPr>
                  </w:pPr>
                  <w:r>
                    <w:rPr>
                      <w:color w:val="auto"/>
                    </w:rPr>
                    <w:t>达标</w:t>
                  </w:r>
                </w:p>
              </w:tc>
            </w:tr>
            <w:tr w14:paraId="39FCB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7" w:type="dxa"/>
                  <w:vMerge w:val="continue"/>
                  <w:tcBorders>
                    <w:tl2br w:val="nil"/>
                    <w:tr2bl w:val="nil"/>
                  </w:tcBorders>
                  <w:vAlign w:val="center"/>
                </w:tcPr>
                <w:p w14:paraId="279A2353">
                  <w:pPr>
                    <w:pStyle w:val="54"/>
                    <w:rPr>
                      <w:color w:val="auto"/>
                    </w:rPr>
                  </w:pPr>
                </w:p>
              </w:tc>
              <w:tc>
                <w:tcPr>
                  <w:tcW w:w="900" w:type="dxa"/>
                  <w:vMerge w:val="continue"/>
                  <w:tcBorders>
                    <w:tl2br w:val="nil"/>
                    <w:tr2bl w:val="nil"/>
                  </w:tcBorders>
                  <w:vAlign w:val="center"/>
                </w:tcPr>
                <w:p w14:paraId="21F4C017">
                  <w:pPr>
                    <w:pStyle w:val="54"/>
                    <w:rPr>
                      <w:color w:val="auto"/>
                    </w:rPr>
                  </w:pPr>
                </w:p>
              </w:tc>
              <w:tc>
                <w:tcPr>
                  <w:tcW w:w="1418" w:type="dxa"/>
                  <w:tcBorders>
                    <w:tl2br w:val="nil"/>
                    <w:tr2bl w:val="nil"/>
                  </w:tcBorders>
                  <w:vAlign w:val="center"/>
                </w:tcPr>
                <w:p w14:paraId="05D1C605">
                  <w:pPr>
                    <w:pStyle w:val="54"/>
                    <w:rPr>
                      <w:color w:val="auto"/>
                    </w:rPr>
                  </w:pPr>
                  <w:r>
                    <w:rPr>
                      <w:rFonts w:hint="eastAsia"/>
                      <w:color w:val="auto"/>
                    </w:rPr>
                    <w:t>悬浮物</w:t>
                  </w:r>
                </w:p>
              </w:tc>
              <w:tc>
                <w:tcPr>
                  <w:tcW w:w="964" w:type="dxa"/>
                  <w:tcBorders>
                    <w:tl2br w:val="nil"/>
                    <w:tr2bl w:val="nil"/>
                  </w:tcBorders>
                  <w:vAlign w:val="center"/>
                </w:tcPr>
                <w:p w14:paraId="569878FB">
                  <w:pPr>
                    <w:pStyle w:val="54"/>
                    <w:rPr>
                      <w:color w:val="auto"/>
                    </w:rPr>
                  </w:pPr>
                  <w:r>
                    <w:rPr>
                      <w:color w:val="auto"/>
                    </w:rPr>
                    <w:t>29</w:t>
                  </w:r>
                </w:p>
              </w:tc>
              <w:tc>
                <w:tcPr>
                  <w:tcW w:w="964" w:type="dxa"/>
                  <w:tcBorders>
                    <w:tl2br w:val="nil"/>
                    <w:tr2bl w:val="nil"/>
                  </w:tcBorders>
                  <w:vAlign w:val="center"/>
                </w:tcPr>
                <w:p w14:paraId="777A6535">
                  <w:pPr>
                    <w:pStyle w:val="54"/>
                    <w:rPr>
                      <w:color w:val="auto"/>
                    </w:rPr>
                  </w:pPr>
                  <w:r>
                    <w:rPr>
                      <w:color w:val="auto"/>
                    </w:rPr>
                    <w:t>27</w:t>
                  </w:r>
                </w:p>
              </w:tc>
              <w:tc>
                <w:tcPr>
                  <w:tcW w:w="964" w:type="dxa"/>
                  <w:tcBorders>
                    <w:tl2br w:val="nil"/>
                    <w:tr2bl w:val="nil"/>
                  </w:tcBorders>
                  <w:vAlign w:val="center"/>
                </w:tcPr>
                <w:p w14:paraId="7F688B95">
                  <w:pPr>
                    <w:pStyle w:val="54"/>
                    <w:rPr>
                      <w:color w:val="auto"/>
                    </w:rPr>
                  </w:pPr>
                  <w:r>
                    <w:rPr>
                      <w:color w:val="auto"/>
                    </w:rPr>
                    <w:t>33</w:t>
                  </w:r>
                </w:p>
              </w:tc>
              <w:tc>
                <w:tcPr>
                  <w:tcW w:w="967" w:type="dxa"/>
                  <w:tcBorders>
                    <w:tl2br w:val="nil"/>
                    <w:tr2bl w:val="nil"/>
                  </w:tcBorders>
                  <w:vAlign w:val="center"/>
                </w:tcPr>
                <w:p w14:paraId="2D6728D0">
                  <w:pPr>
                    <w:pStyle w:val="54"/>
                    <w:rPr>
                      <w:color w:val="auto"/>
                    </w:rPr>
                  </w:pPr>
                  <w:r>
                    <w:rPr>
                      <w:color w:val="auto"/>
                    </w:rPr>
                    <w:t>26</w:t>
                  </w:r>
                </w:p>
              </w:tc>
              <w:tc>
                <w:tcPr>
                  <w:tcW w:w="758" w:type="dxa"/>
                  <w:tcBorders>
                    <w:tl2br w:val="nil"/>
                    <w:tr2bl w:val="nil"/>
                  </w:tcBorders>
                  <w:vAlign w:val="center"/>
                </w:tcPr>
                <w:p w14:paraId="1D024DBE">
                  <w:pPr>
                    <w:pStyle w:val="54"/>
                    <w:rPr>
                      <w:color w:val="auto"/>
                    </w:rPr>
                  </w:pPr>
                  <w:r>
                    <w:rPr>
                      <w:color w:val="auto"/>
                    </w:rPr>
                    <w:t>≤246</w:t>
                  </w:r>
                </w:p>
              </w:tc>
              <w:tc>
                <w:tcPr>
                  <w:tcW w:w="741" w:type="dxa"/>
                  <w:tcBorders>
                    <w:tl2br w:val="nil"/>
                    <w:tr2bl w:val="nil"/>
                  </w:tcBorders>
                  <w:vAlign w:val="center"/>
                </w:tcPr>
                <w:p w14:paraId="5F697C20">
                  <w:pPr>
                    <w:pStyle w:val="54"/>
                    <w:rPr>
                      <w:color w:val="auto"/>
                    </w:rPr>
                  </w:pPr>
                  <w:r>
                    <w:rPr>
                      <w:color w:val="auto"/>
                    </w:rPr>
                    <w:t>达标</w:t>
                  </w:r>
                </w:p>
              </w:tc>
            </w:tr>
            <w:tr w14:paraId="1569D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7" w:type="dxa"/>
                  <w:vMerge w:val="continue"/>
                  <w:tcBorders>
                    <w:tl2br w:val="nil"/>
                    <w:tr2bl w:val="nil"/>
                  </w:tcBorders>
                  <w:vAlign w:val="center"/>
                </w:tcPr>
                <w:p w14:paraId="048FE725">
                  <w:pPr>
                    <w:pStyle w:val="54"/>
                    <w:rPr>
                      <w:color w:val="auto"/>
                    </w:rPr>
                  </w:pPr>
                </w:p>
              </w:tc>
              <w:tc>
                <w:tcPr>
                  <w:tcW w:w="900" w:type="dxa"/>
                  <w:vMerge w:val="continue"/>
                  <w:tcBorders>
                    <w:tl2br w:val="nil"/>
                    <w:tr2bl w:val="nil"/>
                  </w:tcBorders>
                  <w:vAlign w:val="center"/>
                </w:tcPr>
                <w:p w14:paraId="18C847F7">
                  <w:pPr>
                    <w:pStyle w:val="54"/>
                    <w:rPr>
                      <w:color w:val="auto"/>
                    </w:rPr>
                  </w:pPr>
                </w:p>
              </w:tc>
              <w:tc>
                <w:tcPr>
                  <w:tcW w:w="1418" w:type="dxa"/>
                  <w:tcBorders>
                    <w:tl2br w:val="nil"/>
                    <w:tr2bl w:val="nil"/>
                  </w:tcBorders>
                  <w:vAlign w:val="center"/>
                </w:tcPr>
                <w:p w14:paraId="4B1206DA">
                  <w:pPr>
                    <w:pStyle w:val="54"/>
                    <w:rPr>
                      <w:color w:val="auto"/>
                    </w:rPr>
                  </w:pPr>
                  <w:r>
                    <w:rPr>
                      <w:color w:val="auto"/>
                    </w:rPr>
                    <w:t>氨氮</w:t>
                  </w:r>
                </w:p>
              </w:tc>
              <w:tc>
                <w:tcPr>
                  <w:tcW w:w="964" w:type="dxa"/>
                  <w:tcBorders>
                    <w:tl2br w:val="nil"/>
                    <w:tr2bl w:val="nil"/>
                  </w:tcBorders>
                  <w:vAlign w:val="center"/>
                </w:tcPr>
                <w:p w14:paraId="2A756200">
                  <w:pPr>
                    <w:pStyle w:val="54"/>
                    <w:rPr>
                      <w:color w:val="auto"/>
                    </w:rPr>
                  </w:pPr>
                  <w:r>
                    <w:rPr>
                      <w:color w:val="auto"/>
                    </w:rPr>
                    <w:t>15.2</w:t>
                  </w:r>
                </w:p>
              </w:tc>
              <w:tc>
                <w:tcPr>
                  <w:tcW w:w="964" w:type="dxa"/>
                  <w:tcBorders>
                    <w:tl2br w:val="nil"/>
                    <w:tr2bl w:val="nil"/>
                  </w:tcBorders>
                  <w:vAlign w:val="center"/>
                </w:tcPr>
                <w:p w14:paraId="21952D04">
                  <w:pPr>
                    <w:pStyle w:val="54"/>
                    <w:rPr>
                      <w:color w:val="auto"/>
                    </w:rPr>
                  </w:pPr>
                  <w:r>
                    <w:rPr>
                      <w:color w:val="auto"/>
                    </w:rPr>
                    <w:t>14.4</w:t>
                  </w:r>
                </w:p>
              </w:tc>
              <w:tc>
                <w:tcPr>
                  <w:tcW w:w="964" w:type="dxa"/>
                  <w:tcBorders>
                    <w:tl2br w:val="nil"/>
                    <w:tr2bl w:val="nil"/>
                  </w:tcBorders>
                  <w:vAlign w:val="center"/>
                </w:tcPr>
                <w:p w14:paraId="02D92A30">
                  <w:pPr>
                    <w:pStyle w:val="54"/>
                    <w:rPr>
                      <w:color w:val="auto"/>
                    </w:rPr>
                  </w:pPr>
                  <w:r>
                    <w:rPr>
                      <w:color w:val="auto"/>
                    </w:rPr>
                    <w:t>16.7</w:t>
                  </w:r>
                </w:p>
              </w:tc>
              <w:tc>
                <w:tcPr>
                  <w:tcW w:w="967" w:type="dxa"/>
                  <w:tcBorders>
                    <w:tl2br w:val="nil"/>
                    <w:tr2bl w:val="nil"/>
                  </w:tcBorders>
                  <w:vAlign w:val="center"/>
                </w:tcPr>
                <w:p w14:paraId="2EC9FF72">
                  <w:pPr>
                    <w:pStyle w:val="54"/>
                    <w:rPr>
                      <w:color w:val="auto"/>
                    </w:rPr>
                  </w:pPr>
                  <w:r>
                    <w:rPr>
                      <w:color w:val="auto"/>
                    </w:rPr>
                    <w:t>15.8</w:t>
                  </w:r>
                </w:p>
              </w:tc>
              <w:tc>
                <w:tcPr>
                  <w:tcW w:w="758" w:type="dxa"/>
                  <w:tcBorders>
                    <w:tl2br w:val="nil"/>
                    <w:tr2bl w:val="nil"/>
                  </w:tcBorders>
                  <w:vAlign w:val="center"/>
                </w:tcPr>
                <w:p w14:paraId="206DC66D">
                  <w:pPr>
                    <w:pStyle w:val="54"/>
                    <w:rPr>
                      <w:color w:val="auto"/>
                    </w:rPr>
                  </w:pPr>
                  <w:r>
                    <w:rPr>
                      <w:color w:val="auto"/>
                    </w:rPr>
                    <w:t>≤30</w:t>
                  </w:r>
                </w:p>
              </w:tc>
              <w:tc>
                <w:tcPr>
                  <w:tcW w:w="741" w:type="dxa"/>
                  <w:tcBorders>
                    <w:tl2br w:val="nil"/>
                    <w:tr2bl w:val="nil"/>
                  </w:tcBorders>
                  <w:vAlign w:val="center"/>
                </w:tcPr>
                <w:p w14:paraId="223C3123">
                  <w:pPr>
                    <w:pStyle w:val="54"/>
                    <w:rPr>
                      <w:color w:val="auto"/>
                    </w:rPr>
                  </w:pPr>
                  <w:r>
                    <w:rPr>
                      <w:color w:val="auto"/>
                    </w:rPr>
                    <w:t>达标</w:t>
                  </w:r>
                </w:p>
              </w:tc>
            </w:tr>
            <w:tr w14:paraId="151F99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7" w:type="dxa"/>
                  <w:vMerge w:val="continue"/>
                  <w:tcBorders>
                    <w:tl2br w:val="nil"/>
                    <w:tr2bl w:val="nil"/>
                  </w:tcBorders>
                  <w:vAlign w:val="center"/>
                </w:tcPr>
                <w:p w14:paraId="58DEBB05">
                  <w:pPr>
                    <w:pStyle w:val="54"/>
                    <w:rPr>
                      <w:color w:val="auto"/>
                    </w:rPr>
                  </w:pPr>
                </w:p>
              </w:tc>
              <w:tc>
                <w:tcPr>
                  <w:tcW w:w="900" w:type="dxa"/>
                  <w:vMerge w:val="continue"/>
                  <w:tcBorders>
                    <w:tl2br w:val="nil"/>
                    <w:tr2bl w:val="nil"/>
                  </w:tcBorders>
                  <w:vAlign w:val="center"/>
                </w:tcPr>
                <w:p w14:paraId="08182D4E">
                  <w:pPr>
                    <w:pStyle w:val="54"/>
                    <w:rPr>
                      <w:color w:val="auto"/>
                    </w:rPr>
                  </w:pPr>
                </w:p>
              </w:tc>
              <w:tc>
                <w:tcPr>
                  <w:tcW w:w="1418" w:type="dxa"/>
                  <w:tcBorders>
                    <w:tl2br w:val="nil"/>
                    <w:tr2bl w:val="nil"/>
                  </w:tcBorders>
                  <w:vAlign w:val="center"/>
                </w:tcPr>
                <w:p w14:paraId="5F5950A6">
                  <w:pPr>
                    <w:pStyle w:val="54"/>
                    <w:rPr>
                      <w:color w:val="auto"/>
                    </w:rPr>
                  </w:pPr>
                  <w:r>
                    <w:rPr>
                      <w:rFonts w:hint="eastAsia"/>
                      <w:color w:val="auto"/>
                    </w:rPr>
                    <w:t>总磷</w:t>
                  </w:r>
                </w:p>
              </w:tc>
              <w:tc>
                <w:tcPr>
                  <w:tcW w:w="964" w:type="dxa"/>
                  <w:tcBorders>
                    <w:tl2br w:val="nil"/>
                    <w:tr2bl w:val="nil"/>
                  </w:tcBorders>
                  <w:vAlign w:val="center"/>
                </w:tcPr>
                <w:p w14:paraId="1225E996">
                  <w:pPr>
                    <w:pStyle w:val="54"/>
                    <w:rPr>
                      <w:color w:val="auto"/>
                    </w:rPr>
                  </w:pPr>
                  <w:r>
                    <w:rPr>
                      <w:color w:val="auto"/>
                    </w:rPr>
                    <w:t>1.49</w:t>
                  </w:r>
                </w:p>
              </w:tc>
              <w:tc>
                <w:tcPr>
                  <w:tcW w:w="964" w:type="dxa"/>
                  <w:tcBorders>
                    <w:tl2br w:val="nil"/>
                    <w:tr2bl w:val="nil"/>
                  </w:tcBorders>
                  <w:vAlign w:val="center"/>
                </w:tcPr>
                <w:p w14:paraId="01351578">
                  <w:pPr>
                    <w:pStyle w:val="54"/>
                    <w:rPr>
                      <w:color w:val="auto"/>
                    </w:rPr>
                  </w:pPr>
                  <w:r>
                    <w:rPr>
                      <w:color w:val="auto"/>
                    </w:rPr>
                    <w:t>1.57</w:t>
                  </w:r>
                </w:p>
              </w:tc>
              <w:tc>
                <w:tcPr>
                  <w:tcW w:w="964" w:type="dxa"/>
                  <w:tcBorders>
                    <w:tl2br w:val="nil"/>
                    <w:tr2bl w:val="nil"/>
                  </w:tcBorders>
                  <w:vAlign w:val="center"/>
                </w:tcPr>
                <w:p w14:paraId="0BB426AC">
                  <w:pPr>
                    <w:pStyle w:val="54"/>
                    <w:rPr>
                      <w:color w:val="auto"/>
                    </w:rPr>
                  </w:pPr>
                  <w:r>
                    <w:rPr>
                      <w:color w:val="auto"/>
                    </w:rPr>
                    <w:t>1.5</w:t>
                  </w:r>
                </w:p>
              </w:tc>
              <w:tc>
                <w:tcPr>
                  <w:tcW w:w="967" w:type="dxa"/>
                  <w:tcBorders>
                    <w:tl2br w:val="nil"/>
                    <w:tr2bl w:val="nil"/>
                  </w:tcBorders>
                  <w:vAlign w:val="center"/>
                </w:tcPr>
                <w:p w14:paraId="019751F9">
                  <w:pPr>
                    <w:pStyle w:val="54"/>
                    <w:rPr>
                      <w:color w:val="auto"/>
                    </w:rPr>
                  </w:pPr>
                  <w:r>
                    <w:rPr>
                      <w:color w:val="auto"/>
                    </w:rPr>
                    <w:t>1.53</w:t>
                  </w:r>
                </w:p>
              </w:tc>
              <w:tc>
                <w:tcPr>
                  <w:tcW w:w="758" w:type="dxa"/>
                  <w:tcBorders>
                    <w:tl2br w:val="nil"/>
                    <w:tr2bl w:val="nil"/>
                  </w:tcBorders>
                  <w:vAlign w:val="center"/>
                </w:tcPr>
                <w:p w14:paraId="058E1D22">
                  <w:pPr>
                    <w:pStyle w:val="54"/>
                    <w:rPr>
                      <w:color w:val="auto"/>
                    </w:rPr>
                  </w:pPr>
                  <w:r>
                    <w:rPr>
                      <w:color w:val="auto"/>
                    </w:rPr>
                    <w:t>≤3.7</w:t>
                  </w:r>
                </w:p>
              </w:tc>
              <w:tc>
                <w:tcPr>
                  <w:tcW w:w="741" w:type="dxa"/>
                  <w:tcBorders>
                    <w:tl2br w:val="nil"/>
                    <w:tr2bl w:val="nil"/>
                  </w:tcBorders>
                  <w:vAlign w:val="center"/>
                </w:tcPr>
                <w:p w14:paraId="7CF00434">
                  <w:pPr>
                    <w:pStyle w:val="54"/>
                    <w:rPr>
                      <w:color w:val="auto"/>
                    </w:rPr>
                  </w:pPr>
                  <w:r>
                    <w:rPr>
                      <w:color w:val="auto"/>
                    </w:rPr>
                    <w:t>达标</w:t>
                  </w:r>
                </w:p>
              </w:tc>
            </w:tr>
            <w:tr w14:paraId="39E98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7" w:type="dxa"/>
                  <w:vMerge w:val="continue"/>
                  <w:tcBorders>
                    <w:tl2br w:val="nil"/>
                    <w:tr2bl w:val="nil"/>
                  </w:tcBorders>
                  <w:vAlign w:val="center"/>
                </w:tcPr>
                <w:p w14:paraId="58074214">
                  <w:pPr>
                    <w:pStyle w:val="54"/>
                    <w:rPr>
                      <w:color w:val="auto"/>
                    </w:rPr>
                  </w:pPr>
                </w:p>
              </w:tc>
              <w:tc>
                <w:tcPr>
                  <w:tcW w:w="900" w:type="dxa"/>
                  <w:vMerge w:val="continue"/>
                  <w:tcBorders>
                    <w:tl2br w:val="nil"/>
                    <w:tr2bl w:val="nil"/>
                  </w:tcBorders>
                  <w:vAlign w:val="center"/>
                </w:tcPr>
                <w:p w14:paraId="5A589551">
                  <w:pPr>
                    <w:pStyle w:val="54"/>
                    <w:rPr>
                      <w:color w:val="auto"/>
                    </w:rPr>
                  </w:pPr>
                </w:p>
              </w:tc>
              <w:tc>
                <w:tcPr>
                  <w:tcW w:w="1418" w:type="dxa"/>
                  <w:tcBorders>
                    <w:tl2br w:val="nil"/>
                    <w:tr2bl w:val="nil"/>
                  </w:tcBorders>
                  <w:vAlign w:val="center"/>
                </w:tcPr>
                <w:p w14:paraId="17CBE12F">
                  <w:pPr>
                    <w:pStyle w:val="54"/>
                    <w:rPr>
                      <w:color w:val="auto"/>
                    </w:rPr>
                  </w:pPr>
                  <w:r>
                    <w:rPr>
                      <w:rFonts w:hint="eastAsia"/>
                      <w:color w:val="auto"/>
                    </w:rPr>
                    <w:t>总氮</w:t>
                  </w:r>
                </w:p>
              </w:tc>
              <w:tc>
                <w:tcPr>
                  <w:tcW w:w="964" w:type="dxa"/>
                  <w:tcBorders>
                    <w:tl2br w:val="nil"/>
                    <w:tr2bl w:val="nil"/>
                  </w:tcBorders>
                  <w:vAlign w:val="center"/>
                </w:tcPr>
                <w:p w14:paraId="1DB4F7DB">
                  <w:pPr>
                    <w:pStyle w:val="54"/>
                    <w:rPr>
                      <w:color w:val="auto"/>
                    </w:rPr>
                  </w:pPr>
                  <w:r>
                    <w:rPr>
                      <w:color w:val="auto"/>
                    </w:rPr>
                    <w:t>24.2</w:t>
                  </w:r>
                </w:p>
              </w:tc>
              <w:tc>
                <w:tcPr>
                  <w:tcW w:w="964" w:type="dxa"/>
                  <w:tcBorders>
                    <w:tl2br w:val="nil"/>
                    <w:tr2bl w:val="nil"/>
                  </w:tcBorders>
                  <w:vAlign w:val="center"/>
                </w:tcPr>
                <w:p w14:paraId="65366538">
                  <w:pPr>
                    <w:pStyle w:val="54"/>
                    <w:rPr>
                      <w:color w:val="auto"/>
                    </w:rPr>
                  </w:pPr>
                  <w:r>
                    <w:rPr>
                      <w:color w:val="auto"/>
                    </w:rPr>
                    <w:t>25.1</w:t>
                  </w:r>
                </w:p>
              </w:tc>
              <w:tc>
                <w:tcPr>
                  <w:tcW w:w="964" w:type="dxa"/>
                  <w:tcBorders>
                    <w:tl2br w:val="nil"/>
                    <w:tr2bl w:val="nil"/>
                  </w:tcBorders>
                  <w:vAlign w:val="center"/>
                </w:tcPr>
                <w:p w14:paraId="7755464C">
                  <w:pPr>
                    <w:pStyle w:val="54"/>
                    <w:rPr>
                      <w:color w:val="auto"/>
                    </w:rPr>
                  </w:pPr>
                  <w:r>
                    <w:rPr>
                      <w:color w:val="auto"/>
                    </w:rPr>
                    <w:t>24.4</w:t>
                  </w:r>
                </w:p>
              </w:tc>
              <w:tc>
                <w:tcPr>
                  <w:tcW w:w="967" w:type="dxa"/>
                  <w:tcBorders>
                    <w:tl2br w:val="nil"/>
                    <w:tr2bl w:val="nil"/>
                  </w:tcBorders>
                  <w:vAlign w:val="center"/>
                </w:tcPr>
                <w:p w14:paraId="21053C2E">
                  <w:pPr>
                    <w:pStyle w:val="54"/>
                    <w:rPr>
                      <w:color w:val="auto"/>
                    </w:rPr>
                  </w:pPr>
                  <w:r>
                    <w:rPr>
                      <w:color w:val="auto"/>
                    </w:rPr>
                    <w:t>23.8</w:t>
                  </w:r>
                </w:p>
              </w:tc>
              <w:tc>
                <w:tcPr>
                  <w:tcW w:w="758" w:type="dxa"/>
                  <w:tcBorders>
                    <w:tl2br w:val="nil"/>
                    <w:tr2bl w:val="nil"/>
                  </w:tcBorders>
                  <w:vAlign w:val="center"/>
                </w:tcPr>
                <w:p w14:paraId="4BE3EC32">
                  <w:pPr>
                    <w:pStyle w:val="54"/>
                    <w:rPr>
                      <w:color w:val="auto"/>
                    </w:rPr>
                  </w:pPr>
                  <w:r>
                    <w:rPr>
                      <w:color w:val="auto"/>
                    </w:rPr>
                    <w:t>≤70</w:t>
                  </w:r>
                </w:p>
              </w:tc>
              <w:tc>
                <w:tcPr>
                  <w:tcW w:w="741" w:type="dxa"/>
                  <w:tcBorders>
                    <w:tl2br w:val="nil"/>
                    <w:tr2bl w:val="nil"/>
                  </w:tcBorders>
                  <w:vAlign w:val="center"/>
                </w:tcPr>
                <w:p w14:paraId="78A2E16C">
                  <w:pPr>
                    <w:pStyle w:val="54"/>
                    <w:rPr>
                      <w:color w:val="auto"/>
                    </w:rPr>
                  </w:pPr>
                  <w:r>
                    <w:rPr>
                      <w:color w:val="auto"/>
                    </w:rPr>
                    <w:t>达标</w:t>
                  </w:r>
                </w:p>
              </w:tc>
            </w:tr>
            <w:tr w14:paraId="7A109E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7" w:type="dxa"/>
                  <w:vMerge w:val="restart"/>
                  <w:tcBorders>
                    <w:tl2br w:val="nil"/>
                    <w:tr2bl w:val="nil"/>
                  </w:tcBorders>
                  <w:vAlign w:val="center"/>
                </w:tcPr>
                <w:p w14:paraId="4AA4992C">
                  <w:pPr>
                    <w:pStyle w:val="54"/>
                    <w:rPr>
                      <w:color w:val="auto"/>
                    </w:rPr>
                  </w:pPr>
                  <w:r>
                    <w:rPr>
                      <w:rFonts w:hint="eastAsia"/>
                      <w:color w:val="auto"/>
                    </w:rPr>
                    <w:t>2025.07.10</w:t>
                  </w:r>
                </w:p>
              </w:tc>
              <w:tc>
                <w:tcPr>
                  <w:tcW w:w="900" w:type="dxa"/>
                  <w:vMerge w:val="restart"/>
                  <w:tcBorders>
                    <w:tl2br w:val="nil"/>
                    <w:tr2bl w:val="nil"/>
                  </w:tcBorders>
                  <w:vAlign w:val="center"/>
                </w:tcPr>
                <w:p w14:paraId="701A23D7">
                  <w:pPr>
                    <w:pStyle w:val="54"/>
                    <w:rPr>
                      <w:color w:val="auto"/>
                    </w:rPr>
                  </w:pPr>
                  <w:r>
                    <w:rPr>
                      <w:color w:val="auto"/>
                    </w:rPr>
                    <w:t>W1生活污水排放口</w:t>
                  </w:r>
                </w:p>
              </w:tc>
              <w:tc>
                <w:tcPr>
                  <w:tcW w:w="1418" w:type="dxa"/>
                  <w:tcBorders>
                    <w:tl2br w:val="nil"/>
                    <w:tr2bl w:val="nil"/>
                  </w:tcBorders>
                  <w:vAlign w:val="center"/>
                </w:tcPr>
                <w:p w14:paraId="2636902A">
                  <w:pPr>
                    <w:pStyle w:val="54"/>
                    <w:rPr>
                      <w:color w:val="auto"/>
                    </w:rPr>
                  </w:pPr>
                  <w:r>
                    <w:rPr>
                      <w:color w:val="auto"/>
                    </w:rPr>
                    <w:t>pH值</w:t>
                  </w:r>
                </w:p>
              </w:tc>
              <w:tc>
                <w:tcPr>
                  <w:tcW w:w="964" w:type="dxa"/>
                  <w:tcBorders>
                    <w:tl2br w:val="nil"/>
                    <w:tr2bl w:val="nil"/>
                  </w:tcBorders>
                  <w:vAlign w:val="center"/>
                </w:tcPr>
                <w:p w14:paraId="76C34590">
                  <w:pPr>
                    <w:pStyle w:val="54"/>
                    <w:rPr>
                      <w:color w:val="auto"/>
                    </w:rPr>
                  </w:pPr>
                  <w:r>
                    <w:rPr>
                      <w:color w:val="auto"/>
                    </w:rPr>
                    <w:t>8.1</w:t>
                  </w:r>
                </w:p>
              </w:tc>
              <w:tc>
                <w:tcPr>
                  <w:tcW w:w="964" w:type="dxa"/>
                  <w:tcBorders>
                    <w:tl2br w:val="nil"/>
                    <w:tr2bl w:val="nil"/>
                  </w:tcBorders>
                  <w:vAlign w:val="center"/>
                </w:tcPr>
                <w:p w14:paraId="1A840861">
                  <w:pPr>
                    <w:pStyle w:val="54"/>
                    <w:rPr>
                      <w:color w:val="auto"/>
                    </w:rPr>
                  </w:pPr>
                  <w:r>
                    <w:rPr>
                      <w:color w:val="auto"/>
                    </w:rPr>
                    <w:t>8.1</w:t>
                  </w:r>
                </w:p>
              </w:tc>
              <w:tc>
                <w:tcPr>
                  <w:tcW w:w="964" w:type="dxa"/>
                  <w:tcBorders>
                    <w:tl2br w:val="nil"/>
                    <w:tr2bl w:val="nil"/>
                  </w:tcBorders>
                  <w:vAlign w:val="center"/>
                </w:tcPr>
                <w:p w14:paraId="2CAE9B07">
                  <w:pPr>
                    <w:pStyle w:val="54"/>
                    <w:rPr>
                      <w:color w:val="auto"/>
                    </w:rPr>
                  </w:pPr>
                  <w:r>
                    <w:rPr>
                      <w:color w:val="auto"/>
                    </w:rPr>
                    <w:t>8</w:t>
                  </w:r>
                </w:p>
              </w:tc>
              <w:tc>
                <w:tcPr>
                  <w:tcW w:w="967" w:type="dxa"/>
                  <w:tcBorders>
                    <w:tl2br w:val="nil"/>
                    <w:tr2bl w:val="nil"/>
                  </w:tcBorders>
                  <w:vAlign w:val="center"/>
                </w:tcPr>
                <w:p w14:paraId="5B6A1EA4">
                  <w:pPr>
                    <w:pStyle w:val="54"/>
                    <w:rPr>
                      <w:color w:val="auto"/>
                    </w:rPr>
                  </w:pPr>
                  <w:r>
                    <w:rPr>
                      <w:color w:val="auto"/>
                    </w:rPr>
                    <w:t>7.8</w:t>
                  </w:r>
                </w:p>
              </w:tc>
              <w:tc>
                <w:tcPr>
                  <w:tcW w:w="758" w:type="dxa"/>
                  <w:tcBorders>
                    <w:tl2br w:val="nil"/>
                    <w:tr2bl w:val="nil"/>
                  </w:tcBorders>
                  <w:vAlign w:val="center"/>
                </w:tcPr>
                <w:p w14:paraId="1727124C">
                  <w:pPr>
                    <w:pStyle w:val="54"/>
                    <w:rPr>
                      <w:color w:val="auto"/>
                    </w:rPr>
                  </w:pPr>
                  <w:r>
                    <w:rPr>
                      <w:rFonts w:hint="eastAsia"/>
                      <w:color w:val="auto"/>
                    </w:rPr>
                    <w:t>6~9</w:t>
                  </w:r>
                </w:p>
              </w:tc>
              <w:tc>
                <w:tcPr>
                  <w:tcW w:w="741" w:type="dxa"/>
                  <w:tcBorders>
                    <w:tl2br w:val="nil"/>
                    <w:tr2bl w:val="nil"/>
                  </w:tcBorders>
                  <w:vAlign w:val="center"/>
                </w:tcPr>
                <w:p w14:paraId="01F065AC">
                  <w:pPr>
                    <w:pStyle w:val="54"/>
                    <w:rPr>
                      <w:color w:val="auto"/>
                    </w:rPr>
                  </w:pPr>
                  <w:r>
                    <w:rPr>
                      <w:color w:val="auto"/>
                    </w:rPr>
                    <w:t>达标</w:t>
                  </w:r>
                </w:p>
              </w:tc>
            </w:tr>
            <w:tr w14:paraId="107B4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7" w:type="dxa"/>
                  <w:vMerge w:val="continue"/>
                  <w:tcBorders>
                    <w:tl2br w:val="nil"/>
                    <w:tr2bl w:val="nil"/>
                  </w:tcBorders>
                  <w:vAlign w:val="center"/>
                </w:tcPr>
                <w:p w14:paraId="4A8FB8A0">
                  <w:pPr>
                    <w:pStyle w:val="54"/>
                    <w:rPr>
                      <w:color w:val="auto"/>
                    </w:rPr>
                  </w:pPr>
                </w:p>
              </w:tc>
              <w:tc>
                <w:tcPr>
                  <w:tcW w:w="900" w:type="dxa"/>
                  <w:vMerge w:val="continue"/>
                  <w:tcBorders>
                    <w:tl2br w:val="nil"/>
                    <w:tr2bl w:val="nil"/>
                  </w:tcBorders>
                  <w:vAlign w:val="center"/>
                </w:tcPr>
                <w:p w14:paraId="5B6A2D76">
                  <w:pPr>
                    <w:pStyle w:val="54"/>
                    <w:rPr>
                      <w:color w:val="auto"/>
                    </w:rPr>
                  </w:pPr>
                </w:p>
              </w:tc>
              <w:tc>
                <w:tcPr>
                  <w:tcW w:w="1418" w:type="dxa"/>
                  <w:tcBorders>
                    <w:tl2br w:val="nil"/>
                    <w:tr2bl w:val="nil"/>
                  </w:tcBorders>
                  <w:vAlign w:val="center"/>
                </w:tcPr>
                <w:p w14:paraId="51B383C3">
                  <w:pPr>
                    <w:pStyle w:val="54"/>
                    <w:rPr>
                      <w:color w:val="auto"/>
                    </w:rPr>
                  </w:pPr>
                  <w:r>
                    <w:rPr>
                      <w:rFonts w:hint="eastAsia"/>
                      <w:color w:val="auto"/>
                    </w:rPr>
                    <w:t>化学需氧量</w:t>
                  </w:r>
                </w:p>
              </w:tc>
              <w:tc>
                <w:tcPr>
                  <w:tcW w:w="964" w:type="dxa"/>
                  <w:tcBorders>
                    <w:tl2br w:val="nil"/>
                    <w:tr2bl w:val="nil"/>
                  </w:tcBorders>
                  <w:vAlign w:val="center"/>
                </w:tcPr>
                <w:p w14:paraId="0009DA83">
                  <w:pPr>
                    <w:pStyle w:val="54"/>
                    <w:rPr>
                      <w:color w:val="auto"/>
                    </w:rPr>
                  </w:pPr>
                  <w:r>
                    <w:rPr>
                      <w:color w:val="auto"/>
                    </w:rPr>
                    <w:t>146</w:t>
                  </w:r>
                </w:p>
              </w:tc>
              <w:tc>
                <w:tcPr>
                  <w:tcW w:w="964" w:type="dxa"/>
                  <w:tcBorders>
                    <w:tl2br w:val="nil"/>
                    <w:tr2bl w:val="nil"/>
                  </w:tcBorders>
                  <w:vAlign w:val="center"/>
                </w:tcPr>
                <w:p w14:paraId="497CC0F8">
                  <w:pPr>
                    <w:pStyle w:val="54"/>
                    <w:rPr>
                      <w:color w:val="auto"/>
                    </w:rPr>
                  </w:pPr>
                  <w:r>
                    <w:rPr>
                      <w:color w:val="auto"/>
                    </w:rPr>
                    <w:t>141</w:t>
                  </w:r>
                </w:p>
              </w:tc>
              <w:tc>
                <w:tcPr>
                  <w:tcW w:w="964" w:type="dxa"/>
                  <w:tcBorders>
                    <w:tl2br w:val="nil"/>
                    <w:tr2bl w:val="nil"/>
                  </w:tcBorders>
                  <w:vAlign w:val="center"/>
                </w:tcPr>
                <w:p w14:paraId="201E0F9B">
                  <w:pPr>
                    <w:pStyle w:val="54"/>
                    <w:rPr>
                      <w:color w:val="auto"/>
                    </w:rPr>
                  </w:pPr>
                  <w:r>
                    <w:rPr>
                      <w:color w:val="auto"/>
                    </w:rPr>
                    <w:t>156</w:t>
                  </w:r>
                </w:p>
              </w:tc>
              <w:tc>
                <w:tcPr>
                  <w:tcW w:w="967" w:type="dxa"/>
                  <w:tcBorders>
                    <w:tl2br w:val="nil"/>
                    <w:tr2bl w:val="nil"/>
                  </w:tcBorders>
                  <w:vAlign w:val="center"/>
                </w:tcPr>
                <w:p w14:paraId="3E1EB5CD">
                  <w:pPr>
                    <w:pStyle w:val="54"/>
                    <w:rPr>
                      <w:color w:val="auto"/>
                    </w:rPr>
                  </w:pPr>
                  <w:r>
                    <w:rPr>
                      <w:color w:val="auto"/>
                    </w:rPr>
                    <w:t>135</w:t>
                  </w:r>
                </w:p>
              </w:tc>
              <w:tc>
                <w:tcPr>
                  <w:tcW w:w="758" w:type="dxa"/>
                  <w:tcBorders>
                    <w:tl2br w:val="nil"/>
                    <w:tr2bl w:val="nil"/>
                  </w:tcBorders>
                  <w:vAlign w:val="center"/>
                </w:tcPr>
                <w:p w14:paraId="5043406E">
                  <w:pPr>
                    <w:pStyle w:val="54"/>
                    <w:rPr>
                      <w:color w:val="auto"/>
                    </w:rPr>
                  </w:pPr>
                  <w:r>
                    <w:rPr>
                      <w:color w:val="auto"/>
                    </w:rPr>
                    <w:t>≤374</w:t>
                  </w:r>
                </w:p>
              </w:tc>
              <w:tc>
                <w:tcPr>
                  <w:tcW w:w="741" w:type="dxa"/>
                  <w:tcBorders>
                    <w:tl2br w:val="nil"/>
                    <w:tr2bl w:val="nil"/>
                  </w:tcBorders>
                  <w:vAlign w:val="center"/>
                </w:tcPr>
                <w:p w14:paraId="0C2F017B">
                  <w:pPr>
                    <w:pStyle w:val="54"/>
                    <w:rPr>
                      <w:color w:val="auto"/>
                    </w:rPr>
                  </w:pPr>
                  <w:r>
                    <w:rPr>
                      <w:color w:val="auto"/>
                    </w:rPr>
                    <w:t>达标</w:t>
                  </w:r>
                </w:p>
              </w:tc>
            </w:tr>
            <w:tr w14:paraId="1D497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7" w:type="dxa"/>
                  <w:vMerge w:val="continue"/>
                  <w:tcBorders>
                    <w:tl2br w:val="nil"/>
                    <w:tr2bl w:val="nil"/>
                  </w:tcBorders>
                  <w:vAlign w:val="center"/>
                </w:tcPr>
                <w:p w14:paraId="53A33842">
                  <w:pPr>
                    <w:pStyle w:val="54"/>
                    <w:rPr>
                      <w:color w:val="auto"/>
                    </w:rPr>
                  </w:pPr>
                </w:p>
              </w:tc>
              <w:tc>
                <w:tcPr>
                  <w:tcW w:w="900" w:type="dxa"/>
                  <w:vMerge w:val="continue"/>
                  <w:tcBorders>
                    <w:tl2br w:val="nil"/>
                    <w:tr2bl w:val="nil"/>
                  </w:tcBorders>
                  <w:vAlign w:val="center"/>
                </w:tcPr>
                <w:p w14:paraId="077D5EC3">
                  <w:pPr>
                    <w:pStyle w:val="54"/>
                    <w:rPr>
                      <w:color w:val="auto"/>
                    </w:rPr>
                  </w:pPr>
                </w:p>
              </w:tc>
              <w:tc>
                <w:tcPr>
                  <w:tcW w:w="1418" w:type="dxa"/>
                  <w:tcBorders>
                    <w:tl2br w:val="nil"/>
                    <w:tr2bl w:val="nil"/>
                  </w:tcBorders>
                  <w:vAlign w:val="center"/>
                </w:tcPr>
                <w:p w14:paraId="03CDEB22">
                  <w:pPr>
                    <w:pStyle w:val="54"/>
                    <w:rPr>
                      <w:color w:val="auto"/>
                    </w:rPr>
                  </w:pPr>
                  <w:r>
                    <w:rPr>
                      <w:rFonts w:hint="eastAsia"/>
                      <w:color w:val="auto"/>
                    </w:rPr>
                    <w:t>悬浮物</w:t>
                  </w:r>
                </w:p>
              </w:tc>
              <w:tc>
                <w:tcPr>
                  <w:tcW w:w="964" w:type="dxa"/>
                  <w:tcBorders>
                    <w:tl2br w:val="nil"/>
                    <w:tr2bl w:val="nil"/>
                  </w:tcBorders>
                  <w:vAlign w:val="center"/>
                </w:tcPr>
                <w:p w14:paraId="2A9285B2">
                  <w:pPr>
                    <w:pStyle w:val="54"/>
                    <w:rPr>
                      <w:color w:val="auto"/>
                    </w:rPr>
                  </w:pPr>
                  <w:r>
                    <w:rPr>
                      <w:color w:val="auto"/>
                    </w:rPr>
                    <w:t>32</w:t>
                  </w:r>
                </w:p>
              </w:tc>
              <w:tc>
                <w:tcPr>
                  <w:tcW w:w="964" w:type="dxa"/>
                  <w:tcBorders>
                    <w:tl2br w:val="nil"/>
                    <w:tr2bl w:val="nil"/>
                  </w:tcBorders>
                  <w:vAlign w:val="center"/>
                </w:tcPr>
                <w:p w14:paraId="5129E8C4">
                  <w:pPr>
                    <w:pStyle w:val="54"/>
                    <w:rPr>
                      <w:color w:val="auto"/>
                    </w:rPr>
                  </w:pPr>
                  <w:r>
                    <w:rPr>
                      <w:color w:val="auto"/>
                    </w:rPr>
                    <w:t>30</w:t>
                  </w:r>
                </w:p>
              </w:tc>
              <w:tc>
                <w:tcPr>
                  <w:tcW w:w="964" w:type="dxa"/>
                  <w:tcBorders>
                    <w:tl2br w:val="nil"/>
                    <w:tr2bl w:val="nil"/>
                  </w:tcBorders>
                  <w:vAlign w:val="center"/>
                </w:tcPr>
                <w:p w14:paraId="79FD239B">
                  <w:pPr>
                    <w:pStyle w:val="54"/>
                    <w:rPr>
                      <w:color w:val="auto"/>
                    </w:rPr>
                  </w:pPr>
                  <w:r>
                    <w:rPr>
                      <w:color w:val="auto"/>
                    </w:rPr>
                    <w:t>34</w:t>
                  </w:r>
                </w:p>
              </w:tc>
              <w:tc>
                <w:tcPr>
                  <w:tcW w:w="967" w:type="dxa"/>
                  <w:tcBorders>
                    <w:tl2br w:val="nil"/>
                    <w:tr2bl w:val="nil"/>
                  </w:tcBorders>
                  <w:vAlign w:val="center"/>
                </w:tcPr>
                <w:p w14:paraId="47970AFD">
                  <w:pPr>
                    <w:pStyle w:val="54"/>
                    <w:rPr>
                      <w:color w:val="auto"/>
                    </w:rPr>
                  </w:pPr>
                  <w:r>
                    <w:rPr>
                      <w:color w:val="auto"/>
                    </w:rPr>
                    <w:t>27</w:t>
                  </w:r>
                </w:p>
              </w:tc>
              <w:tc>
                <w:tcPr>
                  <w:tcW w:w="758" w:type="dxa"/>
                  <w:tcBorders>
                    <w:tl2br w:val="nil"/>
                    <w:tr2bl w:val="nil"/>
                  </w:tcBorders>
                  <w:vAlign w:val="center"/>
                </w:tcPr>
                <w:p w14:paraId="56430FC0">
                  <w:pPr>
                    <w:pStyle w:val="54"/>
                    <w:rPr>
                      <w:color w:val="auto"/>
                    </w:rPr>
                  </w:pPr>
                  <w:r>
                    <w:rPr>
                      <w:color w:val="auto"/>
                    </w:rPr>
                    <w:t>≤246</w:t>
                  </w:r>
                </w:p>
              </w:tc>
              <w:tc>
                <w:tcPr>
                  <w:tcW w:w="741" w:type="dxa"/>
                  <w:tcBorders>
                    <w:tl2br w:val="nil"/>
                    <w:tr2bl w:val="nil"/>
                  </w:tcBorders>
                  <w:vAlign w:val="center"/>
                </w:tcPr>
                <w:p w14:paraId="560E6800">
                  <w:pPr>
                    <w:pStyle w:val="54"/>
                    <w:rPr>
                      <w:color w:val="auto"/>
                    </w:rPr>
                  </w:pPr>
                  <w:r>
                    <w:rPr>
                      <w:color w:val="auto"/>
                    </w:rPr>
                    <w:t>达标</w:t>
                  </w:r>
                </w:p>
              </w:tc>
            </w:tr>
            <w:tr w14:paraId="5B429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7" w:type="dxa"/>
                  <w:vMerge w:val="continue"/>
                  <w:tcBorders>
                    <w:tl2br w:val="nil"/>
                    <w:tr2bl w:val="nil"/>
                  </w:tcBorders>
                  <w:vAlign w:val="center"/>
                </w:tcPr>
                <w:p w14:paraId="0B659940">
                  <w:pPr>
                    <w:pStyle w:val="54"/>
                    <w:rPr>
                      <w:color w:val="auto"/>
                    </w:rPr>
                  </w:pPr>
                </w:p>
              </w:tc>
              <w:tc>
                <w:tcPr>
                  <w:tcW w:w="900" w:type="dxa"/>
                  <w:vMerge w:val="continue"/>
                  <w:tcBorders>
                    <w:tl2br w:val="nil"/>
                    <w:tr2bl w:val="nil"/>
                  </w:tcBorders>
                  <w:vAlign w:val="center"/>
                </w:tcPr>
                <w:p w14:paraId="3F14CC1A">
                  <w:pPr>
                    <w:pStyle w:val="54"/>
                    <w:rPr>
                      <w:color w:val="auto"/>
                    </w:rPr>
                  </w:pPr>
                </w:p>
              </w:tc>
              <w:tc>
                <w:tcPr>
                  <w:tcW w:w="1418" w:type="dxa"/>
                  <w:tcBorders>
                    <w:tl2br w:val="nil"/>
                    <w:tr2bl w:val="nil"/>
                  </w:tcBorders>
                  <w:vAlign w:val="center"/>
                </w:tcPr>
                <w:p w14:paraId="3F28B05F">
                  <w:pPr>
                    <w:pStyle w:val="54"/>
                    <w:rPr>
                      <w:color w:val="auto"/>
                    </w:rPr>
                  </w:pPr>
                  <w:r>
                    <w:rPr>
                      <w:color w:val="auto"/>
                    </w:rPr>
                    <w:t>氨氮</w:t>
                  </w:r>
                </w:p>
              </w:tc>
              <w:tc>
                <w:tcPr>
                  <w:tcW w:w="964" w:type="dxa"/>
                  <w:tcBorders>
                    <w:tl2br w:val="nil"/>
                    <w:tr2bl w:val="nil"/>
                  </w:tcBorders>
                  <w:vAlign w:val="center"/>
                </w:tcPr>
                <w:p w14:paraId="4747A48D">
                  <w:pPr>
                    <w:pStyle w:val="54"/>
                    <w:rPr>
                      <w:color w:val="auto"/>
                    </w:rPr>
                  </w:pPr>
                  <w:r>
                    <w:rPr>
                      <w:color w:val="auto"/>
                    </w:rPr>
                    <w:t>14.5</w:t>
                  </w:r>
                </w:p>
              </w:tc>
              <w:tc>
                <w:tcPr>
                  <w:tcW w:w="964" w:type="dxa"/>
                  <w:tcBorders>
                    <w:tl2br w:val="nil"/>
                    <w:tr2bl w:val="nil"/>
                  </w:tcBorders>
                  <w:vAlign w:val="center"/>
                </w:tcPr>
                <w:p w14:paraId="7E217440">
                  <w:pPr>
                    <w:pStyle w:val="54"/>
                    <w:rPr>
                      <w:color w:val="auto"/>
                    </w:rPr>
                  </w:pPr>
                  <w:r>
                    <w:rPr>
                      <w:color w:val="auto"/>
                    </w:rPr>
                    <w:t>15.7</w:t>
                  </w:r>
                </w:p>
              </w:tc>
              <w:tc>
                <w:tcPr>
                  <w:tcW w:w="964" w:type="dxa"/>
                  <w:tcBorders>
                    <w:tl2br w:val="nil"/>
                    <w:tr2bl w:val="nil"/>
                  </w:tcBorders>
                  <w:vAlign w:val="center"/>
                </w:tcPr>
                <w:p w14:paraId="6D1295FE">
                  <w:pPr>
                    <w:pStyle w:val="54"/>
                    <w:rPr>
                      <w:color w:val="auto"/>
                    </w:rPr>
                  </w:pPr>
                  <w:r>
                    <w:rPr>
                      <w:color w:val="auto"/>
                    </w:rPr>
                    <w:t>14</w:t>
                  </w:r>
                </w:p>
              </w:tc>
              <w:tc>
                <w:tcPr>
                  <w:tcW w:w="967" w:type="dxa"/>
                  <w:tcBorders>
                    <w:tl2br w:val="nil"/>
                    <w:tr2bl w:val="nil"/>
                  </w:tcBorders>
                  <w:vAlign w:val="center"/>
                </w:tcPr>
                <w:p w14:paraId="17FD1873">
                  <w:pPr>
                    <w:pStyle w:val="54"/>
                    <w:rPr>
                      <w:color w:val="auto"/>
                    </w:rPr>
                  </w:pPr>
                  <w:r>
                    <w:rPr>
                      <w:color w:val="auto"/>
                    </w:rPr>
                    <w:t>16.5</w:t>
                  </w:r>
                </w:p>
              </w:tc>
              <w:tc>
                <w:tcPr>
                  <w:tcW w:w="758" w:type="dxa"/>
                  <w:tcBorders>
                    <w:tl2br w:val="nil"/>
                    <w:tr2bl w:val="nil"/>
                  </w:tcBorders>
                  <w:vAlign w:val="center"/>
                </w:tcPr>
                <w:p w14:paraId="5350CE6A">
                  <w:pPr>
                    <w:pStyle w:val="54"/>
                    <w:rPr>
                      <w:color w:val="auto"/>
                    </w:rPr>
                  </w:pPr>
                  <w:r>
                    <w:rPr>
                      <w:color w:val="auto"/>
                    </w:rPr>
                    <w:t>≤30</w:t>
                  </w:r>
                </w:p>
              </w:tc>
              <w:tc>
                <w:tcPr>
                  <w:tcW w:w="741" w:type="dxa"/>
                  <w:tcBorders>
                    <w:tl2br w:val="nil"/>
                    <w:tr2bl w:val="nil"/>
                  </w:tcBorders>
                  <w:vAlign w:val="center"/>
                </w:tcPr>
                <w:p w14:paraId="60A76354">
                  <w:pPr>
                    <w:pStyle w:val="54"/>
                    <w:rPr>
                      <w:color w:val="auto"/>
                    </w:rPr>
                  </w:pPr>
                  <w:r>
                    <w:rPr>
                      <w:color w:val="auto"/>
                    </w:rPr>
                    <w:t>达标</w:t>
                  </w:r>
                </w:p>
              </w:tc>
            </w:tr>
            <w:tr w14:paraId="7D8981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7" w:type="dxa"/>
                  <w:vMerge w:val="continue"/>
                  <w:tcBorders>
                    <w:tl2br w:val="nil"/>
                    <w:tr2bl w:val="nil"/>
                  </w:tcBorders>
                  <w:vAlign w:val="center"/>
                </w:tcPr>
                <w:p w14:paraId="48412F99">
                  <w:pPr>
                    <w:pStyle w:val="54"/>
                    <w:rPr>
                      <w:color w:val="auto"/>
                    </w:rPr>
                  </w:pPr>
                </w:p>
              </w:tc>
              <w:tc>
                <w:tcPr>
                  <w:tcW w:w="900" w:type="dxa"/>
                  <w:vMerge w:val="continue"/>
                  <w:tcBorders>
                    <w:tl2br w:val="nil"/>
                    <w:tr2bl w:val="nil"/>
                  </w:tcBorders>
                  <w:vAlign w:val="center"/>
                </w:tcPr>
                <w:p w14:paraId="04D1D2CD">
                  <w:pPr>
                    <w:pStyle w:val="54"/>
                    <w:rPr>
                      <w:color w:val="auto"/>
                    </w:rPr>
                  </w:pPr>
                </w:p>
              </w:tc>
              <w:tc>
                <w:tcPr>
                  <w:tcW w:w="1418" w:type="dxa"/>
                  <w:tcBorders>
                    <w:tl2br w:val="nil"/>
                    <w:tr2bl w:val="nil"/>
                  </w:tcBorders>
                  <w:vAlign w:val="center"/>
                </w:tcPr>
                <w:p w14:paraId="35E8E36E">
                  <w:pPr>
                    <w:pStyle w:val="54"/>
                    <w:rPr>
                      <w:color w:val="auto"/>
                    </w:rPr>
                  </w:pPr>
                  <w:r>
                    <w:rPr>
                      <w:rFonts w:hint="eastAsia"/>
                      <w:color w:val="auto"/>
                    </w:rPr>
                    <w:t>总磷</w:t>
                  </w:r>
                </w:p>
              </w:tc>
              <w:tc>
                <w:tcPr>
                  <w:tcW w:w="964" w:type="dxa"/>
                  <w:tcBorders>
                    <w:tl2br w:val="nil"/>
                    <w:tr2bl w:val="nil"/>
                  </w:tcBorders>
                  <w:vAlign w:val="center"/>
                </w:tcPr>
                <w:p w14:paraId="0C3F1F72">
                  <w:pPr>
                    <w:pStyle w:val="54"/>
                    <w:rPr>
                      <w:color w:val="auto"/>
                    </w:rPr>
                  </w:pPr>
                  <w:r>
                    <w:rPr>
                      <w:color w:val="auto"/>
                    </w:rPr>
                    <w:t>1.55</w:t>
                  </w:r>
                </w:p>
              </w:tc>
              <w:tc>
                <w:tcPr>
                  <w:tcW w:w="964" w:type="dxa"/>
                  <w:tcBorders>
                    <w:tl2br w:val="nil"/>
                    <w:tr2bl w:val="nil"/>
                  </w:tcBorders>
                  <w:vAlign w:val="center"/>
                </w:tcPr>
                <w:p w14:paraId="2E46F1F9">
                  <w:pPr>
                    <w:pStyle w:val="54"/>
                    <w:rPr>
                      <w:color w:val="auto"/>
                    </w:rPr>
                  </w:pPr>
                  <w:r>
                    <w:rPr>
                      <w:color w:val="auto"/>
                    </w:rPr>
                    <w:t>1.66</w:t>
                  </w:r>
                </w:p>
              </w:tc>
              <w:tc>
                <w:tcPr>
                  <w:tcW w:w="964" w:type="dxa"/>
                  <w:tcBorders>
                    <w:tl2br w:val="nil"/>
                    <w:tr2bl w:val="nil"/>
                  </w:tcBorders>
                  <w:vAlign w:val="center"/>
                </w:tcPr>
                <w:p w14:paraId="5957BE90">
                  <w:pPr>
                    <w:pStyle w:val="54"/>
                    <w:rPr>
                      <w:color w:val="auto"/>
                    </w:rPr>
                  </w:pPr>
                  <w:r>
                    <w:rPr>
                      <w:color w:val="auto"/>
                    </w:rPr>
                    <w:t>1.49</w:t>
                  </w:r>
                </w:p>
              </w:tc>
              <w:tc>
                <w:tcPr>
                  <w:tcW w:w="967" w:type="dxa"/>
                  <w:tcBorders>
                    <w:tl2br w:val="nil"/>
                    <w:tr2bl w:val="nil"/>
                  </w:tcBorders>
                  <w:vAlign w:val="center"/>
                </w:tcPr>
                <w:p w14:paraId="5FA7C602">
                  <w:pPr>
                    <w:pStyle w:val="54"/>
                    <w:rPr>
                      <w:color w:val="auto"/>
                    </w:rPr>
                  </w:pPr>
                  <w:r>
                    <w:rPr>
                      <w:color w:val="auto"/>
                    </w:rPr>
                    <w:t>1.55</w:t>
                  </w:r>
                </w:p>
              </w:tc>
              <w:tc>
                <w:tcPr>
                  <w:tcW w:w="758" w:type="dxa"/>
                  <w:tcBorders>
                    <w:tl2br w:val="nil"/>
                    <w:tr2bl w:val="nil"/>
                  </w:tcBorders>
                  <w:vAlign w:val="center"/>
                </w:tcPr>
                <w:p w14:paraId="5CCA0BE6">
                  <w:pPr>
                    <w:pStyle w:val="54"/>
                    <w:rPr>
                      <w:color w:val="auto"/>
                    </w:rPr>
                  </w:pPr>
                  <w:r>
                    <w:rPr>
                      <w:color w:val="auto"/>
                    </w:rPr>
                    <w:t>≤3.7</w:t>
                  </w:r>
                </w:p>
              </w:tc>
              <w:tc>
                <w:tcPr>
                  <w:tcW w:w="741" w:type="dxa"/>
                  <w:tcBorders>
                    <w:tl2br w:val="nil"/>
                    <w:tr2bl w:val="nil"/>
                  </w:tcBorders>
                  <w:vAlign w:val="center"/>
                </w:tcPr>
                <w:p w14:paraId="4C904B0D">
                  <w:pPr>
                    <w:pStyle w:val="54"/>
                    <w:rPr>
                      <w:color w:val="auto"/>
                    </w:rPr>
                  </w:pPr>
                  <w:r>
                    <w:rPr>
                      <w:color w:val="auto"/>
                    </w:rPr>
                    <w:t>达标</w:t>
                  </w:r>
                </w:p>
              </w:tc>
            </w:tr>
            <w:tr w14:paraId="2BBF2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7" w:type="dxa"/>
                  <w:vMerge w:val="continue"/>
                  <w:tcBorders>
                    <w:tl2br w:val="nil"/>
                    <w:tr2bl w:val="nil"/>
                  </w:tcBorders>
                  <w:vAlign w:val="center"/>
                </w:tcPr>
                <w:p w14:paraId="70600E74">
                  <w:pPr>
                    <w:pStyle w:val="54"/>
                    <w:rPr>
                      <w:color w:val="auto"/>
                    </w:rPr>
                  </w:pPr>
                </w:p>
              </w:tc>
              <w:tc>
                <w:tcPr>
                  <w:tcW w:w="900" w:type="dxa"/>
                  <w:vMerge w:val="continue"/>
                  <w:tcBorders>
                    <w:tl2br w:val="nil"/>
                    <w:tr2bl w:val="nil"/>
                  </w:tcBorders>
                  <w:vAlign w:val="center"/>
                </w:tcPr>
                <w:p w14:paraId="3566BBAB">
                  <w:pPr>
                    <w:pStyle w:val="54"/>
                    <w:rPr>
                      <w:color w:val="auto"/>
                    </w:rPr>
                  </w:pPr>
                </w:p>
              </w:tc>
              <w:tc>
                <w:tcPr>
                  <w:tcW w:w="1418" w:type="dxa"/>
                  <w:tcBorders>
                    <w:tl2br w:val="nil"/>
                    <w:tr2bl w:val="nil"/>
                  </w:tcBorders>
                  <w:vAlign w:val="center"/>
                </w:tcPr>
                <w:p w14:paraId="6786BDA3">
                  <w:pPr>
                    <w:pStyle w:val="54"/>
                    <w:rPr>
                      <w:color w:val="auto"/>
                    </w:rPr>
                  </w:pPr>
                  <w:r>
                    <w:rPr>
                      <w:rFonts w:hint="eastAsia"/>
                      <w:color w:val="auto"/>
                    </w:rPr>
                    <w:t>总氮</w:t>
                  </w:r>
                </w:p>
              </w:tc>
              <w:tc>
                <w:tcPr>
                  <w:tcW w:w="964" w:type="dxa"/>
                  <w:tcBorders>
                    <w:tl2br w:val="nil"/>
                    <w:tr2bl w:val="nil"/>
                  </w:tcBorders>
                  <w:vAlign w:val="center"/>
                </w:tcPr>
                <w:p w14:paraId="3C9472AC">
                  <w:pPr>
                    <w:pStyle w:val="54"/>
                    <w:rPr>
                      <w:color w:val="auto"/>
                    </w:rPr>
                  </w:pPr>
                  <w:r>
                    <w:rPr>
                      <w:color w:val="auto"/>
                    </w:rPr>
                    <w:t>24.9</w:t>
                  </w:r>
                </w:p>
              </w:tc>
              <w:tc>
                <w:tcPr>
                  <w:tcW w:w="964" w:type="dxa"/>
                  <w:tcBorders>
                    <w:tl2br w:val="nil"/>
                    <w:tr2bl w:val="nil"/>
                  </w:tcBorders>
                  <w:vAlign w:val="center"/>
                </w:tcPr>
                <w:p w14:paraId="62CD947F">
                  <w:pPr>
                    <w:pStyle w:val="54"/>
                    <w:rPr>
                      <w:color w:val="auto"/>
                    </w:rPr>
                  </w:pPr>
                  <w:r>
                    <w:rPr>
                      <w:color w:val="auto"/>
                    </w:rPr>
                    <w:t>25.5</w:t>
                  </w:r>
                </w:p>
              </w:tc>
              <w:tc>
                <w:tcPr>
                  <w:tcW w:w="964" w:type="dxa"/>
                  <w:tcBorders>
                    <w:tl2br w:val="nil"/>
                    <w:tr2bl w:val="nil"/>
                  </w:tcBorders>
                  <w:vAlign w:val="center"/>
                </w:tcPr>
                <w:p w14:paraId="4FAEA33D">
                  <w:pPr>
                    <w:pStyle w:val="54"/>
                    <w:rPr>
                      <w:color w:val="auto"/>
                    </w:rPr>
                  </w:pPr>
                  <w:r>
                    <w:rPr>
                      <w:color w:val="auto"/>
                    </w:rPr>
                    <w:t>24.8</w:t>
                  </w:r>
                </w:p>
              </w:tc>
              <w:tc>
                <w:tcPr>
                  <w:tcW w:w="967" w:type="dxa"/>
                  <w:tcBorders>
                    <w:tl2br w:val="nil"/>
                    <w:tr2bl w:val="nil"/>
                  </w:tcBorders>
                  <w:vAlign w:val="center"/>
                </w:tcPr>
                <w:p w14:paraId="57672F52">
                  <w:pPr>
                    <w:pStyle w:val="54"/>
                    <w:rPr>
                      <w:color w:val="auto"/>
                    </w:rPr>
                  </w:pPr>
                  <w:r>
                    <w:rPr>
                      <w:color w:val="auto"/>
                    </w:rPr>
                    <w:t>26.1</w:t>
                  </w:r>
                </w:p>
              </w:tc>
              <w:tc>
                <w:tcPr>
                  <w:tcW w:w="758" w:type="dxa"/>
                  <w:tcBorders>
                    <w:tl2br w:val="nil"/>
                    <w:tr2bl w:val="nil"/>
                  </w:tcBorders>
                  <w:vAlign w:val="center"/>
                </w:tcPr>
                <w:p w14:paraId="143BA181">
                  <w:pPr>
                    <w:pStyle w:val="54"/>
                    <w:rPr>
                      <w:color w:val="auto"/>
                    </w:rPr>
                  </w:pPr>
                  <w:r>
                    <w:rPr>
                      <w:color w:val="auto"/>
                    </w:rPr>
                    <w:t>≤70</w:t>
                  </w:r>
                </w:p>
              </w:tc>
              <w:tc>
                <w:tcPr>
                  <w:tcW w:w="741" w:type="dxa"/>
                  <w:tcBorders>
                    <w:tl2br w:val="nil"/>
                    <w:tr2bl w:val="nil"/>
                  </w:tcBorders>
                  <w:vAlign w:val="center"/>
                </w:tcPr>
                <w:p w14:paraId="658B364B">
                  <w:pPr>
                    <w:pStyle w:val="54"/>
                    <w:rPr>
                      <w:color w:val="auto"/>
                    </w:rPr>
                  </w:pPr>
                  <w:r>
                    <w:rPr>
                      <w:color w:val="auto"/>
                    </w:rPr>
                    <w:t>达标</w:t>
                  </w:r>
                </w:p>
              </w:tc>
            </w:tr>
          </w:tbl>
          <w:p w14:paraId="0B904C9F">
            <w:pPr>
              <w:pStyle w:val="50"/>
              <w:ind w:firstLine="482"/>
              <w:rPr>
                <w:b/>
                <w:bCs/>
                <w:color w:val="auto"/>
              </w:rPr>
            </w:pPr>
            <w:r>
              <w:rPr>
                <w:rFonts w:hint="eastAsia"/>
                <w:b/>
                <w:bCs/>
                <w:color w:val="auto"/>
              </w:rPr>
              <w:t>③</w:t>
            </w:r>
            <w:r>
              <w:rPr>
                <w:b/>
                <w:bCs/>
                <w:color w:val="auto"/>
              </w:rPr>
              <w:t>噪声</w:t>
            </w:r>
          </w:p>
          <w:p w14:paraId="6CB38588">
            <w:pPr>
              <w:pStyle w:val="50"/>
              <w:ind w:firstLine="480"/>
              <w:rPr>
                <w:color w:val="auto"/>
              </w:rPr>
            </w:pPr>
            <w:r>
              <w:rPr>
                <w:color w:val="auto"/>
              </w:rPr>
              <w:t>现有项目</w:t>
            </w:r>
            <w:r>
              <w:rPr>
                <w:rFonts w:hint="eastAsia"/>
                <w:color w:val="auto"/>
              </w:rPr>
              <w:t>采用设备</w:t>
            </w:r>
            <w:r>
              <w:rPr>
                <w:color w:val="auto"/>
              </w:rPr>
              <w:t>合理化布局</w:t>
            </w:r>
            <w:r>
              <w:rPr>
                <w:rFonts w:hint="eastAsia"/>
                <w:color w:val="auto"/>
              </w:rPr>
              <w:t>、选用低噪声设备、厂房隔声等措施</w:t>
            </w:r>
            <w:r>
              <w:rPr>
                <w:color w:val="auto"/>
              </w:rPr>
              <w:t>减少噪声对环境的影响。</w:t>
            </w:r>
          </w:p>
          <w:p w14:paraId="6D21C085">
            <w:pPr>
              <w:pStyle w:val="50"/>
              <w:ind w:firstLine="480"/>
              <w:rPr>
                <w:color w:val="auto"/>
              </w:rPr>
            </w:pPr>
            <w:r>
              <w:rPr>
                <w:color w:val="auto"/>
              </w:rPr>
              <w:t>根据</w:t>
            </w:r>
            <w:r>
              <w:rPr>
                <w:rFonts w:hint="eastAsia"/>
                <w:color w:val="auto"/>
              </w:rPr>
              <w:t>验收</w:t>
            </w:r>
            <w:r>
              <w:rPr>
                <w:color w:val="auto"/>
              </w:rPr>
              <w:t>检测报告</w:t>
            </w:r>
            <w:r>
              <w:rPr>
                <w:rFonts w:hint="eastAsia"/>
                <w:color w:val="auto"/>
              </w:rPr>
              <w:t>（</w:t>
            </w:r>
            <w:r>
              <w:rPr>
                <w:color w:val="auto"/>
              </w:rPr>
              <w:t>检测</w:t>
            </w:r>
            <w:r>
              <w:rPr>
                <w:rFonts w:hint="eastAsia"/>
                <w:color w:val="auto"/>
              </w:rPr>
              <w:t>公司为江苏迈斯特环境检测有限公司、</w:t>
            </w:r>
            <w:r>
              <w:rPr>
                <w:color w:val="auto"/>
              </w:rPr>
              <w:t>检测</w:t>
            </w:r>
            <w:r>
              <w:rPr>
                <w:rFonts w:hint="eastAsia"/>
                <w:color w:val="auto"/>
              </w:rPr>
              <w:t>时间为2025.07.08~2025.07.10、报告编号为MST20250701401）</w:t>
            </w:r>
            <w:r>
              <w:rPr>
                <w:color w:val="auto"/>
              </w:rPr>
              <w:t>，现有项目厂界噪声检测结果见</w:t>
            </w:r>
            <w:r>
              <w:rPr>
                <w:color w:val="auto"/>
              </w:rPr>
              <w:fldChar w:fldCharType="begin"/>
            </w:r>
            <w:r>
              <w:rPr>
                <w:color w:val="auto"/>
              </w:rPr>
              <w:instrText xml:space="preserve"> REF _Ref11992 \h </w:instrText>
            </w:r>
            <w:r>
              <w:rPr>
                <w:color w:val="auto"/>
              </w:rPr>
              <w:fldChar w:fldCharType="separate"/>
            </w:r>
            <w:r>
              <w:rPr>
                <w:color w:val="auto"/>
              </w:rPr>
              <w:t>表2- 13</w:t>
            </w:r>
            <w:r>
              <w:rPr>
                <w:color w:val="auto"/>
              </w:rPr>
              <w:fldChar w:fldCharType="end"/>
            </w:r>
            <w:r>
              <w:rPr>
                <w:color w:val="auto"/>
              </w:rPr>
              <w:t>。</w:t>
            </w:r>
          </w:p>
          <w:p w14:paraId="5E641BBC">
            <w:pPr>
              <w:pStyle w:val="7"/>
              <w:rPr>
                <w:color w:val="auto"/>
              </w:rPr>
            </w:pPr>
            <w:bookmarkStart w:id="52" w:name="_Ref4400"/>
            <w:bookmarkStart w:id="53" w:name="_Ref11992"/>
            <w:r>
              <w:rPr>
                <w:color w:val="auto"/>
              </w:rPr>
              <w:t xml:space="preserve">表2- </w:t>
            </w:r>
            <w:r>
              <w:rPr>
                <w:color w:val="auto"/>
              </w:rPr>
              <w:fldChar w:fldCharType="begin"/>
            </w:r>
            <w:r>
              <w:rPr>
                <w:color w:val="auto"/>
              </w:rPr>
              <w:instrText xml:space="preserve"> SEQ 表2- \* ARABIC </w:instrText>
            </w:r>
            <w:r>
              <w:rPr>
                <w:color w:val="auto"/>
              </w:rPr>
              <w:fldChar w:fldCharType="separate"/>
            </w:r>
            <w:r>
              <w:rPr>
                <w:color w:val="auto"/>
              </w:rPr>
              <w:t>13</w:t>
            </w:r>
            <w:r>
              <w:rPr>
                <w:color w:val="auto"/>
              </w:rPr>
              <w:fldChar w:fldCharType="end"/>
            </w:r>
            <w:bookmarkEnd w:id="52"/>
            <w:bookmarkEnd w:id="53"/>
            <w:r>
              <w:rPr>
                <w:color w:val="auto"/>
              </w:rPr>
              <w:t xml:space="preserve"> 厂界噪声</w:t>
            </w:r>
            <w:r>
              <w:rPr>
                <w:rFonts w:hint="eastAsia"/>
                <w:color w:val="auto"/>
              </w:rPr>
              <w:t>检测</w:t>
            </w:r>
            <w:r>
              <w:rPr>
                <w:color w:val="auto"/>
              </w:rPr>
              <w:t>结果（单位：dB(A)）</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647"/>
              <w:gridCol w:w="1551"/>
              <w:gridCol w:w="669"/>
              <w:gridCol w:w="1322"/>
              <w:gridCol w:w="1103"/>
              <w:gridCol w:w="1295"/>
              <w:gridCol w:w="1076"/>
            </w:tblGrid>
            <w:tr w14:paraId="160AA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56" w:type="pct"/>
                  <w:vMerge w:val="restart"/>
                  <w:tcBorders>
                    <w:tl2br w:val="nil"/>
                    <w:tr2bl w:val="nil"/>
                  </w:tcBorders>
                  <w:vAlign w:val="center"/>
                </w:tcPr>
                <w:p w14:paraId="636807B1">
                  <w:pPr>
                    <w:pStyle w:val="52"/>
                    <w:rPr>
                      <w:color w:val="auto"/>
                    </w:rPr>
                  </w:pPr>
                  <w:r>
                    <w:rPr>
                      <w:color w:val="auto"/>
                    </w:rPr>
                    <w:t>监测日期</w:t>
                  </w:r>
                </w:p>
              </w:tc>
              <w:tc>
                <w:tcPr>
                  <w:tcW w:w="383" w:type="pct"/>
                  <w:vMerge w:val="restart"/>
                  <w:tcBorders>
                    <w:tl2br w:val="nil"/>
                    <w:tr2bl w:val="nil"/>
                  </w:tcBorders>
                  <w:vAlign w:val="center"/>
                </w:tcPr>
                <w:p w14:paraId="2F17510D">
                  <w:pPr>
                    <w:pStyle w:val="52"/>
                    <w:rPr>
                      <w:color w:val="auto"/>
                    </w:rPr>
                  </w:pPr>
                  <w:r>
                    <w:rPr>
                      <w:color w:val="auto"/>
                    </w:rPr>
                    <w:t>测点编号</w:t>
                  </w:r>
                </w:p>
              </w:tc>
              <w:tc>
                <w:tcPr>
                  <w:tcW w:w="919" w:type="pct"/>
                  <w:vMerge w:val="restart"/>
                  <w:tcBorders>
                    <w:tl2br w:val="nil"/>
                    <w:tr2bl w:val="nil"/>
                  </w:tcBorders>
                  <w:vAlign w:val="center"/>
                </w:tcPr>
                <w:p w14:paraId="65127B81">
                  <w:pPr>
                    <w:pStyle w:val="52"/>
                    <w:rPr>
                      <w:color w:val="auto"/>
                    </w:rPr>
                  </w:pPr>
                  <w:r>
                    <w:rPr>
                      <w:color w:val="auto"/>
                    </w:rPr>
                    <w:t>测点位置</w:t>
                  </w:r>
                </w:p>
              </w:tc>
              <w:tc>
                <w:tcPr>
                  <w:tcW w:w="396" w:type="pct"/>
                  <w:vMerge w:val="restart"/>
                  <w:tcBorders>
                    <w:tl2br w:val="nil"/>
                    <w:tr2bl w:val="nil"/>
                  </w:tcBorders>
                  <w:vAlign w:val="center"/>
                </w:tcPr>
                <w:p w14:paraId="5C7489A2">
                  <w:pPr>
                    <w:pStyle w:val="52"/>
                    <w:rPr>
                      <w:color w:val="auto"/>
                    </w:rPr>
                  </w:pPr>
                  <w:r>
                    <w:rPr>
                      <w:color w:val="auto"/>
                    </w:rPr>
                    <w:t>主要声源</w:t>
                  </w:r>
                </w:p>
              </w:tc>
              <w:tc>
                <w:tcPr>
                  <w:tcW w:w="1438" w:type="pct"/>
                  <w:gridSpan w:val="2"/>
                  <w:tcBorders>
                    <w:tl2br w:val="nil"/>
                    <w:tr2bl w:val="nil"/>
                  </w:tcBorders>
                  <w:vAlign w:val="center"/>
                </w:tcPr>
                <w:p w14:paraId="336F1795">
                  <w:pPr>
                    <w:pStyle w:val="52"/>
                    <w:rPr>
                      <w:color w:val="auto"/>
                    </w:rPr>
                  </w:pPr>
                  <w:r>
                    <w:rPr>
                      <w:rFonts w:hint="eastAsia"/>
                      <w:color w:val="auto"/>
                    </w:rPr>
                    <w:t>昼间</w:t>
                  </w:r>
                </w:p>
              </w:tc>
              <w:tc>
                <w:tcPr>
                  <w:tcW w:w="1406" w:type="pct"/>
                  <w:gridSpan w:val="2"/>
                  <w:tcBorders>
                    <w:tl2br w:val="nil"/>
                    <w:tr2bl w:val="nil"/>
                  </w:tcBorders>
                  <w:vAlign w:val="center"/>
                </w:tcPr>
                <w:p w14:paraId="59CC53F3">
                  <w:pPr>
                    <w:pStyle w:val="52"/>
                    <w:rPr>
                      <w:color w:val="auto"/>
                    </w:rPr>
                  </w:pPr>
                  <w:r>
                    <w:rPr>
                      <w:rFonts w:hint="eastAsia"/>
                      <w:color w:val="auto"/>
                    </w:rPr>
                    <w:t>夜间</w:t>
                  </w:r>
                </w:p>
              </w:tc>
            </w:tr>
            <w:tr w14:paraId="71CCF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56" w:type="pct"/>
                  <w:vMerge w:val="continue"/>
                  <w:tcBorders>
                    <w:tl2br w:val="nil"/>
                    <w:tr2bl w:val="nil"/>
                  </w:tcBorders>
                  <w:vAlign w:val="center"/>
                </w:tcPr>
                <w:p w14:paraId="36A4B0C8">
                  <w:pPr>
                    <w:pStyle w:val="52"/>
                    <w:rPr>
                      <w:color w:val="auto"/>
                    </w:rPr>
                  </w:pPr>
                </w:p>
              </w:tc>
              <w:tc>
                <w:tcPr>
                  <w:tcW w:w="383" w:type="pct"/>
                  <w:vMerge w:val="continue"/>
                  <w:tcBorders>
                    <w:tl2br w:val="nil"/>
                    <w:tr2bl w:val="nil"/>
                  </w:tcBorders>
                  <w:vAlign w:val="center"/>
                </w:tcPr>
                <w:p w14:paraId="5C92DDC5">
                  <w:pPr>
                    <w:pStyle w:val="52"/>
                    <w:rPr>
                      <w:color w:val="auto"/>
                    </w:rPr>
                  </w:pPr>
                </w:p>
              </w:tc>
              <w:tc>
                <w:tcPr>
                  <w:tcW w:w="919" w:type="pct"/>
                  <w:vMerge w:val="continue"/>
                  <w:tcBorders>
                    <w:tl2br w:val="nil"/>
                    <w:tr2bl w:val="nil"/>
                  </w:tcBorders>
                  <w:vAlign w:val="center"/>
                </w:tcPr>
                <w:p w14:paraId="571A94AA">
                  <w:pPr>
                    <w:pStyle w:val="52"/>
                    <w:rPr>
                      <w:color w:val="auto"/>
                    </w:rPr>
                  </w:pPr>
                </w:p>
              </w:tc>
              <w:tc>
                <w:tcPr>
                  <w:tcW w:w="396" w:type="pct"/>
                  <w:vMerge w:val="continue"/>
                  <w:tcBorders>
                    <w:tl2br w:val="nil"/>
                    <w:tr2bl w:val="nil"/>
                  </w:tcBorders>
                  <w:vAlign w:val="center"/>
                </w:tcPr>
                <w:p w14:paraId="76527F25">
                  <w:pPr>
                    <w:pStyle w:val="52"/>
                    <w:rPr>
                      <w:color w:val="auto"/>
                    </w:rPr>
                  </w:pPr>
                </w:p>
              </w:tc>
              <w:tc>
                <w:tcPr>
                  <w:tcW w:w="784" w:type="pct"/>
                  <w:tcBorders>
                    <w:tl2br w:val="nil"/>
                    <w:tr2bl w:val="nil"/>
                  </w:tcBorders>
                  <w:vAlign w:val="center"/>
                </w:tcPr>
                <w:p w14:paraId="0862DA83">
                  <w:pPr>
                    <w:pStyle w:val="52"/>
                    <w:rPr>
                      <w:color w:val="auto"/>
                    </w:rPr>
                  </w:pPr>
                  <w:r>
                    <w:rPr>
                      <w:color w:val="auto"/>
                    </w:rPr>
                    <w:t>监测时段</w:t>
                  </w:r>
                </w:p>
              </w:tc>
              <w:tc>
                <w:tcPr>
                  <w:tcW w:w="654" w:type="pct"/>
                  <w:tcBorders>
                    <w:tl2br w:val="nil"/>
                    <w:tr2bl w:val="nil"/>
                  </w:tcBorders>
                  <w:vAlign w:val="center"/>
                </w:tcPr>
                <w:p w14:paraId="72F04E6C">
                  <w:pPr>
                    <w:pStyle w:val="52"/>
                    <w:rPr>
                      <w:color w:val="auto"/>
                    </w:rPr>
                  </w:pPr>
                  <w:r>
                    <w:rPr>
                      <w:color w:val="auto"/>
                    </w:rPr>
                    <w:t>监测结果</w:t>
                  </w:r>
                </w:p>
              </w:tc>
              <w:tc>
                <w:tcPr>
                  <w:tcW w:w="768" w:type="pct"/>
                  <w:tcBorders>
                    <w:tl2br w:val="nil"/>
                    <w:tr2bl w:val="nil"/>
                  </w:tcBorders>
                  <w:vAlign w:val="center"/>
                </w:tcPr>
                <w:p w14:paraId="4036EB15">
                  <w:pPr>
                    <w:pStyle w:val="52"/>
                    <w:rPr>
                      <w:color w:val="auto"/>
                    </w:rPr>
                  </w:pPr>
                  <w:r>
                    <w:rPr>
                      <w:color w:val="auto"/>
                    </w:rPr>
                    <w:t>监测时段</w:t>
                  </w:r>
                </w:p>
              </w:tc>
              <w:tc>
                <w:tcPr>
                  <w:tcW w:w="637" w:type="pct"/>
                  <w:tcBorders>
                    <w:tl2br w:val="nil"/>
                    <w:tr2bl w:val="nil"/>
                  </w:tcBorders>
                  <w:vAlign w:val="center"/>
                </w:tcPr>
                <w:p w14:paraId="0ED892DE">
                  <w:pPr>
                    <w:pStyle w:val="52"/>
                    <w:rPr>
                      <w:color w:val="auto"/>
                    </w:rPr>
                  </w:pPr>
                  <w:r>
                    <w:rPr>
                      <w:color w:val="auto"/>
                    </w:rPr>
                    <w:t>监测结果</w:t>
                  </w:r>
                </w:p>
              </w:tc>
            </w:tr>
            <w:tr w14:paraId="6EBFB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456" w:type="pct"/>
                  <w:vMerge w:val="restart"/>
                  <w:tcBorders>
                    <w:tl2br w:val="nil"/>
                    <w:tr2bl w:val="nil"/>
                  </w:tcBorders>
                  <w:vAlign w:val="center"/>
                </w:tcPr>
                <w:p w14:paraId="034D6DBA">
                  <w:pPr>
                    <w:pStyle w:val="54"/>
                    <w:rPr>
                      <w:color w:val="auto"/>
                    </w:rPr>
                  </w:pPr>
                  <w:r>
                    <w:rPr>
                      <w:rFonts w:hint="eastAsia"/>
                      <w:color w:val="auto"/>
                    </w:rPr>
                    <w:t>2025.07.09</w:t>
                  </w:r>
                </w:p>
              </w:tc>
              <w:tc>
                <w:tcPr>
                  <w:tcW w:w="383" w:type="pct"/>
                  <w:tcBorders>
                    <w:tl2br w:val="nil"/>
                    <w:tr2bl w:val="nil"/>
                  </w:tcBorders>
                  <w:vAlign w:val="center"/>
                </w:tcPr>
                <w:p w14:paraId="26C4D27D">
                  <w:pPr>
                    <w:pStyle w:val="54"/>
                    <w:rPr>
                      <w:color w:val="auto"/>
                    </w:rPr>
                  </w:pPr>
                  <w:r>
                    <w:rPr>
                      <w:color w:val="auto"/>
                    </w:rPr>
                    <w:t>N1</w:t>
                  </w:r>
                </w:p>
              </w:tc>
              <w:tc>
                <w:tcPr>
                  <w:tcW w:w="919" w:type="pct"/>
                  <w:tcBorders>
                    <w:tl2br w:val="nil"/>
                    <w:tr2bl w:val="nil"/>
                  </w:tcBorders>
                  <w:vAlign w:val="center"/>
                </w:tcPr>
                <w:p w14:paraId="4AECE93C">
                  <w:pPr>
                    <w:pStyle w:val="54"/>
                    <w:rPr>
                      <w:color w:val="auto"/>
                    </w:rPr>
                  </w:pPr>
                  <w:r>
                    <w:rPr>
                      <w:color w:val="auto"/>
                    </w:rPr>
                    <w:t>厂界外南1</w:t>
                  </w:r>
                  <w:r>
                    <w:rPr>
                      <w:rFonts w:hint="eastAsia"/>
                      <w:color w:val="auto"/>
                    </w:rPr>
                    <w:t>m</w:t>
                  </w:r>
                  <w:r>
                    <w:rPr>
                      <w:color w:val="auto"/>
                    </w:rPr>
                    <w:t>处</w:t>
                  </w:r>
                </w:p>
              </w:tc>
              <w:tc>
                <w:tcPr>
                  <w:tcW w:w="396" w:type="pct"/>
                  <w:vMerge w:val="restart"/>
                  <w:tcBorders>
                    <w:tl2br w:val="nil"/>
                    <w:tr2bl w:val="nil"/>
                  </w:tcBorders>
                  <w:vAlign w:val="center"/>
                </w:tcPr>
                <w:p w14:paraId="74DA878A">
                  <w:pPr>
                    <w:pStyle w:val="54"/>
                    <w:rPr>
                      <w:color w:val="auto"/>
                    </w:rPr>
                  </w:pPr>
                  <w:r>
                    <w:rPr>
                      <w:color w:val="auto"/>
                    </w:rPr>
                    <w:t>生产噪声</w:t>
                  </w:r>
                </w:p>
              </w:tc>
              <w:tc>
                <w:tcPr>
                  <w:tcW w:w="784" w:type="pct"/>
                  <w:tcBorders>
                    <w:tl2br w:val="nil"/>
                    <w:tr2bl w:val="nil"/>
                  </w:tcBorders>
                  <w:vAlign w:val="center"/>
                </w:tcPr>
                <w:p w14:paraId="4B5C2C3F">
                  <w:pPr>
                    <w:pStyle w:val="54"/>
                    <w:rPr>
                      <w:color w:val="auto"/>
                    </w:rPr>
                  </w:pPr>
                  <w:r>
                    <w:rPr>
                      <w:color w:val="auto"/>
                    </w:rPr>
                    <w:t>17:22~17:27</w:t>
                  </w:r>
                </w:p>
              </w:tc>
              <w:tc>
                <w:tcPr>
                  <w:tcW w:w="654" w:type="pct"/>
                  <w:tcBorders>
                    <w:tl2br w:val="nil"/>
                    <w:tr2bl w:val="nil"/>
                  </w:tcBorders>
                  <w:vAlign w:val="center"/>
                </w:tcPr>
                <w:p w14:paraId="06BF6971">
                  <w:pPr>
                    <w:pStyle w:val="54"/>
                    <w:rPr>
                      <w:color w:val="auto"/>
                    </w:rPr>
                  </w:pPr>
                  <w:r>
                    <w:rPr>
                      <w:color w:val="auto"/>
                    </w:rPr>
                    <w:t>56.7</w:t>
                  </w:r>
                </w:p>
              </w:tc>
              <w:tc>
                <w:tcPr>
                  <w:tcW w:w="768" w:type="pct"/>
                  <w:tcBorders>
                    <w:tl2br w:val="nil"/>
                    <w:tr2bl w:val="nil"/>
                  </w:tcBorders>
                  <w:vAlign w:val="center"/>
                </w:tcPr>
                <w:p w14:paraId="23761E8A">
                  <w:pPr>
                    <w:pStyle w:val="54"/>
                    <w:rPr>
                      <w:color w:val="auto"/>
                    </w:rPr>
                  </w:pPr>
                  <w:r>
                    <w:rPr>
                      <w:color w:val="auto"/>
                    </w:rPr>
                    <w:t>22:02~22:07</w:t>
                  </w:r>
                </w:p>
              </w:tc>
              <w:tc>
                <w:tcPr>
                  <w:tcW w:w="637" w:type="pct"/>
                  <w:tcBorders>
                    <w:tl2br w:val="nil"/>
                    <w:tr2bl w:val="nil"/>
                  </w:tcBorders>
                  <w:vAlign w:val="center"/>
                </w:tcPr>
                <w:p w14:paraId="3CE47C7C">
                  <w:pPr>
                    <w:pStyle w:val="54"/>
                    <w:rPr>
                      <w:color w:val="auto"/>
                    </w:rPr>
                  </w:pPr>
                  <w:r>
                    <w:rPr>
                      <w:color w:val="auto"/>
                    </w:rPr>
                    <w:t>48.1</w:t>
                  </w:r>
                </w:p>
              </w:tc>
            </w:tr>
            <w:tr w14:paraId="4F352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456" w:type="pct"/>
                  <w:vMerge w:val="continue"/>
                  <w:tcBorders>
                    <w:tl2br w:val="nil"/>
                    <w:tr2bl w:val="nil"/>
                  </w:tcBorders>
                  <w:vAlign w:val="center"/>
                </w:tcPr>
                <w:p w14:paraId="7BD3EDD9">
                  <w:pPr>
                    <w:pStyle w:val="54"/>
                    <w:rPr>
                      <w:color w:val="auto"/>
                    </w:rPr>
                  </w:pPr>
                </w:p>
              </w:tc>
              <w:tc>
                <w:tcPr>
                  <w:tcW w:w="383" w:type="pct"/>
                  <w:tcBorders>
                    <w:tl2br w:val="nil"/>
                    <w:tr2bl w:val="nil"/>
                  </w:tcBorders>
                  <w:vAlign w:val="center"/>
                </w:tcPr>
                <w:p w14:paraId="6BD00E5E">
                  <w:pPr>
                    <w:pStyle w:val="54"/>
                    <w:rPr>
                      <w:color w:val="auto"/>
                    </w:rPr>
                  </w:pPr>
                  <w:r>
                    <w:rPr>
                      <w:color w:val="auto"/>
                    </w:rPr>
                    <w:t>N2</w:t>
                  </w:r>
                </w:p>
              </w:tc>
              <w:tc>
                <w:tcPr>
                  <w:tcW w:w="919" w:type="pct"/>
                  <w:tcBorders>
                    <w:tl2br w:val="nil"/>
                    <w:tr2bl w:val="nil"/>
                  </w:tcBorders>
                  <w:vAlign w:val="center"/>
                </w:tcPr>
                <w:p w14:paraId="49C943F2">
                  <w:pPr>
                    <w:pStyle w:val="54"/>
                    <w:rPr>
                      <w:color w:val="auto"/>
                    </w:rPr>
                  </w:pPr>
                  <w:r>
                    <w:rPr>
                      <w:color w:val="auto"/>
                    </w:rPr>
                    <w:t>厂界外西1</w:t>
                  </w:r>
                  <w:r>
                    <w:rPr>
                      <w:rFonts w:hint="eastAsia"/>
                      <w:color w:val="auto"/>
                    </w:rPr>
                    <w:t>m</w:t>
                  </w:r>
                  <w:r>
                    <w:rPr>
                      <w:color w:val="auto"/>
                    </w:rPr>
                    <w:t>处</w:t>
                  </w:r>
                </w:p>
              </w:tc>
              <w:tc>
                <w:tcPr>
                  <w:tcW w:w="396" w:type="pct"/>
                  <w:vMerge w:val="continue"/>
                  <w:tcBorders>
                    <w:tl2br w:val="nil"/>
                    <w:tr2bl w:val="nil"/>
                  </w:tcBorders>
                  <w:vAlign w:val="center"/>
                </w:tcPr>
                <w:p w14:paraId="6270ACA6">
                  <w:pPr>
                    <w:pStyle w:val="54"/>
                    <w:rPr>
                      <w:color w:val="auto"/>
                    </w:rPr>
                  </w:pPr>
                </w:p>
              </w:tc>
              <w:tc>
                <w:tcPr>
                  <w:tcW w:w="784" w:type="pct"/>
                  <w:tcBorders>
                    <w:tl2br w:val="nil"/>
                    <w:tr2bl w:val="nil"/>
                  </w:tcBorders>
                  <w:vAlign w:val="center"/>
                </w:tcPr>
                <w:p w14:paraId="47DB6E66">
                  <w:pPr>
                    <w:pStyle w:val="54"/>
                    <w:rPr>
                      <w:color w:val="auto"/>
                    </w:rPr>
                  </w:pPr>
                  <w:r>
                    <w:rPr>
                      <w:color w:val="auto"/>
                    </w:rPr>
                    <w:t>17:37~17:42</w:t>
                  </w:r>
                </w:p>
              </w:tc>
              <w:tc>
                <w:tcPr>
                  <w:tcW w:w="654" w:type="pct"/>
                  <w:tcBorders>
                    <w:tl2br w:val="nil"/>
                    <w:tr2bl w:val="nil"/>
                  </w:tcBorders>
                  <w:vAlign w:val="center"/>
                </w:tcPr>
                <w:p w14:paraId="18BAC915">
                  <w:pPr>
                    <w:pStyle w:val="54"/>
                    <w:rPr>
                      <w:color w:val="auto"/>
                    </w:rPr>
                  </w:pPr>
                  <w:r>
                    <w:rPr>
                      <w:color w:val="auto"/>
                    </w:rPr>
                    <w:t>56.9</w:t>
                  </w:r>
                </w:p>
              </w:tc>
              <w:tc>
                <w:tcPr>
                  <w:tcW w:w="768" w:type="pct"/>
                  <w:tcBorders>
                    <w:tl2br w:val="nil"/>
                    <w:tr2bl w:val="nil"/>
                  </w:tcBorders>
                  <w:vAlign w:val="center"/>
                </w:tcPr>
                <w:p w14:paraId="75650107">
                  <w:pPr>
                    <w:pStyle w:val="54"/>
                    <w:rPr>
                      <w:color w:val="auto"/>
                    </w:rPr>
                  </w:pPr>
                  <w:r>
                    <w:rPr>
                      <w:color w:val="auto"/>
                    </w:rPr>
                    <w:t>22:16~22:21</w:t>
                  </w:r>
                </w:p>
              </w:tc>
              <w:tc>
                <w:tcPr>
                  <w:tcW w:w="637" w:type="pct"/>
                  <w:tcBorders>
                    <w:tl2br w:val="nil"/>
                    <w:tr2bl w:val="nil"/>
                  </w:tcBorders>
                  <w:vAlign w:val="center"/>
                </w:tcPr>
                <w:p w14:paraId="03FFD617">
                  <w:pPr>
                    <w:pStyle w:val="54"/>
                    <w:rPr>
                      <w:color w:val="auto"/>
                    </w:rPr>
                  </w:pPr>
                  <w:r>
                    <w:rPr>
                      <w:color w:val="auto"/>
                    </w:rPr>
                    <w:t>47.2</w:t>
                  </w:r>
                </w:p>
              </w:tc>
            </w:tr>
            <w:tr w14:paraId="0AA1F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56" w:type="pct"/>
                  <w:vMerge w:val="continue"/>
                  <w:tcBorders>
                    <w:tl2br w:val="nil"/>
                    <w:tr2bl w:val="nil"/>
                  </w:tcBorders>
                  <w:vAlign w:val="center"/>
                </w:tcPr>
                <w:p w14:paraId="416E2FAD">
                  <w:pPr>
                    <w:pStyle w:val="54"/>
                    <w:rPr>
                      <w:color w:val="auto"/>
                    </w:rPr>
                  </w:pPr>
                </w:p>
              </w:tc>
              <w:tc>
                <w:tcPr>
                  <w:tcW w:w="383" w:type="pct"/>
                  <w:tcBorders>
                    <w:tl2br w:val="nil"/>
                    <w:tr2bl w:val="nil"/>
                  </w:tcBorders>
                  <w:vAlign w:val="center"/>
                </w:tcPr>
                <w:p w14:paraId="5EA931E7">
                  <w:pPr>
                    <w:pStyle w:val="54"/>
                    <w:rPr>
                      <w:color w:val="auto"/>
                    </w:rPr>
                  </w:pPr>
                  <w:r>
                    <w:rPr>
                      <w:color w:val="auto"/>
                    </w:rPr>
                    <w:t>N3</w:t>
                  </w:r>
                </w:p>
              </w:tc>
              <w:tc>
                <w:tcPr>
                  <w:tcW w:w="919" w:type="pct"/>
                  <w:tcBorders>
                    <w:tl2br w:val="nil"/>
                    <w:tr2bl w:val="nil"/>
                  </w:tcBorders>
                  <w:vAlign w:val="center"/>
                </w:tcPr>
                <w:p w14:paraId="73D00B0D">
                  <w:pPr>
                    <w:pStyle w:val="54"/>
                    <w:rPr>
                      <w:color w:val="auto"/>
                    </w:rPr>
                  </w:pPr>
                  <w:r>
                    <w:rPr>
                      <w:color w:val="auto"/>
                    </w:rPr>
                    <w:t>厂界外北1</w:t>
                  </w:r>
                  <w:r>
                    <w:rPr>
                      <w:rFonts w:hint="eastAsia"/>
                      <w:color w:val="auto"/>
                    </w:rPr>
                    <w:t>m</w:t>
                  </w:r>
                  <w:r>
                    <w:rPr>
                      <w:color w:val="auto"/>
                    </w:rPr>
                    <w:t>处</w:t>
                  </w:r>
                </w:p>
              </w:tc>
              <w:tc>
                <w:tcPr>
                  <w:tcW w:w="396" w:type="pct"/>
                  <w:vMerge w:val="continue"/>
                  <w:tcBorders>
                    <w:tl2br w:val="nil"/>
                    <w:tr2bl w:val="nil"/>
                  </w:tcBorders>
                  <w:vAlign w:val="center"/>
                </w:tcPr>
                <w:p w14:paraId="655700D5">
                  <w:pPr>
                    <w:pStyle w:val="54"/>
                    <w:rPr>
                      <w:color w:val="auto"/>
                    </w:rPr>
                  </w:pPr>
                </w:p>
              </w:tc>
              <w:tc>
                <w:tcPr>
                  <w:tcW w:w="784" w:type="pct"/>
                  <w:tcBorders>
                    <w:tl2br w:val="nil"/>
                    <w:tr2bl w:val="nil"/>
                  </w:tcBorders>
                  <w:vAlign w:val="center"/>
                </w:tcPr>
                <w:p w14:paraId="7023F2E7">
                  <w:pPr>
                    <w:pStyle w:val="54"/>
                    <w:rPr>
                      <w:color w:val="auto"/>
                    </w:rPr>
                  </w:pPr>
                  <w:r>
                    <w:rPr>
                      <w:color w:val="auto"/>
                    </w:rPr>
                    <w:t>17:51~17:56</w:t>
                  </w:r>
                </w:p>
              </w:tc>
              <w:tc>
                <w:tcPr>
                  <w:tcW w:w="654" w:type="pct"/>
                  <w:tcBorders>
                    <w:tl2br w:val="nil"/>
                    <w:tr2bl w:val="nil"/>
                  </w:tcBorders>
                  <w:vAlign w:val="center"/>
                </w:tcPr>
                <w:p w14:paraId="60CC3A3C">
                  <w:pPr>
                    <w:pStyle w:val="54"/>
                    <w:rPr>
                      <w:color w:val="auto"/>
                    </w:rPr>
                  </w:pPr>
                  <w:r>
                    <w:rPr>
                      <w:color w:val="auto"/>
                    </w:rPr>
                    <w:t>55.1</w:t>
                  </w:r>
                </w:p>
              </w:tc>
              <w:tc>
                <w:tcPr>
                  <w:tcW w:w="768" w:type="pct"/>
                  <w:tcBorders>
                    <w:tl2br w:val="nil"/>
                    <w:tr2bl w:val="nil"/>
                  </w:tcBorders>
                  <w:vAlign w:val="center"/>
                </w:tcPr>
                <w:p w14:paraId="1AB90462">
                  <w:pPr>
                    <w:pStyle w:val="54"/>
                    <w:rPr>
                      <w:color w:val="auto"/>
                    </w:rPr>
                  </w:pPr>
                  <w:r>
                    <w:rPr>
                      <w:color w:val="auto"/>
                    </w:rPr>
                    <w:t>22:30~22:35</w:t>
                  </w:r>
                </w:p>
              </w:tc>
              <w:tc>
                <w:tcPr>
                  <w:tcW w:w="637" w:type="pct"/>
                  <w:tcBorders>
                    <w:tl2br w:val="nil"/>
                    <w:tr2bl w:val="nil"/>
                  </w:tcBorders>
                  <w:vAlign w:val="center"/>
                </w:tcPr>
                <w:p w14:paraId="0D532E51">
                  <w:pPr>
                    <w:pStyle w:val="54"/>
                    <w:rPr>
                      <w:color w:val="auto"/>
                    </w:rPr>
                  </w:pPr>
                  <w:r>
                    <w:rPr>
                      <w:color w:val="auto"/>
                    </w:rPr>
                    <w:t>44.5</w:t>
                  </w:r>
                </w:p>
              </w:tc>
            </w:tr>
            <w:tr w14:paraId="57079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56" w:type="pct"/>
                  <w:vMerge w:val="restart"/>
                  <w:tcBorders>
                    <w:tl2br w:val="nil"/>
                    <w:tr2bl w:val="nil"/>
                  </w:tcBorders>
                  <w:vAlign w:val="center"/>
                </w:tcPr>
                <w:p w14:paraId="52B0172F">
                  <w:pPr>
                    <w:pStyle w:val="54"/>
                    <w:rPr>
                      <w:color w:val="auto"/>
                    </w:rPr>
                  </w:pPr>
                  <w:r>
                    <w:rPr>
                      <w:rFonts w:hint="eastAsia"/>
                      <w:color w:val="auto"/>
                    </w:rPr>
                    <w:t>2025.07.10</w:t>
                  </w:r>
                </w:p>
              </w:tc>
              <w:tc>
                <w:tcPr>
                  <w:tcW w:w="383" w:type="pct"/>
                  <w:tcBorders>
                    <w:tl2br w:val="nil"/>
                    <w:tr2bl w:val="nil"/>
                  </w:tcBorders>
                  <w:vAlign w:val="center"/>
                </w:tcPr>
                <w:p w14:paraId="50DA5782">
                  <w:pPr>
                    <w:pStyle w:val="54"/>
                    <w:rPr>
                      <w:color w:val="auto"/>
                    </w:rPr>
                  </w:pPr>
                  <w:r>
                    <w:rPr>
                      <w:color w:val="auto"/>
                    </w:rPr>
                    <w:t>N1</w:t>
                  </w:r>
                </w:p>
              </w:tc>
              <w:tc>
                <w:tcPr>
                  <w:tcW w:w="919" w:type="pct"/>
                  <w:tcBorders>
                    <w:tl2br w:val="nil"/>
                    <w:tr2bl w:val="nil"/>
                  </w:tcBorders>
                  <w:vAlign w:val="center"/>
                </w:tcPr>
                <w:p w14:paraId="7A58BC64">
                  <w:pPr>
                    <w:pStyle w:val="54"/>
                    <w:rPr>
                      <w:color w:val="auto"/>
                    </w:rPr>
                  </w:pPr>
                  <w:r>
                    <w:rPr>
                      <w:color w:val="auto"/>
                    </w:rPr>
                    <w:t>厂界外南1</w:t>
                  </w:r>
                  <w:r>
                    <w:rPr>
                      <w:rFonts w:hint="eastAsia"/>
                      <w:color w:val="auto"/>
                    </w:rPr>
                    <w:t>m</w:t>
                  </w:r>
                  <w:r>
                    <w:rPr>
                      <w:color w:val="auto"/>
                    </w:rPr>
                    <w:t>处</w:t>
                  </w:r>
                </w:p>
              </w:tc>
              <w:tc>
                <w:tcPr>
                  <w:tcW w:w="396" w:type="pct"/>
                  <w:vMerge w:val="continue"/>
                  <w:tcBorders>
                    <w:tl2br w:val="nil"/>
                    <w:tr2bl w:val="nil"/>
                  </w:tcBorders>
                  <w:vAlign w:val="center"/>
                </w:tcPr>
                <w:p w14:paraId="1C3483C9">
                  <w:pPr>
                    <w:pStyle w:val="54"/>
                    <w:rPr>
                      <w:color w:val="auto"/>
                    </w:rPr>
                  </w:pPr>
                </w:p>
              </w:tc>
              <w:tc>
                <w:tcPr>
                  <w:tcW w:w="784" w:type="pct"/>
                  <w:tcBorders>
                    <w:tl2br w:val="nil"/>
                    <w:tr2bl w:val="nil"/>
                  </w:tcBorders>
                  <w:vAlign w:val="center"/>
                </w:tcPr>
                <w:p w14:paraId="365A64EB">
                  <w:pPr>
                    <w:pStyle w:val="54"/>
                    <w:rPr>
                      <w:color w:val="auto"/>
                    </w:rPr>
                  </w:pPr>
                  <w:r>
                    <w:rPr>
                      <w:color w:val="auto"/>
                    </w:rPr>
                    <w:t>17:14~17:19</w:t>
                  </w:r>
                </w:p>
              </w:tc>
              <w:tc>
                <w:tcPr>
                  <w:tcW w:w="654" w:type="pct"/>
                  <w:tcBorders>
                    <w:tl2br w:val="nil"/>
                    <w:tr2bl w:val="nil"/>
                  </w:tcBorders>
                  <w:vAlign w:val="center"/>
                </w:tcPr>
                <w:p w14:paraId="64CA34B1">
                  <w:pPr>
                    <w:pStyle w:val="54"/>
                    <w:rPr>
                      <w:color w:val="auto"/>
                    </w:rPr>
                  </w:pPr>
                  <w:r>
                    <w:rPr>
                      <w:color w:val="auto"/>
                    </w:rPr>
                    <w:t>58.1</w:t>
                  </w:r>
                </w:p>
              </w:tc>
              <w:tc>
                <w:tcPr>
                  <w:tcW w:w="768" w:type="pct"/>
                  <w:tcBorders>
                    <w:tl2br w:val="nil"/>
                    <w:tr2bl w:val="nil"/>
                  </w:tcBorders>
                  <w:vAlign w:val="center"/>
                </w:tcPr>
                <w:p w14:paraId="7BFF6BF9">
                  <w:pPr>
                    <w:pStyle w:val="54"/>
                    <w:rPr>
                      <w:color w:val="auto"/>
                    </w:rPr>
                  </w:pPr>
                  <w:r>
                    <w:rPr>
                      <w:color w:val="auto"/>
                    </w:rPr>
                    <w:t>22:01~22:06</w:t>
                  </w:r>
                </w:p>
              </w:tc>
              <w:tc>
                <w:tcPr>
                  <w:tcW w:w="637" w:type="pct"/>
                  <w:tcBorders>
                    <w:tl2br w:val="nil"/>
                    <w:tr2bl w:val="nil"/>
                  </w:tcBorders>
                  <w:vAlign w:val="center"/>
                </w:tcPr>
                <w:p w14:paraId="77FE1419">
                  <w:pPr>
                    <w:pStyle w:val="54"/>
                    <w:rPr>
                      <w:color w:val="auto"/>
                    </w:rPr>
                  </w:pPr>
                  <w:r>
                    <w:rPr>
                      <w:color w:val="auto"/>
                    </w:rPr>
                    <w:t>47.2</w:t>
                  </w:r>
                </w:p>
              </w:tc>
            </w:tr>
            <w:tr w14:paraId="0C6CC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56" w:type="pct"/>
                  <w:vMerge w:val="continue"/>
                  <w:tcBorders>
                    <w:tl2br w:val="nil"/>
                    <w:tr2bl w:val="nil"/>
                  </w:tcBorders>
                  <w:vAlign w:val="center"/>
                </w:tcPr>
                <w:p w14:paraId="26D5DB6A">
                  <w:pPr>
                    <w:pStyle w:val="54"/>
                    <w:rPr>
                      <w:color w:val="auto"/>
                    </w:rPr>
                  </w:pPr>
                </w:p>
              </w:tc>
              <w:tc>
                <w:tcPr>
                  <w:tcW w:w="383" w:type="pct"/>
                  <w:tcBorders>
                    <w:tl2br w:val="nil"/>
                    <w:tr2bl w:val="nil"/>
                  </w:tcBorders>
                  <w:vAlign w:val="center"/>
                </w:tcPr>
                <w:p w14:paraId="5D59A8C9">
                  <w:pPr>
                    <w:pStyle w:val="54"/>
                    <w:rPr>
                      <w:color w:val="auto"/>
                    </w:rPr>
                  </w:pPr>
                  <w:r>
                    <w:rPr>
                      <w:color w:val="auto"/>
                    </w:rPr>
                    <w:t>N2</w:t>
                  </w:r>
                </w:p>
              </w:tc>
              <w:tc>
                <w:tcPr>
                  <w:tcW w:w="919" w:type="pct"/>
                  <w:tcBorders>
                    <w:tl2br w:val="nil"/>
                    <w:tr2bl w:val="nil"/>
                  </w:tcBorders>
                  <w:vAlign w:val="center"/>
                </w:tcPr>
                <w:p w14:paraId="35F37587">
                  <w:pPr>
                    <w:pStyle w:val="54"/>
                    <w:rPr>
                      <w:color w:val="auto"/>
                    </w:rPr>
                  </w:pPr>
                  <w:r>
                    <w:rPr>
                      <w:color w:val="auto"/>
                    </w:rPr>
                    <w:t>厂界外西1</w:t>
                  </w:r>
                  <w:r>
                    <w:rPr>
                      <w:rFonts w:hint="eastAsia"/>
                      <w:color w:val="auto"/>
                    </w:rPr>
                    <w:t>m</w:t>
                  </w:r>
                  <w:r>
                    <w:rPr>
                      <w:color w:val="auto"/>
                    </w:rPr>
                    <w:t>处</w:t>
                  </w:r>
                </w:p>
              </w:tc>
              <w:tc>
                <w:tcPr>
                  <w:tcW w:w="396" w:type="pct"/>
                  <w:vMerge w:val="continue"/>
                  <w:tcBorders>
                    <w:tl2br w:val="nil"/>
                    <w:tr2bl w:val="nil"/>
                  </w:tcBorders>
                  <w:vAlign w:val="center"/>
                </w:tcPr>
                <w:p w14:paraId="4D3B2860">
                  <w:pPr>
                    <w:pStyle w:val="54"/>
                    <w:rPr>
                      <w:color w:val="auto"/>
                    </w:rPr>
                  </w:pPr>
                </w:p>
              </w:tc>
              <w:tc>
                <w:tcPr>
                  <w:tcW w:w="784" w:type="pct"/>
                  <w:tcBorders>
                    <w:tl2br w:val="nil"/>
                    <w:tr2bl w:val="nil"/>
                  </w:tcBorders>
                  <w:vAlign w:val="center"/>
                </w:tcPr>
                <w:p w14:paraId="4561A657">
                  <w:pPr>
                    <w:pStyle w:val="54"/>
                    <w:rPr>
                      <w:color w:val="auto"/>
                    </w:rPr>
                  </w:pPr>
                  <w:r>
                    <w:rPr>
                      <w:color w:val="auto"/>
                    </w:rPr>
                    <w:t>17:30~17:35</w:t>
                  </w:r>
                </w:p>
              </w:tc>
              <w:tc>
                <w:tcPr>
                  <w:tcW w:w="654" w:type="pct"/>
                  <w:tcBorders>
                    <w:tl2br w:val="nil"/>
                    <w:tr2bl w:val="nil"/>
                  </w:tcBorders>
                  <w:vAlign w:val="center"/>
                </w:tcPr>
                <w:p w14:paraId="21DBC1F9">
                  <w:pPr>
                    <w:pStyle w:val="54"/>
                    <w:rPr>
                      <w:color w:val="auto"/>
                    </w:rPr>
                  </w:pPr>
                  <w:r>
                    <w:rPr>
                      <w:color w:val="auto"/>
                    </w:rPr>
                    <w:t>57.3</w:t>
                  </w:r>
                </w:p>
              </w:tc>
              <w:tc>
                <w:tcPr>
                  <w:tcW w:w="768" w:type="pct"/>
                  <w:tcBorders>
                    <w:tl2br w:val="nil"/>
                    <w:tr2bl w:val="nil"/>
                  </w:tcBorders>
                  <w:vAlign w:val="center"/>
                </w:tcPr>
                <w:p w14:paraId="1622B6AD">
                  <w:pPr>
                    <w:pStyle w:val="54"/>
                    <w:rPr>
                      <w:color w:val="auto"/>
                    </w:rPr>
                  </w:pPr>
                  <w:r>
                    <w:rPr>
                      <w:color w:val="auto"/>
                    </w:rPr>
                    <w:t>22:15~22:20</w:t>
                  </w:r>
                </w:p>
              </w:tc>
              <w:tc>
                <w:tcPr>
                  <w:tcW w:w="637" w:type="pct"/>
                  <w:tcBorders>
                    <w:tl2br w:val="nil"/>
                    <w:tr2bl w:val="nil"/>
                  </w:tcBorders>
                  <w:vAlign w:val="center"/>
                </w:tcPr>
                <w:p w14:paraId="2C3DB730">
                  <w:pPr>
                    <w:pStyle w:val="54"/>
                    <w:rPr>
                      <w:color w:val="auto"/>
                    </w:rPr>
                  </w:pPr>
                  <w:r>
                    <w:rPr>
                      <w:color w:val="auto"/>
                    </w:rPr>
                    <w:t>45.9</w:t>
                  </w:r>
                </w:p>
              </w:tc>
            </w:tr>
            <w:tr w14:paraId="7039D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56" w:type="pct"/>
                  <w:vMerge w:val="continue"/>
                  <w:tcBorders>
                    <w:tl2br w:val="nil"/>
                    <w:tr2bl w:val="nil"/>
                  </w:tcBorders>
                  <w:vAlign w:val="center"/>
                </w:tcPr>
                <w:p w14:paraId="18A71C53">
                  <w:pPr>
                    <w:pStyle w:val="54"/>
                    <w:rPr>
                      <w:color w:val="auto"/>
                    </w:rPr>
                  </w:pPr>
                </w:p>
              </w:tc>
              <w:tc>
                <w:tcPr>
                  <w:tcW w:w="383" w:type="pct"/>
                  <w:tcBorders>
                    <w:tl2br w:val="nil"/>
                    <w:tr2bl w:val="nil"/>
                  </w:tcBorders>
                  <w:vAlign w:val="center"/>
                </w:tcPr>
                <w:p w14:paraId="385EAE8E">
                  <w:pPr>
                    <w:pStyle w:val="54"/>
                    <w:rPr>
                      <w:color w:val="auto"/>
                    </w:rPr>
                  </w:pPr>
                  <w:r>
                    <w:rPr>
                      <w:color w:val="auto"/>
                    </w:rPr>
                    <w:t>N3</w:t>
                  </w:r>
                </w:p>
              </w:tc>
              <w:tc>
                <w:tcPr>
                  <w:tcW w:w="919" w:type="pct"/>
                  <w:tcBorders>
                    <w:tl2br w:val="nil"/>
                    <w:tr2bl w:val="nil"/>
                  </w:tcBorders>
                  <w:vAlign w:val="center"/>
                </w:tcPr>
                <w:p w14:paraId="02AD57AC">
                  <w:pPr>
                    <w:pStyle w:val="54"/>
                    <w:rPr>
                      <w:color w:val="auto"/>
                    </w:rPr>
                  </w:pPr>
                  <w:r>
                    <w:rPr>
                      <w:color w:val="auto"/>
                    </w:rPr>
                    <w:t>厂界外北1</w:t>
                  </w:r>
                  <w:r>
                    <w:rPr>
                      <w:rFonts w:hint="eastAsia"/>
                      <w:color w:val="auto"/>
                    </w:rPr>
                    <w:t>m</w:t>
                  </w:r>
                  <w:r>
                    <w:rPr>
                      <w:color w:val="auto"/>
                    </w:rPr>
                    <w:t>处</w:t>
                  </w:r>
                </w:p>
              </w:tc>
              <w:tc>
                <w:tcPr>
                  <w:tcW w:w="396" w:type="pct"/>
                  <w:vMerge w:val="continue"/>
                  <w:tcBorders>
                    <w:tl2br w:val="nil"/>
                    <w:tr2bl w:val="nil"/>
                  </w:tcBorders>
                  <w:vAlign w:val="center"/>
                </w:tcPr>
                <w:p w14:paraId="634134A9">
                  <w:pPr>
                    <w:pStyle w:val="54"/>
                    <w:rPr>
                      <w:color w:val="auto"/>
                    </w:rPr>
                  </w:pPr>
                </w:p>
              </w:tc>
              <w:tc>
                <w:tcPr>
                  <w:tcW w:w="784" w:type="pct"/>
                  <w:tcBorders>
                    <w:tl2br w:val="nil"/>
                    <w:tr2bl w:val="nil"/>
                  </w:tcBorders>
                  <w:vAlign w:val="center"/>
                </w:tcPr>
                <w:p w14:paraId="76AF47AD">
                  <w:pPr>
                    <w:pStyle w:val="54"/>
                    <w:rPr>
                      <w:color w:val="auto"/>
                    </w:rPr>
                  </w:pPr>
                  <w:r>
                    <w:rPr>
                      <w:color w:val="auto"/>
                    </w:rPr>
                    <w:t>17:42~17:47</w:t>
                  </w:r>
                </w:p>
              </w:tc>
              <w:tc>
                <w:tcPr>
                  <w:tcW w:w="654" w:type="pct"/>
                  <w:tcBorders>
                    <w:tl2br w:val="nil"/>
                    <w:tr2bl w:val="nil"/>
                  </w:tcBorders>
                  <w:vAlign w:val="center"/>
                </w:tcPr>
                <w:p w14:paraId="345FF740">
                  <w:pPr>
                    <w:pStyle w:val="54"/>
                    <w:rPr>
                      <w:color w:val="auto"/>
                    </w:rPr>
                  </w:pPr>
                  <w:r>
                    <w:rPr>
                      <w:color w:val="auto"/>
                    </w:rPr>
                    <w:t>55.8</w:t>
                  </w:r>
                </w:p>
              </w:tc>
              <w:tc>
                <w:tcPr>
                  <w:tcW w:w="768" w:type="pct"/>
                  <w:tcBorders>
                    <w:tl2br w:val="nil"/>
                    <w:tr2bl w:val="nil"/>
                  </w:tcBorders>
                  <w:vAlign w:val="center"/>
                </w:tcPr>
                <w:p w14:paraId="06C9ABCB">
                  <w:pPr>
                    <w:pStyle w:val="54"/>
                    <w:rPr>
                      <w:color w:val="auto"/>
                    </w:rPr>
                  </w:pPr>
                  <w:r>
                    <w:rPr>
                      <w:color w:val="auto"/>
                    </w:rPr>
                    <w:t>22:28~22:33</w:t>
                  </w:r>
                </w:p>
              </w:tc>
              <w:tc>
                <w:tcPr>
                  <w:tcW w:w="637" w:type="pct"/>
                  <w:tcBorders>
                    <w:tl2br w:val="nil"/>
                    <w:tr2bl w:val="nil"/>
                  </w:tcBorders>
                  <w:vAlign w:val="center"/>
                </w:tcPr>
                <w:p w14:paraId="26AD2612">
                  <w:pPr>
                    <w:pStyle w:val="54"/>
                    <w:rPr>
                      <w:color w:val="auto"/>
                    </w:rPr>
                  </w:pPr>
                  <w:r>
                    <w:rPr>
                      <w:color w:val="auto"/>
                    </w:rPr>
                    <w:t>44.6</w:t>
                  </w:r>
                </w:p>
              </w:tc>
            </w:tr>
            <w:tr w14:paraId="79FA0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2154" w:type="pct"/>
                  <w:gridSpan w:val="4"/>
                  <w:tcBorders>
                    <w:tl2br w:val="nil"/>
                    <w:tr2bl w:val="nil"/>
                  </w:tcBorders>
                  <w:vAlign w:val="center"/>
                </w:tcPr>
                <w:p w14:paraId="20A22C2D">
                  <w:pPr>
                    <w:pStyle w:val="52"/>
                    <w:rPr>
                      <w:color w:val="auto"/>
                    </w:rPr>
                  </w:pPr>
                  <w:r>
                    <w:rPr>
                      <w:rFonts w:hint="eastAsia"/>
                      <w:color w:val="auto"/>
                    </w:rPr>
                    <w:t>标准值</w:t>
                  </w:r>
                </w:p>
              </w:tc>
              <w:tc>
                <w:tcPr>
                  <w:tcW w:w="1438" w:type="pct"/>
                  <w:gridSpan w:val="2"/>
                  <w:tcBorders>
                    <w:tl2br w:val="nil"/>
                    <w:tr2bl w:val="nil"/>
                  </w:tcBorders>
                  <w:shd w:val="clear" w:color="auto" w:fill="auto"/>
                  <w:vAlign w:val="center"/>
                </w:tcPr>
                <w:p w14:paraId="0658DEA5">
                  <w:pPr>
                    <w:pStyle w:val="52"/>
                    <w:rPr>
                      <w:color w:val="auto"/>
                    </w:rPr>
                  </w:pPr>
                  <w:r>
                    <w:rPr>
                      <w:color w:val="auto"/>
                    </w:rPr>
                    <w:t>≤</w:t>
                  </w:r>
                  <w:r>
                    <w:rPr>
                      <w:rFonts w:hint="eastAsia"/>
                      <w:color w:val="auto"/>
                    </w:rPr>
                    <w:t>65</w:t>
                  </w:r>
                </w:p>
              </w:tc>
              <w:tc>
                <w:tcPr>
                  <w:tcW w:w="1406" w:type="pct"/>
                  <w:gridSpan w:val="2"/>
                  <w:tcBorders>
                    <w:tl2br w:val="nil"/>
                    <w:tr2bl w:val="nil"/>
                  </w:tcBorders>
                  <w:shd w:val="clear" w:color="auto" w:fill="auto"/>
                  <w:vAlign w:val="center"/>
                </w:tcPr>
                <w:p w14:paraId="56F80E2D">
                  <w:pPr>
                    <w:pStyle w:val="52"/>
                    <w:rPr>
                      <w:color w:val="auto"/>
                    </w:rPr>
                  </w:pPr>
                  <w:r>
                    <w:rPr>
                      <w:color w:val="auto"/>
                    </w:rPr>
                    <w:t>≤</w:t>
                  </w:r>
                  <w:r>
                    <w:rPr>
                      <w:rFonts w:hint="eastAsia"/>
                      <w:color w:val="auto"/>
                    </w:rPr>
                    <w:t>55</w:t>
                  </w:r>
                </w:p>
              </w:tc>
            </w:tr>
            <w:tr w14:paraId="6CD069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54" w:type="pct"/>
                  <w:gridSpan w:val="4"/>
                  <w:tcBorders>
                    <w:tl2br w:val="nil"/>
                    <w:tr2bl w:val="nil"/>
                  </w:tcBorders>
                  <w:vAlign w:val="center"/>
                </w:tcPr>
                <w:p w14:paraId="7B4F7FD7">
                  <w:pPr>
                    <w:pStyle w:val="52"/>
                    <w:rPr>
                      <w:color w:val="auto"/>
                    </w:rPr>
                  </w:pPr>
                  <w:r>
                    <w:rPr>
                      <w:color w:val="auto"/>
                    </w:rPr>
                    <w:t>达标情况</w:t>
                  </w:r>
                </w:p>
              </w:tc>
              <w:tc>
                <w:tcPr>
                  <w:tcW w:w="1438" w:type="pct"/>
                  <w:gridSpan w:val="2"/>
                  <w:tcBorders>
                    <w:tl2br w:val="nil"/>
                    <w:tr2bl w:val="nil"/>
                  </w:tcBorders>
                  <w:shd w:val="clear" w:color="auto" w:fill="auto"/>
                  <w:vAlign w:val="center"/>
                </w:tcPr>
                <w:p w14:paraId="4B063A79">
                  <w:pPr>
                    <w:pStyle w:val="52"/>
                    <w:rPr>
                      <w:color w:val="auto"/>
                    </w:rPr>
                  </w:pPr>
                  <w:r>
                    <w:rPr>
                      <w:rFonts w:hint="eastAsia"/>
                      <w:color w:val="auto"/>
                    </w:rPr>
                    <w:t>达标</w:t>
                  </w:r>
                </w:p>
              </w:tc>
              <w:tc>
                <w:tcPr>
                  <w:tcW w:w="1406" w:type="pct"/>
                  <w:gridSpan w:val="2"/>
                  <w:tcBorders>
                    <w:tl2br w:val="nil"/>
                    <w:tr2bl w:val="nil"/>
                  </w:tcBorders>
                  <w:shd w:val="clear" w:color="auto" w:fill="auto"/>
                  <w:vAlign w:val="center"/>
                </w:tcPr>
                <w:p w14:paraId="157F2ABC">
                  <w:pPr>
                    <w:pStyle w:val="52"/>
                    <w:rPr>
                      <w:color w:val="auto"/>
                    </w:rPr>
                  </w:pPr>
                  <w:r>
                    <w:rPr>
                      <w:rFonts w:hint="eastAsia"/>
                      <w:color w:val="auto"/>
                    </w:rPr>
                    <w:t>达标</w:t>
                  </w:r>
                </w:p>
              </w:tc>
            </w:tr>
          </w:tbl>
          <w:p w14:paraId="50CF5A57">
            <w:pPr>
              <w:pStyle w:val="50"/>
              <w:ind w:firstLine="482"/>
              <w:rPr>
                <w:b/>
                <w:bCs/>
                <w:color w:val="auto"/>
              </w:rPr>
            </w:pPr>
            <w:r>
              <w:rPr>
                <w:rFonts w:hint="eastAsia"/>
                <w:b/>
                <w:bCs/>
                <w:color w:val="auto"/>
              </w:rPr>
              <w:t>④</w:t>
            </w:r>
            <w:r>
              <w:rPr>
                <w:b/>
                <w:bCs/>
                <w:color w:val="auto"/>
              </w:rPr>
              <w:t>固废</w:t>
            </w:r>
          </w:p>
          <w:p w14:paraId="74626FDA">
            <w:pPr>
              <w:pStyle w:val="50"/>
              <w:ind w:firstLine="480"/>
              <w:rPr>
                <w:color w:val="auto"/>
              </w:rPr>
            </w:pPr>
            <w:r>
              <w:rPr>
                <w:color w:val="auto"/>
              </w:rPr>
              <w:t>现有项目固废产生及处理情况见</w:t>
            </w:r>
            <w:r>
              <w:rPr>
                <w:color w:val="auto"/>
              </w:rPr>
              <w:fldChar w:fldCharType="begin"/>
            </w:r>
            <w:r>
              <w:rPr>
                <w:color w:val="auto"/>
              </w:rPr>
              <w:instrText xml:space="preserve"> REF _Ref13170 \h </w:instrText>
            </w:r>
            <w:r>
              <w:rPr>
                <w:color w:val="auto"/>
              </w:rPr>
              <w:fldChar w:fldCharType="separate"/>
            </w:r>
            <w:r>
              <w:rPr>
                <w:color w:val="auto"/>
              </w:rPr>
              <w:t>表2- 14</w:t>
            </w:r>
            <w:r>
              <w:rPr>
                <w:color w:val="auto"/>
              </w:rPr>
              <w:fldChar w:fldCharType="end"/>
            </w:r>
            <w:r>
              <w:rPr>
                <w:color w:val="auto"/>
              </w:rPr>
              <w:t>。</w:t>
            </w:r>
          </w:p>
          <w:p w14:paraId="3646BCBB">
            <w:pPr>
              <w:pStyle w:val="7"/>
              <w:rPr>
                <w:color w:val="auto"/>
              </w:rPr>
            </w:pPr>
            <w:bookmarkStart w:id="54" w:name="_Ref4898"/>
            <w:bookmarkStart w:id="55" w:name="_Ref147"/>
            <w:bookmarkStart w:id="56" w:name="_Ref13170"/>
            <w:bookmarkStart w:id="57" w:name="_Ref4452"/>
            <w:r>
              <w:rPr>
                <w:color w:val="auto"/>
              </w:rPr>
              <w:t xml:space="preserve">表2- </w:t>
            </w:r>
            <w:r>
              <w:rPr>
                <w:color w:val="auto"/>
              </w:rPr>
              <w:fldChar w:fldCharType="begin"/>
            </w:r>
            <w:r>
              <w:rPr>
                <w:color w:val="auto"/>
              </w:rPr>
              <w:instrText xml:space="preserve"> SEQ 表2- \* ARABIC </w:instrText>
            </w:r>
            <w:r>
              <w:rPr>
                <w:color w:val="auto"/>
              </w:rPr>
              <w:fldChar w:fldCharType="separate"/>
            </w:r>
            <w:r>
              <w:rPr>
                <w:color w:val="auto"/>
              </w:rPr>
              <w:t>14</w:t>
            </w:r>
            <w:r>
              <w:rPr>
                <w:color w:val="auto"/>
              </w:rPr>
              <w:fldChar w:fldCharType="end"/>
            </w:r>
            <w:bookmarkEnd w:id="54"/>
            <w:bookmarkEnd w:id="55"/>
            <w:bookmarkEnd w:id="56"/>
            <w:bookmarkEnd w:id="57"/>
            <w:r>
              <w:rPr>
                <w:color w:val="auto"/>
              </w:rPr>
              <w:t xml:space="preserve"> 现有项目固废产生及处理情况一览表</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
              <w:gridCol w:w="1107"/>
              <w:gridCol w:w="353"/>
              <w:gridCol w:w="763"/>
              <w:gridCol w:w="884"/>
              <w:gridCol w:w="837"/>
              <w:gridCol w:w="1363"/>
              <w:gridCol w:w="2674"/>
            </w:tblGrid>
            <w:tr w14:paraId="4CC60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52" w:type="dxa"/>
                  <w:tcBorders>
                    <w:tl2br w:val="nil"/>
                    <w:tr2bl w:val="nil"/>
                  </w:tcBorders>
                  <w:vAlign w:val="center"/>
                </w:tcPr>
                <w:p w14:paraId="6B630954">
                  <w:pPr>
                    <w:pStyle w:val="52"/>
                    <w:rPr>
                      <w:color w:val="auto"/>
                    </w:rPr>
                  </w:pPr>
                  <w:r>
                    <w:rPr>
                      <w:color w:val="auto"/>
                    </w:rPr>
                    <w:t>序号</w:t>
                  </w:r>
                </w:p>
              </w:tc>
              <w:tc>
                <w:tcPr>
                  <w:tcW w:w="1107" w:type="dxa"/>
                  <w:tcBorders>
                    <w:tl2br w:val="nil"/>
                    <w:tr2bl w:val="nil"/>
                  </w:tcBorders>
                  <w:vAlign w:val="center"/>
                </w:tcPr>
                <w:p w14:paraId="603CD685">
                  <w:pPr>
                    <w:pStyle w:val="52"/>
                    <w:rPr>
                      <w:color w:val="auto"/>
                    </w:rPr>
                  </w:pPr>
                  <w:r>
                    <w:rPr>
                      <w:color w:val="auto"/>
                    </w:rPr>
                    <w:t>固体废物名称</w:t>
                  </w:r>
                </w:p>
              </w:tc>
              <w:tc>
                <w:tcPr>
                  <w:tcW w:w="353" w:type="dxa"/>
                  <w:tcBorders>
                    <w:tl2br w:val="nil"/>
                    <w:tr2bl w:val="nil"/>
                  </w:tcBorders>
                  <w:vAlign w:val="center"/>
                </w:tcPr>
                <w:p w14:paraId="34442CE4">
                  <w:pPr>
                    <w:pStyle w:val="52"/>
                    <w:rPr>
                      <w:color w:val="auto"/>
                    </w:rPr>
                  </w:pPr>
                  <w:r>
                    <w:rPr>
                      <w:color w:val="auto"/>
                    </w:rPr>
                    <w:t>属性</w:t>
                  </w:r>
                </w:p>
              </w:tc>
              <w:tc>
                <w:tcPr>
                  <w:tcW w:w="763" w:type="dxa"/>
                  <w:tcBorders>
                    <w:tl2br w:val="nil"/>
                    <w:tr2bl w:val="nil"/>
                  </w:tcBorders>
                  <w:vAlign w:val="center"/>
                </w:tcPr>
                <w:p w14:paraId="16659651">
                  <w:pPr>
                    <w:pStyle w:val="52"/>
                    <w:rPr>
                      <w:color w:val="auto"/>
                    </w:rPr>
                  </w:pPr>
                  <w:r>
                    <w:rPr>
                      <w:color w:val="auto"/>
                    </w:rPr>
                    <w:t>形态</w:t>
                  </w:r>
                </w:p>
              </w:tc>
              <w:tc>
                <w:tcPr>
                  <w:tcW w:w="884" w:type="dxa"/>
                  <w:tcBorders>
                    <w:tl2br w:val="nil"/>
                    <w:tr2bl w:val="nil"/>
                  </w:tcBorders>
                  <w:vAlign w:val="center"/>
                </w:tcPr>
                <w:p w14:paraId="04422815">
                  <w:pPr>
                    <w:pStyle w:val="52"/>
                    <w:rPr>
                      <w:color w:val="auto"/>
                    </w:rPr>
                  </w:pPr>
                  <w:r>
                    <w:rPr>
                      <w:color w:val="auto"/>
                    </w:rPr>
                    <w:t>产生量</w:t>
                  </w:r>
                </w:p>
                <w:p w14:paraId="24F5949C">
                  <w:pPr>
                    <w:pStyle w:val="52"/>
                    <w:rPr>
                      <w:color w:val="auto"/>
                    </w:rPr>
                  </w:pPr>
                  <w:r>
                    <w:rPr>
                      <w:color w:val="auto"/>
                    </w:rPr>
                    <w:t>（t/a）</w:t>
                  </w:r>
                </w:p>
              </w:tc>
              <w:tc>
                <w:tcPr>
                  <w:tcW w:w="837" w:type="dxa"/>
                  <w:tcBorders>
                    <w:tl2br w:val="nil"/>
                    <w:tr2bl w:val="nil"/>
                  </w:tcBorders>
                  <w:vAlign w:val="center"/>
                </w:tcPr>
                <w:p w14:paraId="570733A2">
                  <w:pPr>
                    <w:pStyle w:val="52"/>
                    <w:rPr>
                      <w:color w:val="auto"/>
                    </w:rPr>
                  </w:pPr>
                  <w:r>
                    <w:rPr>
                      <w:color w:val="auto"/>
                    </w:rPr>
                    <w:t>废物</w:t>
                  </w:r>
                </w:p>
                <w:p w14:paraId="41EDB270">
                  <w:pPr>
                    <w:pStyle w:val="52"/>
                    <w:rPr>
                      <w:color w:val="auto"/>
                    </w:rPr>
                  </w:pPr>
                  <w:r>
                    <w:rPr>
                      <w:color w:val="auto"/>
                    </w:rPr>
                    <w:t>类别</w:t>
                  </w:r>
                </w:p>
              </w:tc>
              <w:tc>
                <w:tcPr>
                  <w:tcW w:w="1363" w:type="dxa"/>
                  <w:tcBorders>
                    <w:tl2br w:val="nil"/>
                    <w:tr2bl w:val="nil"/>
                  </w:tcBorders>
                  <w:vAlign w:val="center"/>
                </w:tcPr>
                <w:p w14:paraId="6C2E9774">
                  <w:pPr>
                    <w:pStyle w:val="52"/>
                    <w:rPr>
                      <w:color w:val="auto"/>
                    </w:rPr>
                  </w:pPr>
                  <w:r>
                    <w:rPr>
                      <w:color w:val="auto"/>
                    </w:rPr>
                    <w:t>废物代码</w:t>
                  </w:r>
                </w:p>
              </w:tc>
              <w:tc>
                <w:tcPr>
                  <w:tcW w:w="2674" w:type="dxa"/>
                  <w:tcBorders>
                    <w:tl2br w:val="nil"/>
                    <w:tr2bl w:val="nil"/>
                  </w:tcBorders>
                  <w:vAlign w:val="center"/>
                </w:tcPr>
                <w:p w14:paraId="4DA627C9">
                  <w:pPr>
                    <w:pStyle w:val="52"/>
                    <w:rPr>
                      <w:color w:val="auto"/>
                    </w:rPr>
                  </w:pPr>
                  <w:r>
                    <w:rPr>
                      <w:color w:val="auto"/>
                    </w:rPr>
                    <w:t>利用处置方式</w:t>
                  </w:r>
                </w:p>
              </w:tc>
            </w:tr>
            <w:tr w14:paraId="2194A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52" w:type="dxa"/>
                  <w:tcBorders>
                    <w:tl2br w:val="nil"/>
                    <w:tr2bl w:val="nil"/>
                  </w:tcBorders>
                  <w:vAlign w:val="center"/>
                </w:tcPr>
                <w:p w14:paraId="496D4760">
                  <w:pPr>
                    <w:pStyle w:val="54"/>
                    <w:rPr>
                      <w:color w:val="auto"/>
                    </w:rPr>
                  </w:pPr>
                  <w:r>
                    <w:rPr>
                      <w:rFonts w:hint="eastAsia"/>
                      <w:color w:val="auto"/>
                    </w:rPr>
                    <w:t>1</w:t>
                  </w:r>
                </w:p>
              </w:tc>
              <w:tc>
                <w:tcPr>
                  <w:tcW w:w="1107" w:type="dxa"/>
                  <w:tcBorders>
                    <w:tl2br w:val="nil"/>
                    <w:tr2bl w:val="nil"/>
                  </w:tcBorders>
                  <w:vAlign w:val="center"/>
                </w:tcPr>
                <w:p w14:paraId="71BB0BA8">
                  <w:pPr>
                    <w:pStyle w:val="54"/>
                    <w:rPr>
                      <w:color w:val="auto"/>
                    </w:rPr>
                  </w:pPr>
                  <w:r>
                    <w:rPr>
                      <w:rFonts w:hint="eastAsia"/>
                      <w:color w:val="auto"/>
                    </w:rPr>
                    <w:t>炭黑</w:t>
                  </w:r>
                </w:p>
              </w:tc>
              <w:tc>
                <w:tcPr>
                  <w:tcW w:w="353" w:type="dxa"/>
                  <w:vMerge w:val="restart"/>
                  <w:tcBorders>
                    <w:tl2br w:val="nil"/>
                    <w:tr2bl w:val="nil"/>
                  </w:tcBorders>
                  <w:vAlign w:val="center"/>
                </w:tcPr>
                <w:p w14:paraId="71A49EB6">
                  <w:pPr>
                    <w:pStyle w:val="54"/>
                    <w:rPr>
                      <w:color w:val="auto"/>
                    </w:rPr>
                  </w:pPr>
                  <w:r>
                    <w:rPr>
                      <w:rFonts w:hint="eastAsia"/>
                      <w:color w:val="auto"/>
                    </w:rPr>
                    <w:t>一般固废</w:t>
                  </w:r>
                </w:p>
              </w:tc>
              <w:tc>
                <w:tcPr>
                  <w:tcW w:w="763" w:type="dxa"/>
                  <w:tcBorders>
                    <w:tl2br w:val="nil"/>
                    <w:tr2bl w:val="nil"/>
                  </w:tcBorders>
                  <w:vAlign w:val="center"/>
                </w:tcPr>
                <w:p w14:paraId="2365D409">
                  <w:pPr>
                    <w:pStyle w:val="54"/>
                    <w:rPr>
                      <w:color w:val="auto"/>
                    </w:rPr>
                  </w:pPr>
                  <w:r>
                    <w:rPr>
                      <w:rFonts w:hint="eastAsia"/>
                      <w:color w:val="auto"/>
                    </w:rPr>
                    <w:t>固态</w:t>
                  </w:r>
                </w:p>
              </w:tc>
              <w:tc>
                <w:tcPr>
                  <w:tcW w:w="884" w:type="dxa"/>
                  <w:tcBorders>
                    <w:tl2br w:val="nil"/>
                    <w:tr2bl w:val="nil"/>
                  </w:tcBorders>
                  <w:vAlign w:val="center"/>
                </w:tcPr>
                <w:p w14:paraId="1995C740">
                  <w:pPr>
                    <w:pStyle w:val="54"/>
                    <w:bidi w:val="0"/>
                    <w:rPr>
                      <w:color w:val="auto"/>
                    </w:rPr>
                  </w:pPr>
                  <w:r>
                    <w:rPr>
                      <w:rFonts w:hint="eastAsia"/>
                      <w:color w:val="auto"/>
                      <w:lang w:val="en-US" w:eastAsia="zh-CN"/>
                    </w:rPr>
                    <w:t>20</w:t>
                  </w:r>
                </w:p>
              </w:tc>
              <w:tc>
                <w:tcPr>
                  <w:tcW w:w="837" w:type="dxa"/>
                  <w:tcBorders>
                    <w:tl2br w:val="nil"/>
                    <w:tr2bl w:val="nil"/>
                  </w:tcBorders>
                  <w:vAlign w:val="center"/>
                </w:tcPr>
                <w:p w14:paraId="3A5B32C8">
                  <w:pPr>
                    <w:pStyle w:val="54"/>
                    <w:rPr>
                      <w:color w:val="auto"/>
                    </w:rPr>
                  </w:pPr>
                  <w:r>
                    <w:rPr>
                      <w:rFonts w:hint="eastAsia"/>
                      <w:color w:val="auto"/>
                    </w:rPr>
                    <w:t>SW59</w:t>
                  </w:r>
                </w:p>
              </w:tc>
              <w:tc>
                <w:tcPr>
                  <w:tcW w:w="1363" w:type="dxa"/>
                  <w:tcBorders>
                    <w:tl2br w:val="nil"/>
                    <w:tr2bl w:val="nil"/>
                  </w:tcBorders>
                  <w:vAlign w:val="center"/>
                </w:tcPr>
                <w:p w14:paraId="0480B759">
                  <w:pPr>
                    <w:pStyle w:val="54"/>
                    <w:rPr>
                      <w:color w:val="auto"/>
                    </w:rPr>
                  </w:pPr>
                  <w:r>
                    <w:rPr>
                      <w:rFonts w:hint="eastAsia"/>
                      <w:color w:val="auto"/>
                    </w:rPr>
                    <w:t>900-099-S59</w:t>
                  </w:r>
                </w:p>
              </w:tc>
              <w:tc>
                <w:tcPr>
                  <w:tcW w:w="2674" w:type="dxa"/>
                  <w:vMerge w:val="restart"/>
                  <w:tcBorders>
                    <w:tl2br w:val="nil"/>
                    <w:tr2bl w:val="nil"/>
                  </w:tcBorders>
                  <w:vAlign w:val="center"/>
                </w:tcPr>
                <w:p w14:paraId="7CDDA110">
                  <w:pPr>
                    <w:pStyle w:val="54"/>
                    <w:rPr>
                      <w:color w:val="auto"/>
                    </w:rPr>
                  </w:pPr>
                  <w:r>
                    <w:rPr>
                      <w:rFonts w:hint="eastAsia"/>
                      <w:color w:val="auto"/>
                    </w:rPr>
                    <w:t>暂存一般固废库，定期外售鹰潭明泰金属材料有限公司综合利用。一般固废库位于1#厂房内西侧，占地面积为200m</w:t>
                  </w:r>
                  <w:r>
                    <w:rPr>
                      <w:rFonts w:hint="eastAsia"/>
                      <w:color w:val="auto"/>
                      <w:vertAlign w:val="superscript"/>
                    </w:rPr>
                    <w:t>2</w:t>
                  </w:r>
                </w:p>
              </w:tc>
            </w:tr>
            <w:tr w14:paraId="5A4742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52" w:type="dxa"/>
                  <w:tcBorders>
                    <w:tl2br w:val="nil"/>
                    <w:tr2bl w:val="nil"/>
                  </w:tcBorders>
                  <w:vAlign w:val="center"/>
                </w:tcPr>
                <w:p w14:paraId="3F775EF5">
                  <w:pPr>
                    <w:pStyle w:val="54"/>
                    <w:rPr>
                      <w:color w:val="auto"/>
                    </w:rPr>
                  </w:pPr>
                  <w:r>
                    <w:rPr>
                      <w:rFonts w:hint="eastAsia"/>
                      <w:color w:val="auto"/>
                    </w:rPr>
                    <w:t>2</w:t>
                  </w:r>
                </w:p>
              </w:tc>
              <w:tc>
                <w:tcPr>
                  <w:tcW w:w="1107" w:type="dxa"/>
                  <w:tcBorders>
                    <w:tl2br w:val="nil"/>
                    <w:tr2bl w:val="nil"/>
                  </w:tcBorders>
                  <w:vAlign w:val="center"/>
                </w:tcPr>
                <w:p w14:paraId="1E7B59D9">
                  <w:pPr>
                    <w:pStyle w:val="54"/>
                    <w:rPr>
                      <w:color w:val="auto"/>
                    </w:rPr>
                  </w:pPr>
                  <w:r>
                    <w:rPr>
                      <w:rFonts w:hint="eastAsia"/>
                      <w:color w:val="auto"/>
                    </w:rPr>
                    <w:t>钢带</w:t>
                  </w:r>
                </w:p>
              </w:tc>
              <w:tc>
                <w:tcPr>
                  <w:tcW w:w="353" w:type="dxa"/>
                  <w:vMerge w:val="continue"/>
                  <w:tcBorders>
                    <w:tl2br w:val="nil"/>
                    <w:tr2bl w:val="nil"/>
                  </w:tcBorders>
                  <w:vAlign w:val="center"/>
                </w:tcPr>
                <w:p w14:paraId="6374BC19">
                  <w:pPr>
                    <w:pStyle w:val="54"/>
                    <w:rPr>
                      <w:color w:val="auto"/>
                    </w:rPr>
                  </w:pPr>
                </w:p>
              </w:tc>
              <w:tc>
                <w:tcPr>
                  <w:tcW w:w="763" w:type="dxa"/>
                  <w:tcBorders>
                    <w:tl2br w:val="nil"/>
                    <w:tr2bl w:val="nil"/>
                  </w:tcBorders>
                  <w:vAlign w:val="center"/>
                </w:tcPr>
                <w:p w14:paraId="54A08230">
                  <w:pPr>
                    <w:pStyle w:val="54"/>
                    <w:rPr>
                      <w:color w:val="auto"/>
                    </w:rPr>
                  </w:pPr>
                  <w:r>
                    <w:rPr>
                      <w:rFonts w:hint="eastAsia"/>
                      <w:color w:val="auto"/>
                    </w:rPr>
                    <w:t>固态</w:t>
                  </w:r>
                </w:p>
              </w:tc>
              <w:tc>
                <w:tcPr>
                  <w:tcW w:w="884" w:type="dxa"/>
                  <w:tcBorders>
                    <w:tl2br w:val="nil"/>
                    <w:tr2bl w:val="nil"/>
                  </w:tcBorders>
                  <w:vAlign w:val="center"/>
                </w:tcPr>
                <w:p w14:paraId="063A62A0">
                  <w:pPr>
                    <w:pStyle w:val="54"/>
                    <w:bidi w:val="0"/>
                    <w:rPr>
                      <w:color w:val="auto"/>
                    </w:rPr>
                  </w:pPr>
                  <w:r>
                    <w:rPr>
                      <w:rFonts w:hint="eastAsia"/>
                      <w:color w:val="auto"/>
                      <w:lang w:val="en-US" w:eastAsia="zh-CN"/>
                    </w:rPr>
                    <w:t>7</w:t>
                  </w:r>
                </w:p>
              </w:tc>
              <w:tc>
                <w:tcPr>
                  <w:tcW w:w="837" w:type="dxa"/>
                  <w:tcBorders>
                    <w:tl2br w:val="nil"/>
                    <w:tr2bl w:val="nil"/>
                  </w:tcBorders>
                  <w:vAlign w:val="center"/>
                </w:tcPr>
                <w:p w14:paraId="219CCB03">
                  <w:pPr>
                    <w:pStyle w:val="54"/>
                    <w:rPr>
                      <w:color w:val="auto"/>
                    </w:rPr>
                  </w:pPr>
                  <w:r>
                    <w:rPr>
                      <w:rFonts w:hint="eastAsia"/>
                      <w:color w:val="auto"/>
                    </w:rPr>
                    <w:t>SW17</w:t>
                  </w:r>
                </w:p>
              </w:tc>
              <w:tc>
                <w:tcPr>
                  <w:tcW w:w="1363" w:type="dxa"/>
                  <w:tcBorders>
                    <w:tl2br w:val="nil"/>
                    <w:tr2bl w:val="nil"/>
                  </w:tcBorders>
                  <w:vAlign w:val="center"/>
                </w:tcPr>
                <w:p w14:paraId="0E61124E">
                  <w:pPr>
                    <w:pStyle w:val="54"/>
                    <w:rPr>
                      <w:color w:val="auto"/>
                    </w:rPr>
                  </w:pPr>
                  <w:r>
                    <w:rPr>
                      <w:rFonts w:hint="eastAsia"/>
                      <w:color w:val="auto"/>
                    </w:rPr>
                    <w:t>900-001-S17</w:t>
                  </w:r>
                </w:p>
              </w:tc>
              <w:tc>
                <w:tcPr>
                  <w:tcW w:w="2674" w:type="dxa"/>
                  <w:vMerge w:val="continue"/>
                  <w:tcBorders>
                    <w:tl2br w:val="nil"/>
                    <w:tr2bl w:val="nil"/>
                  </w:tcBorders>
                  <w:vAlign w:val="center"/>
                </w:tcPr>
                <w:p w14:paraId="08BF40C8">
                  <w:pPr>
                    <w:pStyle w:val="54"/>
                    <w:rPr>
                      <w:color w:val="auto"/>
                    </w:rPr>
                  </w:pPr>
                </w:p>
              </w:tc>
            </w:tr>
            <w:tr w14:paraId="5CCC78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52" w:type="dxa"/>
                  <w:tcBorders>
                    <w:tl2br w:val="nil"/>
                    <w:tr2bl w:val="nil"/>
                  </w:tcBorders>
                  <w:vAlign w:val="center"/>
                </w:tcPr>
                <w:p w14:paraId="62243B5C">
                  <w:pPr>
                    <w:pStyle w:val="54"/>
                    <w:rPr>
                      <w:color w:val="auto"/>
                    </w:rPr>
                  </w:pPr>
                  <w:r>
                    <w:rPr>
                      <w:rFonts w:hint="eastAsia"/>
                      <w:color w:val="auto"/>
                    </w:rPr>
                    <w:t>3</w:t>
                  </w:r>
                </w:p>
              </w:tc>
              <w:tc>
                <w:tcPr>
                  <w:tcW w:w="1107" w:type="dxa"/>
                  <w:tcBorders>
                    <w:tl2br w:val="nil"/>
                    <w:tr2bl w:val="nil"/>
                  </w:tcBorders>
                  <w:vAlign w:val="center"/>
                </w:tcPr>
                <w:p w14:paraId="300F30EE">
                  <w:pPr>
                    <w:pStyle w:val="54"/>
                    <w:rPr>
                      <w:color w:val="auto"/>
                    </w:rPr>
                  </w:pPr>
                  <w:r>
                    <w:rPr>
                      <w:rFonts w:hint="eastAsia"/>
                      <w:color w:val="auto"/>
                    </w:rPr>
                    <w:t>除尘灰</w:t>
                  </w:r>
                </w:p>
              </w:tc>
              <w:tc>
                <w:tcPr>
                  <w:tcW w:w="353" w:type="dxa"/>
                  <w:vMerge w:val="continue"/>
                  <w:tcBorders>
                    <w:tl2br w:val="nil"/>
                    <w:tr2bl w:val="nil"/>
                  </w:tcBorders>
                  <w:vAlign w:val="center"/>
                </w:tcPr>
                <w:p w14:paraId="585F8AB1">
                  <w:pPr>
                    <w:pStyle w:val="54"/>
                    <w:rPr>
                      <w:color w:val="auto"/>
                    </w:rPr>
                  </w:pPr>
                </w:p>
              </w:tc>
              <w:tc>
                <w:tcPr>
                  <w:tcW w:w="763" w:type="dxa"/>
                  <w:tcBorders>
                    <w:tl2br w:val="nil"/>
                    <w:tr2bl w:val="nil"/>
                  </w:tcBorders>
                  <w:vAlign w:val="center"/>
                </w:tcPr>
                <w:p w14:paraId="33AD451E">
                  <w:pPr>
                    <w:pStyle w:val="54"/>
                    <w:rPr>
                      <w:color w:val="auto"/>
                    </w:rPr>
                  </w:pPr>
                  <w:r>
                    <w:rPr>
                      <w:rFonts w:hint="eastAsia"/>
                      <w:color w:val="auto"/>
                    </w:rPr>
                    <w:t>固态</w:t>
                  </w:r>
                </w:p>
              </w:tc>
              <w:tc>
                <w:tcPr>
                  <w:tcW w:w="884" w:type="dxa"/>
                  <w:tcBorders>
                    <w:tl2br w:val="nil"/>
                    <w:tr2bl w:val="nil"/>
                  </w:tcBorders>
                  <w:vAlign w:val="center"/>
                </w:tcPr>
                <w:p w14:paraId="76EB8626">
                  <w:pPr>
                    <w:pStyle w:val="54"/>
                    <w:bidi w:val="0"/>
                    <w:rPr>
                      <w:color w:val="auto"/>
                    </w:rPr>
                  </w:pPr>
                  <w:r>
                    <w:rPr>
                      <w:rFonts w:hint="eastAsia"/>
                      <w:color w:val="auto"/>
                      <w:lang w:val="en-US" w:eastAsia="zh-CN"/>
                    </w:rPr>
                    <w:t>6</w:t>
                  </w:r>
                </w:p>
              </w:tc>
              <w:tc>
                <w:tcPr>
                  <w:tcW w:w="837" w:type="dxa"/>
                  <w:tcBorders>
                    <w:tl2br w:val="nil"/>
                    <w:tr2bl w:val="nil"/>
                  </w:tcBorders>
                  <w:vAlign w:val="center"/>
                </w:tcPr>
                <w:p w14:paraId="56670C15">
                  <w:pPr>
                    <w:pStyle w:val="54"/>
                    <w:rPr>
                      <w:color w:val="auto"/>
                    </w:rPr>
                  </w:pPr>
                  <w:r>
                    <w:rPr>
                      <w:rFonts w:hint="eastAsia"/>
                      <w:color w:val="auto"/>
                    </w:rPr>
                    <w:t>SW59</w:t>
                  </w:r>
                </w:p>
              </w:tc>
              <w:tc>
                <w:tcPr>
                  <w:tcW w:w="1363" w:type="dxa"/>
                  <w:tcBorders>
                    <w:tl2br w:val="nil"/>
                    <w:tr2bl w:val="nil"/>
                  </w:tcBorders>
                  <w:vAlign w:val="center"/>
                </w:tcPr>
                <w:p w14:paraId="03F3037D">
                  <w:pPr>
                    <w:pStyle w:val="54"/>
                    <w:rPr>
                      <w:color w:val="auto"/>
                    </w:rPr>
                  </w:pPr>
                  <w:r>
                    <w:rPr>
                      <w:rFonts w:hint="eastAsia"/>
                      <w:color w:val="auto"/>
                    </w:rPr>
                    <w:t>900-099-S59</w:t>
                  </w:r>
                </w:p>
              </w:tc>
              <w:tc>
                <w:tcPr>
                  <w:tcW w:w="2674" w:type="dxa"/>
                  <w:vMerge w:val="continue"/>
                  <w:tcBorders>
                    <w:tl2br w:val="nil"/>
                    <w:tr2bl w:val="nil"/>
                  </w:tcBorders>
                  <w:vAlign w:val="center"/>
                </w:tcPr>
                <w:p w14:paraId="7FB79255">
                  <w:pPr>
                    <w:pStyle w:val="54"/>
                    <w:rPr>
                      <w:color w:val="auto"/>
                    </w:rPr>
                  </w:pPr>
                </w:p>
              </w:tc>
            </w:tr>
            <w:tr w14:paraId="040645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452" w:type="dxa"/>
                  <w:tcBorders>
                    <w:tl2br w:val="nil"/>
                    <w:tr2bl w:val="nil"/>
                  </w:tcBorders>
                  <w:vAlign w:val="center"/>
                </w:tcPr>
                <w:p w14:paraId="0E243AF5">
                  <w:pPr>
                    <w:pStyle w:val="54"/>
                    <w:rPr>
                      <w:color w:val="auto"/>
                    </w:rPr>
                  </w:pPr>
                  <w:r>
                    <w:rPr>
                      <w:rFonts w:hint="eastAsia"/>
                      <w:color w:val="auto"/>
                    </w:rPr>
                    <w:t>4</w:t>
                  </w:r>
                </w:p>
              </w:tc>
              <w:tc>
                <w:tcPr>
                  <w:tcW w:w="1107" w:type="dxa"/>
                  <w:tcBorders>
                    <w:tl2br w:val="nil"/>
                    <w:tr2bl w:val="nil"/>
                  </w:tcBorders>
                  <w:vAlign w:val="center"/>
                </w:tcPr>
                <w:p w14:paraId="4067E39E">
                  <w:pPr>
                    <w:pStyle w:val="54"/>
                    <w:rPr>
                      <w:color w:val="auto"/>
                    </w:rPr>
                  </w:pPr>
                  <w:r>
                    <w:rPr>
                      <w:rFonts w:hint="eastAsia"/>
                      <w:color w:val="auto"/>
                    </w:rPr>
                    <w:t>废布袋</w:t>
                  </w:r>
                </w:p>
              </w:tc>
              <w:tc>
                <w:tcPr>
                  <w:tcW w:w="353" w:type="dxa"/>
                  <w:vMerge w:val="continue"/>
                  <w:tcBorders>
                    <w:tl2br w:val="nil"/>
                    <w:tr2bl w:val="nil"/>
                  </w:tcBorders>
                  <w:vAlign w:val="center"/>
                </w:tcPr>
                <w:p w14:paraId="1122EE2D">
                  <w:pPr>
                    <w:pStyle w:val="54"/>
                    <w:rPr>
                      <w:color w:val="auto"/>
                    </w:rPr>
                  </w:pPr>
                </w:p>
              </w:tc>
              <w:tc>
                <w:tcPr>
                  <w:tcW w:w="763" w:type="dxa"/>
                  <w:tcBorders>
                    <w:tl2br w:val="nil"/>
                    <w:tr2bl w:val="nil"/>
                  </w:tcBorders>
                  <w:vAlign w:val="center"/>
                </w:tcPr>
                <w:p w14:paraId="7D9E06A0">
                  <w:pPr>
                    <w:pStyle w:val="54"/>
                    <w:rPr>
                      <w:color w:val="auto"/>
                    </w:rPr>
                  </w:pPr>
                  <w:r>
                    <w:rPr>
                      <w:rFonts w:hint="eastAsia"/>
                      <w:color w:val="auto"/>
                    </w:rPr>
                    <w:t>固态</w:t>
                  </w:r>
                </w:p>
              </w:tc>
              <w:tc>
                <w:tcPr>
                  <w:tcW w:w="884" w:type="dxa"/>
                  <w:tcBorders>
                    <w:tl2br w:val="nil"/>
                    <w:tr2bl w:val="nil"/>
                  </w:tcBorders>
                  <w:vAlign w:val="center"/>
                </w:tcPr>
                <w:p w14:paraId="5DCB9693">
                  <w:pPr>
                    <w:pStyle w:val="54"/>
                    <w:bidi w:val="0"/>
                    <w:rPr>
                      <w:color w:val="auto"/>
                    </w:rPr>
                  </w:pPr>
                  <w:r>
                    <w:rPr>
                      <w:rFonts w:hint="eastAsia"/>
                      <w:color w:val="auto"/>
                      <w:lang w:val="en-US" w:eastAsia="zh-CN"/>
                    </w:rPr>
                    <w:t>0.7</w:t>
                  </w:r>
                </w:p>
              </w:tc>
              <w:tc>
                <w:tcPr>
                  <w:tcW w:w="837" w:type="dxa"/>
                  <w:tcBorders>
                    <w:tl2br w:val="nil"/>
                    <w:tr2bl w:val="nil"/>
                  </w:tcBorders>
                  <w:vAlign w:val="center"/>
                </w:tcPr>
                <w:p w14:paraId="39F75A50">
                  <w:pPr>
                    <w:pStyle w:val="54"/>
                    <w:rPr>
                      <w:color w:val="auto"/>
                    </w:rPr>
                  </w:pPr>
                  <w:r>
                    <w:rPr>
                      <w:rFonts w:hint="eastAsia"/>
                      <w:color w:val="auto"/>
                    </w:rPr>
                    <w:t>SW59</w:t>
                  </w:r>
                </w:p>
              </w:tc>
              <w:tc>
                <w:tcPr>
                  <w:tcW w:w="1363" w:type="dxa"/>
                  <w:tcBorders>
                    <w:tl2br w:val="nil"/>
                    <w:tr2bl w:val="nil"/>
                  </w:tcBorders>
                  <w:vAlign w:val="center"/>
                </w:tcPr>
                <w:p w14:paraId="2F09583E">
                  <w:pPr>
                    <w:pStyle w:val="54"/>
                    <w:rPr>
                      <w:color w:val="auto"/>
                    </w:rPr>
                  </w:pPr>
                  <w:r>
                    <w:rPr>
                      <w:rFonts w:hint="eastAsia"/>
                      <w:color w:val="auto"/>
                    </w:rPr>
                    <w:t>900-009-S59</w:t>
                  </w:r>
                </w:p>
              </w:tc>
              <w:tc>
                <w:tcPr>
                  <w:tcW w:w="2674" w:type="dxa"/>
                  <w:vMerge w:val="continue"/>
                  <w:tcBorders>
                    <w:tl2br w:val="nil"/>
                    <w:tr2bl w:val="nil"/>
                  </w:tcBorders>
                  <w:vAlign w:val="center"/>
                </w:tcPr>
                <w:p w14:paraId="6B1E6B97">
                  <w:pPr>
                    <w:pStyle w:val="54"/>
                    <w:rPr>
                      <w:color w:val="auto"/>
                    </w:rPr>
                  </w:pPr>
                </w:p>
              </w:tc>
            </w:tr>
            <w:tr w14:paraId="442EA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52" w:type="dxa"/>
                  <w:tcBorders>
                    <w:tl2br w:val="nil"/>
                    <w:tr2bl w:val="nil"/>
                  </w:tcBorders>
                  <w:vAlign w:val="center"/>
                </w:tcPr>
                <w:p w14:paraId="13424342">
                  <w:pPr>
                    <w:pStyle w:val="54"/>
                    <w:rPr>
                      <w:color w:val="auto"/>
                    </w:rPr>
                  </w:pPr>
                  <w:r>
                    <w:rPr>
                      <w:rFonts w:hint="eastAsia"/>
                      <w:color w:val="auto"/>
                    </w:rPr>
                    <w:t>5</w:t>
                  </w:r>
                </w:p>
              </w:tc>
              <w:tc>
                <w:tcPr>
                  <w:tcW w:w="1107" w:type="dxa"/>
                  <w:tcBorders>
                    <w:tl2br w:val="nil"/>
                    <w:tr2bl w:val="nil"/>
                  </w:tcBorders>
                  <w:vAlign w:val="center"/>
                </w:tcPr>
                <w:p w14:paraId="0400BBE2">
                  <w:pPr>
                    <w:pStyle w:val="54"/>
                    <w:rPr>
                      <w:color w:val="auto"/>
                    </w:rPr>
                  </w:pPr>
                  <w:r>
                    <w:rPr>
                      <w:rFonts w:hint="eastAsia"/>
                      <w:color w:val="auto"/>
                    </w:rPr>
                    <w:t>炉渣</w:t>
                  </w:r>
                </w:p>
              </w:tc>
              <w:tc>
                <w:tcPr>
                  <w:tcW w:w="353" w:type="dxa"/>
                  <w:vMerge w:val="continue"/>
                  <w:tcBorders>
                    <w:tl2br w:val="nil"/>
                    <w:tr2bl w:val="nil"/>
                  </w:tcBorders>
                  <w:vAlign w:val="center"/>
                </w:tcPr>
                <w:p w14:paraId="4CC66D0F">
                  <w:pPr>
                    <w:pStyle w:val="54"/>
                    <w:rPr>
                      <w:color w:val="auto"/>
                    </w:rPr>
                  </w:pPr>
                </w:p>
              </w:tc>
              <w:tc>
                <w:tcPr>
                  <w:tcW w:w="763" w:type="dxa"/>
                  <w:tcBorders>
                    <w:tl2br w:val="nil"/>
                    <w:tr2bl w:val="nil"/>
                  </w:tcBorders>
                  <w:vAlign w:val="center"/>
                </w:tcPr>
                <w:p w14:paraId="4C71802D">
                  <w:pPr>
                    <w:pStyle w:val="54"/>
                    <w:rPr>
                      <w:color w:val="auto"/>
                    </w:rPr>
                  </w:pPr>
                  <w:r>
                    <w:rPr>
                      <w:rFonts w:hint="eastAsia"/>
                      <w:color w:val="auto"/>
                    </w:rPr>
                    <w:t>固态</w:t>
                  </w:r>
                </w:p>
              </w:tc>
              <w:tc>
                <w:tcPr>
                  <w:tcW w:w="884" w:type="dxa"/>
                  <w:tcBorders>
                    <w:tl2br w:val="nil"/>
                    <w:tr2bl w:val="nil"/>
                  </w:tcBorders>
                  <w:vAlign w:val="center"/>
                </w:tcPr>
                <w:p w14:paraId="6269FE62">
                  <w:pPr>
                    <w:pStyle w:val="54"/>
                    <w:bidi w:val="0"/>
                    <w:rPr>
                      <w:color w:val="auto"/>
                    </w:rPr>
                  </w:pPr>
                  <w:r>
                    <w:rPr>
                      <w:rFonts w:hint="eastAsia"/>
                      <w:color w:val="auto"/>
                      <w:lang w:val="en-US" w:eastAsia="zh-CN"/>
                    </w:rPr>
                    <w:t>240</w:t>
                  </w:r>
                </w:p>
              </w:tc>
              <w:tc>
                <w:tcPr>
                  <w:tcW w:w="837" w:type="dxa"/>
                  <w:tcBorders>
                    <w:tl2br w:val="nil"/>
                    <w:tr2bl w:val="nil"/>
                  </w:tcBorders>
                  <w:vAlign w:val="center"/>
                </w:tcPr>
                <w:p w14:paraId="50422BB7">
                  <w:pPr>
                    <w:pStyle w:val="54"/>
                    <w:rPr>
                      <w:color w:val="auto"/>
                    </w:rPr>
                  </w:pPr>
                  <w:r>
                    <w:rPr>
                      <w:color w:val="auto"/>
                    </w:rPr>
                    <w:t>SW01</w:t>
                  </w:r>
                </w:p>
              </w:tc>
              <w:tc>
                <w:tcPr>
                  <w:tcW w:w="1363" w:type="dxa"/>
                  <w:tcBorders>
                    <w:tl2br w:val="nil"/>
                    <w:tr2bl w:val="nil"/>
                  </w:tcBorders>
                  <w:vAlign w:val="center"/>
                </w:tcPr>
                <w:p w14:paraId="442E4258">
                  <w:pPr>
                    <w:pStyle w:val="54"/>
                    <w:rPr>
                      <w:color w:val="auto"/>
                    </w:rPr>
                  </w:pPr>
                  <w:r>
                    <w:rPr>
                      <w:color w:val="auto"/>
                    </w:rPr>
                    <w:t>325-001-S01</w:t>
                  </w:r>
                </w:p>
              </w:tc>
              <w:tc>
                <w:tcPr>
                  <w:tcW w:w="2674" w:type="dxa"/>
                  <w:vMerge w:val="continue"/>
                  <w:tcBorders>
                    <w:tl2br w:val="nil"/>
                    <w:tr2bl w:val="nil"/>
                  </w:tcBorders>
                  <w:vAlign w:val="center"/>
                </w:tcPr>
                <w:p w14:paraId="4117CF58">
                  <w:pPr>
                    <w:pStyle w:val="54"/>
                    <w:rPr>
                      <w:color w:val="auto"/>
                    </w:rPr>
                  </w:pPr>
                </w:p>
              </w:tc>
            </w:tr>
            <w:tr w14:paraId="6FAB1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jc w:val="center"/>
              </w:trPr>
              <w:tc>
                <w:tcPr>
                  <w:tcW w:w="452" w:type="dxa"/>
                  <w:tcBorders>
                    <w:tl2br w:val="nil"/>
                    <w:tr2bl w:val="nil"/>
                  </w:tcBorders>
                  <w:vAlign w:val="center"/>
                </w:tcPr>
                <w:p w14:paraId="1B4669AD">
                  <w:pPr>
                    <w:pStyle w:val="54"/>
                    <w:rPr>
                      <w:color w:val="auto"/>
                    </w:rPr>
                  </w:pPr>
                  <w:r>
                    <w:rPr>
                      <w:rFonts w:hint="eastAsia"/>
                      <w:color w:val="auto"/>
                    </w:rPr>
                    <w:t>6</w:t>
                  </w:r>
                </w:p>
              </w:tc>
              <w:tc>
                <w:tcPr>
                  <w:tcW w:w="1107" w:type="dxa"/>
                  <w:tcBorders>
                    <w:tl2br w:val="nil"/>
                    <w:tr2bl w:val="nil"/>
                  </w:tcBorders>
                  <w:vAlign w:val="center"/>
                </w:tcPr>
                <w:p w14:paraId="7706919A">
                  <w:pPr>
                    <w:pStyle w:val="54"/>
                    <w:rPr>
                      <w:color w:val="auto"/>
                    </w:rPr>
                  </w:pPr>
                  <w:r>
                    <w:rPr>
                      <w:rFonts w:hint="eastAsia"/>
                      <w:color w:val="auto"/>
                    </w:rPr>
                    <w:t>废乳化液</w:t>
                  </w:r>
                </w:p>
              </w:tc>
              <w:tc>
                <w:tcPr>
                  <w:tcW w:w="353" w:type="dxa"/>
                  <w:vMerge w:val="restart"/>
                  <w:tcBorders>
                    <w:tl2br w:val="nil"/>
                    <w:tr2bl w:val="nil"/>
                  </w:tcBorders>
                  <w:vAlign w:val="center"/>
                </w:tcPr>
                <w:p w14:paraId="3047EA6D">
                  <w:pPr>
                    <w:pStyle w:val="54"/>
                    <w:rPr>
                      <w:color w:val="auto"/>
                    </w:rPr>
                  </w:pPr>
                  <w:r>
                    <w:rPr>
                      <w:color w:val="auto"/>
                    </w:rPr>
                    <w:t>危险固废</w:t>
                  </w:r>
                </w:p>
              </w:tc>
              <w:tc>
                <w:tcPr>
                  <w:tcW w:w="763" w:type="dxa"/>
                  <w:tcBorders>
                    <w:tl2br w:val="nil"/>
                    <w:tr2bl w:val="nil"/>
                  </w:tcBorders>
                  <w:vAlign w:val="center"/>
                </w:tcPr>
                <w:p w14:paraId="7DE3E57C">
                  <w:pPr>
                    <w:pStyle w:val="54"/>
                    <w:rPr>
                      <w:color w:val="auto"/>
                    </w:rPr>
                  </w:pPr>
                  <w:r>
                    <w:rPr>
                      <w:rFonts w:hint="eastAsia"/>
                      <w:color w:val="auto"/>
                    </w:rPr>
                    <w:t>液态</w:t>
                  </w:r>
                </w:p>
              </w:tc>
              <w:tc>
                <w:tcPr>
                  <w:tcW w:w="884" w:type="dxa"/>
                  <w:tcBorders>
                    <w:tl2br w:val="nil"/>
                    <w:tr2bl w:val="nil"/>
                  </w:tcBorders>
                  <w:vAlign w:val="center"/>
                </w:tcPr>
                <w:p w14:paraId="574C48C8">
                  <w:pPr>
                    <w:pStyle w:val="54"/>
                    <w:bidi w:val="0"/>
                    <w:rPr>
                      <w:color w:val="auto"/>
                    </w:rPr>
                  </w:pPr>
                  <w:r>
                    <w:rPr>
                      <w:rFonts w:hint="eastAsia"/>
                      <w:color w:val="auto"/>
                      <w:lang w:val="en-US" w:eastAsia="zh-CN"/>
                    </w:rPr>
                    <w:t>1.5</w:t>
                  </w:r>
                </w:p>
              </w:tc>
              <w:tc>
                <w:tcPr>
                  <w:tcW w:w="837" w:type="dxa"/>
                  <w:tcBorders>
                    <w:tl2br w:val="nil"/>
                    <w:tr2bl w:val="nil"/>
                  </w:tcBorders>
                  <w:vAlign w:val="center"/>
                </w:tcPr>
                <w:p w14:paraId="22E17511">
                  <w:pPr>
                    <w:pStyle w:val="54"/>
                    <w:rPr>
                      <w:color w:val="auto"/>
                    </w:rPr>
                  </w:pPr>
                  <w:r>
                    <w:rPr>
                      <w:rFonts w:hint="eastAsia"/>
                      <w:color w:val="auto"/>
                    </w:rPr>
                    <w:t>HW08</w:t>
                  </w:r>
                </w:p>
              </w:tc>
              <w:tc>
                <w:tcPr>
                  <w:tcW w:w="1363" w:type="dxa"/>
                  <w:tcBorders>
                    <w:tl2br w:val="nil"/>
                    <w:tr2bl w:val="nil"/>
                  </w:tcBorders>
                  <w:vAlign w:val="center"/>
                </w:tcPr>
                <w:p w14:paraId="7C21E4D4">
                  <w:pPr>
                    <w:pStyle w:val="54"/>
                    <w:rPr>
                      <w:color w:val="auto"/>
                    </w:rPr>
                  </w:pPr>
                  <w:r>
                    <w:rPr>
                      <w:rFonts w:hint="eastAsia"/>
                      <w:color w:val="auto"/>
                    </w:rPr>
                    <w:t>900-204-08</w:t>
                  </w:r>
                </w:p>
              </w:tc>
              <w:tc>
                <w:tcPr>
                  <w:tcW w:w="2674" w:type="dxa"/>
                  <w:vMerge w:val="restart"/>
                  <w:tcBorders>
                    <w:tl2br w:val="nil"/>
                    <w:tr2bl w:val="nil"/>
                  </w:tcBorders>
                  <w:vAlign w:val="center"/>
                </w:tcPr>
                <w:p w14:paraId="4B4BE291">
                  <w:pPr>
                    <w:pStyle w:val="54"/>
                    <w:rPr>
                      <w:color w:val="auto"/>
                    </w:rPr>
                  </w:pPr>
                  <w:r>
                    <w:rPr>
                      <w:rFonts w:hint="eastAsia"/>
                      <w:color w:val="auto"/>
                    </w:rPr>
                    <w:t>暂存危废库，定期委托江苏云果再生资源利用有限公司安全处置。危废库位于1#厂房外西南侧，占地面积为10m</w:t>
                  </w:r>
                  <w:r>
                    <w:rPr>
                      <w:rFonts w:hint="eastAsia"/>
                      <w:color w:val="auto"/>
                      <w:vertAlign w:val="superscript"/>
                    </w:rPr>
                    <w:t>2</w:t>
                  </w:r>
                </w:p>
              </w:tc>
            </w:tr>
            <w:tr w14:paraId="346A5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52" w:type="dxa"/>
                  <w:tcBorders>
                    <w:tl2br w:val="nil"/>
                    <w:tr2bl w:val="nil"/>
                  </w:tcBorders>
                  <w:vAlign w:val="center"/>
                </w:tcPr>
                <w:p w14:paraId="70282954">
                  <w:pPr>
                    <w:pStyle w:val="54"/>
                    <w:rPr>
                      <w:color w:val="auto"/>
                    </w:rPr>
                  </w:pPr>
                  <w:r>
                    <w:rPr>
                      <w:rFonts w:hint="eastAsia"/>
                      <w:color w:val="auto"/>
                    </w:rPr>
                    <w:t>7</w:t>
                  </w:r>
                </w:p>
              </w:tc>
              <w:tc>
                <w:tcPr>
                  <w:tcW w:w="1107" w:type="dxa"/>
                  <w:tcBorders>
                    <w:tl2br w:val="nil"/>
                    <w:tr2bl w:val="nil"/>
                  </w:tcBorders>
                  <w:vAlign w:val="center"/>
                </w:tcPr>
                <w:p w14:paraId="36AA1167">
                  <w:pPr>
                    <w:pStyle w:val="54"/>
                    <w:rPr>
                      <w:color w:val="auto"/>
                    </w:rPr>
                  </w:pPr>
                  <w:r>
                    <w:rPr>
                      <w:rFonts w:hint="eastAsia"/>
                      <w:color w:val="auto"/>
                    </w:rPr>
                    <w:t>废清洗液</w:t>
                  </w:r>
                </w:p>
              </w:tc>
              <w:tc>
                <w:tcPr>
                  <w:tcW w:w="353" w:type="dxa"/>
                  <w:vMerge w:val="continue"/>
                  <w:tcBorders>
                    <w:tl2br w:val="nil"/>
                    <w:tr2bl w:val="nil"/>
                  </w:tcBorders>
                  <w:vAlign w:val="center"/>
                </w:tcPr>
                <w:p w14:paraId="7D5DEFB8">
                  <w:pPr>
                    <w:pStyle w:val="54"/>
                    <w:rPr>
                      <w:color w:val="auto"/>
                    </w:rPr>
                  </w:pPr>
                </w:p>
              </w:tc>
              <w:tc>
                <w:tcPr>
                  <w:tcW w:w="763" w:type="dxa"/>
                  <w:tcBorders>
                    <w:tl2br w:val="nil"/>
                    <w:tr2bl w:val="nil"/>
                  </w:tcBorders>
                  <w:vAlign w:val="center"/>
                </w:tcPr>
                <w:p w14:paraId="593E9661">
                  <w:pPr>
                    <w:pStyle w:val="54"/>
                    <w:rPr>
                      <w:color w:val="auto"/>
                    </w:rPr>
                  </w:pPr>
                  <w:r>
                    <w:rPr>
                      <w:rFonts w:hint="eastAsia"/>
                      <w:color w:val="auto"/>
                    </w:rPr>
                    <w:t>液态</w:t>
                  </w:r>
                </w:p>
              </w:tc>
              <w:tc>
                <w:tcPr>
                  <w:tcW w:w="884" w:type="dxa"/>
                  <w:tcBorders>
                    <w:tl2br w:val="nil"/>
                    <w:tr2bl w:val="nil"/>
                  </w:tcBorders>
                  <w:vAlign w:val="center"/>
                </w:tcPr>
                <w:p w14:paraId="794C24F5">
                  <w:pPr>
                    <w:pStyle w:val="54"/>
                    <w:bidi w:val="0"/>
                    <w:rPr>
                      <w:color w:val="auto"/>
                    </w:rPr>
                  </w:pPr>
                  <w:r>
                    <w:rPr>
                      <w:rFonts w:hint="eastAsia"/>
                      <w:color w:val="auto"/>
                      <w:lang w:val="en-US" w:eastAsia="zh-CN"/>
                    </w:rPr>
                    <w:t>2</w:t>
                  </w:r>
                </w:p>
              </w:tc>
              <w:tc>
                <w:tcPr>
                  <w:tcW w:w="837" w:type="dxa"/>
                  <w:tcBorders>
                    <w:tl2br w:val="nil"/>
                    <w:tr2bl w:val="nil"/>
                  </w:tcBorders>
                  <w:vAlign w:val="center"/>
                </w:tcPr>
                <w:p w14:paraId="4017281E">
                  <w:pPr>
                    <w:pStyle w:val="54"/>
                    <w:rPr>
                      <w:color w:val="auto"/>
                    </w:rPr>
                  </w:pPr>
                  <w:r>
                    <w:rPr>
                      <w:rFonts w:hint="eastAsia"/>
                      <w:color w:val="auto"/>
                    </w:rPr>
                    <w:t>HW08</w:t>
                  </w:r>
                </w:p>
              </w:tc>
              <w:tc>
                <w:tcPr>
                  <w:tcW w:w="1363" w:type="dxa"/>
                  <w:tcBorders>
                    <w:tl2br w:val="nil"/>
                    <w:tr2bl w:val="nil"/>
                  </w:tcBorders>
                  <w:vAlign w:val="center"/>
                </w:tcPr>
                <w:p w14:paraId="23F16A54">
                  <w:pPr>
                    <w:pStyle w:val="54"/>
                    <w:rPr>
                      <w:color w:val="auto"/>
                    </w:rPr>
                  </w:pPr>
                  <w:r>
                    <w:rPr>
                      <w:rFonts w:hint="eastAsia"/>
                      <w:color w:val="auto"/>
                    </w:rPr>
                    <w:t>900-204-08</w:t>
                  </w:r>
                </w:p>
              </w:tc>
              <w:tc>
                <w:tcPr>
                  <w:tcW w:w="2674" w:type="dxa"/>
                  <w:vMerge w:val="continue"/>
                  <w:tcBorders>
                    <w:tl2br w:val="nil"/>
                    <w:tr2bl w:val="nil"/>
                  </w:tcBorders>
                  <w:vAlign w:val="center"/>
                </w:tcPr>
                <w:p w14:paraId="3C515C72">
                  <w:pPr>
                    <w:pStyle w:val="54"/>
                    <w:rPr>
                      <w:color w:val="auto"/>
                    </w:rPr>
                  </w:pPr>
                </w:p>
              </w:tc>
            </w:tr>
            <w:tr w14:paraId="5638C2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52" w:type="dxa"/>
                  <w:tcBorders>
                    <w:tl2br w:val="nil"/>
                    <w:tr2bl w:val="nil"/>
                  </w:tcBorders>
                  <w:vAlign w:val="center"/>
                </w:tcPr>
                <w:p w14:paraId="368AAB22">
                  <w:pPr>
                    <w:pStyle w:val="54"/>
                    <w:rPr>
                      <w:color w:val="auto"/>
                    </w:rPr>
                  </w:pPr>
                  <w:r>
                    <w:rPr>
                      <w:rFonts w:hint="eastAsia"/>
                      <w:color w:val="auto"/>
                    </w:rPr>
                    <w:t>8</w:t>
                  </w:r>
                </w:p>
              </w:tc>
              <w:tc>
                <w:tcPr>
                  <w:tcW w:w="1107" w:type="dxa"/>
                  <w:tcBorders>
                    <w:tl2br w:val="nil"/>
                    <w:tr2bl w:val="nil"/>
                  </w:tcBorders>
                  <w:vAlign w:val="center"/>
                </w:tcPr>
                <w:p w14:paraId="586AB0D3">
                  <w:pPr>
                    <w:pStyle w:val="54"/>
                    <w:rPr>
                      <w:color w:val="auto"/>
                    </w:rPr>
                  </w:pPr>
                  <w:r>
                    <w:rPr>
                      <w:rFonts w:hint="eastAsia"/>
                      <w:color w:val="auto"/>
                    </w:rPr>
                    <w:t>废活性炭</w:t>
                  </w:r>
                </w:p>
              </w:tc>
              <w:tc>
                <w:tcPr>
                  <w:tcW w:w="353" w:type="dxa"/>
                  <w:vMerge w:val="continue"/>
                  <w:tcBorders>
                    <w:tl2br w:val="nil"/>
                    <w:tr2bl w:val="nil"/>
                  </w:tcBorders>
                  <w:vAlign w:val="center"/>
                </w:tcPr>
                <w:p w14:paraId="3CC17AD3">
                  <w:pPr>
                    <w:pStyle w:val="54"/>
                    <w:rPr>
                      <w:color w:val="auto"/>
                    </w:rPr>
                  </w:pPr>
                </w:p>
              </w:tc>
              <w:tc>
                <w:tcPr>
                  <w:tcW w:w="763" w:type="dxa"/>
                  <w:tcBorders>
                    <w:tl2br w:val="nil"/>
                    <w:tr2bl w:val="nil"/>
                  </w:tcBorders>
                  <w:vAlign w:val="center"/>
                </w:tcPr>
                <w:p w14:paraId="01B21AF6">
                  <w:pPr>
                    <w:pStyle w:val="54"/>
                    <w:rPr>
                      <w:color w:val="auto"/>
                    </w:rPr>
                  </w:pPr>
                  <w:r>
                    <w:rPr>
                      <w:rFonts w:hint="eastAsia"/>
                      <w:color w:val="auto"/>
                    </w:rPr>
                    <w:t>固态</w:t>
                  </w:r>
                </w:p>
              </w:tc>
              <w:tc>
                <w:tcPr>
                  <w:tcW w:w="884" w:type="dxa"/>
                  <w:tcBorders>
                    <w:tl2br w:val="nil"/>
                    <w:tr2bl w:val="nil"/>
                  </w:tcBorders>
                  <w:vAlign w:val="center"/>
                </w:tcPr>
                <w:p w14:paraId="233E8BE7">
                  <w:pPr>
                    <w:pStyle w:val="54"/>
                    <w:bidi w:val="0"/>
                    <w:rPr>
                      <w:color w:val="auto"/>
                    </w:rPr>
                  </w:pPr>
                  <w:r>
                    <w:rPr>
                      <w:rFonts w:hint="eastAsia"/>
                      <w:color w:val="auto"/>
                      <w:lang w:val="en-US" w:eastAsia="zh-CN"/>
                    </w:rPr>
                    <w:t>0.7</w:t>
                  </w:r>
                </w:p>
              </w:tc>
              <w:tc>
                <w:tcPr>
                  <w:tcW w:w="837" w:type="dxa"/>
                  <w:tcBorders>
                    <w:tl2br w:val="nil"/>
                    <w:tr2bl w:val="nil"/>
                  </w:tcBorders>
                  <w:vAlign w:val="center"/>
                </w:tcPr>
                <w:p w14:paraId="4E43F067">
                  <w:pPr>
                    <w:pStyle w:val="54"/>
                    <w:rPr>
                      <w:color w:val="auto"/>
                    </w:rPr>
                  </w:pPr>
                  <w:r>
                    <w:rPr>
                      <w:rFonts w:hint="eastAsia"/>
                      <w:color w:val="auto"/>
                    </w:rPr>
                    <w:t>HW49</w:t>
                  </w:r>
                </w:p>
              </w:tc>
              <w:tc>
                <w:tcPr>
                  <w:tcW w:w="1363" w:type="dxa"/>
                  <w:tcBorders>
                    <w:tl2br w:val="nil"/>
                    <w:tr2bl w:val="nil"/>
                  </w:tcBorders>
                  <w:vAlign w:val="center"/>
                </w:tcPr>
                <w:p w14:paraId="1D27947D">
                  <w:pPr>
                    <w:pStyle w:val="54"/>
                    <w:rPr>
                      <w:color w:val="auto"/>
                    </w:rPr>
                  </w:pPr>
                  <w:r>
                    <w:rPr>
                      <w:rFonts w:hint="eastAsia"/>
                      <w:color w:val="auto"/>
                    </w:rPr>
                    <w:t>900-039-49</w:t>
                  </w:r>
                </w:p>
              </w:tc>
              <w:tc>
                <w:tcPr>
                  <w:tcW w:w="2674" w:type="dxa"/>
                  <w:vMerge w:val="continue"/>
                  <w:tcBorders>
                    <w:tl2br w:val="nil"/>
                    <w:tr2bl w:val="nil"/>
                  </w:tcBorders>
                  <w:vAlign w:val="center"/>
                </w:tcPr>
                <w:p w14:paraId="27468CBE">
                  <w:pPr>
                    <w:pStyle w:val="54"/>
                    <w:rPr>
                      <w:color w:val="auto"/>
                    </w:rPr>
                  </w:pPr>
                </w:p>
              </w:tc>
            </w:tr>
            <w:tr w14:paraId="03156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52" w:type="dxa"/>
                  <w:tcBorders>
                    <w:tl2br w:val="nil"/>
                    <w:tr2bl w:val="nil"/>
                  </w:tcBorders>
                  <w:vAlign w:val="center"/>
                </w:tcPr>
                <w:p w14:paraId="50D64C48">
                  <w:pPr>
                    <w:pStyle w:val="54"/>
                    <w:rPr>
                      <w:color w:val="auto"/>
                    </w:rPr>
                  </w:pPr>
                  <w:r>
                    <w:rPr>
                      <w:rFonts w:hint="eastAsia"/>
                      <w:color w:val="auto"/>
                    </w:rPr>
                    <w:t>9</w:t>
                  </w:r>
                </w:p>
              </w:tc>
              <w:tc>
                <w:tcPr>
                  <w:tcW w:w="1107" w:type="dxa"/>
                  <w:tcBorders>
                    <w:tl2br w:val="nil"/>
                    <w:tr2bl w:val="nil"/>
                  </w:tcBorders>
                  <w:vAlign w:val="center"/>
                </w:tcPr>
                <w:p w14:paraId="687F8DED">
                  <w:pPr>
                    <w:pStyle w:val="54"/>
                    <w:rPr>
                      <w:color w:val="auto"/>
                    </w:rPr>
                  </w:pPr>
                  <w:r>
                    <w:rPr>
                      <w:rFonts w:hint="eastAsia"/>
                      <w:color w:val="auto"/>
                    </w:rPr>
                    <w:t>废机油</w:t>
                  </w:r>
                </w:p>
              </w:tc>
              <w:tc>
                <w:tcPr>
                  <w:tcW w:w="353" w:type="dxa"/>
                  <w:vMerge w:val="continue"/>
                  <w:tcBorders>
                    <w:tl2br w:val="nil"/>
                    <w:tr2bl w:val="nil"/>
                  </w:tcBorders>
                  <w:vAlign w:val="center"/>
                </w:tcPr>
                <w:p w14:paraId="6CC68977">
                  <w:pPr>
                    <w:pStyle w:val="54"/>
                    <w:rPr>
                      <w:color w:val="auto"/>
                    </w:rPr>
                  </w:pPr>
                </w:p>
              </w:tc>
              <w:tc>
                <w:tcPr>
                  <w:tcW w:w="763" w:type="dxa"/>
                  <w:tcBorders>
                    <w:tl2br w:val="nil"/>
                    <w:tr2bl w:val="nil"/>
                  </w:tcBorders>
                  <w:vAlign w:val="center"/>
                </w:tcPr>
                <w:p w14:paraId="5D9C2845">
                  <w:pPr>
                    <w:pStyle w:val="54"/>
                    <w:rPr>
                      <w:color w:val="auto"/>
                    </w:rPr>
                  </w:pPr>
                  <w:r>
                    <w:rPr>
                      <w:rFonts w:hint="eastAsia"/>
                      <w:color w:val="auto"/>
                    </w:rPr>
                    <w:t>液态</w:t>
                  </w:r>
                </w:p>
              </w:tc>
              <w:tc>
                <w:tcPr>
                  <w:tcW w:w="884" w:type="dxa"/>
                  <w:tcBorders>
                    <w:tl2br w:val="nil"/>
                    <w:tr2bl w:val="nil"/>
                  </w:tcBorders>
                  <w:vAlign w:val="center"/>
                </w:tcPr>
                <w:p w14:paraId="284649F2">
                  <w:pPr>
                    <w:pStyle w:val="54"/>
                    <w:bidi w:val="0"/>
                    <w:rPr>
                      <w:color w:val="auto"/>
                    </w:rPr>
                  </w:pPr>
                  <w:r>
                    <w:rPr>
                      <w:rFonts w:hint="eastAsia"/>
                      <w:color w:val="auto"/>
                      <w:lang w:val="en-US" w:eastAsia="zh-CN"/>
                    </w:rPr>
                    <w:t>0.2</w:t>
                  </w:r>
                </w:p>
              </w:tc>
              <w:tc>
                <w:tcPr>
                  <w:tcW w:w="837" w:type="dxa"/>
                  <w:tcBorders>
                    <w:tl2br w:val="nil"/>
                    <w:tr2bl w:val="nil"/>
                  </w:tcBorders>
                  <w:vAlign w:val="center"/>
                </w:tcPr>
                <w:p w14:paraId="5BC020BF">
                  <w:pPr>
                    <w:pStyle w:val="54"/>
                    <w:rPr>
                      <w:color w:val="auto"/>
                    </w:rPr>
                  </w:pPr>
                  <w:r>
                    <w:rPr>
                      <w:rFonts w:hint="eastAsia"/>
                      <w:color w:val="auto"/>
                    </w:rPr>
                    <w:t>HW08</w:t>
                  </w:r>
                </w:p>
              </w:tc>
              <w:tc>
                <w:tcPr>
                  <w:tcW w:w="1363" w:type="dxa"/>
                  <w:tcBorders>
                    <w:tl2br w:val="nil"/>
                    <w:tr2bl w:val="nil"/>
                  </w:tcBorders>
                  <w:vAlign w:val="center"/>
                </w:tcPr>
                <w:p w14:paraId="63AA39A3">
                  <w:pPr>
                    <w:pStyle w:val="54"/>
                    <w:rPr>
                      <w:color w:val="auto"/>
                    </w:rPr>
                  </w:pPr>
                  <w:r>
                    <w:rPr>
                      <w:rFonts w:hint="eastAsia"/>
                      <w:color w:val="auto"/>
                    </w:rPr>
                    <w:t>900-214-08</w:t>
                  </w:r>
                </w:p>
              </w:tc>
              <w:tc>
                <w:tcPr>
                  <w:tcW w:w="2674" w:type="dxa"/>
                  <w:vMerge w:val="continue"/>
                  <w:tcBorders>
                    <w:tl2br w:val="nil"/>
                    <w:tr2bl w:val="nil"/>
                  </w:tcBorders>
                  <w:vAlign w:val="center"/>
                </w:tcPr>
                <w:p w14:paraId="0184D8CC">
                  <w:pPr>
                    <w:pStyle w:val="54"/>
                    <w:rPr>
                      <w:color w:val="auto"/>
                    </w:rPr>
                  </w:pPr>
                </w:p>
              </w:tc>
            </w:tr>
            <w:tr w14:paraId="52012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52" w:type="dxa"/>
                  <w:tcBorders>
                    <w:tl2br w:val="nil"/>
                    <w:tr2bl w:val="nil"/>
                  </w:tcBorders>
                  <w:vAlign w:val="center"/>
                </w:tcPr>
                <w:p w14:paraId="3DFE488D">
                  <w:pPr>
                    <w:pStyle w:val="54"/>
                    <w:rPr>
                      <w:color w:val="auto"/>
                    </w:rPr>
                  </w:pPr>
                  <w:r>
                    <w:rPr>
                      <w:rFonts w:hint="eastAsia"/>
                      <w:color w:val="auto"/>
                    </w:rPr>
                    <w:t>10</w:t>
                  </w:r>
                </w:p>
              </w:tc>
              <w:tc>
                <w:tcPr>
                  <w:tcW w:w="1107" w:type="dxa"/>
                  <w:tcBorders>
                    <w:tl2br w:val="nil"/>
                    <w:tr2bl w:val="nil"/>
                  </w:tcBorders>
                  <w:vAlign w:val="center"/>
                </w:tcPr>
                <w:p w14:paraId="5BFA368F">
                  <w:pPr>
                    <w:pStyle w:val="54"/>
                    <w:rPr>
                      <w:color w:val="auto"/>
                    </w:rPr>
                  </w:pPr>
                  <w:r>
                    <w:rPr>
                      <w:rFonts w:hint="eastAsia"/>
                      <w:color w:val="auto"/>
                    </w:rPr>
                    <w:t>废包装桶</w:t>
                  </w:r>
                </w:p>
              </w:tc>
              <w:tc>
                <w:tcPr>
                  <w:tcW w:w="353" w:type="dxa"/>
                  <w:vMerge w:val="continue"/>
                  <w:tcBorders>
                    <w:tl2br w:val="nil"/>
                    <w:tr2bl w:val="nil"/>
                  </w:tcBorders>
                  <w:vAlign w:val="center"/>
                </w:tcPr>
                <w:p w14:paraId="110F8A6C">
                  <w:pPr>
                    <w:pStyle w:val="54"/>
                    <w:rPr>
                      <w:color w:val="auto"/>
                    </w:rPr>
                  </w:pPr>
                </w:p>
              </w:tc>
              <w:tc>
                <w:tcPr>
                  <w:tcW w:w="763" w:type="dxa"/>
                  <w:tcBorders>
                    <w:tl2br w:val="nil"/>
                    <w:tr2bl w:val="nil"/>
                  </w:tcBorders>
                  <w:vAlign w:val="center"/>
                </w:tcPr>
                <w:p w14:paraId="35CB9C2B">
                  <w:pPr>
                    <w:pStyle w:val="54"/>
                    <w:rPr>
                      <w:color w:val="auto"/>
                    </w:rPr>
                  </w:pPr>
                  <w:r>
                    <w:rPr>
                      <w:rFonts w:hint="eastAsia"/>
                      <w:color w:val="auto"/>
                    </w:rPr>
                    <w:t>固态</w:t>
                  </w:r>
                </w:p>
              </w:tc>
              <w:tc>
                <w:tcPr>
                  <w:tcW w:w="884" w:type="dxa"/>
                  <w:tcBorders>
                    <w:tl2br w:val="nil"/>
                    <w:tr2bl w:val="nil"/>
                  </w:tcBorders>
                  <w:vAlign w:val="center"/>
                </w:tcPr>
                <w:p w14:paraId="7DB41A46">
                  <w:pPr>
                    <w:pStyle w:val="54"/>
                    <w:bidi w:val="0"/>
                    <w:rPr>
                      <w:color w:val="auto"/>
                    </w:rPr>
                  </w:pPr>
                  <w:r>
                    <w:rPr>
                      <w:rFonts w:hint="eastAsia"/>
                      <w:color w:val="auto"/>
                      <w:lang w:val="en-US" w:eastAsia="zh-CN"/>
                    </w:rPr>
                    <w:t>0.1</w:t>
                  </w:r>
                </w:p>
              </w:tc>
              <w:tc>
                <w:tcPr>
                  <w:tcW w:w="837" w:type="dxa"/>
                  <w:tcBorders>
                    <w:tl2br w:val="nil"/>
                    <w:tr2bl w:val="nil"/>
                  </w:tcBorders>
                  <w:vAlign w:val="center"/>
                </w:tcPr>
                <w:p w14:paraId="08EB0E3D">
                  <w:pPr>
                    <w:pStyle w:val="54"/>
                    <w:rPr>
                      <w:color w:val="auto"/>
                    </w:rPr>
                  </w:pPr>
                  <w:r>
                    <w:rPr>
                      <w:rFonts w:hint="eastAsia"/>
                      <w:color w:val="auto"/>
                    </w:rPr>
                    <w:t>HW08</w:t>
                  </w:r>
                </w:p>
              </w:tc>
              <w:tc>
                <w:tcPr>
                  <w:tcW w:w="1363" w:type="dxa"/>
                  <w:tcBorders>
                    <w:tl2br w:val="nil"/>
                    <w:tr2bl w:val="nil"/>
                  </w:tcBorders>
                  <w:vAlign w:val="center"/>
                </w:tcPr>
                <w:p w14:paraId="6F4664FC">
                  <w:pPr>
                    <w:pStyle w:val="54"/>
                    <w:rPr>
                      <w:color w:val="auto"/>
                    </w:rPr>
                  </w:pPr>
                  <w:r>
                    <w:rPr>
                      <w:rFonts w:hint="eastAsia"/>
                      <w:color w:val="auto"/>
                    </w:rPr>
                    <w:t>900-249-08</w:t>
                  </w:r>
                </w:p>
              </w:tc>
              <w:tc>
                <w:tcPr>
                  <w:tcW w:w="2674" w:type="dxa"/>
                  <w:vMerge w:val="continue"/>
                  <w:tcBorders>
                    <w:tl2br w:val="nil"/>
                    <w:tr2bl w:val="nil"/>
                  </w:tcBorders>
                  <w:vAlign w:val="center"/>
                </w:tcPr>
                <w:p w14:paraId="3B6AC233">
                  <w:pPr>
                    <w:pStyle w:val="54"/>
                    <w:rPr>
                      <w:color w:val="auto"/>
                    </w:rPr>
                  </w:pPr>
                </w:p>
              </w:tc>
            </w:tr>
            <w:tr w14:paraId="03D1D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52" w:type="dxa"/>
                  <w:tcBorders>
                    <w:tl2br w:val="nil"/>
                    <w:tr2bl w:val="nil"/>
                  </w:tcBorders>
                  <w:vAlign w:val="center"/>
                </w:tcPr>
                <w:p w14:paraId="2DB573D8">
                  <w:pPr>
                    <w:pStyle w:val="54"/>
                    <w:rPr>
                      <w:color w:val="auto"/>
                    </w:rPr>
                  </w:pPr>
                  <w:r>
                    <w:rPr>
                      <w:rFonts w:hint="eastAsia"/>
                      <w:color w:val="auto"/>
                    </w:rPr>
                    <w:t>11</w:t>
                  </w:r>
                </w:p>
              </w:tc>
              <w:tc>
                <w:tcPr>
                  <w:tcW w:w="1107" w:type="dxa"/>
                  <w:tcBorders>
                    <w:tl2br w:val="nil"/>
                    <w:tr2bl w:val="nil"/>
                  </w:tcBorders>
                  <w:vAlign w:val="center"/>
                </w:tcPr>
                <w:p w14:paraId="1E471C77">
                  <w:pPr>
                    <w:pStyle w:val="54"/>
                    <w:rPr>
                      <w:color w:val="auto"/>
                    </w:rPr>
                  </w:pPr>
                  <w:r>
                    <w:rPr>
                      <w:rFonts w:hint="eastAsia"/>
                      <w:color w:val="auto"/>
                    </w:rPr>
                    <w:t>生活垃圾</w:t>
                  </w:r>
                </w:p>
              </w:tc>
              <w:tc>
                <w:tcPr>
                  <w:tcW w:w="353" w:type="dxa"/>
                  <w:tcBorders>
                    <w:tl2br w:val="nil"/>
                    <w:tr2bl w:val="nil"/>
                  </w:tcBorders>
                  <w:vAlign w:val="center"/>
                </w:tcPr>
                <w:p w14:paraId="0A8C1A2E">
                  <w:pPr>
                    <w:pStyle w:val="54"/>
                    <w:rPr>
                      <w:color w:val="auto"/>
                    </w:rPr>
                  </w:pPr>
                  <w:r>
                    <w:rPr>
                      <w:color w:val="auto"/>
                    </w:rPr>
                    <w:t>/</w:t>
                  </w:r>
                </w:p>
              </w:tc>
              <w:tc>
                <w:tcPr>
                  <w:tcW w:w="763" w:type="dxa"/>
                  <w:tcBorders>
                    <w:tl2br w:val="nil"/>
                    <w:tr2bl w:val="nil"/>
                  </w:tcBorders>
                  <w:vAlign w:val="center"/>
                </w:tcPr>
                <w:p w14:paraId="3DE99818">
                  <w:pPr>
                    <w:pStyle w:val="54"/>
                    <w:rPr>
                      <w:color w:val="auto"/>
                    </w:rPr>
                  </w:pPr>
                  <w:r>
                    <w:rPr>
                      <w:color w:val="auto"/>
                    </w:rPr>
                    <w:t>固态、液态</w:t>
                  </w:r>
                </w:p>
              </w:tc>
              <w:tc>
                <w:tcPr>
                  <w:tcW w:w="884" w:type="dxa"/>
                  <w:tcBorders>
                    <w:tl2br w:val="nil"/>
                    <w:tr2bl w:val="nil"/>
                  </w:tcBorders>
                  <w:vAlign w:val="center"/>
                </w:tcPr>
                <w:p w14:paraId="5C423780">
                  <w:pPr>
                    <w:pStyle w:val="54"/>
                    <w:bidi w:val="0"/>
                    <w:rPr>
                      <w:color w:val="auto"/>
                    </w:rPr>
                  </w:pPr>
                  <w:r>
                    <w:rPr>
                      <w:rFonts w:hint="eastAsia"/>
                      <w:color w:val="auto"/>
                      <w:lang w:val="en-US" w:eastAsia="zh-CN"/>
                    </w:rPr>
                    <w:t>4.5</w:t>
                  </w:r>
                </w:p>
              </w:tc>
              <w:tc>
                <w:tcPr>
                  <w:tcW w:w="837" w:type="dxa"/>
                  <w:tcBorders>
                    <w:tl2br w:val="nil"/>
                    <w:tr2bl w:val="nil"/>
                  </w:tcBorders>
                  <w:vAlign w:val="center"/>
                </w:tcPr>
                <w:p w14:paraId="4D2A3212">
                  <w:pPr>
                    <w:pStyle w:val="54"/>
                    <w:rPr>
                      <w:color w:val="auto"/>
                    </w:rPr>
                  </w:pPr>
                  <w:r>
                    <w:rPr>
                      <w:rFonts w:hint="eastAsia"/>
                      <w:color w:val="auto"/>
                    </w:rPr>
                    <w:t>SW64</w:t>
                  </w:r>
                </w:p>
              </w:tc>
              <w:tc>
                <w:tcPr>
                  <w:tcW w:w="1363" w:type="dxa"/>
                  <w:tcBorders>
                    <w:tl2br w:val="nil"/>
                    <w:tr2bl w:val="nil"/>
                  </w:tcBorders>
                  <w:shd w:val="clear" w:color="auto" w:fill="auto"/>
                  <w:vAlign w:val="center"/>
                </w:tcPr>
                <w:p w14:paraId="51A67F49">
                  <w:pPr>
                    <w:pStyle w:val="54"/>
                    <w:rPr>
                      <w:color w:val="auto"/>
                    </w:rPr>
                  </w:pPr>
                  <w:r>
                    <w:rPr>
                      <w:rFonts w:hint="eastAsia"/>
                      <w:color w:val="auto"/>
                    </w:rPr>
                    <w:t>900-099-S64</w:t>
                  </w:r>
                </w:p>
              </w:tc>
              <w:tc>
                <w:tcPr>
                  <w:tcW w:w="2674" w:type="dxa"/>
                  <w:tcBorders>
                    <w:tl2br w:val="nil"/>
                    <w:tr2bl w:val="nil"/>
                  </w:tcBorders>
                  <w:vAlign w:val="center"/>
                </w:tcPr>
                <w:p w14:paraId="770F807C">
                  <w:pPr>
                    <w:pStyle w:val="54"/>
                    <w:rPr>
                      <w:color w:val="auto"/>
                    </w:rPr>
                  </w:pPr>
                  <w:r>
                    <w:rPr>
                      <w:rFonts w:hint="eastAsia"/>
                      <w:color w:val="auto"/>
                    </w:rPr>
                    <w:t>委托环卫部门统一清运</w:t>
                  </w:r>
                </w:p>
              </w:tc>
            </w:tr>
          </w:tbl>
          <w:p w14:paraId="76AF0422">
            <w:pPr>
              <w:pStyle w:val="50"/>
              <w:ind w:firstLine="482"/>
              <w:rPr>
                <w:b/>
                <w:bCs/>
                <w:color w:val="auto"/>
              </w:rPr>
            </w:pPr>
            <w:r>
              <w:rPr>
                <w:rFonts w:hint="eastAsia"/>
                <w:b/>
                <w:bCs/>
                <w:color w:val="auto"/>
              </w:rPr>
              <w:t>（3）</w:t>
            </w:r>
            <w:r>
              <w:rPr>
                <w:b/>
                <w:bCs/>
                <w:color w:val="auto"/>
              </w:rPr>
              <w:t>现有项目污染物排放总量情况</w:t>
            </w:r>
          </w:p>
          <w:p w14:paraId="10E7923B">
            <w:pPr>
              <w:pStyle w:val="50"/>
              <w:ind w:firstLine="482"/>
              <w:rPr>
                <w:b/>
                <w:bCs/>
                <w:color w:val="auto"/>
              </w:rPr>
            </w:pPr>
            <w:r>
              <w:rPr>
                <w:rFonts w:hint="eastAsia"/>
                <w:b/>
                <w:bCs/>
                <w:color w:val="auto"/>
              </w:rPr>
              <w:t>①</w:t>
            </w:r>
            <w:r>
              <w:rPr>
                <w:b/>
                <w:bCs/>
                <w:color w:val="auto"/>
              </w:rPr>
              <w:t>废气</w:t>
            </w:r>
          </w:p>
          <w:p w14:paraId="053C008E">
            <w:pPr>
              <w:pStyle w:val="50"/>
              <w:ind w:firstLine="480"/>
              <w:rPr>
                <w:color w:val="auto"/>
              </w:rPr>
            </w:pPr>
            <w:r>
              <w:rPr>
                <w:color w:val="auto"/>
              </w:rPr>
              <w:t>现有项目废气污染物排放情况见</w:t>
            </w:r>
            <w:r>
              <w:rPr>
                <w:color w:val="auto"/>
              </w:rPr>
              <w:fldChar w:fldCharType="begin"/>
            </w:r>
            <w:r>
              <w:rPr>
                <w:color w:val="auto"/>
              </w:rPr>
              <w:instrText xml:space="preserve"> REF _Ref16892 \h </w:instrText>
            </w:r>
            <w:r>
              <w:rPr>
                <w:color w:val="auto"/>
              </w:rPr>
              <w:fldChar w:fldCharType="separate"/>
            </w:r>
            <w:r>
              <w:rPr>
                <w:color w:val="auto"/>
              </w:rPr>
              <w:t>表2- 15</w:t>
            </w:r>
            <w:r>
              <w:rPr>
                <w:color w:val="auto"/>
              </w:rPr>
              <w:fldChar w:fldCharType="end"/>
            </w:r>
            <w:r>
              <w:rPr>
                <w:color w:val="auto"/>
              </w:rPr>
              <w:t>。</w:t>
            </w:r>
          </w:p>
          <w:p w14:paraId="5F4AC7EE">
            <w:pPr>
              <w:pStyle w:val="7"/>
              <w:rPr>
                <w:color w:val="auto"/>
              </w:rPr>
            </w:pPr>
            <w:bookmarkStart w:id="58" w:name="_Ref16892"/>
            <w:bookmarkStart w:id="59" w:name="_Ref4528"/>
            <w:r>
              <w:rPr>
                <w:color w:val="auto"/>
              </w:rPr>
              <w:t xml:space="preserve">表2- </w:t>
            </w:r>
            <w:r>
              <w:rPr>
                <w:color w:val="auto"/>
              </w:rPr>
              <w:fldChar w:fldCharType="begin"/>
            </w:r>
            <w:r>
              <w:rPr>
                <w:color w:val="auto"/>
              </w:rPr>
              <w:instrText xml:space="preserve"> SEQ 表2- \* ARABIC </w:instrText>
            </w:r>
            <w:r>
              <w:rPr>
                <w:color w:val="auto"/>
              </w:rPr>
              <w:fldChar w:fldCharType="separate"/>
            </w:r>
            <w:r>
              <w:rPr>
                <w:color w:val="auto"/>
              </w:rPr>
              <w:t>15</w:t>
            </w:r>
            <w:r>
              <w:rPr>
                <w:color w:val="auto"/>
              </w:rPr>
              <w:fldChar w:fldCharType="end"/>
            </w:r>
            <w:bookmarkEnd w:id="58"/>
            <w:bookmarkEnd w:id="59"/>
            <w:r>
              <w:rPr>
                <w:color w:val="auto"/>
              </w:rPr>
              <w:t xml:space="preserve"> 现有项目废气污染物排放情况表</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2"/>
              <w:gridCol w:w="975"/>
              <w:gridCol w:w="1062"/>
              <w:gridCol w:w="1063"/>
              <w:gridCol w:w="1175"/>
              <w:gridCol w:w="1425"/>
              <w:gridCol w:w="1037"/>
              <w:gridCol w:w="724"/>
            </w:tblGrid>
            <w:tr w14:paraId="69AC50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2" w:type="dxa"/>
                  <w:tcBorders>
                    <w:tl2br w:val="nil"/>
                    <w:tr2bl w:val="nil"/>
                  </w:tcBorders>
                  <w:vAlign w:val="center"/>
                </w:tcPr>
                <w:p w14:paraId="29DD4484">
                  <w:pPr>
                    <w:pStyle w:val="52"/>
                    <w:rPr>
                      <w:color w:val="auto"/>
                    </w:rPr>
                  </w:pPr>
                  <w:r>
                    <w:rPr>
                      <w:color w:val="auto"/>
                    </w:rPr>
                    <w:t>排气筒编号</w:t>
                  </w:r>
                </w:p>
              </w:tc>
              <w:tc>
                <w:tcPr>
                  <w:tcW w:w="975" w:type="dxa"/>
                  <w:tcBorders>
                    <w:tl2br w:val="nil"/>
                    <w:tr2bl w:val="nil"/>
                  </w:tcBorders>
                  <w:vAlign w:val="center"/>
                </w:tcPr>
                <w:p w14:paraId="40701181">
                  <w:pPr>
                    <w:pStyle w:val="52"/>
                    <w:rPr>
                      <w:color w:val="auto"/>
                    </w:rPr>
                  </w:pPr>
                  <w:r>
                    <w:rPr>
                      <w:color w:val="auto"/>
                    </w:rPr>
                    <w:t>污染物名称</w:t>
                  </w:r>
                </w:p>
              </w:tc>
              <w:tc>
                <w:tcPr>
                  <w:tcW w:w="1062" w:type="dxa"/>
                  <w:tcBorders>
                    <w:tl2br w:val="nil"/>
                    <w:tr2bl w:val="nil"/>
                  </w:tcBorders>
                  <w:vAlign w:val="center"/>
                </w:tcPr>
                <w:p w14:paraId="4F663FE6">
                  <w:pPr>
                    <w:pStyle w:val="52"/>
                    <w:rPr>
                      <w:color w:val="auto"/>
                    </w:rPr>
                  </w:pPr>
                  <w:r>
                    <w:rPr>
                      <w:color w:val="auto"/>
                    </w:rPr>
                    <w:t>平均排放速率（kg/h）</w:t>
                  </w:r>
                </w:p>
              </w:tc>
              <w:tc>
                <w:tcPr>
                  <w:tcW w:w="1063" w:type="dxa"/>
                  <w:tcBorders>
                    <w:tl2br w:val="nil"/>
                    <w:tr2bl w:val="nil"/>
                  </w:tcBorders>
                  <w:vAlign w:val="center"/>
                </w:tcPr>
                <w:p w14:paraId="5B440BB1">
                  <w:pPr>
                    <w:pStyle w:val="52"/>
                    <w:rPr>
                      <w:color w:val="auto"/>
                    </w:rPr>
                  </w:pPr>
                  <w:r>
                    <w:rPr>
                      <w:color w:val="auto"/>
                    </w:rPr>
                    <w:t>运行时长</w:t>
                  </w:r>
                </w:p>
                <w:p w14:paraId="3AB77FE7">
                  <w:pPr>
                    <w:pStyle w:val="52"/>
                    <w:rPr>
                      <w:color w:val="auto"/>
                    </w:rPr>
                  </w:pPr>
                  <w:r>
                    <w:rPr>
                      <w:color w:val="auto"/>
                    </w:rPr>
                    <w:t>（h）</w:t>
                  </w:r>
                </w:p>
              </w:tc>
              <w:tc>
                <w:tcPr>
                  <w:tcW w:w="1175" w:type="dxa"/>
                  <w:tcBorders>
                    <w:tl2br w:val="nil"/>
                    <w:tr2bl w:val="nil"/>
                  </w:tcBorders>
                  <w:vAlign w:val="center"/>
                </w:tcPr>
                <w:p w14:paraId="4AB7F5F3">
                  <w:pPr>
                    <w:pStyle w:val="52"/>
                    <w:rPr>
                      <w:color w:val="auto"/>
                    </w:rPr>
                  </w:pPr>
                  <w:r>
                    <w:rPr>
                      <w:color w:val="auto"/>
                    </w:rPr>
                    <w:t>实测核算</w:t>
                  </w:r>
                </w:p>
                <w:p w14:paraId="0FB8926B">
                  <w:pPr>
                    <w:pStyle w:val="52"/>
                    <w:rPr>
                      <w:color w:val="auto"/>
                    </w:rPr>
                  </w:pPr>
                  <w:r>
                    <w:rPr>
                      <w:color w:val="auto"/>
                    </w:rPr>
                    <w:t>排放总量</w:t>
                  </w:r>
                </w:p>
                <w:p w14:paraId="10A22146">
                  <w:pPr>
                    <w:pStyle w:val="52"/>
                    <w:rPr>
                      <w:color w:val="auto"/>
                    </w:rPr>
                  </w:pPr>
                  <w:r>
                    <w:rPr>
                      <w:color w:val="auto"/>
                    </w:rPr>
                    <w:t>（t/a）</w:t>
                  </w:r>
                </w:p>
              </w:tc>
              <w:tc>
                <w:tcPr>
                  <w:tcW w:w="1425" w:type="dxa"/>
                  <w:tcBorders>
                    <w:tl2br w:val="nil"/>
                    <w:tr2bl w:val="nil"/>
                  </w:tcBorders>
                  <w:vAlign w:val="center"/>
                </w:tcPr>
                <w:p w14:paraId="061B7E56">
                  <w:pPr>
                    <w:pStyle w:val="52"/>
                    <w:rPr>
                      <w:color w:val="auto"/>
                    </w:rPr>
                  </w:pPr>
                  <w:r>
                    <w:rPr>
                      <w:rFonts w:hint="eastAsia"/>
                      <w:color w:val="auto"/>
                    </w:rPr>
                    <w:t>满负荷折算</w:t>
                  </w:r>
                  <w:r>
                    <w:rPr>
                      <w:color w:val="auto"/>
                    </w:rPr>
                    <w:t>排放总量</w:t>
                  </w:r>
                </w:p>
                <w:p w14:paraId="52BBEEC6">
                  <w:pPr>
                    <w:pStyle w:val="52"/>
                    <w:rPr>
                      <w:color w:val="auto"/>
                    </w:rPr>
                  </w:pPr>
                  <w:r>
                    <w:rPr>
                      <w:color w:val="auto"/>
                    </w:rPr>
                    <w:t>（t/a）</w:t>
                  </w:r>
                </w:p>
              </w:tc>
              <w:tc>
                <w:tcPr>
                  <w:tcW w:w="1037" w:type="dxa"/>
                  <w:tcBorders>
                    <w:tl2br w:val="nil"/>
                    <w:tr2bl w:val="nil"/>
                  </w:tcBorders>
                  <w:vAlign w:val="center"/>
                </w:tcPr>
                <w:p w14:paraId="6F0A7521">
                  <w:pPr>
                    <w:pStyle w:val="52"/>
                    <w:rPr>
                      <w:color w:val="auto"/>
                    </w:rPr>
                  </w:pPr>
                  <w:r>
                    <w:rPr>
                      <w:color w:val="auto"/>
                    </w:rPr>
                    <w:t>环评批</w:t>
                  </w:r>
                </w:p>
                <w:p w14:paraId="3E49B7E6">
                  <w:pPr>
                    <w:pStyle w:val="52"/>
                    <w:rPr>
                      <w:color w:val="auto"/>
                    </w:rPr>
                  </w:pPr>
                  <w:r>
                    <w:rPr>
                      <w:color w:val="auto"/>
                    </w:rPr>
                    <w:t>复总量</w:t>
                  </w:r>
                </w:p>
                <w:p w14:paraId="54ACD5B8">
                  <w:pPr>
                    <w:pStyle w:val="52"/>
                    <w:rPr>
                      <w:color w:val="auto"/>
                    </w:rPr>
                  </w:pPr>
                  <w:r>
                    <w:rPr>
                      <w:color w:val="auto"/>
                    </w:rPr>
                    <w:t>（t/a）</w:t>
                  </w:r>
                </w:p>
              </w:tc>
              <w:tc>
                <w:tcPr>
                  <w:tcW w:w="724" w:type="dxa"/>
                  <w:tcBorders>
                    <w:tl2br w:val="nil"/>
                    <w:tr2bl w:val="nil"/>
                  </w:tcBorders>
                  <w:vAlign w:val="center"/>
                </w:tcPr>
                <w:p w14:paraId="6FF37458">
                  <w:pPr>
                    <w:pStyle w:val="52"/>
                    <w:rPr>
                      <w:color w:val="auto"/>
                    </w:rPr>
                  </w:pPr>
                  <w:r>
                    <w:rPr>
                      <w:color w:val="auto"/>
                    </w:rPr>
                    <w:t>是否</w:t>
                  </w:r>
                </w:p>
                <w:p w14:paraId="0A21E683">
                  <w:pPr>
                    <w:pStyle w:val="52"/>
                    <w:rPr>
                      <w:color w:val="auto"/>
                    </w:rPr>
                  </w:pPr>
                  <w:r>
                    <w:rPr>
                      <w:color w:val="auto"/>
                    </w:rPr>
                    <w:t>达标</w:t>
                  </w:r>
                </w:p>
              </w:tc>
            </w:tr>
            <w:tr w14:paraId="2D259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2" w:type="dxa"/>
                  <w:vMerge w:val="restart"/>
                  <w:tcBorders>
                    <w:tl2br w:val="nil"/>
                    <w:tr2bl w:val="nil"/>
                  </w:tcBorders>
                  <w:vAlign w:val="center"/>
                </w:tcPr>
                <w:p w14:paraId="678C78CC">
                  <w:pPr>
                    <w:pStyle w:val="54"/>
                    <w:rPr>
                      <w:color w:val="auto"/>
                    </w:rPr>
                  </w:pPr>
                  <w:r>
                    <w:rPr>
                      <w:color w:val="auto"/>
                    </w:rPr>
                    <w:t>DA001</w:t>
                  </w:r>
                </w:p>
              </w:tc>
              <w:tc>
                <w:tcPr>
                  <w:tcW w:w="975" w:type="dxa"/>
                  <w:tcBorders>
                    <w:tl2br w:val="nil"/>
                    <w:tr2bl w:val="nil"/>
                  </w:tcBorders>
                  <w:vAlign w:val="center"/>
                </w:tcPr>
                <w:p w14:paraId="1C2191F0">
                  <w:pPr>
                    <w:pStyle w:val="54"/>
                    <w:rPr>
                      <w:color w:val="auto"/>
                    </w:rPr>
                  </w:pPr>
                  <w:r>
                    <w:rPr>
                      <w:rFonts w:hint="eastAsia"/>
                      <w:color w:val="auto"/>
                    </w:rPr>
                    <w:t>颗粒物</w:t>
                  </w:r>
                </w:p>
              </w:tc>
              <w:tc>
                <w:tcPr>
                  <w:tcW w:w="1062" w:type="dxa"/>
                  <w:tcBorders>
                    <w:tl2br w:val="nil"/>
                    <w:tr2bl w:val="nil"/>
                  </w:tcBorders>
                  <w:vAlign w:val="center"/>
                </w:tcPr>
                <w:p w14:paraId="6E842F5D">
                  <w:pPr>
                    <w:pStyle w:val="54"/>
                    <w:rPr>
                      <w:color w:val="auto"/>
                    </w:rPr>
                  </w:pPr>
                  <w:r>
                    <w:rPr>
                      <w:rFonts w:hint="eastAsia"/>
                      <w:color w:val="auto"/>
                    </w:rPr>
                    <w:t>0.095</w:t>
                  </w:r>
                </w:p>
              </w:tc>
              <w:tc>
                <w:tcPr>
                  <w:tcW w:w="1063" w:type="dxa"/>
                  <w:tcBorders>
                    <w:tl2br w:val="nil"/>
                    <w:tr2bl w:val="nil"/>
                  </w:tcBorders>
                  <w:vAlign w:val="center"/>
                </w:tcPr>
                <w:p w14:paraId="128A4705">
                  <w:pPr>
                    <w:pStyle w:val="54"/>
                    <w:rPr>
                      <w:color w:val="auto"/>
                    </w:rPr>
                  </w:pPr>
                  <w:r>
                    <w:rPr>
                      <w:rFonts w:hint="eastAsia"/>
                      <w:color w:val="auto"/>
                    </w:rPr>
                    <w:t>6215</w:t>
                  </w:r>
                </w:p>
              </w:tc>
              <w:tc>
                <w:tcPr>
                  <w:tcW w:w="1175" w:type="dxa"/>
                  <w:tcBorders>
                    <w:tl2br w:val="nil"/>
                    <w:tr2bl w:val="nil"/>
                  </w:tcBorders>
                  <w:vAlign w:val="center"/>
                </w:tcPr>
                <w:p w14:paraId="2F495CCC">
                  <w:pPr>
                    <w:pStyle w:val="54"/>
                    <w:rPr>
                      <w:color w:val="auto"/>
                    </w:rPr>
                  </w:pPr>
                  <w:r>
                    <w:rPr>
                      <w:rFonts w:hint="eastAsia"/>
                      <w:color w:val="auto"/>
                    </w:rPr>
                    <w:t>0.587</w:t>
                  </w:r>
                </w:p>
              </w:tc>
              <w:tc>
                <w:tcPr>
                  <w:tcW w:w="1425" w:type="dxa"/>
                  <w:tcBorders>
                    <w:tl2br w:val="nil"/>
                    <w:tr2bl w:val="nil"/>
                  </w:tcBorders>
                  <w:vAlign w:val="center"/>
                </w:tcPr>
                <w:p w14:paraId="4ABEC0DC">
                  <w:pPr>
                    <w:pStyle w:val="54"/>
                    <w:rPr>
                      <w:color w:val="auto"/>
                    </w:rPr>
                  </w:pPr>
                  <w:r>
                    <w:rPr>
                      <w:rFonts w:hint="eastAsia"/>
                      <w:color w:val="auto"/>
                    </w:rPr>
                    <w:t>0.653</w:t>
                  </w:r>
                </w:p>
              </w:tc>
              <w:tc>
                <w:tcPr>
                  <w:tcW w:w="1037" w:type="dxa"/>
                  <w:tcBorders>
                    <w:tl2br w:val="nil"/>
                    <w:tr2bl w:val="nil"/>
                  </w:tcBorders>
                  <w:vAlign w:val="center"/>
                </w:tcPr>
                <w:p w14:paraId="2FB551A9">
                  <w:pPr>
                    <w:pStyle w:val="54"/>
                    <w:rPr>
                      <w:color w:val="auto"/>
                    </w:rPr>
                  </w:pPr>
                  <w:r>
                    <w:rPr>
                      <w:rFonts w:hint="eastAsia"/>
                      <w:color w:val="auto"/>
                    </w:rPr>
                    <w:t>1.672</w:t>
                  </w:r>
                </w:p>
              </w:tc>
              <w:tc>
                <w:tcPr>
                  <w:tcW w:w="724" w:type="dxa"/>
                  <w:tcBorders>
                    <w:tl2br w:val="nil"/>
                    <w:tr2bl w:val="nil"/>
                  </w:tcBorders>
                  <w:vAlign w:val="center"/>
                </w:tcPr>
                <w:p w14:paraId="6C45B672">
                  <w:pPr>
                    <w:pStyle w:val="54"/>
                    <w:rPr>
                      <w:color w:val="auto"/>
                    </w:rPr>
                  </w:pPr>
                  <w:r>
                    <w:rPr>
                      <w:color w:val="auto"/>
                    </w:rPr>
                    <w:t>达标</w:t>
                  </w:r>
                </w:p>
              </w:tc>
            </w:tr>
            <w:tr w14:paraId="5D275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2" w:type="dxa"/>
                  <w:vMerge w:val="continue"/>
                  <w:tcBorders>
                    <w:tl2br w:val="nil"/>
                    <w:tr2bl w:val="nil"/>
                  </w:tcBorders>
                  <w:vAlign w:val="center"/>
                </w:tcPr>
                <w:p w14:paraId="6E33EADF">
                  <w:pPr>
                    <w:pStyle w:val="54"/>
                    <w:rPr>
                      <w:color w:val="auto"/>
                    </w:rPr>
                  </w:pPr>
                </w:p>
              </w:tc>
              <w:tc>
                <w:tcPr>
                  <w:tcW w:w="975" w:type="dxa"/>
                  <w:tcBorders>
                    <w:tl2br w:val="nil"/>
                    <w:tr2bl w:val="nil"/>
                  </w:tcBorders>
                  <w:vAlign w:val="center"/>
                </w:tcPr>
                <w:p w14:paraId="09C7DE0B">
                  <w:pPr>
                    <w:pStyle w:val="54"/>
                    <w:rPr>
                      <w:color w:val="auto"/>
                    </w:rPr>
                  </w:pPr>
                  <w:r>
                    <w:rPr>
                      <w:rFonts w:hint="eastAsia"/>
                      <w:color w:val="auto"/>
                    </w:rPr>
                    <w:t>SO</w:t>
                  </w:r>
                  <w:r>
                    <w:rPr>
                      <w:rFonts w:hint="eastAsia"/>
                      <w:color w:val="auto"/>
                      <w:vertAlign w:val="subscript"/>
                    </w:rPr>
                    <w:t>2</w:t>
                  </w:r>
                </w:p>
              </w:tc>
              <w:tc>
                <w:tcPr>
                  <w:tcW w:w="1062" w:type="dxa"/>
                  <w:tcBorders>
                    <w:tl2br w:val="nil"/>
                    <w:tr2bl w:val="nil"/>
                  </w:tcBorders>
                  <w:vAlign w:val="center"/>
                </w:tcPr>
                <w:p w14:paraId="3B989498">
                  <w:pPr>
                    <w:pStyle w:val="54"/>
                    <w:rPr>
                      <w:color w:val="auto"/>
                    </w:rPr>
                  </w:pPr>
                  <w:r>
                    <w:rPr>
                      <w:rFonts w:hint="eastAsia"/>
                      <w:color w:val="auto"/>
                    </w:rPr>
                    <w:t>/</w:t>
                  </w:r>
                </w:p>
              </w:tc>
              <w:tc>
                <w:tcPr>
                  <w:tcW w:w="1063" w:type="dxa"/>
                  <w:tcBorders>
                    <w:tl2br w:val="nil"/>
                    <w:tr2bl w:val="nil"/>
                  </w:tcBorders>
                  <w:vAlign w:val="center"/>
                </w:tcPr>
                <w:p w14:paraId="6F58ED34">
                  <w:pPr>
                    <w:pStyle w:val="54"/>
                    <w:rPr>
                      <w:color w:val="auto"/>
                    </w:rPr>
                  </w:pPr>
                  <w:r>
                    <w:rPr>
                      <w:rFonts w:hint="eastAsia"/>
                      <w:color w:val="auto"/>
                    </w:rPr>
                    <w:t>6215</w:t>
                  </w:r>
                </w:p>
              </w:tc>
              <w:tc>
                <w:tcPr>
                  <w:tcW w:w="1175" w:type="dxa"/>
                  <w:tcBorders>
                    <w:tl2br w:val="nil"/>
                    <w:tr2bl w:val="nil"/>
                  </w:tcBorders>
                  <w:vAlign w:val="center"/>
                </w:tcPr>
                <w:p w14:paraId="2A2581BA">
                  <w:pPr>
                    <w:pStyle w:val="54"/>
                    <w:rPr>
                      <w:color w:val="auto"/>
                    </w:rPr>
                  </w:pPr>
                  <w:r>
                    <w:rPr>
                      <w:rFonts w:hint="eastAsia"/>
                      <w:color w:val="auto"/>
                    </w:rPr>
                    <w:t>0.317</w:t>
                  </w:r>
                </w:p>
              </w:tc>
              <w:tc>
                <w:tcPr>
                  <w:tcW w:w="1425" w:type="dxa"/>
                  <w:tcBorders>
                    <w:tl2br w:val="nil"/>
                    <w:tr2bl w:val="nil"/>
                  </w:tcBorders>
                  <w:vAlign w:val="center"/>
                </w:tcPr>
                <w:p w14:paraId="19431AE4">
                  <w:pPr>
                    <w:pStyle w:val="54"/>
                    <w:rPr>
                      <w:color w:val="auto"/>
                    </w:rPr>
                  </w:pPr>
                  <w:r>
                    <w:rPr>
                      <w:rFonts w:hint="eastAsia"/>
                      <w:color w:val="auto"/>
                    </w:rPr>
                    <w:t>0.352</w:t>
                  </w:r>
                </w:p>
              </w:tc>
              <w:tc>
                <w:tcPr>
                  <w:tcW w:w="1037" w:type="dxa"/>
                  <w:tcBorders>
                    <w:tl2br w:val="nil"/>
                    <w:tr2bl w:val="nil"/>
                  </w:tcBorders>
                  <w:vAlign w:val="center"/>
                </w:tcPr>
                <w:p w14:paraId="00BB16B9">
                  <w:pPr>
                    <w:pStyle w:val="54"/>
                    <w:rPr>
                      <w:color w:val="auto"/>
                    </w:rPr>
                  </w:pPr>
                  <w:r>
                    <w:rPr>
                      <w:rFonts w:hint="eastAsia"/>
                      <w:color w:val="auto"/>
                    </w:rPr>
                    <w:t>0.403</w:t>
                  </w:r>
                </w:p>
              </w:tc>
              <w:tc>
                <w:tcPr>
                  <w:tcW w:w="724" w:type="dxa"/>
                  <w:tcBorders>
                    <w:tl2br w:val="nil"/>
                    <w:tr2bl w:val="nil"/>
                  </w:tcBorders>
                  <w:vAlign w:val="center"/>
                </w:tcPr>
                <w:p w14:paraId="304126BC">
                  <w:pPr>
                    <w:pStyle w:val="54"/>
                    <w:rPr>
                      <w:color w:val="auto"/>
                    </w:rPr>
                  </w:pPr>
                  <w:r>
                    <w:rPr>
                      <w:color w:val="auto"/>
                    </w:rPr>
                    <w:t>达标</w:t>
                  </w:r>
                </w:p>
              </w:tc>
            </w:tr>
            <w:tr w14:paraId="4495E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2" w:type="dxa"/>
                  <w:vMerge w:val="continue"/>
                  <w:tcBorders>
                    <w:tl2br w:val="nil"/>
                    <w:tr2bl w:val="nil"/>
                  </w:tcBorders>
                  <w:vAlign w:val="center"/>
                </w:tcPr>
                <w:p w14:paraId="49633EAF">
                  <w:pPr>
                    <w:pStyle w:val="54"/>
                    <w:rPr>
                      <w:color w:val="auto"/>
                    </w:rPr>
                  </w:pPr>
                </w:p>
              </w:tc>
              <w:tc>
                <w:tcPr>
                  <w:tcW w:w="975" w:type="dxa"/>
                  <w:tcBorders>
                    <w:tl2br w:val="nil"/>
                    <w:tr2bl w:val="nil"/>
                  </w:tcBorders>
                  <w:vAlign w:val="center"/>
                </w:tcPr>
                <w:p w14:paraId="2BC8C6CB">
                  <w:pPr>
                    <w:pStyle w:val="54"/>
                    <w:rPr>
                      <w:color w:val="auto"/>
                    </w:rPr>
                  </w:pPr>
                  <w:r>
                    <w:rPr>
                      <w:rFonts w:hint="eastAsia"/>
                      <w:color w:val="auto"/>
                    </w:rPr>
                    <w:t>NOx</w:t>
                  </w:r>
                </w:p>
              </w:tc>
              <w:tc>
                <w:tcPr>
                  <w:tcW w:w="1062" w:type="dxa"/>
                  <w:tcBorders>
                    <w:tl2br w:val="nil"/>
                    <w:tr2bl w:val="nil"/>
                  </w:tcBorders>
                  <w:vAlign w:val="center"/>
                </w:tcPr>
                <w:p w14:paraId="5210A3F5">
                  <w:pPr>
                    <w:pStyle w:val="54"/>
                    <w:rPr>
                      <w:color w:val="auto"/>
                    </w:rPr>
                  </w:pPr>
                  <w:r>
                    <w:rPr>
                      <w:rFonts w:hint="eastAsia"/>
                      <w:color w:val="auto"/>
                    </w:rPr>
                    <w:t>/</w:t>
                  </w:r>
                </w:p>
              </w:tc>
              <w:tc>
                <w:tcPr>
                  <w:tcW w:w="1063" w:type="dxa"/>
                  <w:tcBorders>
                    <w:tl2br w:val="nil"/>
                    <w:tr2bl w:val="nil"/>
                  </w:tcBorders>
                  <w:vAlign w:val="center"/>
                </w:tcPr>
                <w:p w14:paraId="5C545579">
                  <w:pPr>
                    <w:pStyle w:val="54"/>
                    <w:rPr>
                      <w:color w:val="auto"/>
                    </w:rPr>
                  </w:pPr>
                  <w:r>
                    <w:rPr>
                      <w:rFonts w:hint="eastAsia"/>
                      <w:color w:val="auto"/>
                    </w:rPr>
                    <w:t>6215</w:t>
                  </w:r>
                </w:p>
              </w:tc>
              <w:tc>
                <w:tcPr>
                  <w:tcW w:w="1175" w:type="dxa"/>
                  <w:tcBorders>
                    <w:tl2br w:val="nil"/>
                    <w:tr2bl w:val="nil"/>
                  </w:tcBorders>
                  <w:vAlign w:val="center"/>
                </w:tcPr>
                <w:p w14:paraId="05E69A18">
                  <w:pPr>
                    <w:pStyle w:val="54"/>
                    <w:rPr>
                      <w:color w:val="auto"/>
                    </w:rPr>
                  </w:pPr>
                  <w:r>
                    <w:rPr>
                      <w:rFonts w:hint="eastAsia"/>
                      <w:color w:val="auto"/>
                    </w:rPr>
                    <w:t>0.317</w:t>
                  </w:r>
                </w:p>
              </w:tc>
              <w:tc>
                <w:tcPr>
                  <w:tcW w:w="1425" w:type="dxa"/>
                  <w:tcBorders>
                    <w:tl2br w:val="nil"/>
                    <w:tr2bl w:val="nil"/>
                  </w:tcBorders>
                  <w:vAlign w:val="center"/>
                </w:tcPr>
                <w:p w14:paraId="2679B4FE">
                  <w:pPr>
                    <w:pStyle w:val="54"/>
                    <w:rPr>
                      <w:color w:val="auto"/>
                    </w:rPr>
                  </w:pPr>
                  <w:r>
                    <w:rPr>
                      <w:rFonts w:hint="eastAsia"/>
                      <w:color w:val="auto"/>
                    </w:rPr>
                    <w:t>0.352</w:t>
                  </w:r>
                </w:p>
              </w:tc>
              <w:tc>
                <w:tcPr>
                  <w:tcW w:w="1037" w:type="dxa"/>
                  <w:tcBorders>
                    <w:tl2br w:val="nil"/>
                    <w:tr2bl w:val="nil"/>
                  </w:tcBorders>
                  <w:vAlign w:val="center"/>
                </w:tcPr>
                <w:p w14:paraId="5DE5B12E">
                  <w:pPr>
                    <w:pStyle w:val="54"/>
                    <w:rPr>
                      <w:color w:val="auto"/>
                    </w:rPr>
                  </w:pPr>
                  <w:r>
                    <w:rPr>
                      <w:rFonts w:hint="eastAsia"/>
                      <w:color w:val="auto"/>
                    </w:rPr>
                    <w:t>0.612</w:t>
                  </w:r>
                </w:p>
              </w:tc>
              <w:tc>
                <w:tcPr>
                  <w:tcW w:w="724" w:type="dxa"/>
                  <w:tcBorders>
                    <w:tl2br w:val="nil"/>
                    <w:tr2bl w:val="nil"/>
                  </w:tcBorders>
                  <w:vAlign w:val="center"/>
                </w:tcPr>
                <w:p w14:paraId="7A68BB08">
                  <w:pPr>
                    <w:pStyle w:val="54"/>
                    <w:rPr>
                      <w:color w:val="auto"/>
                    </w:rPr>
                  </w:pPr>
                  <w:r>
                    <w:rPr>
                      <w:color w:val="auto"/>
                    </w:rPr>
                    <w:t>达标</w:t>
                  </w:r>
                </w:p>
              </w:tc>
            </w:tr>
            <w:tr w14:paraId="7328D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2" w:type="dxa"/>
                  <w:tcBorders>
                    <w:tl2br w:val="nil"/>
                    <w:tr2bl w:val="nil"/>
                  </w:tcBorders>
                  <w:vAlign w:val="center"/>
                </w:tcPr>
                <w:p w14:paraId="1E9C36F8">
                  <w:pPr>
                    <w:pStyle w:val="54"/>
                    <w:rPr>
                      <w:color w:val="auto"/>
                    </w:rPr>
                  </w:pPr>
                  <w:r>
                    <w:rPr>
                      <w:color w:val="auto"/>
                    </w:rPr>
                    <w:t>DA00</w:t>
                  </w:r>
                  <w:r>
                    <w:rPr>
                      <w:rFonts w:hint="eastAsia"/>
                      <w:color w:val="auto"/>
                    </w:rPr>
                    <w:t>1</w:t>
                  </w:r>
                </w:p>
              </w:tc>
              <w:tc>
                <w:tcPr>
                  <w:tcW w:w="975" w:type="dxa"/>
                  <w:tcBorders>
                    <w:tl2br w:val="nil"/>
                    <w:tr2bl w:val="nil"/>
                  </w:tcBorders>
                  <w:vAlign w:val="center"/>
                </w:tcPr>
                <w:p w14:paraId="208C8CF2">
                  <w:pPr>
                    <w:pStyle w:val="54"/>
                    <w:rPr>
                      <w:color w:val="auto"/>
                    </w:rPr>
                  </w:pPr>
                  <w:r>
                    <w:rPr>
                      <w:rFonts w:hint="eastAsia"/>
                      <w:color w:val="auto"/>
                    </w:rPr>
                    <w:t>NMHC</w:t>
                  </w:r>
                </w:p>
              </w:tc>
              <w:tc>
                <w:tcPr>
                  <w:tcW w:w="1062" w:type="dxa"/>
                  <w:tcBorders>
                    <w:tl2br w:val="nil"/>
                    <w:tr2bl w:val="nil"/>
                  </w:tcBorders>
                  <w:vAlign w:val="center"/>
                </w:tcPr>
                <w:p w14:paraId="689E7160">
                  <w:pPr>
                    <w:pStyle w:val="54"/>
                    <w:rPr>
                      <w:color w:val="auto"/>
                    </w:rPr>
                  </w:pPr>
                  <w:r>
                    <w:rPr>
                      <w:rFonts w:hint="eastAsia"/>
                      <w:color w:val="auto"/>
                    </w:rPr>
                    <w:t>0.014</w:t>
                  </w:r>
                </w:p>
              </w:tc>
              <w:tc>
                <w:tcPr>
                  <w:tcW w:w="1063" w:type="dxa"/>
                  <w:tcBorders>
                    <w:tl2br w:val="nil"/>
                    <w:tr2bl w:val="nil"/>
                  </w:tcBorders>
                  <w:vAlign w:val="center"/>
                </w:tcPr>
                <w:p w14:paraId="47741A52">
                  <w:pPr>
                    <w:pStyle w:val="54"/>
                    <w:rPr>
                      <w:color w:val="auto"/>
                    </w:rPr>
                  </w:pPr>
                  <w:r>
                    <w:rPr>
                      <w:rFonts w:hint="eastAsia"/>
                      <w:color w:val="auto"/>
                    </w:rPr>
                    <w:t>5650</w:t>
                  </w:r>
                </w:p>
              </w:tc>
              <w:tc>
                <w:tcPr>
                  <w:tcW w:w="1175" w:type="dxa"/>
                  <w:tcBorders>
                    <w:tl2br w:val="nil"/>
                    <w:tr2bl w:val="nil"/>
                  </w:tcBorders>
                  <w:vAlign w:val="center"/>
                </w:tcPr>
                <w:p w14:paraId="1BA6886A">
                  <w:pPr>
                    <w:pStyle w:val="54"/>
                    <w:rPr>
                      <w:color w:val="auto"/>
                    </w:rPr>
                  </w:pPr>
                  <w:r>
                    <w:rPr>
                      <w:rFonts w:hint="eastAsia"/>
                      <w:color w:val="auto"/>
                    </w:rPr>
                    <w:t>0.080</w:t>
                  </w:r>
                </w:p>
              </w:tc>
              <w:tc>
                <w:tcPr>
                  <w:tcW w:w="1425" w:type="dxa"/>
                  <w:tcBorders>
                    <w:tl2br w:val="nil"/>
                    <w:tr2bl w:val="nil"/>
                  </w:tcBorders>
                  <w:vAlign w:val="center"/>
                </w:tcPr>
                <w:p w14:paraId="19412100">
                  <w:pPr>
                    <w:pStyle w:val="54"/>
                    <w:rPr>
                      <w:color w:val="auto"/>
                    </w:rPr>
                  </w:pPr>
                  <w:r>
                    <w:rPr>
                      <w:rFonts w:hint="eastAsia"/>
                      <w:color w:val="auto"/>
                    </w:rPr>
                    <w:t>0.089</w:t>
                  </w:r>
                </w:p>
              </w:tc>
              <w:tc>
                <w:tcPr>
                  <w:tcW w:w="1037" w:type="dxa"/>
                  <w:tcBorders>
                    <w:tl2br w:val="nil"/>
                    <w:tr2bl w:val="nil"/>
                  </w:tcBorders>
                  <w:vAlign w:val="center"/>
                </w:tcPr>
                <w:p w14:paraId="614B2048">
                  <w:pPr>
                    <w:pStyle w:val="54"/>
                    <w:rPr>
                      <w:color w:val="auto"/>
                    </w:rPr>
                  </w:pPr>
                  <w:r>
                    <w:rPr>
                      <w:rFonts w:hint="eastAsia"/>
                      <w:color w:val="auto"/>
                    </w:rPr>
                    <w:t>0.119</w:t>
                  </w:r>
                </w:p>
              </w:tc>
              <w:tc>
                <w:tcPr>
                  <w:tcW w:w="724" w:type="dxa"/>
                  <w:tcBorders>
                    <w:tl2br w:val="nil"/>
                    <w:tr2bl w:val="nil"/>
                  </w:tcBorders>
                  <w:vAlign w:val="center"/>
                </w:tcPr>
                <w:p w14:paraId="77A125F5">
                  <w:pPr>
                    <w:pStyle w:val="54"/>
                    <w:rPr>
                      <w:color w:val="auto"/>
                    </w:rPr>
                  </w:pPr>
                  <w:r>
                    <w:rPr>
                      <w:color w:val="auto"/>
                    </w:rPr>
                    <w:t>达标</w:t>
                  </w:r>
                </w:p>
              </w:tc>
            </w:tr>
            <w:tr w14:paraId="03C26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33" w:type="dxa"/>
                  <w:gridSpan w:val="8"/>
                  <w:tcBorders>
                    <w:tl2br w:val="nil"/>
                    <w:tr2bl w:val="nil"/>
                  </w:tcBorders>
                  <w:shd w:val="clear" w:color="auto" w:fill="auto"/>
                  <w:vAlign w:val="center"/>
                </w:tcPr>
                <w:p w14:paraId="2086A4D3">
                  <w:pPr>
                    <w:pStyle w:val="54"/>
                    <w:jc w:val="both"/>
                    <w:rPr>
                      <w:color w:val="auto"/>
                    </w:rPr>
                  </w:pPr>
                  <w:r>
                    <w:rPr>
                      <w:rFonts w:hint="eastAsia"/>
                      <w:color w:val="auto"/>
                    </w:rPr>
                    <w:t>注：项目SO</w:t>
                  </w:r>
                  <w:r>
                    <w:rPr>
                      <w:rFonts w:hint="eastAsia"/>
                      <w:color w:val="auto"/>
                      <w:vertAlign w:val="subscript"/>
                    </w:rPr>
                    <w:t>2</w:t>
                  </w:r>
                  <w:r>
                    <w:rPr>
                      <w:rFonts w:hint="eastAsia"/>
                      <w:color w:val="auto"/>
                    </w:rPr>
                    <w:t>、NOx排放浓度低于检出限，因此</w:t>
                  </w:r>
                  <w:r>
                    <w:rPr>
                      <w:color w:val="auto"/>
                    </w:rPr>
                    <w:t>排放浓度按检出限一半</w:t>
                  </w:r>
                  <w:r>
                    <w:rPr>
                      <w:rFonts w:hint="eastAsia"/>
                      <w:color w:val="auto"/>
                    </w:rPr>
                    <w:t>进行</w:t>
                  </w:r>
                  <w:r>
                    <w:rPr>
                      <w:color w:val="auto"/>
                    </w:rPr>
                    <w:t>核算。</w:t>
                  </w:r>
                </w:p>
              </w:tc>
            </w:tr>
          </w:tbl>
          <w:p w14:paraId="561F1E4C">
            <w:pPr>
              <w:pStyle w:val="50"/>
              <w:ind w:firstLine="482"/>
              <w:rPr>
                <w:b/>
                <w:bCs/>
                <w:color w:val="auto"/>
              </w:rPr>
            </w:pPr>
            <w:r>
              <w:rPr>
                <w:rFonts w:hint="eastAsia"/>
                <w:b/>
                <w:bCs/>
                <w:color w:val="auto"/>
              </w:rPr>
              <w:t>②</w:t>
            </w:r>
            <w:r>
              <w:rPr>
                <w:b/>
                <w:bCs/>
                <w:color w:val="auto"/>
              </w:rPr>
              <w:t>废水</w:t>
            </w:r>
          </w:p>
          <w:p w14:paraId="64B82C85">
            <w:pPr>
              <w:pStyle w:val="50"/>
              <w:ind w:firstLine="480"/>
              <w:rPr>
                <w:color w:val="auto"/>
              </w:rPr>
            </w:pPr>
            <w:r>
              <w:rPr>
                <w:color w:val="auto"/>
              </w:rPr>
              <w:t>现有项目废水污染物排放情况见</w:t>
            </w:r>
            <w:r>
              <w:rPr>
                <w:color w:val="auto"/>
              </w:rPr>
              <w:fldChar w:fldCharType="begin"/>
            </w:r>
            <w:r>
              <w:rPr>
                <w:color w:val="auto"/>
              </w:rPr>
              <w:instrText xml:space="preserve"> REF _Ref4626 \h </w:instrText>
            </w:r>
            <w:r>
              <w:rPr>
                <w:color w:val="auto"/>
              </w:rPr>
              <w:fldChar w:fldCharType="separate"/>
            </w:r>
            <w:r>
              <w:rPr>
                <w:color w:val="auto"/>
              </w:rPr>
              <w:t>表2- 16</w:t>
            </w:r>
            <w:r>
              <w:rPr>
                <w:color w:val="auto"/>
              </w:rPr>
              <w:fldChar w:fldCharType="end"/>
            </w:r>
            <w:r>
              <w:rPr>
                <w:color w:val="auto"/>
              </w:rPr>
              <w:t>。</w:t>
            </w:r>
          </w:p>
          <w:p w14:paraId="36987919">
            <w:pPr>
              <w:pStyle w:val="7"/>
              <w:rPr>
                <w:color w:val="auto"/>
              </w:rPr>
            </w:pPr>
            <w:bookmarkStart w:id="60" w:name="_Ref4626"/>
            <w:r>
              <w:rPr>
                <w:color w:val="auto"/>
              </w:rPr>
              <w:t xml:space="preserve">表2- </w:t>
            </w:r>
            <w:r>
              <w:rPr>
                <w:color w:val="auto"/>
              </w:rPr>
              <w:fldChar w:fldCharType="begin"/>
            </w:r>
            <w:r>
              <w:rPr>
                <w:color w:val="auto"/>
              </w:rPr>
              <w:instrText xml:space="preserve"> SEQ 表2- \* ARABIC </w:instrText>
            </w:r>
            <w:r>
              <w:rPr>
                <w:color w:val="auto"/>
              </w:rPr>
              <w:fldChar w:fldCharType="separate"/>
            </w:r>
            <w:r>
              <w:rPr>
                <w:color w:val="auto"/>
              </w:rPr>
              <w:t>16</w:t>
            </w:r>
            <w:r>
              <w:rPr>
                <w:color w:val="auto"/>
              </w:rPr>
              <w:fldChar w:fldCharType="end"/>
            </w:r>
            <w:bookmarkEnd w:id="60"/>
            <w:r>
              <w:rPr>
                <w:color w:val="auto"/>
              </w:rPr>
              <w:t xml:space="preserve"> 现有项目废水污染物排放情况表</w:t>
            </w:r>
          </w:p>
          <w:tbl>
            <w:tblPr>
              <w:tblStyle w:val="1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2"/>
              <w:gridCol w:w="1363"/>
              <w:gridCol w:w="1825"/>
              <w:gridCol w:w="1700"/>
              <w:gridCol w:w="1750"/>
              <w:gridCol w:w="1060"/>
            </w:tblGrid>
            <w:tr w14:paraId="5D3AF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3" w:type="dxa"/>
                  <w:tcBorders>
                    <w:tl2br w:val="nil"/>
                    <w:tr2bl w:val="nil"/>
                  </w:tcBorders>
                  <w:vAlign w:val="center"/>
                </w:tcPr>
                <w:p w14:paraId="31385626">
                  <w:pPr>
                    <w:pStyle w:val="52"/>
                    <w:rPr>
                      <w:color w:val="auto"/>
                    </w:rPr>
                  </w:pPr>
                  <w:r>
                    <w:rPr>
                      <w:color w:val="auto"/>
                    </w:rPr>
                    <w:t>种类</w:t>
                  </w:r>
                </w:p>
              </w:tc>
              <w:tc>
                <w:tcPr>
                  <w:tcW w:w="1363" w:type="dxa"/>
                  <w:tcBorders>
                    <w:tl2br w:val="nil"/>
                    <w:tr2bl w:val="nil"/>
                  </w:tcBorders>
                  <w:vAlign w:val="center"/>
                </w:tcPr>
                <w:p w14:paraId="06B69D5B">
                  <w:pPr>
                    <w:pStyle w:val="52"/>
                    <w:rPr>
                      <w:color w:val="auto"/>
                    </w:rPr>
                  </w:pPr>
                  <w:r>
                    <w:rPr>
                      <w:color w:val="auto"/>
                    </w:rPr>
                    <w:t>污染物名称</w:t>
                  </w:r>
                </w:p>
              </w:tc>
              <w:tc>
                <w:tcPr>
                  <w:tcW w:w="1825" w:type="dxa"/>
                  <w:tcBorders>
                    <w:tl2br w:val="nil"/>
                    <w:tr2bl w:val="nil"/>
                  </w:tcBorders>
                  <w:vAlign w:val="center"/>
                </w:tcPr>
                <w:p w14:paraId="36AC2B9C">
                  <w:pPr>
                    <w:pStyle w:val="52"/>
                    <w:rPr>
                      <w:color w:val="auto"/>
                    </w:rPr>
                  </w:pPr>
                  <w:r>
                    <w:rPr>
                      <w:color w:val="auto"/>
                    </w:rPr>
                    <w:t>排放浓度（mg/L）</w:t>
                  </w:r>
                </w:p>
              </w:tc>
              <w:tc>
                <w:tcPr>
                  <w:tcW w:w="1700" w:type="dxa"/>
                  <w:tcBorders>
                    <w:tl2br w:val="nil"/>
                    <w:tr2bl w:val="nil"/>
                  </w:tcBorders>
                  <w:vAlign w:val="center"/>
                </w:tcPr>
                <w:p w14:paraId="5E3245C7">
                  <w:pPr>
                    <w:pStyle w:val="52"/>
                    <w:rPr>
                      <w:color w:val="auto"/>
                    </w:rPr>
                  </w:pPr>
                  <w:r>
                    <w:rPr>
                      <w:color w:val="auto"/>
                    </w:rPr>
                    <w:t>排放总量（t/a）</w:t>
                  </w:r>
                </w:p>
              </w:tc>
              <w:tc>
                <w:tcPr>
                  <w:tcW w:w="1750" w:type="dxa"/>
                  <w:tcBorders>
                    <w:tl2br w:val="nil"/>
                    <w:tr2bl w:val="nil"/>
                  </w:tcBorders>
                  <w:vAlign w:val="center"/>
                </w:tcPr>
                <w:p w14:paraId="3122D6F0">
                  <w:pPr>
                    <w:pStyle w:val="52"/>
                    <w:rPr>
                      <w:color w:val="auto"/>
                    </w:rPr>
                  </w:pPr>
                  <w:r>
                    <w:rPr>
                      <w:color w:val="auto"/>
                    </w:rPr>
                    <w:t>批复排放量（t/a）</w:t>
                  </w:r>
                </w:p>
              </w:tc>
              <w:tc>
                <w:tcPr>
                  <w:tcW w:w="1060" w:type="dxa"/>
                  <w:tcBorders>
                    <w:tl2br w:val="nil"/>
                    <w:tr2bl w:val="nil"/>
                  </w:tcBorders>
                  <w:vAlign w:val="center"/>
                </w:tcPr>
                <w:p w14:paraId="4A1C3543">
                  <w:pPr>
                    <w:pStyle w:val="52"/>
                    <w:rPr>
                      <w:color w:val="auto"/>
                    </w:rPr>
                  </w:pPr>
                  <w:r>
                    <w:rPr>
                      <w:color w:val="auto"/>
                    </w:rPr>
                    <w:t>是否达标</w:t>
                  </w:r>
                </w:p>
              </w:tc>
            </w:tr>
            <w:tr w14:paraId="75A5B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3" w:type="dxa"/>
                  <w:vMerge w:val="restart"/>
                  <w:tcBorders>
                    <w:tl2br w:val="nil"/>
                    <w:tr2bl w:val="nil"/>
                  </w:tcBorders>
                  <w:vAlign w:val="center"/>
                </w:tcPr>
                <w:p w14:paraId="4968F57C">
                  <w:pPr>
                    <w:pStyle w:val="54"/>
                    <w:rPr>
                      <w:color w:val="auto"/>
                    </w:rPr>
                  </w:pPr>
                  <w:r>
                    <w:rPr>
                      <w:color w:val="auto"/>
                    </w:rPr>
                    <w:t>W1生活污水排放口</w:t>
                  </w:r>
                </w:p>
              </w:tc>
              <w:tc>
                <w:tcPr>
                  <w:tcW w:w="1363" w:type="dxa"/>
                  <w:tcBorders>
                    <w:tl2br w:val="nil"/>
                    <w:tr2bl w:val="nil"/>
                  </w:tcBorders>
                  <w:vAlign w:val="center"/>
                </w:tcPr>
                <w:p w14:paraId="10562779">
                  <w:pPr>
                    <w:pStyle w:val="54"/>
                    <w:rPr>
                      <w:color w:val="auto"/>
                    </w:rPr>
                  </w:pPr>
                  <w:r>
                    <w:rPr>
                      <w:rFonts w:hint="eastAsia"/>
                      <w:color w:val="auto"/>
                    </w:rPr>
                    <w:t>废</w:t>
                  </w:r>
                  <w:r>
                    <w:rPr>
                      <w:color w:val="auto"/>
                    </w:rPr>
                    <w:t>水量</w:t>
                  </w:r>
                </w:p>
              </w:tc>
              <w:tc>
                <w:tcPr>
                  <w:tcW w:w="1825" w:type="dxa"/>
                  <w:tcBorders>
                    <w:tl2br w:val="nil"/>
                    <w:tr2bl w:val="nil"/>
                  </w:tcBorders>
                  <w:vAlign w:val="center"/>
                </w:tcPr>
                <w:p w14:paraId="4BE34B35">
                  <w:pPr>
                    <w:pStyle w:val="54"/>
                    <w:rPr>
                      <w:color w:val="auto"/>
                    </w:rPr>
                  </w:pPr>
                  <w:r>
                    <w:rPr>
                      <w:color w:val="auto"/>
                    </w:rPr>
                    <w:t>/</w:t>
                  </w:r>
                </w:p>
              </w:tc>
              <w:tc>
                <w:tcPr>
                  <w:tcW w:w="1700" w:type="dxa"/>
                  <w:tcBorders>
                    <w:tl2br w:val="nil"/>
                    <w:tr2bl w:val="nil"/>
                  </w:tcBorders>
                  <w:shd w:val="clear" w:color="auto" w:fill="auto"/>
                  <w:vAlign w:val="center"/>
                </w:tcPr>
                <w:p w14:paraId="3972C43A">
                  <w:pPr>
                    <w:pStyle w:val="54"/>
                    <w:rPr>
                      <w:color w:val="auto"/>
                    </w:rPr>
                  </w:pPr>
                  <w:r>
                    <w:rPr>
                      <w:rFonts w:hint="eastAsia"/>
                      <w:color w:val="auto"/>
                    </w:rPr>
                    <w:t>360</w:t>
                  </w:r>
                </w:p>
              </w:tc>
              <w:tc>
                <w:tcPr>
                  <w:tcW w:w="1750" w:type="dxa"/>
                  <w:tcBorders>
                    <w:tl2br w:val="nil"/>
                    <w:tr2bl w:val="nil"/>
                  </w:tcBorders>
                  <w:vAlign w:val="center"/>
                </w:tcPr>
                <w:p w14:paraId="0291211C">
                  <w:pPr>
                    <w:pStyle w:val="54"/>
                    <w:rPr>
                      <w:color w:val="auto"/>
                    </w:rPr>
                  </w:pPr>
                  <w:r>
                    <w:rPr>
                      <w:rFonts w:hint="eastAsia"/>
                      <w:color w:val="auto"/>
                    </w:rPr>
                    <w:t>840</w:t>
                  </w:r>
                </w:p>
              </w:tc>
              <w:tc>
                <w:tcPr>
                  <w:tcW w:w="1060" w:type="dxa"/>
                  <w:tcBorders>
                    <w:tl2br w:val="nil"/>
                    <w:tr2bl w:val="nil"/>
                  </w:tcBorders>
                  <w:vAlign w:val="center"/>
                </w:tcPr>
                <w:p w14:paraId="22E439B9">
                  <w:pPr>
                    <w:pStyle w:val="54"/>
                    <w:rPr>
                      <w:color w:val="auto"/>
                    </w:rPr>
                  </w:pPr>
                  <w:r>
                    <w:rPr>
                      <w:color w:val="auto"/>
                    </w:rPr>
                    <w:t>达标</w:t>
                  </w:r>
                </w:p>
              </w:tc>
            </w:tr>
            <w:tr w14:paraId="49CBE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3" w:type="dxa"/>
                  <w:vMerge w:val="continue"/>
                  <w:tcBorders>
                    <w:tl2br w:val="nil"/>
                    <w:tr2bl w:val="nil"/>
                  </w:tcBorders>
                  <w:vAlign w:val="center"/>
                </w:tcPr>
                <w:p w14:paraId="714DD1B0">
                  <w:pPr>
                    <w:pStyle w:val="54"/>
                    <w:rPr>
                      <w:color w:val="auto"/>
                    </w:rPr>
                  </w:pPr>
                </w:p>
              </w:tc>
              <w:tc>
                <w:tcPr>
                  <w:tcW w:w="1363" w:type="dxa"/>
                  <w:tcBorders>
                    <w:tl2br w:val="nil"/>
                    <w:tr2bl w:val="nil"/>
                  </w:tcBorders>
                  <w:vAlign w:val="center"/>
                </w:tcPr>
                <w:p w14:paraId="59E395F1">
                  <w:pPr>
                    <w:pStyle w:val="54"/>
                    <w:rPr>
                      <w:color w:val="auto"/>
                    </w:rPr>
                  </w:pPr>
                  <w:r>
                    <w:rPr>
                      <w:color w:val="auto"/>
                    </w:rPr>
                    <w:t>COD</w:t>
                  </w:r>
                </w:p>
              </w:tc>
              <w:tc>
                <w:tcPr>
                  <w:tcW w:w="1825" w:type="dxa"/>
                  <w:tcBorders>
                    <w:tl2br w:val="nil"/>
                    <w:tr2bl w:val="nil"/>
                  </w:tcBorders>
                  <w:vAlign w:val="center"/>
                </w:tcPr>
                <w:p w14:paraId="28AB24B2">
                  <w:pPr>
                    <w:pStyle w:val="54"/>
                    <w:rPr>
                      <w:color w:val="auto"/>
                    </w:rPr>
                  </w:pPr>
                  <w:r>
                    <w:rPr>
                      <w:rFonts w:hint="eastAsia"/>
                      <w:color w:val="auto"/>
                    </w:rPr>
                    <w:t>141</w:t>
                  </w:r>
                </w:p>
              </w:tc>
              <w:tc>
                <w:tcPr>
                  <w:tcW w:w="1700" w:type="dxa"/>
                  <w:tcBorders>
                    <w:tl2br w:val="nil"/>
                    <w:tr2bl w:val="nil"/>
                  </w:tcBorders>
                  <w:vAlign w:val="center"/>
                </w:tcPr>
                <w:p w14:paraId="5D1FD9C5">
                  <w:pPr>
                    <w:pStyle w:val="54"/>
                    <w:rPr>
                      <w:color w:val="auto"/>
                    </w:rPr>
                  </w:pPr>
                  <w:r>
                    <w:rPr>
                      <w:rFonts w:hint="eastAsia"/>
                      <w:color w:val="auto"/>
                    </w:rPr>
                    <w:t>0.0508</w:t>
                  </w:r>
                </w:p>
              </w:tc>
              <w:tc>
                <w:tcPr>
                  <w:tcW w:w="1750" w:type="dxa"/>
                  <w:tcBorders>
                    <w:tl2br w:val="nil"/>
                    <w:tr2bl w:val="nil"/>
                  </w:tcBorders>
                  <w:vAlign w:val="center"/>
                </w:tcPr>
                <w:p w14:paraId="6F039978">
                  <w:pPr>
                    <w:pStyle w:val="54"/>
                    <w:rPr>
                      <w:color w:val="auto"/>
                    </w:rPr>
                  </w:pPr>
                  <w:r>
                    <w:rPr>
                      <w:rFonts w:hint="eastAsia"/>
                      <w:color w:val="auto"/>
                    </w:rPr>
                    <w:t>0.2100</w:t>
                  </w:r>
                </w:p>
              </w:tc>
              <w:tc>
                <w:tcPr>
                  <w:tcW w:w="1060" w:type="dxa"/>
                  <w:tcBorders>
                    <w:tl2br w:val="nil"/>
                    <w:tr2bl w:val="nil"/>
                  </w:tcBorders>
                  <w:vAlign w:val="center"/>
                </w:tcPr>
                <w:p w14:paraId="5DED30D9">
                  <w:pPr>
                    <w:pStyle w:val="54"/>
                    <w:rPr>
                      <w:color w:val="auto"/>
                    </w:rPr>
                  </w:pPr>
                  <w:r>
                    <w:rPr>
                      <w:color w:val="auto"/>
                    </w:rPr>
                    <w:t>达标</w:t>
                  </w:r>
                </w:p>
              </w:tc>
            </w:tr>
            <w:tr w14:paraId="36608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3" w:type="dxa"/>
                  <w:vMerge w:val="continue"/>
                  <w:tcBorders>
                    <w:tl2br w:val="nil"/>
                    <w:tr2bl w:val="nil"/>
                  </w:tcBorders>
                  <w:vAlign w:val="center"/>
                </w:tcPr>
                <w:p w14:paraId="685832EA">
                  <w:pPr>
                    <w:pStyle w:val="54"/>
                    <w:rPr>
                      <w:color w:val="auto"/>
                    </w:rPr>
                  </w:pPr>
                </w:p>
              </w:tc>
              <w:tc>
                <w:tcPr>
                  <w:tcW w:w="1363" w:type="dxa"/>
                  <w:tcBorders>
                    <w:tl2br w:val="nil"/>
                    <w:tr2bl w:val="nil"/>
                  </w:tcBorders>
                  <w:vAlign w:val="center"/>
                </w:tcPr>
                <w:p w14:paraId="1FA62B8B">
                  <w:pPr>
                    <w:pStyle w:val="54"/>
                    <w:rPr>
                      <w:color w:val="auto"/>
                    </w:rPr>
                  </w:pPr>
                  <w:r>
                    <w:rPr>
                      <w:color w:val="auto"/>
                    </w:rPr>
                    <w:t>SS</w:t>
                  </w:r>
                </w:p>
              </w:tc>
              <w:tc>
                <w:tcPr>
                  <w:tcW w:w="1825" w:type="dxa"/>
                  <w:tcBorders>
                    <w:tl2br w:val="nil"/>
                    <w:tr2bl w:val="nil"/>
                  </w:tcBorders>
                  <w:vAlign w:val="center"/>
                </w:tcPr>
                <w:p w14:paraId="64B13798">
                  <w:pPr>
                    <w:pStyle w:val="54"/>
                    <w:rPr>
                      <w:color w:val="auto"/>
                    </w:rPr>
                  </w:pPr>
                  <w:r>
                    <w:rPr>
                      <w:rFonts w:hint="eastAsia"/>
                      <w:color w:val="auto"/>
                    </w:rPr>
                    <w:t>30</w:t>
                  </w:r>
                </w:p>
              </w:tc>
              <w:tc>
                <w:tcPr>
                  <w:tcW w:w="1700" w:type="dxa"/>
                  <w:tcBorders>
                    <w:tl2br w:val="nil"/>
                    <w:tr2bl w:val="nil"/>
                  </w:tcBorders>
                  <w:vAlign w:val="center"/>
                </w:tcPr>
                <w:p w14:paraId="7B94A1AA">
                  <w:pPr>
                    <w:pStyle w:val="54"/>
                    <w:rPr>
                      <w:color w:val="auto"/>
                    </w:rPr>
                  </w:pPr>
                  <w:r>
                    <w:rPr>
                      <w:rFonts w:hint="eastAsia"/>
                      <w:color w:val="auto"/>
                    </w:rPr>
                    <w:t>0.0107</w:t>
                  </w:r>
                </w:p>
              </w:tc>
              <w:tc>
                <w:tcPr>
                  <w:tcW w:w="1750" w:type="dxa"/>
                  <w:tcBorders>
                    <w:tl2br w:val="nil"/>
                    <w:tr2bl w:val="nil"/>
                  </w:tcBorders>
                  <w:vAlign w:val="center"/>
                </w:tcPr>
                <w:p w14:paraId="04A688E6">
                  <w:pPr>
                    <w:pStyle w:val="54"/>
                    <w:rPr>
                      <w:color w:val="auto"/>
                    </w:rPr>
                  </w:pPr>
                  <w:r>
                    <w:rPr>
                      <w:rFonts w:hint="eastAsia"/>
                      <w:color w:val="auto"/>
                    </w:rPr>
                    <w:t>0.0840</w:t>
                  </w:r>
                </w:p>
              </w:tc>
              <w:tc>
                <w:tcPr>
                  <w:tcW w:w="1060" w:type="dxa"/>
                  <w:tcBorders>
                    <w:tl2br w:val="nil"/>
                    <w:tr2bl w:val="nil"/>
                  </w:tcBorders>
                  <w:vAlign w:val="center"/>
                </w:tcPr>
                <w:p w14:paraId="38A5F282">
                  <w:pPr>
                    <w:pStyle w:val="54"/>
                    <w:rPr>
                      <w:color w:val="auto"/>
                    </w:rPr>
                  </w:pPr>
                  <w:r>
                    <w:rPr>
                      <w:color w:val="auto"/>
                    </w:rPr>
                    <w:t>达标</w:t>
                  </w:r>
                </w:p>
              </w:tc>
            </w:tr>
            <w:tr w14:paraId="0D375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3" w:type="dxa"/>
                  <w:vMerge w:val="continue"/>
                  <w:tcBorders>
                    <w:tl2br w:val="nil"/>
                    <w:tr2bl w:val="nil"/>
                  </w:tcBorders>
                  <w:vAlign w:val="center"/>
                </w:tcPr>
                <w:p w14:paraId="4029929A">
                  <w:pPr>
                    <w:pStyle w:val="54"/>
                    <w:rPr>
                      <w:color w:val="auto"/>
                    </w:rPr>
                  </w:pPr>
                </w:p>
              </w:tc>
              <w:tc>
                <w:tcPr>
                  <w:tcW w:w="1363" w:type="dxa"/>
                  <w:tcBorders>
                    <w:tl2br w:val="nil"/>
                    <w:tr2bl w:val="nil"/>
                  </w:tcBorders>
                  <w:vAlign w:val="center"/>
                </w:tcPr>
                <w:p w14:paraId="70F40EC4">
                  <w:pPr>
                    <w:pStyle w:val="54"/>
                    <w:rPr>
                      <w:color w:val="auto"/>
                    </w:rPr>
                  </w:pPr>
                  <w:r>
                    <w:rPr>
                      <w:rFonts w:hint="eastAsia"/>
                      <w:color w:val="auto"/>
                    </w:rPr>
                    <w:t>氨氮</w:t>
                  </w:r>
                </w:p>
              </w:tc>
              <w:tc>
                <w:tcPr>
                  <w:tcW w:w="1825" w:type="dxa"/>
                  <w:tcBorders>
                    <w:tl2br w:val="nil"/>
                    <w:tr2bl w:val="nil"/>
                  </w:tcBorders>
                  <w:vAlign w:val="center"/>
                </w:tcPr>
                <w:p w14:paraId="7224FCCF">
                  <w:pPr>
                    <w:pStyle w:val="54"/>
                    <w:rPr>
                      <w:color w:val="auto"/>
                    </w:rPr>
                  </w:pPr>
                  <w:r>
                    <w:rPr>
                      <w:rFonts w:hint="eastAsia"/>
                      <w:color w:val="auto"/>
                    </w:rPr>
                    <w:t>15.4</w:t>
                  </w:r>
                </w:p>
              </w:tc>
              <w:tc>
                <w:tcPr>
                  <w:tcW w:w="1700" w:type="dxa"/>
                  <w:tcBorders>
                    <w:tl2br w:val="nil"/>
                    <w:tr2bl w:val="nil"/>
                  </w:tcBorders>
                  <w:vAlign w:val="center"/>
                </w:tcPr>
                <w:p w14:paraId="344AE9BE">
                  <w:pPr>
                    <w:pStyle w:val="54"/>
                    <w:rPr>
                      <w:color w:val="auto"/>
                    </w:rPr>
                  </w:pPr>
                  <w:r>
                    <w:rPr>
                      <w:rFonts w:hint="eastAsia"/>
                      <w:color w:val="auto"/>
                    </w:rPr>
                    <w:t>0.0055</w:t>
                  </w:r>
                </w:p>
              </w:tc>
              <w:tc>
                <w:tcPr>
                  <w:tcW w:w="1750" w:type="dxa"/>
                  <w:tcBorders>
                    <w:tl2br w:val="nil"/>
                    <w:tr2bl w:val="nil"/>
                  </w:tcBorders>
                  <w:vAlign w:val="center"/>
                </w:tcPr>
                <w:p w14:paraId="1ACEDFA3">
                  <w:pPr>
                    <w:pStyle w:val="54"/>
                    <w:rPr>
                      <w:color w:val="auto"/>
                    </w:rPr>
                  </w:pPr>
                  <w:r>
                    <w:rPr>
                      <w:rFonts w:hint="eastAsia"/>
                      <w:color w:val="auto"/>
                    </w:rPr>
                    <w:t>0.0210</w:t>
                  </w:r>
                </w:p>
              </w:tc>
              <w:tc>
                <w:tcPr>
                  <w:tcW w:w="1060" w:type="dxa"/>
                  <w:tcBorders>
                    <w:tl2br w:val="nil"/>
                    <w:tr2bl w:val="nil"/>
                  </w:tcBorders>
                  <w:vAlign w:val="center"/>
                </w:tcPr>
                <w:p w14:paraId="6CB30ADE">
                  <w:pPr>
                    <w:pStyle w:val="54"/>
                    <w:rPr>
                      <w:color w:val="auto"/>
                    </w:rPr>
                  </w:pPr>
                  <w:r>
                    <w:rPr>
                      <w:color w:val="auto"/>
                    </w:rPr>
                    <w:t>达标</w:t>
                  </w:r>
                </w:p>
              </w:tc>
            </w:tr>
            <w:tr w14:paraId="1DF3A0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3" w:type="dxa"/>
                  <w:vMerge w:val="continue"/>
                  <w:tcBorders>
                    <w:tl2br w:val="nil"/>
                    <w:tr2bl w:val="nil"/>
                  </w:tcBorders>
                  <w:vAlign w:val="center"/>
                </w:tcPr>
                <w:p w14:paraId="1C463117">
                  <w:pPr>
                    <w:pStyle w:val="54"/>
                    <w:rPr>
                      <w:color w:val="auto"/>
                    </w:rPr>
                  </w:pPr>
                </w:p>
              </w:tc>
              <w:tc>
                <w:tcPr>
                  <w:tcW w:w="1363" w:type="dxa"/>
                  <w:tcBorders>
                    <w:tl2br w:val="nil"/>
                    <w:tr2bl w:val="nil"/>
                  </w:tcBorders>
                  <w:vAlign w:val="center"/>
                </w:tcPr>
                <w:p w14:paraId="73ADC572">
                  <w:pPr>
                    <w:pStyle w:val="54"/>
                    <w:rPr>
                      <w:color w:val="auto"/>
                    </w:rPr>
                  </w:pPr>
                  <w:r>
                    <w:rPr>
                      <w:color w:val="auto"/>
                    </w:rPr>
                    <w:t>TP</w:t>
                  </w:r>
                </w:p>
              </w:tc>
              <w:tc>
                <w:tcPr>
                  <w:tcW w:w="1825" w:type="dxa"/>
                  <w:tcBorders>
                    <w:tl2br w:val="nil"/>
                    <w:tr2bl w:val="nil"/>
                  </w:tcBorders>
                  <w:vAlign w:val="center"/>
                </w:tcPr>
                <w:p w14:paraId="2241503C">
                  <w:pPr>
                    <w:pStyle w:val="54"/>
                    <w:rPr>
                      <w:color w:val="auto"/>
                    </w:rPr>
                  </w:pPr>
                  <w:r>
                    <w:rPr>
                      <w:rFonts w:hint="eastAsia"/>
                      <w:color w:val="auto"/>
                    </w:rPr>
                    <w:t>1.54</w:t>
                  </w:r>
                </w:p>
              </w:tc>
              <w:tc>
                <w:tcPr>
                  <w:tcW w:w="1700" w:type="dxa"/>
                  <w:tcBorders>
                    <w:tl2br w:val="nil"/>
                    <w:tr2bl w:val="nil"/>
                  </w:tcBorders>
                  <w:vAlign w:val="center"/>
                </w:tcPr>
                <w:p w14:paraId="545FFF63">
                  <w:pPr>
                    <w:pStyle w:val="54"/>
                    <w:rPr>
                      <w:color w:val="auto"/>
                    </w:rPr>
                  </w:pPr>
                  <w:r>
                    <w:rPr>
                      <w:rFonts w:hint="eastAsia"/>
                      <w:color w:val="auto"/>
                    </w:rPr>
                    <w:t>0.0006</w:t>
                  </w:r>
                </w:p>
              </w:tc>
              <w:tc>
                <w:tcPr>
                  <w:tcW w:w="1750" w:type="dxa"/>
                  <w:tcBorders>
                    <w:tl2br w:val="nil"/>
                    <w:tr2bl w:val="nil"/>
                  </w:tcBorders>
                  <w:vAlign w:val="center"/>
                </w:tcPr>
                <w:p w14:paraId="2C29ABD5">
                  <w:pPr>
                    <w:pStyle w:val="54"/>
                    <w:rPr>
                      <w:color w:val="auto"/>
                    </w:rPr>
                  </w:pPr>
                  <w:r>
                    <w:rPr>
                      <w:rFonts w:hint="eastAsia"/>
                      <w:color w:val="auto"/>
                    </w:rPr>
                    <w:t>0.0025</w:t>
                  </w:r>
                </w:p>
              </w:tc>
              <w:tc>
                <w:tcPr>
                  <w:tcW w:w="1060" w:type="dxa"/>
                  <w:tcBorders>
                    <w:tl2br w:val="nil"/>
                    <w:tr2bl w:val="nil"/>
                  </w:tcBorders>
                  <w:vAlign w:val="center"/>
                </w:tcPr>
                <w:p w14:paraId="28F97F16">
                  <w:pPr>
                    <w:pStyle w:val="54"/>
                    <w:rPr>
                      <w:color w:val="auto"/>
                    </w:rPr>
                  </w:pPr>
                  <w:r>
                    <w:rPr>
                      <w:color w:val="auto"/>
                    </w:rPr>
                    <w:t>达标</w:t>
                  </w:r>
                </w:p>
              </w:tc>
            </w:tr>
            <w:tr w14:paraId="4F46C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3" w:type="dxa"/>
                  <w:vMerge w:val="continue"/>
                  <w:tcBorders>
                    <w:tl2br w:val="nil"/>
                    <w:tr2bl w:val="nil"/>
                  </w:tcBorders>
                  <w:vAlign w:val="center"/>
                </w:tcPr>
                <w:p w14:paraId="7E2E4D2F">
                  <w:pPr>
                    <w:pStyle w:val="54"/>
                    <w:rPr>
                      <w:color w:val="auto"/>
                    </w:rPr>
                  </w:pPr>
                </w:p>
              </w:tc>
              <w:tc>
                <w:tcPr>
                  <w:tcW w:w="1363" w:type="dxa"/>
                  <w:tcBorders>
                    <w:tl2br w:val="nil"/>
                    <w:tr2bl w:val="nil"/>
                  </w:tcBorders>
                  <w:vAlign w:val="center"/>
                </w:tcPr>
                <w:p w14:paraId="4BC72338">
                  <w:pPr>
                    <w:pStyle w:val="54"/>
                    <w:rPr>
                      <w:color w:val="auto"/>
                    </w:rPr>
                  </w:pPr>
                  <w:r>
                    <w:rPr>
                      <w:rFonts w:hint="eastAsia"/>
                      <w:color w:val="auto"/>
                    </w:rPr>
                    <w:t>TN</w:t>
                  </w:r>
                </w:p>
              </w:tc>
              <w:tc>
                <w:tcPr>
                  <w:tcW w:w="1825" w:type="dxa"/>
                  <w:tcBorders>
                    <w:tl2br w:val="nil"/>
                    <w:tr2bl w:val="nil"/>
                  </w:tcBorders>
                  <w:vAlign w:val="center"/>
                </w:tcPr>
                <w:p w14:paraId="72B5DAEE">
                  <w:pPr>
                    <w:pStyle w:val="54"/>
                    <w:rPr>
                      <w:color w:val="auto"/>
                    </w:rPr>
                  </w:pPr>
                  <w:r>
                    <w:rPr>
                      <w:rFonts w:hint="eastAsia"/>
                      <w:color w:val="auto"/>
                    </w:rPr>
                    <w:t>24.9</w:t>
                  </w:r>
                </w:p>
              </w:tc>
              <w:tc>
                <w:tcPr>
                  <w:tcW w:w="1700" w:type="dxa"/>
                  <w:tcBorders>
                    <w:tl2br w:val="nil"/>
                    <w:tr2bl w:val="nil"/>
                  </w:tcBorders>
                  <w:vAlign w:val="center"/>
                </w:tcPr>
                <w:p w14:paraId="609675CA">
                  <w:pPr>
                    <w:pStyle w:val="54"/>
                    <w:rPr>
                      <w:color w:val="auto"/>
                    </w:rPr>
                  </w:pPr>
                  <w:r>
                    <w:rPr>
                      <w:rFonts w:hint="eastAsia"/>
                      <w:color w:val="auto"/>
                    </w:rPr>
                    <w:t>0.0089</w:t>
                  </w:r>
                </w:p>
              </w:tc>
              <w:tc>
                <w:tcPr>
                  <w:tcW w:w="1750" w:type="dxa"/>
                  <w:tcBorders>
                    <w:tl2br w:val="nil"/>
                    <w:tr2bl w:val="nil"/>
                  </w:tcBorders>
                  <w:vAlign w:val="center"/>
                </w:tcPr>
                <w:p w14:paraId="269C3339">
                  <w:pPr>
                    <w:pStyle w:val="54"/>
                    <w:rPr>
                      <w:color w:val="auto"/>
                    </w:rPr>
                  </w:pPr>
                  <w:r>
                    <w:rPr>
                      <w:rFonts w:hint="eastAsia"/>
                      <w:color w:val="auto"/>
                    </w:rPr>
                    <w:t>0.0336</w:t>
                  </w:r>
                </w:p>
              </w:tc>
              <w:tc>
                <w:tcPr>
                  <w:tcW w:w="1060" w:type="dxa"/>
                  <w:tcBorders>
                    <w:tl2br w:val="nil"/>
                    <w:tr2bl w:val="nil"/>
                  </w:tcBorders>
                  <w:vAlign w:val="center"/>
                </w:tcPr>
                <w:p w14:paraId="1E1AE84C">
                  <w:pPr>
                    <w:pStyle w:val="54"/>
                    <w:rPr>
                      <w:color w:val="auto"/>
                    </w:rPr>
                  </w:pPr>
                  <w:r>
                    <w:rPr>
                      <w:color w:val="auto"/>
                    </w:rPr>
                    <w:t>达标</w:t>
                  </w:r>
                </w:p>
              </w:tc>
            </w:tr>
            <w:tr w14:paraId="09E1C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31" w:type="dxa"/>
                  <w:gridSpan w:val="6"/>
                  <w:tcBorders>
                    <w:tl2br w:val="nil"/>
                    <w:tr2bl w:val="nil"/>
                  </w:tcBorders>
                  <w:vAlign w:val="center"/>
                </w:tcPr>
                <w:p w14:paraId="6E62E72F">
                  <w:pPr>
                    <w:pStyle w:val="54"/>
                    <w:jc w:val="both"/>
                    <w:rPr>
                      <w:color w:val="auto"/>
                    </w:rPr>
                  </w:pPr>
                  <w:r>
                    <w:rPr>
                      <w:rFonts w:hint="eastAsia"/>
                      <w:color w:val="auto"/>
                    </w:rPr>
                    <w:t>注：项目进入环境量：废水量360t/a、</w:t>
                  </w:r>
                  <w:r>
                    <w:rPr>
                      <w:color w:val="auto"/>
                    </w:rPr>
                    <w:t>COD</w:t>
                  </w:r>
                  <w:r>
                    <w:rPr>
                      <w:rFonts w:hint="eastAsia"/>
                      <w:color w:val="auto"/>
                    </w:rPr>
                    <w:t>0.0180t/a、</w:t>
                  </w:r>
                  <w:r>
                    <w:rPr>
                      <w:color w:val="auto"/>
                    </w:rPr>
                    <w:t>SS</w:t>
                  </w:r>
                  <w:r>
                    <w:rPr>
                      <w:rFonts w:hint="eastAsia"/>
                      <w:color w:val="auto"/>
                    </w:rPr>
                    <w:t>0.0036t/a、氨氮0.0018t/a、TP0.0002t/a、TN0.0054t/a。</w:t>
                  </w:r>
                </w:p>
              </w:tc>
            </w:tr>
          </w:tbl>
          <w:p w14:paraId="1E0E7D5F">
            <w:pPr>
              <w:pStyle w:val="50"/>
              <w:ind w:firstLine="482"/>
              <w:rPr>
                <w:b/>
                <w:bCs/>
                <w:color w:val="auto"/>
              </w:rPr>
            </w:pPr>
            <w:r>
              <w:rPr>
                <w:rFonts w:hint="eastAsia"/>
                <w:b/>
                <w:bCs/>
                <w:color w:val="auto"/>
              </w:rPr>
              <w:t>③</w:t>
            </w:r>
            <w:r>
              <w:rPr>
                <w:b/>
                <w:bCs/>
                <w:color w:val="auto"/>
              </w:rPr>
              <w:t>固废</w:t>
            </w:r>
          </w:p>
          <w:p w14:paraId="2F10B3A6">
            <w:pPr>
              <w:pStyle w:val="50"/>
              <w:ind w:firstLine="480"/>
              <w:rPr>
                <w:color w:val="auto"/>
              </w:rPr>
            </w:pPr>
            <w:r>
              <w:rPr>
                <w:color w:val="auto"/>
              </w:rPr>
              <w:t>现有项目所有固废均合理处置，实现零排放。</w:t>
            </w:r>
          </w:p>
          <w:p w14:paraId="633B90B5">
            <w:pPr>
              <w:pStyle w:val="50"/>
              <w:ind w:firstLine="482"/>
              <w:rPr>
                <w:b/>
                <w:bCs/>
                <w:color w:val="auto"/>
              </w:rPr>
            </w:pPr>
            <w:r>
              <w:rPr>
                <w:rFonts w:hint="eastAsia"/>
                <w:b/>
                <w:bCs/>
                <w:color w:val="auto"/>
              </w:rPr>
              <w:t>（3）现有工程存在的环保问题及解决方案</w:t>
            </w:r>
          </w:p>
          <w:p w14:paraId="45248E7F">
            <w:pPr>
              <w:pStyle w:val="50"/>
              <w:ind w:firstLine="480"/>
              <w:rPr>
                <w:color w:val="auto"/>
              </w:rPr>
            </w:pPr>
            <w:r>
              <w:rPr>
                <w:rFonts w:hint="eastAsia"/>
                <w:color w:val="auto"/>
              </w:rPr>
              <w:t>经现场调查，现有项目生产期间各环保治理设施运行正常，污染物达标排放。现有项目于2025年7月18日获得突发环境事件应急预案备案表，备案编号为321323-2025-043-L，详见附件</w:t>
            </w:r>
            <w:r>
              <w:rPr>
                <w:rFonts w:hint="eastAsia"/>
                <w:color w:val="auto"/>
                <w:lang w:val="en-US" w:eastAsia="zh-CN"/>
              </w:rPr>
              <w:t>14</w:t>
            </w:r>
            <w:r>
              <w:rPr>
                <w:rFonts w:hint="eastAsia"/>
                <w:color w:val="auto"/>
              </w:rPr>
              <w:t>；且项目已在厂内配备了黄沙、灭火器、消防栓、事故应急池、防护面具等应急物资，保证事故发生时</w:t>
            </w:r>
            <w:r>
              <w:rPr>
                <w:rFonts w:hint="eastAsia"/>
                <w:color w:val="auto"/>
                <w:lang w:val="en-US" w:eastAsia="zh-CN"/>
              </w:rPr>
              <w:t>能</w:t>
            </w:r>
            <w:r>
              <w:rPr>
                <w:rFonts w:hint="eastAsia"/>
                <w:color w:val="auto"/>
              </w:rPr>
              <w:t>及时处理。到目前为止现有项目无环境污染纠纷和污染事故发生。</w:t>
            </w:r>
          </w:p>
          <w:p w14:paraId="719FF71F">
            <w:pPr>
              <w:pStyle w:val="50"/>
              <w:ind w:firstLine="482"/>
              <w:rPr>
                <w:b/>
                <w:bCs/>
                <w:color w:val="auto"/>
              </w:rPr>
            </w:pPr>
            <w:r>
              <w:rPr>
                <w:rFonts w:hint="eastAsia"/>
                <w:b/>
                <w:bCs/>
                <w:color w:val="auto"/>
              </w:rPr>
              <w:t>2、</w:t>
            </w:r>
            <w:r>
              <w:rPr>
                <w:b/>
                <w:bCs/>
                <w:color w:val="auto"/>
              </w:rPr>
              <w:t>年产</w:t>
            </w:r>
            <w:r>
              <w:rPr>
                <w:rFonts w:hint="eastAsia"/>
                <w:b/>
                <w:bCs/>
                <w:color w:val="auto"/>
              </w:rPr>
              <w:t>1.6万吨低</w:t>
            </w:r>
            <w:r>
              <w:rPr>
                <w:b/>
                <w:bCs/>
                <w:color w:val="auto"/>
              </w:rPr>
              <w:t>氧铜杆项目</w:t>
            </w:r>
          </w:p>
          <w:p w14:paraId="239D9252">
            <w:pPr>
              <w:pStyle w:val="50"/>
              <w:ind w:firstLine="482"/>
              <w:rPr>
                <w:b/>
                <w:bCs/>
                <w:color w:val="auto"/>
              </w:rPr>
            </w:pPr>
            <w:r>
              <w:rPr>
                <w:rFonts w:hint="eastAsia"/>
                <w:b/>
                <w:bCs/>
                <w:color w:val="auto"/>
              </w:rPr>
              <w:t>（1）现有项目概况</w:t>
            </w:r>
          </w:p>
          <w:p w14:paraId="228B79D6">
            <w:pPr>
              <w:pStyle w:val="50"/>
              <w:ind w:firstLine="480"/>
              <w:rPr>
                <w:rFonts w:eastAsiaTheme="minorEastAsia"/>
                <w:color w:val="auto"/>
              </w:rPr>
            </w:pPr>
            <w:r>
              <w:rPr>
                <w:rFonts w:hint="eastAsia"/>
                <w:color w:val="auto"/>
              </w:rPr>
              <w:t>扩建</w:t>
            </w:r>
            <w:r>
              <w:rPr>
                <w:color w:val="auto"/>
              </w:rPr>
              <w:t>年产16000吨无氧铜杆项目</w:t>
            </w:r>
            <w:r>
              <w:rPr>
                <w:rFonts w:hint="eastAsia"/>
                <w:color w:val="auto"/>
              </w:rPr>
              <w:t>位于宿迁市泗阳</w:t>
            </w:r>
            <w:r>
              <w:rPr>
                <w:color w:val="auto"/>
              </w:rPr>
              <w:t>南刘集全民创业园创业大道6号，</w:t>
            </w:r>
            <w:r>
              <w:rPr>
                <w:rFonts w:hint="eastAsia" w:eastAsiaTheme="minorEastAsia"/>
                <w:color w:val="auto"/>
              </w:rPr>
              <w:t>于2025年2月17日获得</w:t>
            </w:r>
            <w:r>
              <w:rPr>
                <w:rFonts w:hint="eastAsia"/>
                <w:color w:val="auto"/>
              </w:rPr>
              <w:t>《关于对江苏恒轩新材料科技有限公司年产16000吨无氧铜杆项目环境影响报告表的批复》（宿环建管表〔2024〕20018号），于2025年2月开始建设，于2025年4月完成建设并投产，于2025年4月28日完成竣工环境保护验收，于2025年6月停产，所有生产设备待本次扩建项目获得环评批复后，进行拆除并搬迁至宿迁市泗阳县王集镇发展大道东路8号厂区内进行生产。现有</w:t>
            </w:r>
            <w:r>
              <w:rPr>
                <w:rFonts w:hint="eastAsia" w:eastAsiaTheme="minorEastAsia"/>
                <w:color w:val="auto"/>
              </w:rPr>
              <w:t>项目环保审批情况见</w:t>
            </w:r>
            <w:r>
              <w:rPr>
                <w:rFonts w:hint="eastAsia" w:eastAsiaTheme="minorEastAsia"/>
                <w:color w:val="auto"/>
              </w:rPr>
              <w:fldChar w:fldCharType="begin"/>
            </w:r>
            <w:r>
              <w:rPr>
                <w:rFonts w:hint="eastAsia" w:eastAsiaTheme="minorEastAsia"/>
                <w:color w:val="auto"/>
              </w:rPr>
              <w:instrText xml:space="preserve"> REF _Ref17505 \h </w:instrText>
            </w:r>
            <w:r>
              <w:rPr>
                <w:rFonts w:hint="eastAsia" w:eastAsiaTheme="minorEastAsia"/>
                <w:color w:val="auto"/>
              </w:rPr>
              <w:fldChar w:fldCharType="separate"/>
            </w:r>
            <w:r>
              <w:rPr>
                <w:color w:val="auto"/>
              </w:rPr>
              <w:t>表2- 17</w:t>
            </w:r>
            <w:r>
              <w:rPr>
                <w:rFonts w:hint="eastAsia" w:eastAsiaTheme="minorEastAsia"/>
                <w:color w:val="auto"/>
              </w:rPr>
              <w:fldChar w:fldCharType="end"/>
            </w:r>
            <w:r>
              <w:rPr>
                <w:rFonts w:hint="eastAsia" w:eastAsiaTheme="minorEastAsia"/>
                <w:color w:val="auto"/>
              </w:rPr>
              <w:t>。</w:t>
            </w:r>
          </w:p>
          <w:p w14:paraId="174D2150">
            <w:pPr>
              <w:pStyle w:val="7"/>
              <w:rPr>
                <w:rFonts w:eastAsiaTheme="minorEastAsia"/>
                <w:color w:val="auto"/>
                <w:szCs w:val="21"/>
              </w:rPr>
            </w:pPr>
            <w:bookmarkStart w:id="61" w:name="_Ref17505"/>
            <w:r>
              <w:rPr>
                <w:color w:val="auto"/>
              </w:rPr>
              <w:t xml:space="preserve">表2- </w:t>
            </w:r>
            <w:r>
              <w:rPr>
                <w:color w:val="auto"/>
              </w:rPr>
              <w:fldChar w:fldCharType="begin"/>
            </w:r>
            <w:r>
              <w:rPr>
                <w:color w:val="auto"/>
              </w:rPr>
              <w:instrText xml:space="preserve"> SEQ 表2- \* ARABIC </w:instrText>
            </w:r>
            <w:r>
              <w:rPr>
                <w:color w:val="auto"/>
              </w:rPr>
              <w:fldChar w:fldCharType="separate"/>
            </w:r>
            <w:r>
              <w:rPr>
                <w:color w:val="auto"/>
              </w:rPr>
              <w:t>17</w:t>
            </w:r>
            <w:r>
              <w:rPr>
                <w:color w:val="auto"/>
              </w:rPr>
              <w:fldChar w:fldCharType="end"/>
            </w:r>
            <w:bookmarkEnd w:id="61"/>
            <w:r>
              <w:rPr>
                <w:rFonts w:hint="eastAsia"/>
                <w:color w:val="auto"/>
              </w:rPr>
              <w:t xml:space="preserve"> 年产16000吨无氧铜杆项目</w:t>
            </w:r>
            <w:r>
              <w:rPr>
                <w:rFonts w:hint="eastAsia" w:eastAsiaTheme="minorEastAsia"/>
                <w:color w:val="auto"/>
                <w:szCs w:val="21"/>
              </w:rPr>
              <w:t>环保审批情况</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1122"/>
              <w:gridCol w:w="6661"/>
            </w:tblGrid>
            <w:tr w14:paraId="47FA2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0" w:type="dxa"/>
                  <w:tcBorders>
                    <w:tl2br w:val="nil"/>
                    <w:tr2bl w:val="nil"/>
                  </w:tcBorders>
                  <w:vAlign w:val="center"/>
                </w:tcPr>
                <w:p w14:paraId="3BAFD074">
                  <w:pPr>
                    <w:pStyle w:val="52"/>
                    <w:rPr>
                      <w:color w:val="auto"/>
                    </w:rPr>
                  </w:pPr>
                  <w:r>
                    <w:rPr>
                      <w:color w:val="auto"/>
                    </w:rPr>
                    <w:t>序号</w:t>
                  </w:r>
                </w:p>
              </w:tc>
              <w:tc>
                <w:tcPr>
                  <w:tcW w:w="1122" w:type="dxa"/>
                  <w:tcBorders>
                    <w:tl2br w:val="nil"/>
                    <w:tr2bl w:val="nil"/>
                  </w:tcBorders>
                  <w:vAlign w:val="center"/>
                </w:tcPr>
                <w:p w14:paraId="07C2F4C7">
                  <w:pPr>
                    <w:pStyle w:val="52"/>
                    <w:rPr>
                      <w:color w:val="auto"/>
                    </w:rPr>
                  </w:pPr>
                  <w:r>
                    <w:rPr>
                      <w:color w:val="auto"/>
                    </w:rPr>
                    <w:t>项目</w:t>
                  </w:r>
                </w:p>
              </w:tc>
              <w:tc>
                <w:tcPr>
                  <w:tcW w:w="6661" w:type="dxa"/>
                  <w:tcBorders>
                    <w:tl2br w:val="nil"/>
                    <w:tr2bl w:val="nil"/>
                  </w:tcBorders>
                  <w:vAlign w:val="center"/>
                </w:tcPr>
                <w:p w14:paraId="55BD8C17">
                  <w:pPr>
                    <w:pStyle w:val="52"/>
                    <w:rPr>
                      <w:color w:val="auto"/>
                    </w:rPr>
                  </w:pPr>
                  <w:r>
                    <w:rPr>
                      <w:color w:val="auto"/>
                    </w:rPr>
                    <w:t>执行情况</w:t>
                  </w:r>
                </w:p>
              </w:tc>
            </w:tr>
            <w:tr w14:paraId="4ED6B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0" w:type="dxa"/>
                  <w:tcBorders>
                    <w:tl2br w:val="nil"/>
                    <w:tr2bl w:val="nil"/>
                  </w:tcBorders>
                  <w:vAlign w:val="center"/>
                </w:tcPr>
                <w:p w14:paraId="6E63EE20">
                  <w:pPr>
                    <w:pStyle w:val="54"/>
                    <w:rPr>
                      <w:color w:val="auto"/>
                    </w:rPr>
                  </w:pPr>
                  <w:r>
                    <w:rPr>
                      <w:color w:val="auto"/>
                    </w:rPr>
                    <w:t>1</w:t>
                  </w:r>
                </w:p>
              </w:tc>
              <w:tc>
                <w:tcPr>
                  <w:tcW w:w="1122" w:type="dxa"/>
                  <w:tcBorders>
                    <w:tl2br w:val="nil"/>
                    <w:tr2bl w:val="nil"/>
                  </w:tcBorders>
                  <w:vAlign w:val="center"/>
                </w:tcPr>
                <w:p w14:paraId="4D30A4EB">
                  <w:pPr>
                    <w:pStyle w:val="54"/>
                    <w:rPr>
                      <w:color w:val="auto"/>
                    </w:rPr>
                  </w:pPr>
                  <w:r>
                    <w:rPr>
                      <w:color w:val="auto"/>
                    </w:rPr>
                    <w:t>项目名称</w:t>
                  </w:r>
                </w:p>
              </w:tc>
              <w:tc>
                <w:tcPr>
                  <w:tcW w:w="6661" w:type="dxa"/>
                  <w:tcBorders>
                    <w:tl2br w:val="nil"/>
                    <w:tr2bl w:val="nil"/>
                  </w:tcBorders>
                  <w:vAlign w:val="center"/>
                </w:tcPr>
                <w:p w14:paraId="068A5A64">
                  <w:pPr>
                    <w:pStyle w:val="54"/>
                    <w:rPr>
                      <w:color w:val="auto"/>
                    </w:rPr>
                  </w:pPr>
                  <w:r>
                    <w:rPr>
                      <w:rFonts w:hint="eastAsia"/>
                      <w:color w:val="auto"/>
                    </w:rPr>
                    <w:t>年产16000吨无氧铜杆项目</w:t>
                  </w:r>
                </w:p>
              </w:tc>
            </w:tr>
            <w:tr w14:paraId="0E447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0" w:type="dxa"/>
                  <w:tcBorders>
                    <w:tl2br w:val="nil"/>
                    <w:tr2bl w:val="nil"/>
                  </w:tcBorders>
                  <w:vAlign w:val="center"/>
                </w:tcPr>
                <w:p w14:paraId="33B569EC">
                  <w:pPr>
                    <w:pStyle w:val="54"/>
                    <w:rPr>
                      <w:color w:val="auto"/>
                    </w:rPr>
                  </w:pPr>
                  <w:r>
                    <w:rPr>
                      <w:color w:val="auto"/>
                    </w:rPr>
                    <w:t>2</w:t>
                  </w:r>
                </w:p>
              </w:tc>
              <w:tc>
                <w:tcPr>
                  <w:tcW w:w="1122" w:type="dxa"/>
                  <w:tcBorders>
                    <w:tl2br w:val="nil"/>
                    <w:tr2bl w:val="nil"/>
                  </w:tcBorders>
                  <w:vAlign w:val="center"/>
                </w:tcPr>
                <w:p w14:paraId="7792B35B">
                  <w:pPr>
                    <w:pStyle w:val="54"/>
                    <w:rPr>
                      <w:color w:val="auto"/>
                    </w:rPr>
                  </w:pPr>
                  <w:r>
                    <w:rPr>
                      <w:color w:val="auto"/>
                    </w:rPr>
                    <w:t>立项</w:t>
                  </w:r>
                </w:p>
              </w:tc>
              <w:tc>
                <w:tcPr>
                  <w:tcW w:w="6661" w:type="dxa"/>
                  <w:tcBorders>
                    <w:tl2br w:val="nil"/>
                    <w:tr2bl w:val="nil"/>
                  </w:tcBorders>
                  <w:vAlign w:val="center"/>
                </w:tcPr>
                <w:p w14:paraId="6D86D913">
                  <w:pPr>
                    <w:pStyle w:val="54"/>
                    <w:rPr>
                      <w:color w:val="auto"/>
                    </w:rPr>
                  </w:pPr>
                  <w:r>
                    <w:rPr>
                      <w:color w:val="auto"/>
                    </w:rPr>
                    <w:t>202</w:t>
                  </w:r>
                  <w:r>
                    <w:rPr>
                      <w:rFonts w:hint="eastAsia"/>
                      <w:color w:val="auto"/>
                    </w:rPr>
                    <w:t>5</w:t>
                  </w:r>
                  <w:r>
                    <w:rPr>
                      <w:color w:val="auto"/>
                    </w:rPr>
                    <w:t>年</w:t>
                  </w:r>
                  <w:r>
                    <w:rPr>
                      <w:rFonts w:hint="eastAsia"/>
                      <w:color w:val="auto"/>
                    </w:rPr>
                    <w:t>1</w:t>
                  </w:r>
                  <w:r>
                    <w:rPr>
                      <w:color w:val="auto"/>
                    </w:rPr>
                    <w:t>月</w:t>
                  </w:r>
                  <w:r>
                    <w:rPr>
                      <w:rFonts w:hint="eastAsia"/>
                      <w:color w:val="auto"/>
                    </w:rPr>
                    <w:t>16</w:t>
                  </w:r>
                  <w:r>
                    <w:rPr>
                      <w:color w:val="auto"/>
                    </w:rPr>
                    <w:t>日获得</w:t>
                  </w:r>
                  <w:r>
                    <w:rPr>
                      <w:rFonts w:hint="eastAsia"/>
                      <w:color w:val="auto"/>
                    </w:rPr>
                    <w:t>宿迁泗阳县数据局</w:t>
                  </w:r>
                  <w:r>
                    <w:rPr>
                      <w:color w:val="auto"/>
                    </w:rPr>
                    <w:t>出具的备案证</w:t>
                  </w:r>
                </w:p>
                <w:p w14:paraId="63BAB31C">
                  <w:pPr>
                    <w:pStyle w:val="54"/>
                    <w:rPr>
                      <w:color w:val="auto"/>
                    </w:rPr>
                  </w:pPr>
                  <w:r>
                    <w:rPr>
                      <w:color w:val="auto"/>
                    </w:rPr>
                    <w:t>备案证号：泗阳行审备〔</w:t>
                  </w:r>
                  <w:r>
                    <w:rPr>
                      <w:rFonts w:hint="eastAsia"/>
                      <w:color w:val="auto"/>
                    </w:rPr>
                    <w:t>2025</w:t>
                  </w:r>
                  <w:r>
                    <w:rPr>
                      <w:color w:val="auto"/>
                    </w:rPr>
                    <w:t>〕</w:t>
                  </w:r>
                  <w:r>
                    <w:rPr>
                      <w:rFonts w:hint="eastAsia"/>
                      <w:color w:val="auto"/>
                    </w:rPr>
                    <w:t>76</w:t>
                  </w:r>
                  <w:r>
                    <w:rPr>
                      <w:color w:val="auto"/>
                    </w:rPr>
                    <w:t>号</w:t>
                  </w:r>
                </w:p>
                <w:p w14:paraId="0E104C1F">
                  <w:pPr>
                    <w:pStyle w:val="54"/>
                    <w:rPr>
                      <w:color w:val="auto"/>
                    </w:rPr>
                  </w:pPr>
                  <w:r>
                    <w:rPr>
                      <w:color w:val="auto"/>
                    </w:rPr>
                    <w:t>项目代码：</w:t>
                  </w:r>
                  <w:r>
                    <w:rPr>
                      <w:rFonts w:hint="eastAsia"/>
                      <w:color w:val="auto"/>
                    </w:rPr>
                    <w:t>2412-321323-89-01-520504</w:t>
                  </w:r>
                </w:p>
              </w:tc>
            </w:tr>
            <w:tr w14:paraId="62112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0" w:type="dxa"/>
                  <w:tcBorders>
                    <w:tl2br w:val="nil"/>
                    <w:tr2bl w:val="nil"/>
                  </w:tcBorders>
                  <w:vAlign w:val="center"/>
                </w:tcPr>
                <w:p w14:paraId="5D6BC447">
                  <w:pPr>
                    <w:pStyle w:val="54"/>
                    <w:rPr>
                      <w:color w:val="auto"/>
                    </w:rPr>
                  </w:pPr>
                  <w:r>
                    <w:rPr>
                      <w:color w:val="auto"/>
                    </w:rPr>
                    <w:t>3</w:t>
                  </w:r>
                </w:p>
              </w:tc>
              <w:tc>
                <w:tcPr>
                  <w:tcW w:w="1122" w:type="dxa"/>
                  <w:tcBorders>
                    <w:tl2br w:val="nil"/>
                    <w:tr2bl w:val="nil"/>
                  </w:tcBorders>
                  <w:vAlign w:val="center"/>
                </w:tcPr>
                <w:p w14:paraId="77D4B627">
                  <w:pPr>
                    <w:pStyle w:val="54"/>
                    <w:rPr>
                      <w:color w:val="auto"/>
                    </w:rPr>
                  </w:pPr>
                  <w:r>
                    <w:rPr>
                      <w:color w:val="auto"/>
                    </w:rPr>
                    <w:t>环评编制</w:t>
                  </w:r>
                </w:p>
              </w:tc>
              <w:tc>
                <w:tcPr>
                  <w:tcW w:w="6661" w:type="dxa"/>
                  <w:tcBorders>
                    <w:tl2br w:val="nil"/>
                    <w:tr2bl w:val="nil"/>
                  </w:tcBorders>
                  <w:vAlign w:val="center"/>
                </w:tcPr>
                <w:p w14:paraId="61D6E7F4">
                  <w:pPr>
                    <w:pStyle w:val="54"/>
                    <w:rPr>
                      <w:color w:val="auto"/>
                    </w:rPr>
                  </w:pPr>
                  <w:r>
                    <w:rPr>
                      <w:color w:val="auto"/>
                    </w:rPr>
                    <w:t>202</w:t>
                  </w:r>
                  <w:r>
                    <w:rPr>
                      <w:rFonts w:hint="eastAsia"/>
                      <w:color w:val="auto"/>
                    </w:rPr>
                    <w:t>5</w:t>
                  </w:r>
                  <w:r>
                    <w:rPr>
                      <w:color w:val="auto"/>
                    </w:rPr>
                    <w:t>年</w:t>
                  </w:r>
                  <w:r>
                    <w:rPr>
                      <w:rFonts w:hint="eastAsia"/>
                      <w:color w:val="auto"/>
                    </w:rPr>
                    <w:t>1</w:t>
                  </w:r>
                  <w:r>
                    <w:rPr>
                      <w:color w:val="auto"/>
                    </w:rPr>
                    <w:t>月委托江苏联晟生态环境科技有限公司编制完成了《江苏恒轩新材料科技有限公司</w:t>
                  </w:r>
                  <w:r>
                    <w:rPr>
                      <w:rFonts w:hint="eastAsia"/>
                      <w:color w:val="auto"/>
                    </w:rPr>
                    <w:t>年产16000吨无氧铜杆项目</w:t>
                  </w:r>
                  <w:r>
                    <w:rPr>
                      <w:color w:val="auto"/>
                    </w:rPr>
                    <w:t>环境影响报告表》</w:t>
                  </w:r>
                </w:p>
              </w:tc>
            </w:tr>
            <w:tr w14:paraId="2018F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0" w:type="dxa"/>
                  <w:tcBorders>
                    <w:tl2br w:val="nil"/>
                    <w:tr2bl w:val="nil"/>
                  </w:tcBorders>
                  <w:vAlign w:val="center"/>
                </w:tcPr>
                <w:p w14:paraId="43200E52">
                  <w:pPr>
                    <w:pStyle w:val="54"/>
                    <w:rPr>
                      <w:color w:val="auto"/>
                    </w:rPr>
                  </w:pPr>
                  <w:r>
                    <w:rPr>
                      <w:color w:val="auto"/>
                    </w:rPr>
                    <w:t>4</w:t>
                  </w:r>
                </w:p>
              </w:tc>
              <w:tc>
                <w:tcPr>
                  <w:tcW w:w="1122" w:type="dxa"/>
                  <w:tcBorders>
                    <w:tl2br w:val="nil"/>
                    <w:tr2bl w:val="nil"/>
                  </w:tcBorders>
                  <w:vAlign w:val="center"/>
                </w:tcPr>
                <w:p w14:paraId="64024853">
                  <w:pPr>
                    <w:pStyle w:val="54"/>
                    <w:rPr>
                      <w:color w:val="auto"/>
                    </w:rPr>
                  </w:pPr>
                  <w:r>
                    <w:rPr>
                      <w:color w:val="auto"/>
                    </w:rPr>
                    <w:t>环评批复</w:t>
                  </w:r>
                </w:p>
              </w:tc>
              <w:tc>
                <w:tcPr>
                  <w:tcW w:w="6661" w:type="dxa"/>
                  <w:tcBorders>
                    <w:tl2br w:val="nil"/>
                    <w:tr2bl w:val="nil"/>
                  </w:tcBorders>
                  <w:vAlign w:val="center"/>
                </w:tcPr>
                <w:p w14:paraId="4310E905">
                  <w:pPr>
                    <w:pStyle w:val="54"/>
                    <w:rPr>
                      <w:color w:val="auto"/>
                    </w:rPr>
                  </w:pPr>
                  <w:r>
                    <w:rPr>
                      <w:rFonts w:hint="eastAsia"/>
                      <w:color w:val="auto"/>
                    </w:rPr>
                    <w:t>2024年2月7日获得《关于对江苏恒轩新材料科技有限公司年产10万吨低氧铜杆项目环境影响报告表的批复》（宿环建表管〔2025〕20011号）</w:t>
                  </w:r>
                </w:p>
              </w:tc>
            </w:tr>
            <w:tr w14:paraId="54685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0" w:type="dxa"/>
                  <w:tcBorders>
                    <w:tl2br w:val="nil"/>
                    <w:tr2bl w:val="nil"/>
                  </w:tcBorders>
                  <w:vAlign w:val="center"/>
                </w:tcPr>
                <w:p w14:paraId="0879EB6A">
                  <w:pPr>
                    <w:pStyle w:val="54"/>
                    <w:rPr>
                      <w:color w:val="auto"/>
                    </w:rPr>
                  </w:pPr>
                  <w:r>
                    <w:rPr>
                      <w:color w:val="auto"/>
                    </w:rPr>
                    <w:t>5</w:t>
                  </w:r>
                </w:p>
              </w:tc>
              <w:tc>
                <w:tcPr>
                  <w:tcW w:w="1122" w:type="dxa"/>
                  <w:tcBorders>
                    <w:tl2br w:val="nil"/>
                    <w:tr2bl w:val="nil"/>
                  </w:tcBorders>
                  <w:vAlign w:val="center"/>
                </w:tcPr>
                <w:p w14:paraId="17110A52">
                  <w:pPr>
                    <w:pStyle w:val="54"/>
                    <w:rPr>
                      <w:color w:val="auto"/>
                    </w:rPr>
                  </w:pPr>
                  <w:r>
                    <w:rPr>
                      <w:color w:val="auto"/>
                    </w:rPr>
                    <w:t>开工建设时间</w:t>
                  </w:r>
                </w:p>
              </w:tc>
              <w:tc>
                <w:tcPr>
                  <w:tcW w:w="6661" w:type="dxa"/>
                  <w:tcBorders>
                    <w:tl2br w:val="nil"/>
                    <w:tr2bl w:val="nil"/>
                  </w:tcBorders>
                  <w:vAlign w:val="center"/>
                </w:tcPr>
                <w:p w14:paraId="5007C797">
                  <w:pPr>
                    <w:pStyle w:val="54"/>
                    <w:rPr>
                      <w:color w:val="auto"/>
                    </w:rPr>
                  </w:pPr>
                  <w:r>
                    <w:rPr>
                      <w:color w:val="auto"/>
                    </w:rPr>
                    <w:t>202</w:t>
                  </w:r>
                  <w:r>
                    <w:rPr>
                      <w:rFonts w:hint="eastAsia"/>
                      <w:color w:val="auto"/>
                    </w:rPr>
                    <w:t>5</w:t>
                  </w:r>
                  <w:r>
                    <w:rPr>
                      <w:color w:val="auto"/>
                    </w:rPr>
                    <w:t>年</w:t>
                  </w:r>
                  <w:r>
                    <w:rPr>
                      <w:rFonts w:hint="eastAsia"/>
                      <w:color w:val="auto"/>
                    </w:rPr>
                    <w:t>2</w:t>
                  </w:r>
                  <w:r>
                    <w:rPr>
                      <w:color w:val="auto"/>
                    </w:rPr>
                    <w:t>月</w:t>
                  </w:r>
                  <w:r>
                    <w:rPr>
                      <w:rFonts w:hint="eastAsia"/>
                      <w:color w:val="auto"/>
                    </w:rPr>
                    <w:t>开工建设</w:t>
                  </w:r>
                </w:p>
              </w:tc>
            </w:tr>
            <w:tr w14:paraId="0D7DF4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650" w:type="dxa"/>
                  <w:tcBorders>
                    <w:tl2br w:val="nil"/>
                    <w:tr2bl w:val="nil"/>
                  </w:tcBorders>
                  <w:vAlign w:val="center"/>
                </w:tcPr>
                <w:p w14:paraId="201A0ADE">
                  <w:pPr>
                    <w:pStyle w:val="54"/>
                    <w:rPr>
                      <w:color w:val="auto"/>
                    </w:rPr>
                  </w:pPr>
                  <w:r>
                    <w:rPr>
                      <w:color w:val="auto"/>
                    </w:rPr>
                    <w:t>6</w:t>
                  </w:r>
                </w:p>
              </w:tc>
              <w:tc>
                <w:tcPr>
                  <w:tcW w:w="1122" w:type="dxa"/>
                  <w:tcBorders>
                    <w:tl2br w:val="nil"/>
                    <w:tr2bl w:val="nil"/>
                  </w:tcBorders>
                  <w:vAlign w:val="center"/>
                </w:tcPr>
                <w:p w14:paraId="429387A9">
                  <w:pPr>
                    <w:pStyle w:val="54"/>
                    <w:rPr>
                      <w:color w:val="auto"/>
                    </w:rPr>
                  </w:pPr>
                  <w:r>
                    <w:rPr>
                      <w:color w:val="auto"/>
                    </w:rPr>
                    <w:t>建成时间</w:t>
                  </w:r>
                </w:p>
              </w:tc>
              <w:tc>
                <w:tcPr>
                  <w:tcW w:w="6661" w:type="dxa"/>
                  <w:tcBorders>
                    <w:tl2br w:val="nil"/>
                    <w:tr2bl w:val="nil"/>
                  </w:tcBorders>
                  <w:vAlign w:val="center"/>
                </w:tcPr>
                <w:p w14:paraId="3AA62902">
                  <w:pPr>
                    <w:pStyle w:val="54"/>
                    <w:rPr>
                      <w:color w:val="auto"/>
                    </w:rPr>
                  </w:pPr>
                  <w:r>
                    <w:rPr>
                      <w:color w:val="auto"/>
                    </w:rPr>
                    <w:t>202</w:t>
                  </w:r>
                  <w:r>
                    <w:rPr>
                      <w:rFonts w:hint="eastAsia"/>
                      <w:color w:val="auto"/>
                    </w:rPr>
                    <w:t>5</w:t>
                  </w:r>
                  <w:r>
                    <w:rPr>
                      <w:color w:val="auto"/>
                    </w:rPr>
                    <w:t>年</w:t>
                  </w:r>
                  <w:r>
                    <w:rPr>
                      <w:rFonts w:hint="eastAsia"/>
                      <w:color w:val="auto"/>
                    </w:rPr>
                    <w:t>2</w:t>
                  </w:r>
                  <w:r>
                    <w:rPr>
                      <w:color w:val="auto"/>
                    </w:rPr>
                    <w:t>月</w:t>
                  </w:r>
                  <w:r>
                    <w:rPr>
                      <w:rFonts w:hint="eastAsia"/>
                      <w:color w:val="auto"/>
                    </w:rPr>
                    <w:t>完成建设</w:t>
                  </w:r>
                </w:p>
              </w:tc>
            </w:tr>
            <w:tr w14:paraId="32899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650" w:type="dxa"/>
                  <w:tcBorders>
                    <w:tl2br w:val="nil"/>
                    <w:tr2bl w:val="nil"/>
                  </w:tcBorders>
                  <w:vAlign w:val="center"/>
                </w:tcPr>
                <w:p w14:paraId="7DDA3981">
                  <w:pPr>
                    <w:pStyle w:val="54"/>
                    <w:rPr>
                      <w:color w:val="auto"/>
                    </w:rPr>
                  </w:pPr>
                  <w:r>
                    <w:rPr>
                      <w:color w:val="auto"/>
                    </w:rPr>
                    <w:t>7</w:t>
                  </w:r>
                </w:p>
              </w:tc>
              <w:tc>
                <w:tcPr>
                  <w:tcW w:w="1122" w:type="dxa"/>
                  <w:tcBorders>
                    <w:tl2br w:val="nil"/>
                    <w:tr2bl w:val="nil"/>
                  </w:tcBorders>
                  <w:vAlign w:val="center"/>
                </w:tcPr>
                <w:p w14:paraId="10B2B4CC">
                  <w:pPr>
                    <w:pStyle w:val="54"/>
                    <w:rPr>
                      <w:color w:val="auto"/>
                    </w:rPr>
                  </w:pPr>
                  <w:r>
                    <w:rPr>
                      <w:color w:val="auto"/>
                    </w:rPr>
                    <w:t>排污许可</w:t>
                  </w:r>
                </w:p>
              </w:tc>
              <w:tc>
                <w:tcPr>
                  <w:tcW w:w="6661" w:type="dxa"/>
                  <w:tcBorders>
                    <w:tl2br w:val="nil"/>
                    <w:tr2bl w:val="nil"/>
                  </w:tcBorders>
                  <w:vAlign w:val="center"/>
                </w:tcPr>
                <w:p w14:paraId="3233A0FA">
                  <w:pPr>
                    <w:pStyle w:val="54"/>
                    <w:rPr>
                      <w:color w:val="auto"/>
                    </w:rPr>
                  </w:pPr>
                  <w:r>
                    <w:rPr>
                      <w:rFonts w:hint="eastAsia"/>
                      <w:color w:val="auto"/>
                    </w:rPr>
                    <w:t>2025年2月21日申领</w:t>
                  </w:r>
                  <w:r>
                    <w:rPr>
                      <w:color w:val="auto"/>
                    </w:rPr>
                    <w:t>排污许可证</w:t>
                  </w:r>
                </w:p>
                <w:p w14:paraId="18E09119">
                  <w:pPr>
                    <w:pStyle w:val="54"/>
                    <w:rPr>
                      <w:color w:val="auto"/>
                    </w:rPr>
                  </w:pPr>
                  <w:r>
                    <w:rPr>
                      <w:color w:val="auto"/>
                    </w:rPr>
                    <w:t>证书编号：</w:t>
                  </w:r>
                  <w:r>
                    <w:rPr>
                      <w:rFonts w:hint="eastAsia"/>
                      <w:color w:val="auto"/>
                    </w:rPr>
                    <w:t>91321323MADJMHG731001Q</w:t>
                  </w:r>
                </w:p>
              </w:tc>
            </w:tr>
            <w:tr w14:paraId="0E9B01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0" w:type="dxa"/>
                  <w:tcBorders>
                    <w:tl2br w:val="nil"/>
                    <w:tr2bl w:val="nil"/>
                  </w:tcBorders>
                  <w:vAlign w:val="center"/>
                </w:tcPr>
                <w:p w14:paraId="23FB4421">
                  <w:pPr>
                    <w:pStyle w:val="54"/>
                    <w:rPr>
                      <w:color w:val="auto"/>
                    </w:rPr>
                  </w:pPr>
                  <w:r>
                    <w:rPr>
                      <w:color w:val="auto"/>
                    </w:rPr>
                    <w:t>8</w:t>
                  </w:r>
                </w:p>
              </w:tc>
              <w:tc>
                <w:tcPr>
                  <w:tcW w:w="1122" w:type="dxa"/>
                  <w:tcBorders>
                    <w:tl2br w:val="nil"/>
                    <w:tr2bl w:val="nil"/>
                  </w:tcBorders>
                  <w:vAlign w:val="center"/>
                </w:tcPr>
                <w:p w14:paraId="2BB21CC3">
                  <w:pPr>
                    <w:pStyle w:val="54"/>
                    <w:rPr>
                      <w:color w:val="auto"/>
                    </w:rPr>
                  </w:pPr>
                  <w:r>
                    <w:rPr>
                      <w:color w:val="auto"/>
                    </w:rPr>
                    <w:t>验收</w:t>
                  </w:r>
                </w:p>
              </w:tc>
              <w:tc>
                <w:tcPr>
                  <w:tcW w:w="6661" w:type="dxa"/>
                  <w:tcBorders>
                    <w:tl2br w:val="nil"/>
                    <w:tr2bl w:val="nil"/>
                  </w:tcBorders>
                  <w:vAlign w:val="center"/>
                </w:tcPr>
                <w:p w14:paraId="73E80A15">
                  <w:pPr>
                    <w:pStyle w:val="54"/>
                    <w:rPr>
                      <w:color w:val="auto"/>
                    </w:rPr>
                  </w:pPr>
                  <w:r>
                    <w:rPr>
                      <w:color w:val="auto"/>
                    </w:rPr>
                    <w:t>2025年</w:t>
                  </w:r>
                  <w:r>
                    <w:rPr>
                      <w:rFonts w:hint="eastAsia"/>
                      <w:color w:val="auto"/>
                    </w:rPr>
                    <w:t>4</w:t>
                  </w:r>
                  <w:r>
                    <w:rPr>
                      <w:color w:val="auto"/>
                    </w:rPr>
                    <w:t>月</w:t>
                  </w:r>
                  <w:r>
                    <w:rPr>
                      <w:rFonts w:hint="eastAsia"/>
                      <w:color w:val="auto"/>
                    </w:rPr>
                    <w:t>28</w:t>
                  </w:r>
                  <w:r>
                    <w:rPr>
                      <w:color w:val="auto"/>
                    </w:rPr>
                    <w:t>日</w:t>
                  </w:r>
                  <w:r>
                    <w:rPr>
                      <w:rFonts w:hint="eastAsia"/>
                      <w:color w:val="auto"/>
                    </w:rPr>
                    <w:t>完成竣工环保</w:t>
                  </w:r>
                  <w:r>
                    <w:rPr>
                      <w:color w:val="auto"/>
                    </w:rPr>
                    <w:t>验收</w:t>
                  </w:r>
                </w:p>
              </w:tc>
            </w:tr>
          </w:tbl>
          <w:p w14:paraId="723BB650">
            <w:pPr>
              <w:pStyle w:val="50"/>
              <w:ind w:firstLine="482"/>
              <w:rPr>
                <w:b/>
                <w:bCs/>
                <w:color w:val="auto"/>
              </w:rPr>
            </w:pPr>
            <w:r>
              <w:rPr>
                <w:rFonts w:hint="eastAsia"/>
                <w:b/>
                <w:bCs/>
                <w:color w:val="auto"/>
              </w:rPr>
              <w:t>（2）</w:t>
            </w:r>
            <w:r>
              <w:rPr>
                <w:b/>
                <w:bCs/>
                <w:color w:val="auto"/>
              </w:rPr>
              <w:t>现有项目污染防治措施及达标情况</w:t>
            </w:r>
          </w:p>
          <w:p w14:paraId="1409B76F">
            <w:pPr>
              <w:pStyle w:val="50"/>
              <w:ind w:firstLine="482"/>
              <w:rPr>
                <w:b/>
                <w:bCs/>
                <w:color w:val="auto"/>
              </w:rPr>
            </w:pPr>
            <w:r>
              <w:rPr>
                <w:b/>
                <w:bCs/>
                <w:color w:val="auto"/>
              </w:rPr>
              <w:t>①</w:t>
            </w:r>
            <w:r>
              <w:rPr>
                <w:rFonts w:hint="eastAsia"/>
                <w:b/>
                <w:bCs/>
                <w:color w:val="auto"/>
              </w:rPr>
              <w:t>废气</w:t>
            </w:r>
          </w:p>
          <w:p w14:paraId="67258DA5">
            <w:pPr>
              <w:pStyle w:val="50"/>
              <w:ind w:firstLine="480"/>
              <w:rPr>
                <w:color w:val="auto"/>
              </w:rPr>
            </w:pPr>
            <w:r>
              <w:rPr>
                <w:rFonts w:hint="eastAsia"/>
                <w:color w:val="auto"/>
              </w:rPr>
              <w:t>现有项目废气主要包括金属熔化烟尘（颗粒物）</w:t>
            </w:r>
            <w:r>
              <w:rPr>
                <w:rFonts w:hint="eastAsia"/>
                <w:color w:val="auto"/>
                <w:lang w:eastAsia="zh-CN"/>
              </w:rPr>
              <w:t>，</w:t>
            </w:r>
            <w:r>
              <w:rPr>
                <w:rFonts w:hint="eastAsia"/>
                <w:color w:val="auto"/>
              </w:rPr>
              <w:t>金属熔化烟尘采用集气罩收集后由布袋除尘器除尘后通过1根15m排气筒（DA001）排放。</w:t>
            </w:r>
          </w:p>
          <w:p w14:paraId="1B19BD2C">
            <w:pPr>
              <w:pStyle w:val="50"/>
              <w:ind w:firstLine="480"/>
              <w:rPr>
                <w:color w:val="auto"/>
              </w:rPr>
            </w:pPr>
            <w:r>
              <w:rPr>
                <w:color w:val="auto"/>
              </w:rPr>
              <w:t>根据</w:t>
            </w:r>
            <w:r>
              <w:rPr>
                <w:rFonts w:hint="eastAsia"/>
                <w:color w:val="auto"/>
              </w:rPr>
              <w:t>验收</w:t>
            </w:r>
            <w:r>
              <w:rPr>
                <w:color w:val="auto"/>
              </w:rPr>
              <w:t>检测报告</w:t>
            </w:r>
            <w:r>
              <w:rPr>
                <w:rFonts w:hint="eastAsia"/>
                <w:color w:val="auto"/>
              </w:rPr>
              <w:t>（</w:t>
            </w:r>
            <w:r>
              <w:rPr>
                <w:color w:val="auto"/>
              </w:rPr>
              <w:t>检测</w:t>
            </w:r>
            <w:r>
              <w:rPr>
                <w:rFonts w:hint="eastAsia"/>
                <w:color w:val="auto"/>
              </w:rPr>
              <w:t>公司为宿迁爱迪信环境科技有限公司、</w:t>
            </w:r>
            <w:r>
              <w:rPr>
                <w:color w:val="auto"/>
              </w:rPr>
              <w:t>检测</w:t>
            </w:r>
            <w:r>
              <w:rPr>
                <w:rFonts w:hint="eastAsia"/>
                <w:color w:val="auto"/>
              </w:rPr>
              <w:t>时间为2025.04.19~2025.04.20、报告编号为SQADT250419002），现有</w:t>
            </w:r>
            <w:r>
              <w:rPr>
                <w:color w:val="auto"/>
              </w:rPr>
              <w:t>项目废气检测结果见</w:t>
            </w:r>
            <w:r>
              <w:rPr>
                <w:color w:val="auto"/>
              </w:rPr>
              <w:fldChar w:fldCharType="begin"/>
            </w:r>
            <w:r>
              <w:rPr>
                <w:color w:val="auto"/>
              </w:rPr>
              <w:instrText xml:space="preserve"> REF _Ref10557 \h </w:instrText>
            </w:r>
            <w:r>
              <w:rPr>
                <w:color w:val="auto"/>
              </w:rPr>
              <w:fldChar w:fldCharType="separate"/>
            </w:r>
            <w:r>
              <w:rPr>
                <w:color w:val="auto"/>
              </w:rPr>
              <w:t>表2- 18</w:t>
            </w:r>
            <w:r>
              <w:rPr>
                <w:color w:val="auto"/>
              </w:rPr>
              <w:fldChar w:fldCharType="end"/>
            </w:r>
            <w:r>
              <w:rPr>
                <w:rFonts w:hint="eastAsia"/>
                <w:color w:val="auto"/>
              </w:rPr>
              <w:t>、</w:t>
            </w:r>
            <w:r>
              <w:rPr>
                <w:rFonts w:hint="eastAsia"/>
                <w:color w:val="auto"/>
              </w:rPr>
              <w:fldChar w:fldCharType="begin"/>
            </w:r>
            <w:r>
              <w:rPr>
                <w:rFonts w:hint="eastAsia"/>
                <w:color w:val="auto"/>
              </w:rPr>
              <w:instrText xml:space="preserve"> REF _Ref15815 \h </w:instrText>
            </w:r>
            <w:r>
              <w:rPr>
                <w:rFonts w:hint="eastAsia"/>
                <w:color w:val="auto"/>
              </w:rPr>
              <w:fldChar w:fldCharType="separate"/>
            </w:r>
            <w:r>
              <w:rPr>
                <w:color w:val="auto"/>
              </w:rPr>
              <w:t>表2- 19</w:t>
            </w:r>
            <w:r>
              <w:rPr>
                <w:rFonts w:hint="eastAsia"/>
                <w:color w:val="auto"/>
              </w:rPr>
              <w:fldChar w:fldCharType="end"/>
            </w:r>
            <w:r>
              <w:rPr>
                <w:color w:val="auto"/>
              </w:rPr>
              <w:t>。</w:t>
            </w:r>
          </w:p>
          <w:p w14:paraId="138F5B32">
            <w:pPr>
              <w:pStyle w:val="7"/>
              <w:rPr>
                <w:color w:val="auto"/>
              </w:rPr>
            </w:pPr>
            <w:bookmarkStart w:id="62" w:name="_Ref10557"/>
            <w:r>
              <w:rPr>
                <w:color w:val="auto"/>
              </w:rPr>
              <w:t xml:space="preserve">表2- </w:t>
            </w:r>
            <w:r>
              <w:rPr>
                <w:color w:val="auto"/>
              </w:rPr>
              <w:fldChar w:fldCharType="begin"/>
            </w:r>
            <w:r>
              <w:rPr>
                <w:color w:val="auto"/>
              </w:rPr>
              <w:instrText xml:space="preserve"> SEQ 表2- \* ARABIC </w:instrText>
            </w:r>
            <w:r>
              <w:rPr>
                <w:color w:val="auto"/>
              </w:rPr>
              <w:fldChar w:fldCharType="separate"/>
            </w:r>
            <w:r>
              <w:rPr>
                <w:color w:val="auto"/>
              </w:rPr>
              <w:t>18</w:t>
            </w:r>
            <w:r>
              <w:rPr>
                <w:color w:val="auto"/>
              </w:rPr>
              <w:fldChar w:fldCharType="end"/>
            </w:r>
            <w:bookmarkEnd w:id="62"/>
            <w:r>
              <w:rPr>
                <w:rFonts w:hint="eastAsia"/>
                <w:color w:val="auto"/>
              </w:rPr>
              <w:t xml:space="preserve"> </w:t>
            </w:r>
            <w:r>
              <w:rPr>
                <w:color w:val="auto"/>
              </w:rPr>
              <w:t>有组织废气检测结果</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6" w:type="dxa"/>
                <w:bottom w:w="0" w:type="dxa"/>
                <w:right w:w="6" w:type="dxa"/>
              </w:tblCellMar>
            </w:tblPr>
            <w:tblGrid>
              <w:gridCol w:w="548"/>
              <w:gridCol w:w="789"/>
              <w:gridCol w:w="947"/>
              <w:gridCol w:w="1786"/>
              <w:gridCol w:w="673"/>
              <w:gridCol w:w="854"/>
              <w:gridCol w:w="854"/>
              <w:gridCol w:w="854"/>
              <w:gridCol w:w="538"/>
              <w:gridCol w:w="590"/>
            </w:tblGrid>
            <w:tr w14:paraId="4C3B6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48" w:type="dxa"/>
                  <w:vMerge w:val="restart"/>
                  <w:tcBorders>
                    <w:tl2br w:val="nil"/>
                    <w:tr2bl w:val="nil"/>
                  </w:tcBorders>
                  <w:vAlign w:val="center"/>
                </w:tcPr>
                <w:p w14:paraId="6E7A1F5C">
                  <w:pPr>
                    <w:pStyle w:val="52"/>
                    <w:rPr>
                      <w:color w:val="auto"/>
                    </w:rPr>
                  </w:pPr>
                  <w:r>
                    <w:rPr>
                      <w:color w:val="auto"/>
                    </w:rPr>
                    <w:t>采样日期</w:t>
                  </w:r>
                </w:p>
              </w:tc>
              <w:tc>
                <w:tcPr>
                  <w:tcW w:w="789" w:type="dxa"/>
                  <w:vMerge w:val="restart"/>
                  <w:tcBorders>
                    <w:tl2br w:val="nil"/>
                    <w:tr2bl w:val="nil"/>
                  </w:tcBorders>
                  <w:vAlign w:val="center"/>
                </w:tcPr>
                <w:p w14:paraId="2F63D830">
                  <w:pPr>
                    <w:pStyle w:val="52"/>
                    <w:rPr>
                      <w:color w:val="auto"/>
                    </w:rPr>
                  </w:pPr>
                  <w:r>
                    <w:rPr>
                      <w:color w:val="auto"/>
                    </w:rPr>
                    <w:t>检测</w:t>
                  </w:r>
                </w:p>
                <w:p w14:paraId="4C6FBC1D">
                  <w:pPr>
                    <w:pStyle w:val="52"/>
                    <w:rPr>
                      <w:color w:val="auto"/>
                    </w:rPr>
                  </w:pPr>
                  <w:r>
                    <w:rPr>
                      <w:color w:val="auto"/>
                    </w:rPr>
                    <w:t>点位</w:t>
                  </w:r>
                </w:p>
              </w:tc>
              <w:tc>
                <w:tcPr>
                  <w:tcW w:w="947" w:type="dxa"/>
                  <w:vMerge w:val="restart"/>
                  <w:tcBorders>
                    <w:tl2br w:val="nil"/>
                    <w:tr2bl w:val="nil"/>
                  </w:tcBorders>
                  <w:vAlign w:val="center"/>
                </w:tcPr>
                <w:p w14:paraId="7880ED35">
                  <w:pPr>
                    <w:pStyle w:val="52"/>
                    <w:rPr>
                      <w:color w:val="auto"/>
                    </w:rPr>
                  </w:pPr>
                  <w:r>
                    <w:rPr>
                      <w:color w:val="auto"/>
                    </w:rPr>
                    <w:t>处理设施/处理方式</w:t>
                  </w:r>
                </w:p>
              </w:tc>
              <w:tc>
                <w:tcPr>
                  <w:tcW w:w="1786" w:type="dxa"/>
                  <w:vMerge w:val="restart"/>
                  <w:tcBorders>
                    <w:tl2br w:val="nil"/>
                    <w:tr2bl w:val="nil"/>
                  </w:tcBorders>
                  <w:vAlign w:val="center"/>
                </w:tcPr>
                <w:p w14:paraId="38E03C7E">
                  <w:pPr>
                    <w:pStyle w:val="52"/>
                    <w:rPr>
                      <w:color w:val="auto"/>
                    </w:rPr>
                  </w:pPr>
                  <w:r>
                    <w:rPr>
                      <w:color w:val="auto"/>
                    </w:rPr>
                    <w:t>检测项目</w:t>
                  </w:r>
                </w:p>
              </w:tc>
              <w:tc>
                <w:tcPr>
                  <w:tcW w:w="673" w:type="dxa"/>
                  <w:vMerge w:val="restart"/>
                  <w:tcBorders>
                    <w:tl2br w:val="nil"/>
                    <w:tr2bl w:val="nil"/>
                  </w:tcBorders>
                  <w:vAlign w:val="center"/>
                </w:tcPr>
                <w:p w14:paraId="23EC406D">
                  <w:pPr>
                    <w:pStyle w:val="52"/>
                    <w:rPr>
                      <w:color w:val="auto"/>
                    </w:rPr>
                  </w:pPr>
                  <w:r>
                    <w:rPr>
                      <w:color w:val="auto"/>
                    </w:rPr>
                    <w:t>单位</w:t>
                  </w:r>
                </w:p>
              </w:tc>
              <w:tc>
                <w:tcPr>
                  <w:tcW w:w="2562" w:type="dxa"/>
                  <w:gridSpan w:val="3"/>
                  <w:tcBorders>
                    <w:tl2br w:val="nil"/>
                    <w:tr2bl w:val="nil"/>
                  </w:tcBorders>
                  <w:vAlign w:val="center"/>
                </w:tcPr>
                <w:p w14:paraId="02656D8A">
                  <w:pPr>
                    <w:pStyle w:val="52"/>
                    <w:rPr>
                      <w:color w:val="auto"/>
                    </w:rPr>
                  </w:pPr>
                  <w:r>
                    <w:rPr>
                      <w:color w:val="auto"/>
                    </w:rPr>
                    <w:t>检测结果</w:t>
                  </w:r>
                </w:p>
              </w:tc>
              <w:tc>
                <w:tcPr>
                  <w:tcW w:w="538" w:type="dxa"/>
                  <w:vMerge w:val="restart"/>
                  <w:tcBorders>
                    <w:tl2br w:val="nil"/>
                    <w:tr2bl w:val="nil"/>
                  </w:tcBorders>
                  <w:vAlign w:val="center"/>
                </w:tcPr>
                <w:p w14:paraId="362D1D17">
                  <w:pPr>
                    <w:pStyle w:val="52"/>
                    <w:rPr>
                      <w:color w:val="auto"/>
                    </w:rPr>
                  </w:pPr>
                  <w:r>
                    <w:rPr>
                      <w:color w:val="auto"/>
                    </w:rPr>
                    <w:t>标准限值</w:t>
                  </w:r>
                </w:p>
              </w:tc>
              <w:tc>
                <w:tcPr>
                  <w:tcW w:w="590" w:type="dxa"/>
                  <w:vMerge w:val="restart"/>
                  <w:tcBorders>
                    <w:tl2br w:val="nil"/>
                    <w:tr2bl w:val="nil"/>
                  </w:tcBorders>
                  <w:vAlign w:val="center"/>
                </w:tcPr>
                <w:p w14:paraId="08E2470C">
                  <w:pPr>
                    <w:pStyle w:val="52"/>
                    <w:rPr>
                      <w:color w:val="auto"/>
                    </w:rPr>
                  </w:pPr>
                  <w:r>
                    <w:rPr>
                      <w:color w:val="auto"/>
                    </w:rPr>
                    <w:t>达标情况</w:t>
                  </w:r>
                </w:p>
              </w:tc>
            </w:tr>
            <w:tr w14:paraId="2E24C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48" w:type="dxa"/>
                  <w:vMerge w:val="continue"/>
                  <w:tcBorders>
                    <w:tl2br w:val="nil"/>
                    <w:tr2bl w:val="nil"/>
                  </w:tcBorders>
                  <w:vAlign w:val="center"/>
                </w:tcPr>
                <w:p w14:paraId="3B810048">
                  <w:pPr>
                    <w:pStyle w:val="52"/>
                    <w:rPr>
                      <w:color w:val="auto"/>
                    </w:rPr>
                  </w:pPr>
                </w:p>
              </w:tc>
              <w:tc>
                <w:tcPr>
                  <w:tcW w:w="789" w:type="dxa"/>
                  <w:vMerge w:val="continue"/>
                  <w:tcBorders>
                    <w:tl2br w:val="nil"/>
                    <w:tr2bl w:val="nil"/>
                  </w:tcBorders>
                  <w:vAlign w:val="center"/>
                </w:tcPr>
                <w:p w14:paraId="767A075E">
                  <w:pPr>
                    <w:pStyle w:val="52"/>
                    <w:rPr>
                      <w:color w:val="auto"/>
                    </w:rPr>
                  </w:pPr>
                </w:p>
              </w:tc>
              <w:tc>
                <w:tcPr>
                  <w:tcW w:w="947" w:type="dxa"/>
                  <w:vMerge w:val="continue"/>
                  <w:tcBorders>
                    <w:tl2br w:val="nil"/>
                    <w:tr2bl w:val="nil"/>
                  </w:tcBorders>
                  <w:vAlign w:val="center"/>
                </w:tcPr>
                <w:p w14:paraId="3881529B">
                  <w:pPr>
                    <w:pStyle w:val="52"/>
                    <w:rPr>
                      <w:color w:val="auto"/>
                    </w:rPr>
                  </w:pPr>
                </w:p>
              </w:tc>
              <w:tc>
                <w:tcPr>
                  <w:tcW w:w="1786" w:type="dxa"/>
                  <w:vMerge w:val="continue"/>
                  <w:tcBorders>
                    <w:tl2br w:val="nil"/>
                    <w:tr2bl w:val="nil"/>
                  </w:tcBorders>
                  <w:vAlign w:val="center"/>
                </w:tcPr>
                <w:p w14:paraId="0E1DB690">
                  <w:pPr>
                    <w:pStyle w:val="52"/>
                    <w:rPr>
                      <w:color w:val="auto"/>
                    </w:rPr>
                  </w:pPr>
                </w:p>
              </w:tc>
              <w:tc>
                <w:tcPr>
                  <w:tcW w:w="673" w:type="dxa"/>
                  <w:vMerge w:val="continue"/>
                  <w:tcBorders>
                    <w:tl2br w:val="nil"/>
                    <w:tr2bl w:val="nil"/>
                  </w:tcBorders>
                  <w:vAlign w:val="center"/>
                </w:tcPr>
                <w:p w14:paraId="13B7D17A">
                  <w:pPr>
                    <w:pStyle w:val="52"/>
                    <w:rPr>
                      <w:color w:val="auto"/>
                    </w:rPr>
                  </w:pPr>
                </w:p>
              </w:tc>
              <w:tc>
                <w:tcPr>
                  <w:tcW w:w="854" w:type="dxa"/>
                  <w:tcBorders>
                    <w:tl2br w:val="nil"/>
                    <w:tr2bl w:val="nil"/>
                  </w:tcBorders>
                  <w:vAlign w:val="center"/>
                </w:tcPr>
                <w:p w14:paraId="3632745C">
                  <w:pPr>
                    <w:pStyle w:val="52"/>
                    <w:rPr>
                      <w:color w:val="auto"/>
                    </w:rPr>
                  </w:pPr>
                  <w:r>
                    <w:rPr>
                      <w:color w:val="auto"/>
                    </w:rPr>
                    <w:t>第一次</w:t>
                  </w:r>
                </w:p>
              </w:tc>
              <w:tc>
                <w:tcPr>
                  <w:tcW w:w="854" w:type="dxa"/>
                  <w:tcBorders>
                    <w:tl2br w:val="nil"/>
                    <w:tr2bl w:val="nil"/>
                  </w:tcBorders>
                  <w:vAlign w:val="center"/>
                </w:tcPr>
                <w:p w14:paraId="7E22C74D">
                  <w:pPr>
                    <w:pStyle w:val="52"/>
                    <w:rPr>
                      <w:color w:val="auto"/>
                    </w:rPr>
                  </w:pPr>
                  <w:r>
                    <w:rPr>
                      <w:color w:val="auto"/>
                    </w:rPr>
                    <w:t>第二次</w:t>
                  </w:r>
                </w:p>
              </w:tc>
              <w:tc>
                <w:tcPr>
                  <w:tcW w:w="854" w:type="dxa"/>
                  <w:tcBorders>
                    <w:tl2br w:val="nil"/>
                    <w:tr2bl w:val="nil"/>
                  </w:tcBorders>
                  <w:vAlign w:val="center"/>
                </w:tcPr>
                <w:p w14:paraId="72D64612">
                  <w:pPr>
                    <w:pStyle w:val="52"/>
                    <w:rPr>
                      <w:color w:val="auto"/>
                    </w:rPr>
                  </w:pPr>
                  <w:r>
                    <w:rPr>
                      <w:color w:val="auto"/>
                    </w:rPr>
                    <w:t>第三次</w:t>
                  </w:r>
                </w:p>
              </w:tc>
              <w:tc>
                <w:tcPr>
                  <w:tcW w:w="538" w:type="dxa"/>
                  <w:vMerge w:val="continue"/>
                  <w:tcBorders>
                    <w:tl2br w:val="nil"/>
                    <w:tr2bl w:val="nil"/>
                  </w:tcBorders>
                  <w:vAlign w:val="center"/>
                </w:tcPr>
                <w:p w14:paraId="77C1381B">
                  <w:pPr>
                    <w:pStyle w:val="52"/>
                    <w:rPr>
                      <w:color w:val="auto"/>
                    </w:rPr>
                  </w:pPr>
                </w:p>
              </w:tc>
              <w:tc>
                <w:tcPr>
                  <w:tcW w:w="590" w:type="dxa"/>
                  <w:vMerge w:val="continue"/>
                  <w:tcBorders>
                    <w:tl2br w:val="nil"/>
                    <w:tr2bl w:val="nil"/>
                  </w:tcBorders>
                  <w:vAlign w:val="center"/>
                </w:tcPr>
                <w:p w14:paraId="3461ADCB">
                  <w:pPr>
                    <w:pStyle w:val="52"/>
                    <w:rPr>
                      <w:color w:val="auto"/>
                    </w:rPr>
                  </w:pPr>
                </w:p>
              </w:tc>
            </w:tr>
            <w:tr w14:paraId="2FDAD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48" w:type="dxa"/>
                  <w:vMerge w:val="restart"/>
                  <w:vAlign w:val="center"/>
                </w:tcPr>
                <w:p w14:paraId="243D1FF7">
                  <w:pPr>
                    <w:pStyle w:val="54"/>
                    <w:rPr>
                      <w:color w:val="auto"/>
                    </w:rPr>
                  </w:pPr>
                  <w:r>
                    <w:rPr>
                      <w:color w:val="auto"/>
                    </w:rPr>
                    <w:t>2025.</w:t>
                  </w:r>
                  <w:r>
                    <w:rPr>
                      <w:rFonts w:hint="eastAsia"/>
                      <w:color w:val="auto"/>
                    </w:rPr>
                    <w:t>04.19</w:t>
                  </w:r>
                </w:p>
              </w:tc>
              <w:tc>
                <w:tcPr>
                  <w:tcW w:w="789" w:type="dxa"/>
                  <w:vMerge w:val="restart"/>
                  <w:vAlign w:val="center"/>
                </w:tcPr>
                <w:p w14:paraId="340507EF">
                  <w:pPr>
                    <w:pStyle w:val="54"/>
                    <w:rPr>
                      <w:color w:val="auto"/>
                    </w:rPr>
                  </w:pPr>
                  <w:r>
                    <w:rPr>
                      <w:color w:val="auto"/>
                    </w:rPr>
                    <w:t>DA001排气筒进口</w:t>
                  </w:r>
                </w:p>
              </w:tc>
              <w:tc>
                <w:tcPr>
                  <w:tcW w:w="947" w:type="dxa"/>
                  <w:vMerge w:val="restart"/>
                  <w:vAlign w:val="center"/>
                </w:tcPr>
                <w:p w14:paraId="679B1B91">
                  <w:pPr>
                    <w:pStyle w:val="54"/>
                    <w:rPr>
                      <w:color w:val="auto"/>
                    </w:rPr>
                  </w:pPr>
                  <w:r>
                    <w:rPr>
                      <w:color w:val="auto"/>
                    </w:rPr>
                    <w:t>/</w:t>
                  </w:r>
                </w:p>
              </w:tc>
              <w:tc>
                <w:tcPr>
                  <w:tcW w:w="1786" w:type="dxa"/>
                  <w:vAlign w:val="center"/>
                </w:tcPr>
                <w:p w14:paraId="11E57B58">
                  <w:pPr>
                    <w:pStyle w:val="54"/>
                    <w:rPr>
                      <w:color w:val="auto"/>
                    </w:rPr>
                  </w:pPr>
                  <w:r>
                    <w:rPr>
                      <w:color w:val="auto"/>
                    </w:rPr>
                    <w:t>烟道截面积</w:t>
                  </w:r>
                </w:p>
              </w:tc>
              <w:tc>
                <w:tcPr>
                  <w:tcW w:w="673" w:type="dxa"/>
                  <w:vAlign w:val="center"/>
                </w:tcPr>
                <w:p w14:paraId="44E1510D">
                  <w:pPr>
                    <w:pStyle w:val="54"/>
                    <w:rPr>
                      <w:color w:val="auto"/>
                    </w:rPr>
                  </w:pPr>
                  <w:r>
                    <w:rPr>
                      <w:color w:val="auto"/>
                    </w:rPr>
                    <w:t>m</w:t>
                  </w:r>
                  <w:r>
                    <w:rPr>
                      <w:color w:val="auto"/>
                      <w:vertAlign w:val="superscript"/>
                    </w:rPr>
                    <w:t>2</w:t>
                  </w:r>
                </w:p>
              </w:tc>
              <w:tc>
                <w:tcPr>
                  <w:tcW w:w="854" w:type="dxa"/>
                  <w:vAlign w:val="center"/>
                </w:tcPr>
                <w:p w14:paraId="7C70DD52">
                  <w:pPr>
                    <w:pStyle w:val="54"/>
                    <w:rPr>
                      <w:color w:val="auto"/>
                    </w:rPr>
                  </w:pPr>
                  <w:r>
                    <w:rPr>
                      <w:rFonts w:hint="eastAsia"/>
                      <w:color w:val="auto"/>
                    </w:rPr>
                    <w:t>0.0707</w:t>
                  </w:r>
                </w:p>
              </w:tc>
              <w:tc>
                <w:tcPr>
                  <w:tcW w:w="854" w:type="dxa"/>
                  <w:vAlign w:val="center"/>
                </w:tcPr>
                <w:p w14:paraId="1CAD0754">
                  <w:pPr>
                    <w:pStyle w:val="54"/>
                    <w:rPr>
                      <w:color w:val="auto"/>
                    </w:rPr>
                  </w:pPr>
                  <w:r>
                    <w:rPr>
                      <w:rFonts w:hint="eastAsia"/>
                      <w:color w:val="auto"/>
                    </w:rPr>
                    <w:t>0.0707</w:t>
                  </w:r>
                </w:p>
              </w:tc>
              <w:tc>
                <w:tcPr>
                  <w:tcW w:w="854" w:type="dxa"/>
                  <w:vAlign w:val="center"/>
                </w:tcPr>
                <w:p w14:paraId="67FD1782">
                  <w:pPr>
                    <w:pStyle w:val="54"/>
                    <w:rPr>
                      <w:color w:val="auto"/>
                    </w:rPr>
                  </w:pPr>
                  <w:r>
                    <w:rPr>
                      <w:rFonts w:hint="eastAsia"/>
                      <w:color w:val="auto"/>
                    </w:rPr>
                    <w:t>0.0707</w:t>
                  </w:r>
                </w:p>
              </w:tc>
              <w:tc>
                <w:tcPr>
                  <w:tcW w:w="538" w:type="dxa"/>
                  <w:vAlign w:val="center"/>
                </w:tcPr>
                <w:p w14:paraId="0F618EA5">
                  <w:pPr>
                    <w:pStyle w:val="54"/>
                    <w:rPr>
                      <w:color w:val="auto"/>
                    </w:rPr>
                  </w:pPr>
                  <w:r>
                    <w:rPr>
                      <w:color w:val="auto"/>
                    </w:rPr>
                    <w:t>/</w:t>
                  </w:r>
                </w:p>
              </w:tc>
              <w:tc>
                <w:tcPr>
                  <w:tcW w:w="590" w:type="dxa"/>
                  <w:vAlign w:val="center"/>
                </w:tcPr>
                <w:p w14:paraId="2527854C">
                  <w:pPr>
                    <w:pStyle w:val="54"/>
                    <w:rPr>
                      <w:color w:val="auto"/>
                    </w:rPr>
                  </w:pPr>
                  <w:r>
                    <w:rPr>
                      <w:color w:val="auto"/>
                    </w:rPr>
                    <w:t>/</w:t>
                  </w:r>
                </w:p>
              </w:tc>
            </w:tr>
            <w:tr w14:paraId="40F5C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48" w:type="dxa"/>
                  <w:vMerge w:val="continue"/>
                  <w:vAlign w:val="center"/>
                </w:tcPr>
                <w:p w14:paraId="68AC74C6">
                  <w:pPr>
                    <w:pStyle w:val="54"/>
                    <w:rPr>
                      <w:color w:val="auto"/>
                    </w:rPr>
                  </w:pPr>
                </w:p>
              </w:tc>
              <w:tc>
                <w:tcPr>
                  <w:tcW w:w="789" w:type="dxa"/>
                  <w:vMerge w:val="continue"/>
                  <w:vAlign w:val="center"/>
                </w:tcPr>
                <w:p w14:paraId="3C25A177">
                  <w:pPr>
                    <w:pStyle w:val="54"/>
                    <w:rPr>
                      <w:color w:val="auto"/>
                    </w:rPr>
                  </w:pPr>
                </w:p>
              </w:tc>
              <w:tc>
                <w:tcPr>
                  <w:tcW w:w="947" w:type="dxa"/>
                  <w:vMerge w:val="continue"/>
                  <w:vAlign w:val="center"/>
                </w:tcPr>
                <w:p w14:paraId="76D6E01F">
                  <w:pPr>
                    <w:pStyle w:val="54"/>
                    <w:rPr>
                      <w:color w:val="auto"/>
                    </w:rPr>
                  </w:pPr>
                </w:p>
              </w:tc>
              <w:tc>
                <w:tcPr>
                  <w:tcW w:w="1786" w:type="dxa"/>
                  <w:vAlign w:val="center"/>
                </w:tcPr>
                <w:p w14:paraId="5D35AF08">
                  <w:pPr>
                    <w:pStyle w:val="54"/>
                    <w:rPr>
                      <w:color w:val="auto"/>
                    </w:rPr>
                  </w:pPr>
                  <w:r>
                    <w:rPr>
                      <w:color w:val="auto"/>
                    </w:rPr>
                    <w:t>烟气含湿量</w:t>
                  </w:r>
                </w:p>
              </w:tc>
              <w:tc>
                <w:tcPr>
                  <w:tcW w:w="673" w:type="dxa"/>
                  <w:vAlign w:val="center"/>
                </w:tcPr>
                <w:p w14:paraId="6C2AE537">
                  <w:pPr>
                    <w:pStyle w:val="54"/>
                    <w:rPr>
                      <w:color w:val="auto"/>
                    </w:rPr>
                  </w:pPr>
                  <w:r>
                    <w:rPr>
                      <w:color w:val="auto"/>
                    </w:rPr>
                    <w:t>%</w:t>
                  </w:r>
                </w:p>
              </w:tc>
              <w:tc>
                <w:tcPr>
                  <w:tcW w:w="854" w:type="dxa"/>
                  <w:vAlign w:val="center"/>
                </w:tcPr>
                <w:p w14:paraId="67062F2D">
                  <w:pPr>
                    <w:pStyle w:val="54"/>
                    <w:rPr>
                      <w:color w:val="auto"/>
                    </w:rPr>
                  </w:pPr>
                  <w:r>
                    <w:rPr>
                      <w:rFonts w:hint="eastAsia"/>
                      <w:color w:val="auto"/>
                    </w:rPr>
                    <w:t>2.2</w:t>
                  </w:r>
                </w:p>
              </w:tc>
              <w:tc>
                <w:tcPr>
                  <w:tcW w:w="854" w:type="dxa"/>
                  <w:vAlign w:val="center"/>
                </w:tcPr>
                <w:p w14:paraId="758B98FD">
                  <w:pPr>
                    <w:pStyle w:val="54"/>
                    <w:rPr>
                      <w:color w:val="auto"/>
                    </w:rPr>
                  </w:pPr>
                  <w:r>
                    <w:rPr>
                      <w:rFonts w:hint="eastAsia"/>
                      <w:color w:val="auto"/>
                    </w:rPr>
                    <w:t>1.9</w:t>
                  </w:r>
                </w:p>
              </w:tc>
              <w:tc>
                <w:tcPr>
                  <w:tcW w:w="854" w:type="dxa"/>
                  <w:vAlign w:val="center"/>
                </w:tcPr>
                <w:p w14:paraId="7BBD0201">
                  <w:pPr>
                    <w:pStyle w:val="54"/>
                    <w:rPr>
                      <w:color w:val="auto"/>
                    </w:rPr>
                  </w:pPr>
                  <w:r>
                    <w:rPr>
                      <w:rFonts w:hint="eastAsia"/>
                      <w:color w:val="auto"/>
                    </w:rPr>
                    <w:t>1.8</w:t>
                  </w:r>
                </w:p>
              </w:tc>
              <w:tc>
                <w:tcPr>
                  <w:tcW w:w="538" w:type="dxa"/>
                  <w:vAlign w:val="center"/>
                </w:tcPr>
                <w:p w14:paraId="0141078E">
                  <w:pPr>
                    <w:pStyle w:val="54"/>
                    <w:rPr>
                      <w:color w:val="auto"/>
                    </w:rPr>
                  </w:pPr>
                  <w:r>
                    <w:rPr>
                      <w:color w:val="auto"/>
                    </w:rPr>
                    <w:t>/</w:t>
                  </w:r>
                </w:p>
              </w:tc>
              <w:tc>
                <w:tcPr>
                  <w:tcW w:w="590" w:type="dxa"/>
                  <w:vAlign w:val="center"/>
                </w:tcPr>
                <w:p w14:paraId="2500D172">
                  <w:pPr>
                    <w:pStyle w:val="54"/>
                    <w:rPr>
                      <w:color w:val="auto"/>
                    </w:rPr>
                  </w:pPr>
                  <w:r>
                    <w:rPr>
                      <w:color w:val="auto"/>
                    </w:rPr>
                    <w:t>/</w:t>
                  </w:r>
                </w:p>
              </w:tc>
            </w:tr>
            <w:tr w14:paraId="7BBAF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48" w:type="dxa"/>
                  <w:vMerge w:val="continue"/>
                  <w:vAlign w:val="center"/>
                </w:tcPr>
                <w:p w14:paraId="6686D5AB">
                  <w:pPr>
                    <w:pStyle w:val="54"/>
                    <w:rPr>
                      <w:color w:val="auto"/>
                    </w:rPr>
                  </w:pPr>
                </w:p>
              </w:tc>
              <w:tc>
                <w:tcPr>
                  <w:tcW w:w="789" w:type="dxa"/>
                  <w:vMerge w:val="continue"/>
                  <w:vAlign w:val="center"/>
                </w:tcPr>
                <w:p w14:paraId="450AEE8A">
                  <w:pPr>
                    <w:pStyle w:val="54"/>
                    <w:rPr>
                      <w:color w:val="auto"/>
                    </w:rPr>
                  </w:pPr>
                </w:p>
              </w:tc>
              <w:tc>
                <w:tcPr>
                  <w:tcW w:w="947" w:type="dxa"/>
                  <w:vMerge w:val="continue"/>
                  <w:vAlign w:val="center"/>
                </w:tcPr>
                <w:p w14:paraId="4AB3D080">
                  <w:pPr>
                    <w:pStyle w:val="54"/>
                    <w:rPr>
                      <w:color w:val="auto"/>
                    </w:rPr>
                  </w:pPr>
                </w:p>
              </w:tc>
              <w:tc>
                <w:tcPr>
                  <w:tcW w:w="1786" w:type="dxa"/>
                  <w:vAlign w:val="center"/>
                </w:tcPr>
                <w:p w14:paraId="385027F6">
                  <w:pPr>
                    <w:pStyle w:val="54"/>
                    <w:rPr>
                      <w:color w:val="auto"/>
                    </w:rPr>
                  </w:pPr>
                  <w:r>
                    <w:rPr>
                      <w:color w:val="auto"/>
                    </w:rPr>
                    <w:t>烟气温度</w:t>
                  </w:r>
                </w:p>
              </w:tc>
              <w:tc>
                <w:tcPr>
                  <w:tcW w:w="673" w:type="dxa"/>
                  <w:vAlign w:val="center"/>
                </w:tcPr>
                <w:p w14:paraId="7797790A">
                  <w:pPr>
                    <w:pStyle w:val="54"/>
                    <w:rPr>
                      <w:color w:val="auto"/>
                    </w:rPr>
                  </w:pPr>
                  <w:r>
                    <w:rPr>
                      <w:color w:val="auto"/>
                    </w:rPr>
                    <w:t>℃</w:t>
                  </w:r>
                </w:p>
              </w:tc>
              <w:tc>
                <w:tcPr>
                  <w:tcW w:w="854" w:type="dxa"/>
                  <w:vAlign w:val="center"/>
                </w:tcPr>
                <w:p w14:paraId="7A28856B">
                  <w:pPr>
                    <w:pStyle w:val="54"/>
                    <w:rPr>
                      <w:color w:val="auto"/>
                    </w:rPr>
                  </w:pPr>
                  <w:r>
                    <w:rPr>
                      <w:rFonts w:hint="eastAsia"/>
                      <w:color w:val="auto"/>
                    </w:rPr>
                    <w:t>31</w:t>
                  </w:r>
                </w:p>
              </w:tc>
              <w:tc>
                <w:tcPr>
                  <w:tcW w:w="854" w:type="dxa"/>
                  <w:vAlign w:val="center"/>
                </w:tcPr>
                <w:p w14:paraId="59198378">
                  <w:pPr>
                    <w:pStyle w:val="54"/>
                    <w:rPr>
                      <w:color w:val="auto"/>
                    </w:rPr>
                  </w:pPr>
                  <w:r>
                    <w:rPr>
                      <w:rFonts w:hint="eastAsia"/>
                      <w:color w:val="auto"/>
                    </w:rPr>
                    <w:t>30</w:t>
                  </w:r>
                </w:p>
              </w:tc>
              <w:tc>
                <w:tcPr>
                  <w:tcW w:w="854" w:type="dxa"/>
                  <w:vAlign w:val="center"/>
                </w:tcPr>
                <w:p w14:paraId="3022ACE4">
                  <w:pPr>
                    <w:pStyle w:val="54"/>
                    <w:rPr>
                      <w:color w:val="auto"/>
                    </w:rPr>
                  </w:pPr>
                  <w:r>
                    <w:rPr>
                      <w:rFonts w:hint="eastAsia"/>
                      <w:color w:val="auto"/>
                    </w:rPr>
                    <w:t>31</w:t>
                  </w:r>
                </w:p>
              </w:tc>
              <w:tc>
                <w:tcPr>
                  <w:tcW w:w="538" w:type="dxa"/>
                  <w:vAlign w:val="center"/>
                </w:tcPr>
                <w:p w14:paraId="06E03D21">
                  <w:pPr>
                    <w:pStyle w:val="54"/>
                    <w:rPr>
                      <w:color w:val="auto"/>
                    </w:rPr>
                  </w:pPr>
                  <w:r>
                    <w:rPr>
                      <w:color w:val="auto"/>
                    </w:rPr>
                    <w:t>/</w:t>
                  </w:r>
                </w:p>
              </w:tc>
              <w:tc>
                <w:tcPr>
                  <w:tcW w:w="590" w:type="dxa"/>
                  <w:vAlign w:val="center"/>
                </w:tcPr>
                <w:p w14:paraId="5C27121D">
                  <w:pPr>
                    <w:pStyle w:val="54"/>
                    <w:rPr>
                      <w:color w:val="auto"/>
                    </w:rPr>
                  </w:pPr>
                  <w:r>
                    <w:rPr>
                      <w:color w:val="auto"/>
                    </w:rPr>
                    <w:t>/</w:t>
                  </w:r>
                </w:p>
              </w:tc>
            </w:tr>
            <w:tr w14:paraId="006E0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48" w:type="dxa"/>
                  <w:vMerge w:val="continue"/>
                  <w:vAlign w:val="center"/>
                </w:tcPr>
                <w:p w14:paraId="1D2F7929">
                  <w:pPr>
                    <w:pStyle w:val="54"/>
                    <w:rPr>
                      <w:color w:val="auto"/>
                    </w:rPr>
                  </w:pPr>
                </w:p>
              </w:tc>
              <w:tc>
                <w:tcPr>
                  <w:tcW w:w="789" w:type="dxa"/>
                  <w:vMerge w:val="continue"/>
                  <w:vAlign w:val="center"/>
                </w:tcPr>
                <w:p w14:paraId="2238BE1B">
                  <w:pPr>
                    <w:pStyle w:val="54"/>
                    <w:rPr>
                      <w:color w:val="auto"/>
                    </w:rPr>
                  </w:pPr>
                </w:p>
              </w:tc>
              <w:tc>
                <w:tcPr>
                  <w:tcW w:w="947" w:type="dxa"/>
                  <w:vMerge w:val="continue"/>
                  <w:vAlign w:val="center"/>
                </w:tcPr>
                <w:p w14:paraId="7F6156A0">
                  <w:pPr>
                    <w:pStyle w:val="54"/>
                    <w:rPr>
                      <w:color w:val="auto"/>
                    </w:rPr>
                  </w:pPr>
                </w:p>
              </w:tc>
              <w:tc>
                <w:tcPr>
                  <w:tcW w:w="1786" w:type="dxa"/>
                  <w:vAlign w:val="center"/>
                </w:tcPr>
                <w:p w14:paraId="1F033FBF">
                  <w:pPr>
                    <w:pStyle w:val="54"/>
                    <w:rPr>
                      <w:color w:val="auto"/>
                    </w:rPr>
                  </w:pPr>
                  <w:r>
                    <w:rPr>
                      <w:color w:val="auto"/>
                    </w:rPr>
                    <w:t>烟气流速</w:t>
                  </w:r>
                </w:p>
              </w:tc>
              <w:tc>
                <w:tcPr>
                  <w:tcW w:w="673" w:type="dxa"/>
                  <w:vAlign w:val="center"/>
                </w:tcPr>
                <w:p w14:paraId="7DFBBC91">
                  <w:pPr>
                    <w:pStyle w:val="54"/>
                    <w:rPr>
                      <w:color w:val="auto"/>
                    </w:rPr>
                  </w:pPr>
                  <w:r>
                    <w:rPr>
                      <w:color w:val="auto"/>
                    </w:rPr>
                    <w:t>m/s</w:t>
                  </w:r>
                </w:p>
              </w:tc>
              <w:tc>
                <w:tcPr>
                  <w:tcW w:w="854" w:type="dxa"/>
                  <w:vAlign w:val="center"/>
                </w:tcPr>
                <w:p w14:paraId="558CEC88">
                  <w:pPr>
                    <w:pStyle w:val="54"/>
                    <w:rPr>
                      <w:color w:val="auto"/>
                    </w:rPr>
                  </w:pPr>
                  <w:r>
                    <w:rPr>
                      <w:rFonts w:hint="eastAsia"/>
                      <w:color w:val="auto"/>
                    </w:rPr>
                    <w:t>27.2</w:t>
                  </w:r>
                </w:p>
              </w:tc>
              <w:tc>
                <w:tcPr>
                  <w:tcW w:w="854" w:type="dxa"/>
                  <w:vAlign w:val="center"/>
                </w:tcPr>
                <w:p w14:paraId="0E8DDA86">
                  <w:pPr>
                    <w:pStyle w:val="54"/>
                    <w:rPr>
                      <w:color w:val="auto"/>
                    </w:rPr>
                  </w:pPr>
                  <w:r>
                    <w:rPr>
                      <w:rFonts w:hint="eastAsia"/>
                      <w:color w:val="auto"/>
                    </w:rPr>
                    <w:t>25.8</w:t>
                  </w:r>
                </w:p>
              </w:tc>
              <w:tc>
                <w:tcPr>
                  <w:tcW w:w="854" w:type="dxa"/>
                  <w:vAlign w:val="center"/>
                </w:tcPr>
                <w:p w14:paraId="4930FE3B">
                  <w:pPr>
                    <w:pStyle w:val="54"/>
                    <w:rPr>
                      <w:color w:val="auto"/>
                    </w:rPr>
                  </w:pPr>
                  <w:r>
                    <w:rPr>
                      <w:rFonts w:hint="eastAsia"/>
                      <w:color w:val="auto"/>
                    </w:rPr>
                    <w:t>25.4</w:t>
                  </w:r>
                </w:p>
              </w:tc>
              <w:tc>
                <w:tcPr>
                  <w:tcW w:w="538" w:type="dxa"/>
                  <w:vAlign w:val="center"/>
                </w:tcPr>
                <w:p w14:paraId="60F65066">
                  <w:pPr>
                    <w:pStyle w:val="54"/>
                    <w:rPr>
                      <w:color w:val="auto"/>
                    </w:rPr>
                  </w:pPr>
                  <w:r>
                    <w:rPr>
                      <w:color w:val="auto"/>
                    </w:rPr>
                    <w:t>/</w:t>
                  </w:r>
                </w:p>
              </w:tc>
              <w:tc>
                <w:tcPr>
                  <w:tcW w:w="590" w:type="dxa"/>
                  <w:vAlign w:val="center"/>
                </w:tcPr>
                <w:p w14:paraId="3704711E">
                  <w:pPr>
                    <w:pStyle w:val="54"/>
                    <w:rPr>
                      <w:color w:val="auto"/>
                    </w:rPr>
                  </w:pPr>
                  <w:r>
                    <w:rPr>
                      <w:color w:val="auto"/>
                    </w:rPr>
                    <w:t>/</w:t>
                  </w:r>
                </w:p>
              </w:tc>
            </w:tr>
            <w:tr w14:paraId="59D3F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48" w:type="dxa"/>
                  <w:vMerge w:val="continue"/>
                  <w:vAlign w:val="center"/>
                </w:tcPr>
                <w:p w14:paraId="0097A218">
                  <w:pPr>
                    <w:pStyle w:val="54"/>
                    <w:rPr>
                      <w:color w:val="auto"/>
                    </w:rPr>
                  </w:pPr>
                </w:p>
              </w:tc>
              <w:tc>
                <w:tcPr>
                  <w:tcW w:w="789" w:type="dxa"/>
                  <w:vMerge w:val="continue"/>
                  <w:vAlign w:val="center"/>
                </w:tcPr>
                <w:p w14:paraId="426C438A">
                  <w:pPr>
                    <w:pStyle w:val="54"/>
                    <w:rPr>
                      <w:color w:val="auto"/>
                    </w:rPr>
                  </w:pPr>
                </w:p>
              </w:tc>
              <w:tc>
                <w:tcPr>
                  <w:tcW w:w="947" w:type="dxa"/>
                  <w:vMerge w:val="continue"/>
                  <w:vAlign w:val="center"/>
                </w:tcPr>
                <w:p w14:paraId="17A7D1FA">
                  <w:pPr>
                    <w:pStyle w:val="54"/>
                    <w:rPr>
                      <w:color w:val="auto"/>
                    </w:rPr>
                  </w:pPr>
                </w:p>
              </w:tc>
              <w:tc>
                <w:tcPr>
                  <w:tcW w:w="1786" w:type="dxa"/>
                  <w:vAlign w:val="center"/>
                </w:tcPr>
                <w:p w14:paraId="2631A22E">
                  <w:pPr>
                    <w:pStyle w:val="54"/>
                    <w:rPr>
                      <w:color w:val="auto"/>
                    </w:rPr>
                  </w:pPr>
                  <w:r>
                    <w:rPr>
                      <w:color w:val="auto"/>
                    </w:rPr>
                    <w:t>烟气流量</w:t>
                  </w:r>
                </w:p>
              </w:tc>
              <w:tc>
                <w:tcPr>
                  <w:tcW w:w="673" w:type="dxa"/>
                  <w:vAlign w:val="center"/>
                </w:tcPr>
                <w:p w14:paraId="47CE1683">
                  <w:pPr>
                    <w:pStyle w:val="54"/>
                    <w:rPr>
                      <w:color w:val="auto"/>
                    </w:rPr>
                  </w:pPr>
                  <w:r>
                    <w:rPr>
                      <w:color w:val="auto"/>
                    </w:rPr>
                    <w:t>m</w:t>
                  </w:r>
                  <w:r>
                    <w:rPr>
                      <w:color w:val="auto"/>
                      <w:vertAlign w:val="superscript"/>
                    </w:rPr>
                    <w:t>3</w:t>
                  </w:r>
                  <w:r>
                    <w:rPr>
                      <w:color w:val="auto"/>
                    </w:rPr>
                    <w:t>/h</w:t>
                  </w:r>
                </w:p>
              </w:tc>
              <w:tc>
                <w:tcPr>
                  <w:tcW w:w="854" w:type="dxa"/>
                  <w:vAlign w:val="center"/>
                </w:tcPr>
                <w:p w14:paraId="0F534500">
                  <w:pPr>
                    <w:pStyle w:val="54"/>
                    <w:rPr>
                      <w:color w:val="auto"/>
                    </w:rPr>
                  </w:pPr>
                  <w:r>
                    <w:rPr>
                      <w:rFonts w:hint="eastAsia"/>
                      <w:color w:val="auto"/>
                    </w:rPr>
                    <w:t>6927</w:t>
                  </w:r>
                </w:p>
              </w:tc>
              <w:tc>
                <w:tcPr>
                  <w:tcW w:w="854" w:type="dxa"/>
                  <w:vAlign w:val="center"/>
                </w:tcPr>
                <w:p w14:paraId="5007678A">
                  <w:pPr>
                    <w:pStyle w:val="54"/>
                    <w:rPr>
                      <w:color w:val="auto"/>
                    </w:rPr>
                  </w:pPr>
                  <w:r>
                    <w:rPr>
                      <w:rFonts w:hint="eastAsia"/>
                      <w:color w:val="auto"/>
                    </w:rPr>
                    <w:t>6579</w:t>
                  </w:r>
                </w:p>
              </w:tc>
              <w:tc>
                <w:tcPr>
                  <w:tcW w:w="854" w:type="dxa"/>
                  <w:vAlign w:val="center"/>
                </w:tcPr>
                <w:p w14:paraId="48BCD01E">
                  <w:pPr>
                    <w:pStyle w:val="54"/>
                    <w:rPr>
                      <w:color w:val="auto"/>
                    </w:rPr>
                  </w:pPr>
                  <w:r>
                    <w:rPr>
                      <w:rFonts w:hint="eastAsia"/>
                      <w:color w:val="auto"/>
                    </w:rPr>
                    <w:t>6459</w:t>
                  </w:r>
                </w:p>
              </w:tc>
              <w:tc>
                <w:tcPr>
                  <w:tcW w:w="538" w:type="dxa"/>
                  <w:vAlign w:val="center"/>
                </w:tcPr>
                <w:p w14:paraId="6586CF49">
                  <w:pPr>
                    <w:pStyle w:val="54"/>
                    <w:rPr>
                      <w:color w:val="auto"/>
                    </w:rPr>
                  </w:pPr>
                  <w:r>
                    <w:rPr>
                      <w:color w:val="auto"/>
                    </w:rPr>
                    <w:t>/</w:t>
                  </w:r>
                </w:p>
              </w:tc>
              <w:tc>
                <w:tcPr>
                  <w:tcW w:w="590" w:type="dxa"/>
                  <w:vAlign w:val="center"/>
                </w:tcPr>
                <w:p w14:paraId="47C9EF1C">
                  <w:pPr>
                    <w:pStyle w:val="54"/>
                    <w:rPr>
                      <w:color w:val="auto"/>
                    </w:rPr>
                  </w:pPr>
                  <w:r>
                    <w:rPr>
                      <w:color w:val="auto"/>
                    </w:rPr>
                    <w:t>/</w:t>
                  </w:r>
                </w:p>
              </w:tc>
            </w:tr>
            <w:tr w14:paraId="1D030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48" w:type="dxa"/>
                  <w:vMerge w:val="continue"/>
                  <w:shd w:val="clear" w:color="auto" w:fill="auto"/>
                  <w:vAlign w:val="center"/>
                </w:tcPr>
                <w:p w14:paraId="62D1028F">
                  <w:pPr>
                    <w:pStyle w:val="54"/>
                    <w:rPr>
                      <w:color w:val="auto"/>
                    </w:rPr>
                  </w:pPr>
                </w:p>
              </w:tc>
              <w:tc>
                <w:tcPr>
                  <w:tcW w:w="789" w:type="dxa"/>
                  <w:vMerge w:val="continue"/>
                  <w:shd w:val="clear" w:color="auto" w:fill="auto"/>
                  <w:vAlign w:val="center"/>
                </w:tcPr>
                <w:p w14:paraId="0403A0CE">
                  <w:pPr>
                    <w:pStyle w:val="54"/>
                    <w:rPr>
                      <w:color w:val="auto"/>
                    </w:rPr>
                  </w:pPr>
                </w:p>
              </w:tc>
              <w:tc>
                <w:tcPr>
                  <w:tcW w:w="947" w:type="dxa"/>
                  <w:vMerge w:val="continue"/>
                  <w:shd w:val="clear" w:color="auto" w:fill="auto"/>
                  <w:vAlign w:val="center"/>
                </w:tcPr>
                <w:p w14:paraId="7458C150">
                  <w:pPr>
                    <w:pStyle w:val="54"/>
                    <w:rPr>
                      <w:color w:val="auto"/>
                    </w:rPr>
                  </w:pPr>
                </w:p>
              </w:tc>
              <w:tc>
                <w:tcPr>
                  <w:tcW w:w="1786" w:type="dxa"/>
                  <w:shd w:val="clear" w:color="auto" w:fill="auto"/>
                  <w:vAlign w:val="center"/>
                </w:tcPr>
                <w:p w14:paraId="6A9E5AEE">
                  <w:pPr>
                    <w:pStyle w:val="54"/>
                    <w:rPr>
                      <w:color w:val="auto"/>
                    </w:rPr>
                  </w:pPr>
                  <w:r>
                    <w:rPr>
                      <w:color w:val="auto"/>
                    </w:rPr>
                    <w:t>标干流量</w:t>
                  </w:r>
                </w:p>
              </w:tc>
              <w:tc>
                <w:tcPr>
                  <w:tcW w:w="673" w:type="dxa"/>
                  <w:shd w:val="clear" w:color="auto" w:fill="auto"/>
                  <w:vAlign w:val="center"/>
                </w:tcPr>
                <w:p w14:paraId="6BAA4303">
                  <w:pPr>
                    <w:pStyle w:val="54"/>
                    <w:rPr>
                      <w:color w:val="auto"/>
                    </w:rPr>
                  </w:pPr>
                  <w:r>
                    <w:rPr>
                      <w:color w:val="auto"/>
                    </w:rPr>
                    <w:t>Nm</w:t>
                  </w:r>
                  <w:r>
                    <w:rPr>
                      <w:color w:val="auto"/>
                      <w:vertAlign w:val="superscript"/>
                    </w:rPr>
                    <w:t>3</w:t>
                  </w:r>
                  <w:r>
                    <w:rPr>
                      <w:color w:val="auto"/>
                    </w:rPr>
                    <w:t>/h</w:t>
                  </w:r>
                </w:p>
              </w:tc>
              <w:tc>
                <w:tcPr>
                  <w:tcW w:w="854" w:type="dxa"/>
                  <w:vAlign w:val="center"/>
                </w:tcPr>
                <w:p w14:paraId="62A2122A">
                  <w:pPr>
                    <w:pStyle w:val="54"/>
                    <w:rPr>
                      <w:color w:val="auto"/>
                    </w:rPr>
                  </w:pPr>
                  <w:r>
                    <w:rPr>
                      <w:rFonts w:hint="eastAsia"/>
                      <w:color w:val="auto"/>
                    </w:rPr>
                    <w:t>5986</w:t>
                  </w:r>
                </w:p>
              </w:tc>
              <w:tc>
                <w:tcPr>
                  <w:tcW w:w="854" w:type="dxa"/>
                  <w:vAlign w:val="center"/>
                </w:tcPr>
                <w:p w14:paraId="6C150D96">
                  <w:pPr>
                    <w:pStyle w:val="54"/>
                    <w:rPr>
                      <w:color w:val="auto"/>
                    </w:rPr>
                  </w:pPr>
                  <w:r>
                    <w:rPr>
                      <w:rFonts w:hint="eastAsia"/>
                      <w:color w:val="auto"/>
                    </w:rPr>
                    <w:t>8691</w:t>
                  </w:r>
                </w:p>
              </w:tc>
              <w:tc>
                <w:tcPr>
                  <w:tcW w:w="854" w:type="dxa"/>
                  <w:vAlign w:val="center"/>
                </w:tcPr>
                <w:p w14:paraId="546D15B3">
                  <w:pPr>
                    <w:pStyle w:val="54"/>
                    <w:rPr>
                      <w:color w:val="auto"/>
                    </w:rPr>
                  </w:pPr>
                  <w:r>
                    <w:rPr>
                      <w:rFonts w:hint="eastAsia"/>
                      <w:color w:val="auto"/>
                    </w:rPr>
                    <w:t>5577</w:t>
                  </w:r>
                </w:p>
              </w:tc>
              <w:tc>
                <w:tcPr>
                  <w:tcW w:w="538" w:type="dxa"/>
                  <w:vAlign w:val="center"/>
                </w:tcPr>
                <w:p w14:paraId="16F6A31A">
                  <w:pPr>
                    <w:pStyle w:val="54"/>
                    <w:rPr>
                      <w:color w:val="auto"/>
                    </w:rPr>
                  </w:pPr>
                  <w:r>
                    <w:rPr>
                      <w:color w:val="auto"/>
                    </w:rPr>
                    <w:t>/</w:t>
                  </w:r>
                </w:p>
              </w:tc>
              <w:tc>
                <w:tcPr>
                  <w:tcW w:w="590" w:type="dxa"/>
                  <w:vAlign w:val="center"/>
                </w:tcPr>
                <w:p w14:paraId="6A52E2E5">
                  <w:pPr>
                    <w:pStyle w:val="54"/>
                    <w:rPr>
                      <w:color w:val="auto"/>
                    </w:rPr>
                  </w:pPr>
                  <w:r>
                    <w:rPr>
                      <w:color w:val="auto"/>
                    </w:rPr>
                    <w:t>/</w:t>
                  </w:r>
                </w:p>
              </w:tc>
            </w:tr>
            <w:tr w14:paraId="038FD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48" w:type="dxa"/>
                  <w:vMerge w:val="continue"/>
                  <w:shd w:val="clear" w:color="auto" w:fill="auto"/>
                  <w:vAlign w:val="center"/>
                </w:tcPr>
                <w:p w14:paraId="78AE0D47">
                  <w:pPr>
                    <w:pStyle w:val="54"/>
                    <w:rPr>
                      <w:color w:val="auto"/>
                    </w:rPr>
                  </w:pPr>
                </w:p>
              </w:tc>
              <w:tc>
                <w:tcPr>
                  <w:tcW w:w="789" w:type="dxa"/>
                  <w:vMerge w:val="continue"/>
                  <w:shd w:val="clear" w:color="auto" w:fill="auto"/>
                  <w:vAlign w:val="center"/>
                </w:tcPr>
                <w:p w14:paraId="2D175E3A">
                  <w:pPr>
                    <w:pStyle w:val="54"/>
                    <w:rPr>
                      <w:color w:val="auto"/>
                    </w:rPr>
                  </w:pPr>
                </w:p>
              </w:tc>
              <w:tc>
                <w:tcPr>
                  <w:tcW w:w="947" w:type="dxa"/>
                  <w:vMerge w:val="continue"/>
                  <w:shd w:val="clear" w:color="auto" w:fill="auto"/>
                  <w:vAlign w:val="center"/>
                </w:tcPr>
                <w:p w14:paraId="27B4FB94">
                  <w:pPr>
                    <w:pStyle w:val="54"/>
                    <w:rPr>
                      <w:color w:val="auto"/>
                    </w:rPr>
                  </w:pPr>
                </w:p>
              </w:tc>
              <w:tc>
                <w:tcPr>
                  <w:tcW w:w="1786" w:type="dxa"/>
                  <w:shd w:val="clear" w:color="auto" w:fill="auto"/>
                  <w:vAlign w:val="center"/>
                </w:tcPr>
                <w:p w14:paraId="47057E27">
                  <w:pPr>
                    <w:pStyle w:val="54"/>
                    <w:rPr>
                      <w:color w:val="auto"/>
                    </w:rPr>
                  </w:pPr>
                  <w:r>
                    <w:rPr>
                      <w:color w:val="auto"/>
                    </w:rPr>
                    <w:t>颗粒物</w:t>
                  </w:r>
                  <w:r>
                    <w:rPr>
                      <w:rFonts w:hint="eastAsia"/>
                      <w:color w:val="auto"/>
                    </w:rPr>
                    <w:t>排放</w:t>
                  </w:r>
                  <w:r>
                    <w:rPr>
                      <w:color w:val="auto"/>
                    </w:rPr>
                    <w:t>浓度</w:t>
                  </w:r>
                </w:p>
              </w:tc>
              <w:tc>
                <w:tcPr>
                  <w:tcW w:w="673" w:type="dxa"/>
                  <w:shd w:val="clear" w:color="auto" w:fill="auto"/>
                  <w:vAlign w:val="center"/>
                </w:tcPr>
                <w:p w14:paraId="2EBE3058">
                  <w:pPr>
                    <w:pStyle w:val="54"/>
                    <w:rPr>
                      <w:color w:val="auto"/>
                    </w:rPr>
                  </w:pPr>
                  <w:r>
                    <w:rPr>
                      <w:color w:val="auto"/>
                    </w:rPr>
                    <w:t>mg/m</w:t>
                  </w:r>
                  <w:r>
                    <w:rPr>
                      <w:color w:val="auto"/>
                      <w:vertAlign w:val="superscript"/>
                    </w:rPr>
                    <w:t>3</w:t>
                  </w:r>
                </w:p>
              </w:tc>
              <w:tc>
                <w:tcPr>
                  <w:tcW w:w="854" w:type="dxa"/>
                  <w:vAlign w:val="center"/>
                </w:tcPr>
                <w:p w14:paraId="34088F26">
                  <w:pPr>
                    <w:pStyle w:val="54"/>
                    <w:rPr>
                      <w:color w:val="auto"/>
                    </w:rPr>
                  </w:pPr>
                  <w:r>
                    <w:rPr>
                      <w:rFonts w:hint="eastAsia"/>
                      <w:color w:val="auto"/>
                    </w:rPr>
                    <w:t>21.7</w:t>
                  </w:r>
                </w:p>
              </w:tc>
              <w:tc>
                <w:tcPr>
                  <w:tcW w:w="854" w:type="dxa"/>
                  <w:vAlign w:val="center"/>
                </w:tcPr>
                <w:p w14:paraId="4653F0C9">
                  <w:pPr>
                    <w:pStyle w:val="54"/>
                    <w:rPr>
                      <w:color w:val="auto"/>
                    </w:rPr>
                  </w:pPr>
                  <w:r>
                    <w:rPr>
                      <w:rFonts w:hint="eastAsia"/>
                      <w:color w:val="auto"/>
                    </w:rPr>
                    <w:t>22.6</w:t>
                  </w:r>
                </w:p>
              </w:tc>
              <w:tc>
                <w:tcPr>
                  <w:tcW w:w="854" w:type="dxa"/>
                  <w:vAlign w:val="center"/>
                </w:tcPr>
                <w:p w14:paraId="3D1D705E">
                  <w:pPr>
                    <w:pStyle w:val="54"/>
                    <w:rPr>
                      <w:color w:val="auto"/>
                    </w:rPr>
                  </w:pPr>
                  <w:r>
                    <w:rPr>
                      <w:rFonts w:hint="eastAsia"/>
                      <w:color w:val="auto"/>
                    </w:rPr>
                    <w:t>24.6</w:t>
                  </w:r>
                </w:p>
              </w:tc>
              <w:tc>
                <w:tcPr>
                  <w:tcW w:w="538" w:type="dxa"/>
                  <w:vAlign w:val="center"/>
                </w:tcPr>
                <w:p w14:paraId="509FA67A">
                  <w:pPr>
                    <w:pStyle w:val="54"/>
                    <w:rPr>
                      <w:color w:val="auto"/>
                    </w:rPr>
                  </w:pPr>
                  <w:r>
                    <w:rPr>
                      <w:color w:val="auto"/>
                    </w:rPr>
                    <w:t>/</w:t>
                  </w:r>
                </w:p>
              </w:tc>
              <w:tc>
                <w:tcPr>
                  <w:tcW w:w="590" w:type="dxa"/>
                  <w:vAlign w:val="center"/>
                </w:tcPr>
                <w:p w14:paraId="470B0940">
                  <w:pPr>
                    <w:pStyle w:val="54"/>
                    <w:rPr>
                      <w:color w:val="auto"/>
                    </w:rPr>
                  </w:pPr>
                  <w:r>
                    <w:rPr>
                      <w:color w:val="auto"/>
                    </w:rPr>
                    <w:t>/</w:t>
                  </w:r>
                </w:p>
              </w:tc>
            </w:tr>
            <w:tr w14:paraId="4DACE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288" w:hRule="atLeast"/>
                <w:jc w:val="center"/>
              </w:trPr>
              <w:tc>
                <w:tcPr>
                  <w:tcW w:w="548" w:type="dxa"/>
                  <w:vMerge w:val="continue"/>
                  <w:shd w:val="clear" w:color="auto" w:fill="auto"/>
                  <w:vAlign w:val="center"/>
                </w:tcPr>
                <w:p w14:paraId="042D9585">
                  <w:pPr>
                    <w:pStyle w:val="54"/>
                    <w:rPr>
                      <w:color w:val="auto"/>
                    </w:rPr>
                  </w:pPr>
                </w:p>
              </w:tc>
              <w:tc>
                <w:tcPr>
                  <w:tcW w:w="789" w:type="dxa"/>
                  <w:vMerge w:val="continue"/>
                  <w:shd w:val="clear" w:color="auto" w:fill="auto"/>
                  <w:vAlign w:val="center"/>
                </w:tcPr>
                <w:p w14:paraId="4EEB2292">
                  <w:pPr>
                    <w:pStyle w:val="54"/>
                    <w:rPr>
                      <w:color w:val="auto"/>
                    </w:rPr>
                  </w:pPr>
                </w:p>
              </w:tc>
              <w:tc>
                <w:tcPr>
                  <w:tcW w:w="947" w:type="dxa"/>
                  <w:vMerge w:val="continue"/>
                  <w:shd w:val="clear" w:color="auto" w:fill="auto"/>
                  <w:vAlign w:val="center"/>
                </w:tcPr>
                <w:p w14:paraId="58883F62">
                  <w:pPr>
                    <w:pStyle w:val="54"/>
                    <w:rPr>
                      <w:color w:val="auto"/>
                    </w:rPr>
                  </w:pPr>
                </w:p>
              </w:tc>
              <w:tc>
                <w:tcPr>
                  <w:tcW w:w="1786" w:type="dxa"/>
                  <w:shd w:val="clear" w:color="auto" w:fill="auto"/>
                  <w:vAlign w:val="center"/>
                </w:tcPr>
                <w:p w14:paraId="7284D942">
                  <w:pPr>
                    <w:pStyle w:val="54"/>
                    <w:rPr>
                      <w:color w:val="auto"/>
                    </w:rPr>
                  </w:pPr>
                  <w:r>
                    <w:rPr>
                      <w:color w:val="auto"/>
                    </w:rPr>
                    <w:t>颗粒物</w:t>
                  </w:r>
                  <w:r>
                    <w:rPr>
                      <w:rFonts w:hint="eastAsia"/>
                      <w:color w:val="auto"/>
                    </w:rPr>
                    <w:t>排放</w:t>
                  </w:r>
                  <w:r>
                    <w:rPr>
                      <w:color w:val="auto"/>
                    </w:rPr>
                    <w:t>速率</w:t>
                  </w:r>
                </w:p>
              </w:tc>
              <w:tc>
                <w:tcPr>
                  <w:tcW w:w="673" w:type="dxa"/>
                  <w:shd w:val="clear" w:color="auto" w:fill="auto"/>
                  <w:vAlign w:val="center"/>
                </w:tcPr>
                <w:p w14:paraId="3250124B">
                  <w:pPr>
                    <w:pStyle w:val="54"/>
                    <w:rPr>
                      <w:color w:val="auto"/>
                    </w:rPr>
                  </w:pPr>
                  <w:r>
                    <w:rPr>
                      <w:color w:val="auto"/>
                    </w:rPr>
                    <w:t>kg/h</w:t>
                  </w:r>
                </w:p>
              </w:tc>
              <w:tc>
                <w:tcPr>
                  <w:tcW w:w="854" w:type="dxa"/>
                  <w:vAlign w:val="center"/>
                </w:tcPr>
                <w:p w14:paraId="171023D3">
                  <w:pPr>
                    <w:pStyle w:val="54"/>
                    <w:rPr>
                      <w:color w:val="auto"/>
                    </w:rPr>
                  </w:pPr>
                  <w:r>
                    <w:rPr>
                      <w:rFonts w:hint="eastAsia"/>
                      <w:color w:val="auto"/>
                    </w:rPr>
                    <w:t>0.130</w:t>
                  </w:r>
                </w:p>
              </w:tc>
              <w:tc>
                <w:tcPr>
                  <w:tcW w:w="854" w:type="dxa"/>
                  <w:vAlign w:val="center"/>
                </w:tcPr>
                <w:p w14:paraId="1F032A0B">
                  <w:pPr>
                    <w:pStyle w:val="54"/>
                    <w:rPr>
                      <w:color w:val="auto"/>
                    </w:rPr>
                  </w:pPr>
                  <w:r>
                    <w:rPr>
                      <w:rFonts w:hint="eastAsia"/>
                      <w:color w:val="auto"/>
                    </w:rPr>
                    <w:t>0.129</w:t>
                  </w:r>
                </w:p>
              </w:tc>
              <w:tc>
                <w:tcPr>
                  <w:tcW w:w="854" w:type="dxa"/>
                  <w:vAlign w:val="center"/>
                </w:tcPr>
                <w:p w14:paraId="4636C871">
                  <w:pPr>
                    <w:pStyle w:val="54"/>
                    <w:rPr>
                      <w:color w:val="auto"/>
                    </w:rPr>
                  </w:pPr>
                  <w:r>
                    <w:rPr>
                      <w:rFonts w:hint="eastAsia"/>
                      <w:color w:val="auto"/>
                    </w:rPr>
                    <w:t>0.137</w:t>
                  </w:r>
                </w:p>
              </w:tc>
              <w:tc>
                <w:tcPr>
                  <w:tcW w:w="538" w:type="dxa"/>
                  <w:vAlign w:val="center"/>
                </w:tcPr>
                <w:p w14:paraId="7ED798A9">
                  <w:pPr>
                    <w:pStyle w:val="54"/>
                    <w:rPr>
                      <w:color w:val="auto"/>
                    </w:rPr>
                  </w:pPr>
                  <w:r>
                    <w:rPr>
                      <w:color w:val="auto"/>
                    </w:rPr>
                    <w:t>/</w:t>
                  </w:r>
                </w:p>
              </w:tc>
              <w:tc>
                <w:tcPr>
                  <w:tcW w:w="590" w:type="dxa"/>
                  <w:vAlign w:val="center"/>
                </w:tcPr>
                <w:p w14:paraId="173C91F7">
                  <w:pPr>
                    <w:pStyle w:val="54"/>
                    <w:rPr>
                      <w:color w:val="auto"/>
                    </w:rPr>
                  </w:pPr>
                  <w:r>
                    <w:rPr>
                      <w:color w:val="auto"/>
                    </w:rPr>
                    <w:t>/</w:t>
                  </w:r>
                </w:p>
              </w:tc>
            </w:tr>
            <w:tr w14:paraId="58EDA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48" w:type="dxa"/>
                  <w:vMerge w:val="continue"/>
                  <w:vAlign w:val="center"/>
                </w:tcPr>
                <w:p w14:paraId="36737F27">
                  <w:pPr>
                    <w:pStyle w:val="54"/>
                    <w:rPr>
                      <w:color w:val="auto"/>
                    </w:rPr>
                  </w:pPr>
                </w:p>
              </w:tc>
              <w:tc>
                <w:tcPr>
                  <w:tcW w:w="789" w:type="dxa"/>
                  <w:vMerge w:val="restart"/>
                  <w:vAlign w:val="center"/>
                </w:tcPr>
                <w:p w14:paraId="5FB357FE">
                  <w:pPr>
                    <w:pStyle w:val="54"/>
                    <w:rPr>
                      <w:color w:val="auto"/>
                    </w:rPr>
                  </w:pPr>
                  <w:r>
                    <w:rPr>
                      <w:color w:val="auto"/>
                    </w:rPr>
                    <w:t>DA001排气筒出口</w:t>
                  </w:r>
                </w:p>
              </w:tc>
              <w:tc>
                <w:tcPr>
                  <w:tcW w:w="947" w:type="dxa"/>
                  <w:vMerge w:val="restart"/>
                  <w:vAlign w:val="center"/>
                </w:tcPr>
                <w:p w14:paraId="1DA3AEF0">
                  <w:pPr>
                    <w:pStyle w:val="54"/>
                    <w:rPr>
                      <w:color w:val="auto"/>
                    </w:rPr>
                  </w:pPr>
                  <w:r>
                    <w:rPr>
                      <w:rFonts w:hint="eastAsia"/>
                      <w:color w:val="auto"/>
                    </w:rPr>
                    <w:t>脉冲布袋除尘器</w:t>
                  </w:r>
                </w:p>
              </w:tc>
              <w:tc>
                <w:tcPr>
                  <w:tcW w:w="1786" w:type="dxa"/>
                  <w:vAlign w:val="center"/>
                </w:tcPr>
                <w:p w14:paraId="42FCB28C">
                  <w:pPr>
                    <w:pStyle w:val="54"/>
                    <w:rPr>
                      <w:color w:val="auto"/>
                    </w:rPr>
                  </w:pPr>
                  <w:r>
                    <w:rPr>
                      <w:color w:val="auto"/>
                    </w:rPr>
                    <w:t>烟道截面积</w:t>
                  </w:r>
                </w:p>
              </w:tc>
              <w:tc>
                <w:tcPr>
                  <w:tcW w:w="673" w:type="dxa"/>
                  <w:vAlign w:val="center"/>
                </w:tcPr>
                <w:p w14:paraId="160B4A74">
                  <w:pPr>
                    <w:pStyle w:val="54"/>
                    <w:rPr>
                      <w:color w:val="auto"/>
                    </w:rPr>
                  </w:pPr>
                  <w:r>
                    <w:rPr>
                      <w:color w:val="auto"/>
                    </w:rPr>
                    <w:t>m</w:t>
                  </w:r>
                  <w:r>
                    <w:rPr>
                      <w:color w:val="auto"/>
                      <w:vertAlign w:val="superscript"/>
                    </w:rPr>
                    <w:t>2</w:t>
                  </w:r>
                </w:p>
              </w:tc>
              <w:tc>
                <w:tcPr>
                  <w:tcW w:w="854" w:type="dxa"/>
                  <w:vAlign w:val="center"/>
                </w:tcPr>
                <w:p w14:paraId="51071B58">
                  <w:pPr>
                    <w:pStyle w:val="54"/>
                    <w:rPr>
                      <w:color w:val="auto"/>
                    </w:rPr>
                  </w:pPr>
                  <w:r>
                    <w:rPr>
                      <w:rFonts w:hint="eastAsia"/>
                      <w:color w:val="auto"/>
                    </w:rPr>
                    <w:t>0.0707</w:t>
                  </w:r>
                </w:p>
              </w:tc>
              <w:tc>
                <w:tcPr>
                  <w:tcW w:w="854" w:type="dxa"/>
                  <w:vAlign w:val="center"/>
                </w:tcPr>
                <w:p w14:paraId="786169F4">
                  <w:pPr>
                    <w:pStyle w:val="54"/>
                    <w:rPr>
                      <w:color w:val="auto"/>
                    </w:rPr>
                  </w:pPr>
                  <w:r>
                    <w:rPr>
                      <w:rFonts w:hint="eastAsia"/>
                      <w:color w:val="auto"/>
                    </w:rPr>
                    <w:t>0.0707</w:t>
                  </w:r>
                </w:p>
              </w:tc>
              <w:tc>
                <w:tcPr>
                  <w:tcW w:w="854" w:type="dxa"/>
                  <w:vAlign w:val="center"/>
                </w:tcPr>
                <w:p w14:paraId="304A0D82">
                  <w:pPr>
                    <w:pStyle w:val="54"/>
                    <w:rPr>
                      <w:color w:val="auto"/>
                    </w:rPr>
                  </w:pPr>
                  <w:r>
                    <w:rPr>
                      <w:rFonts w:hint="eastAsia"/>
                      <w:color w:val="auto"/>
                    </w:rPr>
                    <w:t>0.0707</w:t>
                  </w:r>
                </w:p>
              </w:tc>
              <w:tc>
                <w:tcPr>
                  <w:tcW w:w="538" w:type="dxa"/>
                  <w:vAlign w:val="center"/>
                </w:tcPr>
                <w:p w14:paraId="7FDB130A">
                  <w:pPr>
                    <w:pStyle w:val="54"/>
                    <w:rPr>
                      <w:color w:val="auto"/>
                    </w:rPr>
                  </w:pPr>
                  <w:r>
                    <w:rPr>
                      <w:color w:val="auto"/>
                    </w:rPr>
                    <w:t>/</w:t>
                  </w:r>
                </w:p>
              </w:tc>
              <w:tc>
                <w:tcPr>
                  <w:tcW w:w="590" w:type="dxa"/>
                  <w:vAlign w:val="center"/>
                </w:tcPr>
                <w:p w14:paraId="0D2DB244">
                  <w:pPr>
                    <w:pStyle w:val="54"/>
                    <w:rPr>
                      <w:color w:val="auto"/>
                    </w:rPr>
                  </w:pPr>
                  <w:r>
                    <w:rPr>
                      <w:color w:val="auto"/>
                    </w:rPr>
                    <w:t>/</w:t>
                  </w:r>
                </w:p>
              </w:tc>
            </w:tr>
            <w:tr w14:paraId="1D471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48" w:type="dxa"/>
                  <w:vMerge w:val="continue"/>
                  <w:vAlign w:val="center"/>
                </w:tcPr>
                <w:p w14:paraId="4D4C7BBE">
                  <w:pPr>
                    <w:pStyle w:val="54"/>
                    <w:rPr>
                      <w:color w:val="auto"/>
                    </w:rPr>
                  </w:pPr>
                </w:p>
              </w:tc>
              <w:tc>
                <w:tcPr>
                  <w:tcW w:w="789" w:type="dxa"/>
                  <w:vMerge w:val="continue"/>
                  <w:vAlign w:val="center"/>
                </w:tcPr>
                <w:p w14:paraId="7FD03805">
                  <w:pPr>
                    <w:pStyle w:val="54"/>
                    <w:rPr>
                      <w:color w:val="auto"/>
                    </w:rPr>
                  </w:pPr>
                </w:p>
              </w:tc>
              <w:tc>
                <w:tcPr>
                  <w:tcW w:w="947" w:type="dxa"/>
                  <w:vMerge w:val="continue"/>
                  <w:vAlign w:val="center"/>
                </w:tcPr>
                <w:p w14:paraId="4EA15838">
                  <w:pPr>
                    <w:pStyle w:val="54"/>
                    <w:rPr>
                      <w:color w:val="auto"/>
                    </w:rPr>
                  </w:pPr>
                </w:p>
              </w:tc>
              <w:tc>
                <w:tcPr>
                  <w:tcW w:w="1786" w:type="dxa"/>
                  <w:vAlign w:val="center"/>
                </w:tcPr>
                <w:p w14:paraId="7DDE5CC6">
                  <w:pPr>
                    <w:pStyle w:val="54"/>
                    <w:rPr>
                      <w:color w:val="auto"/>
                    </w:rPr>
                  </w:pPr>
                  <w:r>
                    <w:rPr>
                      <w:color w:val="auto"/>
                    </w:rPr>
                    <w:t>烟气含湿量</w:t>
                  </w:r>
                </w:p>
              </w:tc>
              <w:tc>
                <w:tcPr>
                  <w:tcW w:w="673" w:type="dxa"/>
                  <w:vAlign w:val="center"/>
                </w:tcPr>
                <w:p w14:paraId="53B0DC02">
                  <w:pPr>
                    <w:pStyle w:val="54"/>
                    <w:rPr>
                      <w:color w:val="auto"/>
                    </w:rPr>
                  </w:pPr>
                  <w:r>
                    <w:rPr>
                      <w:color w:val="auto"/>
                    </w:rPr>
                    <w:t>%</w:t>
                  </w:r>
                </w:p>
              </w:tc>
              <w:tc>
                <w:tcPr>
                  <w:tcW w:w="854" w:type="dxa"/>
                  <w:vAlign w:val="center"/>
                </w:tcPr>
                <w:p w14:paraId="270E0834">
                  <w:pPr>
                    <w:pStyle w:val="54"/>
                    <w:rPr>
                      <w:color w:val="auto"/>
                    </w:rPr>
                  </w:pPr>
                  <w:r>
                    <w:rPr>
                      <w:rFonts w:hint="eastAsia"/>
                      <w:color w:val="auto"/>
                    </w:rPr>
                    <w:t>2.1</w:t>
                  </w:r>
                </w:p>
              </w:tc>
              <w:tc>
                <w:tcPr>
                  <w:tcW w:w="854" w:type="dxa"/>
                  <w:vAlign w:val="center"/>
                </w:tcPr>
                <w:p w14:paraId="132064CD">
                  <w:pPr>
                    <w:pStyle w:val="54"/>
                    <w:rPr>
                      <w:color w:val="auto"/>
                    </w:rPr>
                  </w:pPr>
                  <w:r>
                    <w:rPr>
                      <w:rFonts w:hint="eastAsia"/>
                      <w:color w:val="auto"/>
                    </w:rPr>
                    <w:t>1.9</w:t>
                  </w:r>
                </w:p>
              </w:tc>
              <w:tc>
                <w:tcPr>
                  <w:tcW w:w="854" w:type="dxa"/>
                  <w:vAlign w:val="center"/>
                </w:tcPr>
                <w:p w14:paraId="39E820C1">
                  <w:pPr>
                    <w:pStyle w:val="54"/>
                    <w:rPr>
                      <w:color w:val="auto"/>
                    </w:rPr>
                  </w:pPr>
                  <w:r>
                    <w:rPr>
                      <w:rFonts w:hint="eastAsia"/>
                      <w:color w:val="auto"/>
                    </w:rPr>
                    <w:t>2.0</w:t>
                  </w:r>
                </w:p>
              </w:tc>
              <w:tc>
                <w:tcPr>
                  <w:tcW w:w="538" w:type="dxa"/>
                  <w:vAlign w:val="center"/>
                </w:tcPr>
                <w:p w14:paraId="097AA859">
                  <w:pPr>
                    <w:pStyle w:val="54"/>
                    <w:rPr>
                      <w:color w:val="auto"/>
                    </w:rPr>
                  </w:pPr>
                  <w:r>
                    <w:rPr>
                      <w:color w:val="auto"/>
                    </w:rPr>
                    <w:t>/</w:t>
                  </w:r>
                </w:p>
              </w:tc>
              <w:tc>
                <w:tcPr>
                  <w:tcW w:w="590" w:type="dxa"/>
                  <w:vAlign w:val="center"/>
                </w:tcPr>
                <w:p w14:paraId="23589970">
                  <w:pPr>
                    <w:pStyle w:val="54"/>
                    <w:rPr>
                      <w:color w:val="auto"/>
                    </w:rPr>
                  </w:pPr>
                  <w:r>
                    <w:rPr>
                      <w:color w:val="auto"/>
                    </w:rPr>
                    <w:t>/</w:t>
                  </w:r>
                </w:p>
              </w:tc>
            </w:tr>
            <w:tr w14:paraId="390AF5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274" w:hRule="atLeast"/>
                <w:jc w:val="center"/>
              </w:trPr>
              <w:tc>
                <w:tcPr>
                  <w:tcW w:w="548" w:type="dxa"/>
                  <w:vMerge w:val="continue"/>
                  <w:vAlign w:val="center"/>
                </w:tcPr>
                <w:p w14:paraId="120F2720">
                  <w:pPr>
                    <w:pStyle w:val="54"/>
                    <w:rPr>
                      <w:color w:val="auto"/>
                    </w:rPr>
                  </w:pPr>
                </w:p>
              </w:tc>
              <w:tc>
                <w:tcPr>
                  <w:tcW w:w="789" w:type="dxa"/>
                  <w:vMerge w:val="continue"/>
                  <w:vAlign w:val="center"/>
                </w:tcPr>
                <w:p w14:paraId="1842A7DA">
                  <w:pPr>
                    <w:pStyle w:val="54"/>
                    <w:rPr>
                      <w:color w:val="auto"/>
                    </w:rPr>
                  </w:pPr>
                </w:p>
              </w:tc>
              <w:tc>
                <w:tcPr>
                  <w:tcW w:w="947" w:type="dxa"/>
                  <w:vMerge w:val="continue"/>
                  <w:vAlign w:val="center"/>
                </w:tcPr>
                <w:p w14:paraId="6CE31C10">
                  <w:pPr>
                    <w:pStyle w:val="54"/>
                    <w:rPr>
                      <w:color w:val="auto"/>
                    </w:rPr>
                  </w:pPr>
                </w:p>
              </w:tc>
              <w:tc>
                <w:tcPr>
                  <w:tcW w:w="1786" w:type="dxa"/>
                  <w:vAlign w:val="center"/>
                </w:tcPr>
                <w:p w14:paraId="6C28A528">
                  <w:pPr>
                    <w:pStyle w:val="54"/>
                    <w:rPr>
                      <w:color w:val="auto"/>
                    </w:rPr>
                  </w:pPr>
                  <w:r>
                    <w:rPr>
                      <w:color w:val="auto"/>
                    </w:rPr>
                    <w:t>烟气温度</w:t>
                  </w:r>
                </w:p>
              </w:tc>
              <w:tc>
                <w:tcPr>
                  <w:tcW w:w="673" w:type="dxa"/>
                  <w:vAlign w:val="center"/>
                </w:tcPr>
                <w:p w14:paraId="55E2A705">
                  <w:pPr>
                    <w:pStyle w:val="54"/>
                    <w:rPr>
                      <w:color w:val="auto"/>
                    </w:rPr>
                  </w:pPr>
                  <w:r>
                    <w:rPr>
                      <w:color w:val="auto"/>
                    </w:rPr>
                    <w:t>℃</w:t>
                  </w:r>
                </w:p>
              </w:tc>
              <w:tc>
                <w:tcPr>
                  <w:tcW w:w="854" w:type="dxa"/>
                  <w:vAlign w:val="center"/>
                </w:tcPr>
                <w:p w14:paraId="53EE3952">
                  <w:pPr>
                    <w:pStyle w:val="54"/>
                    <w:rPr>
                      <w:color w:val="auto"/>
                    </w:rPr>
                  </w:pPr>
                  <w:r>
                    <w:rPr>
                      <w:rFonts w:hint="eastAsia"/>
                      <w:color w:val="auto"/>
                    </w:rPr>
                    <w:t>35</w:t>
                  </w:r>
                </w:p>
              </w:tc>
              <w:tc>
                <w:tcPr>
                  <w:tcW w:w="854" w:type="dxa"/>
                  <w:vAlign w:val="center"/>
                </w:tcPr>
                <w:p w14:paraId="332A78AA">
                  <w:pPr>
                    <w:pStyle w:val="54"/>
                    <w:rPr>
                      <w:color w:val="auto"/>
                    </w:rPr>
                  </w:pPr>
                  <w:r>
                    <w:rPr>
                      <w:rFonts w:hint="eastAsia"/>
                      <w:color w:val="auto"/>
                    </w:rPr>
                    <w:t>34</w:t>
                  </w:r>
                </w:p>
              </w:tc>
              <w:tc>
                <w:tcPr>
                  <w:tcW w:w="854" w:type="dxa"/>
                  <w:vAlign w:val="center"/>
                </w:tcPr>
                <w:p w14:paraId="2C63A4BA">
                  <w:pPr>
                    <w:pStyle w:val="54"/>
                    <w:rPr>
                      <w:color w:val="auto"/>
                    </w:rPr>
                  </w:pPr>
                  <w:r>
                    <w:rPr>
                      <w:rFonts w:hint="eastAsia"/>
                      <w:color w:val="auto"/>
                    </w:rPr>
                    <w:t>31</w:t>
                  </w:r>
                </w:p>
              </w:tc>
              <w:tc>
                <w:tcPr>
                  <w:tcW w:w="538" w:type="dxa"/>
                  <w:vAlign w:val="center"/>
                </w:tcPr>
                <w:p w14:paraId="1EE5879F">
                  <w:pPr>
                    <w:pStyle w:val="54"/>
                    <w:rPr>
                      <w:color w:val="auto"/>
                    </w:rPr>
                  </w:pPr>
                  <w:r>
                    <w:rPr>
                      <w:color w:val="auto"/>
                    </w:rPr>
                    <w:t>/</w:t>
                  </w:r>
                </w:p>
              </w:tc>
              <w:tc>
                <w:tcPr>
                  <w:tcW w:w="590" w:type="dxa"/>
                  <w:vAlign w:val="center"/>
                </w:tcPr>
                <w:p w14:paraId="43F7DCEF">
                  <w:pPr>
                    <w:pStyle w:val="54"/>
                    <w:rPr>
                      <w:color w:val="auto"/>
                    </w:rPr>
                  </w:pPr>
                  <w:r>
                    <w:rPr>
                      <w:color w:val="auto"/>
                    </w:rPr>
                    <w:t>/</w:t>
                  </w:r>
                </w:p>
              </w:tc>
            </w:tr>
            <w:tr w14:paraId="7D4E7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48" w:type="dxa"/>
                  <w:vMerge w:val="continue"/>
                  <w:vAlign w:val="center"/>
                </w:tcPr>
                <w:p w14:paraId="587693CE">
                  <w:pPr>
                    <w:pStyle w:val="54"/>
                    <w:rPr>
                      <w:color w:val="auto"/>
                    </w:rPr>
                  </w:pPr>
                </w:p>
              </w:tc>
              <w:tc>
                <w:tcPr>
                  <w:tcW w:w="789" w:type="dxa"/>
                  <w:vMerge w:val="continue"/>
                  <w:vAlign w:val="center"/>
                </w:tcPr>
                <w:p w14:paraId="506A7590">
                  <w:pPr>
                    <w:pStyle w:val="54"/>
                    <w:rPr>
                      <w:color w:val="auto"/>
                    </w:rPr>
                  </w:pPr>
                </w:p>
              </w:tc>
              <w:tc>
                <w:tcPr>
                  <w:tcW w:w="947" w:type="dxa"/>
                  <w:vMerge w:val="continue"/>
                  <w:vAlign w:val="center"/>
                </w:tcPr>
                <w:p w14:paraId="1F3CCC8D">
                  <w:pPr>
                    <w:pStyle w:val="54"/>
                    <w:rPr>
                      <w:color w:val="auto"/>
                    </w:rPr>
                  </w:pPr>
                </w:p>
              </w:tc>
              <w:tc>
                <w:tcPr>
                  <w:tcW w:w="1786" w:type="dxa"/>
                  <w:vAlign w:val="center"/>
                </w:tcPr>
                <w:p w14:paraId="0313180D">
                  <w:pPr>
                    <w:pStyle w:val="54"/>
                    <w:rPr>
                      <w:color w:val="auto"/>
                    </w:rPr>
                  </w:pPr>
                  <w:r>
                    <w:rPr>
                      <w:color w:val="auto"/>
                    </w:rPr>
                    <w:t>烟气流速</w:t>
                  </w:r>
                </w:p>
              </w:tc>
              <w:tc>
                <w:tcPr>
                  <w:tcW w:w="673" w:type="dxa"/>
                  <w:vAlign w:val="center"/>
                </w:tcPr>
                <w:p w14:paraId="62FB63B6">
                  <w:pPr>
                    <w:pStyle w:val="54"/>
                    <w:rPr>
                      <w:color w:val="auto"/>
                    </w:rPr>
                  </w:pPr>
                  <w:r>
                    <w:rPr>
                      <w:color w:val="auto"/>
                    </w:rPr>
                    <w:t>m/s</w:t>
                  </w:r>
                </w:p>
              </w:tc>
              <w:tc>
                <w:tcPr>
                  <w:tcW w:w="854" w:type="dxa"/>
                  <w:vAlign w:val="center"/>
                </w:tcPr>
                <w:p w14:paraId="26E231E2">
                  <w:pPr>
                    <w:pStyle w:val="54"/>
                    <w:rPr>
                      <w:color w:val="auto"/>
                    </w:rPr>
                  </w:pPr>
                  <w:r>
                    <w:rPr>
                      <w:rFonts w:hint="eastAsia"/>
                      <w:color w:val="auto"/>
                    </w:rPr>
                    <w:t>25.3</w:t>
                  </w:r>
                </w:p>
              </w:tc>
              <w:tc>
                <w:tcPr>
                  <w:tcW w:w="854" w:type="dxa"/>
                  <w:vAlign w:val="center"/>
                </w:tcPr>
                <w:p w14:paraId="16111DFE">
                  <w:pPr>
                    <w:pStyle w:val="54"/>
                    <w:rPr>
                      <w:color w:val="auto"/>
                    </w:rPr>
                  </w:pPr>
                  <w:r>
                    <w:rPr>
                      <w:rFonts w:hint="eastAsia"/>
                      <w:color w:val="auto"/>
                    </w:rPr>
                    <w:t>25.9</w:t>
                  </w:r>
                </w:p>
              </w:tc>
              <w:tc>
                <w:tcPr>
                  <w:tcW w:w="854" w:type="dxa"/>
                  <w:vAlign w:val="center"/>
                </w:tcPr>
                <w:p w14:paraId="51952C25">
                  <w:pPr>
                    <w:pStyle w:val="54"/>
                    <w:rPr>
                      <w:color w:val="auto"/>
                    </w:rPr>
                  </w:pPr>
                  <w:r>
                    <w:rPr>
                      <w:rFonts w:hint="eastAsia"/>
                      <w:color w:val="auto"/>
                    </w:rPr>
                    <w:t>25.6</w:t>
                  </w:r>
                </w:p>
              </w:tc>
              <w:tc>
                <w:tcPr>
                  <w:tcW w:w="538" w:type="dxa"/>
                  <w:vAlign w:val="center"/>
                </w:tcPr>
                <w:p w14:paraId="2BD6EED5">
                  <w:pPr>
                    <w:pStyle w:val="54"/>
                    <w:rPr>
                      <w:color w:val="auto"/>
                    </w:rPr>
                  </w:pPr>
                  <w:r>
                    <w:rPr>
                      <w:color w:val="auto"/>
                    </w:rPr>
                    <w:t>/</w:t>
                  </w:r>
                </w:p>
              </w:tc>
              <w:tc>
                <w:tcPr>
                  <w:tcW w:w="590" w:type="dxa"/>
                  <w:vAlign w:val="center"/>
                </w:tcPr>
                <w:p w14:paraId="68B8A71B">
                  <w:pPr>
                    <w:pStyle w:val="54"/>
                    <w:rPr>
                      <w:color w:val="auto"/>
                    </w:rPr>
                  </w:pPr>
                  <w:r>
                    <w:rPr>
                      <w:color w:val="auto"/>
                    </w:rPr>
                    <w:t>/</w:t>
                  </w:r>
                </w:p>
              </w:tc>
            </w:tr>
            <w:tr w14:paraId="722C8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48" w:type="dxa"/>
                  <w:vMerge w:val="continue"/>
                  <w:vAlign w:val="center"/>
                </w:tcPr>
                <w:p w14:paraId="1EB50A4E">
                  <w:pPr>
                    <w:pStyle w:val="54"/>
                    <w:rPr>
                      <w:color w:val="auto"/>
                    </w:rPr>
                  </w:pPr>
                </w:p>
              </w:tc>
              <w:tc>
                <w:tcPr>
                  <w:tcW w:w="789" w:type="dxa"/>
                  <w:vMerge w:val="continue"/>
                  <w:vAlign w:val="center"/>
                </w:tcPr>
                <w:p w14:paraId="49E12D93">
                  <w:pPr>
                    <w:pStyle w:val="54"/>
                    <w:rPr>
                      <w:color w:val="auto"/>
                    </w:rPr>
                  </w:pPr>
                </w:p>
              </w:tc>
              <w:tc>
                <w:tcPr>
                  <w:tcW w:w="947" w:type="dxa"/>
                  <w:vMerge w:val="continue"/>
                  <w:vAlign w:val="center"/>
                </w:tcPr>
                <w:p w14:paraId="6B544A6E">
                  <w:pPr>
                    <w:pStyle w:val="54"/>
                    <w:rPr>
                      <w:color w:val="auto"/>
                    </w:rPr>
                  </w:pPr>
                </w:p>
              </w:tc>
              <w:tc>
                <w:tcPr>
                  <w:tcW w:w="1786" w:type="dxa"/>
                  <w:vAlign w:val="center"/>
                </w:tcPr>
                <w:p w14:paraId="41EFE308">
                  <w:pPr>
                    <w:pStyle w:val="54"/>
                    <w:rPr>
                      <w:color w:val="auto"/>
                    </w:rPr>
                  </w:pPr>
                  <w:r>
                    <w:rPr>
                      <w:color w:val="auto"/>
                    </w:rPr>
                    <w:t>烟气流量</w:t>
                  </w:r>
                </w:p>
              </w:tc>
              <w:tc>
                <w:tcPr>
                  <w:tcW w:w="673" w:type="dxa"/>
                  <w:vAlign w:val="center"/>
                </w:tcPr>
                <w:p w14:paraId="7B212C4F">
                  <w:pPr>
                    <w:pStyle w:val="54"/>
                    <w:rPr>
                      <w:color w:val="auto"/>
                    </w:rPr>
                  </w:pPr>
                  <w:r>
                    <w:rPr>
                      <w:color w:val="auto"/>
                    </w:rPr>
                    <w:t>m</w:t>
                  </w:r>
                  <w:r>
                    <w:rPr>
                      <w:color w:val="auto"/>
                      <w:vertAlign w:val="superscript"/>
                    </w:rPr>
                    <w:t>3</w:t>
                  </w:r>
                  <w:r>
                    <w:rPr>
                      <w:color w:val="auto"/>
                    </w:rPr>
                    <w:t>/h</w:t>
                  </w:r>
                </w:p>
              </w:tc>
              <w:tc>
                <w:tcPr>
                  <w:tcW w:w="854" w:type="dxa"/>
                  <w:vAlign w:val="center"/>
                </w:tcPr>
                <w:p w14:paraId="7CC93A97">
                  <w:pPr>
                    <w:pStyle w:val="54"/>
                    <w:rPr>
                      <w:color w:val="auto"/>
                    </w:rPr>
                  </w:pPr>
                  <w:r>
                    <w:rPr>
                      <w:rFonts w:hint="eastAsia"/>
                      <w:color w:val="auto"/>
                    </w:rPr>
                    <w:t>6438</w:t>
                  </w:r>
                </w:p>
              </w:tc>
              <w:tc>
                <w:tcPr>
                  <w:tcW w:w="854" w:type="dxa"/>
                  <w:vAlign w:val="center"/>
                </w:tcPr>
                <w:p w14:paraId="073B6E67">
                  <w:pPr>
                    <w:pStyle w:val="54"/>
                    <w:rPr>
                      <w:color w:val="auto"/>
                    </w:rPr>
                  </w:pPr>
                  <w:r>
                    <w:rPr>
                      <w:rFonts w:hint="eastAsia"/>
                      <w:color w:val="auto"/>
                    </w:rPr>
                    <w:t>6591</w:t>
                  </w:r>
                </w:p>
              </w:tc>
              <w:tc>
                <w:tcPr>
                  <w:tcW w:w="854" w:type="dxa"/>
                  <w:vAlign w:val="center"/>
                </w:tcPr>
                <w:p w14:paraId="2C23D881">
                  <w:pPr>
                    <w:pStyle w:val="54"/>
                    <w:rPr>
                      <w:color w:val="auto"/>
                    </w:rPr>
                  </w:pPr>
                  <w:r>
                    <w:rPr>
                      <w:rFonts w:hint="eastAsia"/>
                      <w:color w:val="auto"/>
                    </w:rPr>
                    <w:t>6493</w:t>
                  </w:r>
                </w:p>
              </w:tc>
              <w:tc>
                <w:tcPr>
                  <w:tcW w:w="538" w:type="dxa"/>
                  <w:vAlign w:val="center"/>
                </w:tcPr>
                <w:p w14:paraId="22FE9094">
                  <w:pPr>
                    <w:pStyle w:val="54"/>
                    <w:rPr>
                      <w:color w:val="auto"/>
                    </w:rPr>
                  </w:pPr>
                  <w:r>
                    <w:rPr>
                      <w:color w:val="auto"/>
                    </w:rPr>
                    <w:t>/</w:t>
                  </w:r>
                </w:p>
              </w:tc>
              <w:tc>
                <w:tcPr>
                  <w:tcW w:w="590" w:type="dxa"/>
                  <w:vAlign w:val="center"/>
                </w:tcPr>
                <w:p w14:paraId="737CB15A">
                  <w:pPr>
                    <w:pStyle w:val="54"/>
                    <w:rPr>
                      <w:color w:val="auto"/>
                    </w:rPr>
                  </w:pPr>
                  <w:r>
                    <w:rPr>
                      <w:color w:val="auto"/>
                    </w:rPr>
                    <w:t>/</w:t>
                  </w:r>
                </w:p>
              </w:tc>
            </w:tr>
            <w:tr w14:paraId="7FFAF2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48" w:type="dxa"/>
                  <w:vMerge w:val="continue"/>
                  <w:vAlign w:val="center"/>
                </w:tcPr>
                <w:p w14:paraId="22065163">
                  <w:pPr>
                    <w:pStyle w:val="54"/>
                    <w:rPr>
                      <w:color w:val="auto"/>
                    </w:rPr>
                  </w:pPr>
                </w:p>
              </w:tc>
              <w:tc>
                <w:tcPr>
                  <w:tcW w:w="789" w:type="dxa"/>
                  <w:vMerge w:val="continue"/>
                  <w:vAlign w:val="center"/>
                </w:tcPr>
                <w:p w14:paraId="76B5B575">
                  <w:pPr>
                    <w:pStyle w:val="54"/>
                    <w:rPr>
                      <w:color w:val="auto"/>
                    </w:rPr>
                  </w:pPr>
                </w:p>
              </w:tc>
              <w:tc>
                <w:tcPr>
                  <w:tcW w:w="947" w:type="dxa"/>
                  <w:vMerge w:val="continue"/>
                  <w:vAlign w:val="center"/>
                </w:tcPr>
                <w:p w14:paraId="22352969">
                  <w:pPr>
                    <w:pStyle w:val="54"/>
                    <w:rPr>
                      <w:color w:val="auto"/>
                    </w:rPr>
                  </w:pPr>
                </w:p>
              </w:tc>
              <w:tc>
                <w:tcPr>
                  <w:tcW w:w="1786" w:type="dxa"/>
                  <w:vAlign w:val="center"/>
                </w:tcPr>
                <w:p w14:paraId="07801E3B">
                  <w:pPr>
                    <w:pStyle w:val="54"/>
                    <w:rPr>
                      <w:color w:val="auto"/>
                    </w:rPr>
                  </w:pPr>
                  <w:r>
                    <w:rPr>
                      <w:color w:val="auto"/>
                    </w:rPr>
                    <w:t>标干流量</w:t>
                  </w:r>
                </w:p>
              </w:tc>
              <w:tc>
                <w:tcPr>
                  <w:tcW w:w="673" w:type="dxa"/>
                  <w:vAlign w:val="center"/>
                </w:tcPr>
                <w:p w14:paraId="4917D71F">
                  <w:pPr>
                    <w:pStyle w:val="54"/>
                    <w:rPr>
                      <w:color w:val="auto"/>
                    </w:rPr>
                  </w:pPr>
                  <w:r>
                    <w:rPr>
                      <w:color w:val="auto"/>
                    </w:rPr>
                    <w:t>Nm</w:t>
                  </w:r>
                  <w:r>
                    <w:rPr>
                      <w:color w:val="auto"/>
                      <w:vertAlign w:val="superscript"/>
                    </w:rPr>
                    <w:t>3</w:t>
                  </w:r>
                  <w:r>
                    <w:rPr>
                      <w:color w:val="auto"/>
                    </w:rPr>
                    <w:t>/h</w:t>
                  </w:r>
                </w:p>
              </w:tc>
              <w:tc>
                <w:tcPr>
                  <w:tcW w:w="854" w:type="dxa"/>
                  <w:vAlign w:val="center"/>
                </w:tcPr>
                <w:p w14:paraId="0879D24C">
                  <w:pPr>
                    <w:pStyle w:val="54"/>
                    <w:rPr>
                      <w:color w:val="auto"/>
                    </w:rPr>
                  </w:pPr>
                  <w:r>
                    <w:rPr>
                      <w:rFonts w:hint="eastAsia"/>
                      <w:color w:val="auto"/>
                    </w:rPr>
                    <w:t>5612</w:t>
                  </w:r>
                </w:p>
              </w:tc>
              <w:tc>
                <w:tcPr>
                  <w:tcW w:w="854" w:type="dxa"/>
                  <w:vAlign w:val="center"/>
                </w:tcPr>
                <w:p w14:paraId="4F8C8E0C">
                  <w:pPr>
                    <w:pStyle w:val="54"/>
                    <w:rPr>
                      <w:color w:val="auto"/>
                    </w:rPr>
                  </w:pPr>
                  <w:r>
                    <w:rPr>
                      <w:rFonts w:hint="eastAsia"/>
                      <w:color w:val="auto"/>
                    </w:rPr>
                    <w:t>5767</w:t>
                  </w:r>
                </w:p>
              </w:tc>
              <w:tc>
                <w:tcPr>
                  <w:tcW w:w="854" w:type="dxa"/>
                  <w:vAlign w:val="center"/>
                </w:tcPr>
                <w:p w14:paraId="1F9589B4">
                  <w:pPr>
                    <w:pStyle w:val="54"/>
                    <w:rPr>
                      <w:color w:val="auto"/>
                    </w:rPr>
                  </w:pPr>
                  <w:r>
                    <w:rPr>
                      <w:rFonts w:hint="eastAsia"/>
                      <w:color w:val="auto"/>
                    </w:rPr>
                    <w:t>5699</w:t>
                  </w:r>
                </w:p>
              </w:tc>
              <w:tc>
                <w:tcPr>
                  <w:tcW w:w="538" w:type="dxa"/>
                  <w:vAlign w:val="center"/>
                </w:tcPr>
                <w:p w14:paraId="12BF85FF">
                  <w:pPr>
                    <w:pStyle w:val="54"/>
                    <w:rPr>
                      <w:color w:val="auto"/>
                    </w:rPr>
                  </w:pPr>
                  <w:r>
                    <w:rPr>
                      <w:color w:val="auto"/>
                    </w:rPr>
                    <w:t>/</w:t>
                  </w:r>
                </w:p>
              </w:tc>
              <w:tc>
                <w:tcPr>
                  <w:tcW w:w="590" w:type="dxa"/>
                  <w:vAlign w:val="center"/>
                </w:tcPr>
                <w:p w14:paraId="2876EDFC">
                  <w:pPr>
                    <w:pStyle w:val="54"/>
                    <w:rPr>
                      <w:color w:val="auto"/>
                    </w:rPr>
                  </w:pPr>
                  <w:r>
                    <w:rPr>
                      <w:color w:val="auto"/>
                    </w:rPr>
                    <w:t>/</w:t>
                  </w:r>
                </w:p>
              </w:tc>
            </w:tr>
            <w:tr w14:paraId="3AAEEC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48" w:type="dxa"/>
                  <w:vMerge w:val="continue"/>
                  <w:vAlign w:val="center"/>
                </w:tcPr>
                <w:p w14:paraId="5EE39742">
                  <w:pPr>
                    <w:pStyle w:val="54"/>
                    <w:rPr>
                      <w:color w:val="auto"/>
                    </w:rPr>
                  </w:pPr>
                </w:p>
              </w:tc>
              <w:tc>
                <w:tcPr>
                  <w:tcW w:w="789" w:type="dxa"/>
                  <w:vMerge w:val="continue"/>
                  <w:vAlign w:val="center"/>
                </w:tcPr>
                <w:p w14:paraId="3D68CF31">
                  <w:pPr>
                    <w:pStyle w:val="54"/>
                    <w:rPr>
                      <w:color w:val="auto"/>
                    </w:rPr>
                  </w:pPr>
                </w:p>
              </w:tc>
              <w:tc>
                <w:tcPr>
                  <w:tcW w:w="947" w:type="dxa"/>
                  <w:vMerge w:val="continue"/>
                  <w:vAlign w:val="center"/>
                </w:tcPr>
                <w:p w14:paraId="03C55858">
                  <w:pPr>
                    <w:pStyle w:val="54"/>
                    <w:rPr>
                      <w:color w:val="auto"/>
                    </w:rPr>
                  </w:pPr>
                </w:p>
              </w:tc>
              <w:tc>
                <w:tcPr>
                  <w:tcW w:w="1786" w:type="dxa"/>
                  <w:vAlign w:val="center"/>
                </w:tcPr>
                <w:p w14:paraId="4CB489C0">
                  <w:pPr>
                    <w:pStyle w:val="54"/>
                    <w:rPr>
                      <w:color w:val="auto"/>
                    </w:rPr>
                  </w:pPr>
                  <w:r>
                    <w:rPr>
                      <w:rFonts w:hint="eastAsia"/>
                      <w:color w:val="auto"/>
                    </w:rPr>
                    <w:t>低浓度颗粒物排放</w:t>
                  </w:r>
                  <w:r>
                    <w:rPr>
                      <w:color w:val="auto"/>
                    </w:rPr>
                    <w:t>浓度</w:t>
                  </w:r>
                </w:p>
              </w:tc>
              <w:tc>
                <w:tcPr>
                  <w:tcW w:w="673" w:type="dxa"/>
                  <w:vAlign w:val="center"/>
                </w:tcPr>
                <w:p w14:paraId="4F318E65">
                  <w:pPr>
                    <w:pStyle w:val="54"/>
                    <w:rPr>
                      <w:color w:val="auto"/>
                    </w:rPr>
                  </w:pPr>
                  <w:r>
                    <w:rPr>
                      <w:color w:val="auto"/>
                    </w:rPr>
                    <w:t>mg/m</w:t>
                  </w:r>
                  <w:r>
                    <w:rPr>
                      <w:color w:val="auto"/>
                      <w:vertAlign w:val="superscript"/>
                    </w:rPr>
                    <w:t>3</w:t>
                  </w:r>
                </w:p>
              </w:tc>
              <w:tc>
                <w:tcPr>
                  <w:tcW w:w="854" w:type="dxa"/>
                  <w:vAlign w:val="center"/>
                </w:tcPr>
                <w:p w14:paraId="7A6EB0DD">
                  <w:pPr>
                    <w:pStyle w:val="54"/>
                    <w:rPr>
                      <w:color w:val="auto"/>
                    </w:rPr>
                  </w:pPr>
                  <w:r>
                    <w:rPr>
                      <w:rFonts w:hint="eastAsia"/>
                      <w:color w:val="auto"/>
                    </w:rPr>
                    <w:t>1.5</w:t>
                  </w:r>
                </w:p>
              </w:tc>
              <w:tc>
                <w:tcPr>
                  <w:tcW w:w="854" w:type="dxa"/>
                  <w:vAlign w:val="center"/>
                </w:tcPr>
                <w:p w14:paraId="407B5C6A">
                  <w:pPr>
                    <w:pStyle w:val="54"/>
                    <w:rPr>
                      <w:color w:val="auto"/>
                    </w:rPr>
                  </w:pPr>
                  <w:r>
                    <w:rPr>
                      <w:rFonts w:hint="eastAsia"/>
                      <w:color w:val="auto"/>
                    </w:rPr>
                    <w:t>1.6</w:t>
                  </w:r>
                </w:p>
              </w:tc>
              <w:tc>
                <w:tcPr>
                  <w:tcW w:w="854" w:type="dxa"/>
                  <w:vAlign w:val="center"/>
                </w:tcPr>
                <w:p w14:paraId="530C1F4A">
                  <w:pPr>
                    <w:pStyle w:val="54"/>
                    <w:rPr>
                      <w:color w:val="auto"/>
                    </w:rPr>
                  </w:pPr>
                  <w:r>
                    <w:rPr>
                      <w:rFonts w:hint="eastAsia"/>
                      <w:color w:val="auto"/>
                    </w:rPr>
                    <w:t>1.2</w:t>
                  </w:r>
                </w:p>
              </w:tc>
              <w:tc>
                <w:tcPr>
                  <w:tcW w:w="538" w:type="dxa"/>
                  <w:vAlign w:val="center"/>
                </w:tcPr>
                <w:p w14:paraId="39D90D31">
                  <w:pPr>
                    <w:pStyle w:val="54"/>
                    <w:rPr>
                      <w:color w:val="auto"/>
                    </w:rPr>
                  </w:pPr>
                  <w:r>
                    <w:rPr>
                      <w:color w:val="auto"/>
                    </w:rPr>
                    <w:t>&lt;20</w:t>
                  </w:r>
                </w:p>
              </w:tc>
              <w:tc>
                <w:tcPr>
                  <w:tcW w:w="590" w:type="dxa"/>
                  <w:vAlign w:val="center"/>
                </w:tcPr>
                <w:p w14:paraId="109DEFA6">
                  <w:pPr>
                    <w:pStyle w:val="54"/>
                    <w:rPr>
                      <w:color w:val="auto"/>
                    </w:rPr>
                  </w:pPr>
                  <w:r>
                    <w:rPr>
                      <w:color w:val="auto"/>
                    </w:rPr>
                    <w:t>达标</w:t>
                  </w:r>
                </w:p>
              </w:tc>
            </w:tr>
            <w:tr w14:paraId="6CCFAA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48" w:type="dxa"/>
                  <w:vMerge w:val="continue"/>
                  <w:vAlign w:val="center"/>
                </w:tcPr>
                <w:p w14:paraId="68347872">
                  <w:pPr>
                    <w:pStyle w:val="54"/>
                    <w:rPr>
                      <w:color w:val="auto"/>
                    </w:rPr>
                  </w:pPr>
                </w:p>
              </w:tc>
              <w:tc>
                <w:tcPr>
                  <w:tcW w:w="789" w:type="dxa"/>
                  <w:vMerge w:val="continue"/>
                  <w:vAlign w:val="center"/>
                </w:tcPr>
                <w:p w14:paraId="439D030D">
                  <w:pPr>
                    <w:pStyle w:val="54"/>
                    <w:rPr>
                      <w:color w:val="auto"/>
                    </w:rPr>
                  </w:pPr>
                </w:p>
              </w:tc>
              <w:tc>
                <w:tcPr>
                  <w:tcW w:w="947" w:type="dxa"/>
                  <w:vMerge w:val="continue"/>
                  <w:vAlign w:val="center"/>
                </w:tcPr>
                <w:p w14:paraId="42FEDD29">
                  <w:pPr>
                    <w:pStyle w:val="54"/>
                    <w:rPr>
                      <w:color w:val="auto"/>
                    </w:rPr>
                  </w:pPr>
                </w:p>
              </w:tc>
              <w:tc>
                <w:tcPr>
                  <w:tcW w:w="1786" w:type="dxa"/>
                  <w:vAlign w:val="center"/>
                </w:tcPr>
                <w:p w14:paraId="243CDBD4">
                  <w:pPr>
                    <w:pStyle w:val="54"/>
                    <w:rPr>
                      <w:color w:val="auto"/>
                    </w:rPr>
                  </w:pPr>
                  <w:r>
                    <w:rPr>
                      <w:rFonts w:hint="eastAsia"/>
                      <w:color w:val="auto"/>
                    </w:rPr>
                    <w:t>低浓度颗粒物</w:t>
                  </w:r>
                  <w:r>
                    <w:rPr>
                      <w:color w:val="auto"/>
                    </w:rPr>
                    <w:t>排放速率</w:t>
                  </w:r>
                </w:p>
              </w:tc>
              <w:tc>
                <w:tcPr>
                  <w:tcW w:w="673" w:type="dxa"/>
                  <w:vAlign w:val="center"/>
                </w:tcPr>
                <w:p w14:paraId="48EB9B39">
                  <w:pPr>
                    <w:pStyle w:val="54"/>
                    <w:rPr>
                      <w:color w:val="auto"/>
                    </w:rPr>
                  </w:pPr>
                  <w:r>
                    <w:rPr>
                      <w:color w:val="auto"/>
                    </w:rPr>
                    <w:t>kg/h</w:t>
                  </w:r>
                </w:p>
              </w:tc>
              <w:tc>
                <w:tcPr>
                  <w:tcW w:w="854" w:type="dxa"/>
                  <w:vAlign w:val="center"/>
                </w:tcPr>
                <w:p w14:paraId="26749DE9">
                  <w:pPr>
                    <w:pStyle w:val="54"/>
                    <w:rPr>
                      <w:color w:val="auto"/>
                    </w:rPr>
                  </w:pPr>
                  <w:r>
                    <w:rPr>
                      <w:color w:val="auto"/>
                    </w:rPr>
                    <w:t>8.72×10-</w:t>
                  </w:r>
                  <w:r>
                    <w:rPr>
                      <w:color w:val="auto"/>
                      <w:vertAlign w:val="superscript"/>
                    </w:rPr>
                    <w:t>3</w:t>
                  </w:r>
                </w:p>
              </w:tc>
              <w:tc>
                <w:tcPr>
                  <w:tcW w:w="854" w:type="dxa"/>
                  <w:vAlign w:val="center"/>
                </w:tcPr>
                <w:p w14:paraId="4A828E92">
                  <w:pPr>
                    <w:pStyle w:val="54"/>
                    <w:rPr>
                      <w:color w:val="auto"/>
                    </w:rPr>
                  </w:pPr>
                  <w:r>
                    <w:rPr>
                      <w:color w:val="auto"/>
                    </w:rPr>
                    <w:t>8.72×10-</w:t>
                  </w:r>
                  <w:r>
                    <w:rPr>
                      <w:color w:val="auto"/>
                      <w:vertAlign w:val="superscript"/>
                    </w:rPr>
                    <w:t>3</w:t>
                  </w:r>
                </w:p>
              </w:tc>
              <w:tc>
                <w:tcPr>
                  <w:tcW w:w="854" w:type="dxa"/>
                  <w:vAlign w:val="center"/>
                </w:tcPr>
                <w:p w14:paraId="17CBFE76">
                  <w:pPr>
                    <w:pStyle w:val="54"/>
                    <w:rPr>
                      <w:color w:val="auto"/>
                    </w:rPr>
                  </w:pPr>
                  <w:r>
                    <w:rPr>
                      <w:color w:val="auto"/>
                    </w:rPr>
                    <w:t>8.72×10-</w:t>
                  </w:r>
                  <w:r>
                    <w:rPr>
                      <w:color w:val="auto"/>
                      <w:vertAlign w:val="superscript"/>
                    </w:rPr>
                    <w:t>3</w:t>
                  </w:r>
                </w:p>
              </w:tc>
              <w:tc>
                <w:tcPr>
                  <w:tcW w:w="538" w:type="dxa"/>
                  <w:vAlign w:val="center"/>
                </w:tcPr>
                <w:p w14:paraId="32F856E7">
                  <w:pPr>
                    <w:pStyle w:val="54"/>
                    <w:rPr>
                      <w:color w:val="auto"/>
                    </w:rPr>
                  </w:pPr>
                  <w:r>
                    <w:rPr>
                      <w:color w:val="auto"/>
                    </w:rPr>
                    <w:t>/</w:t>
                  </w:r>
                </w:p>
              </w:tc>
              <w:tc>
                <w:tcPr>
                  <w:tcW w:w="590" w:type="dxa"/>
                  <w:vAlign w:val="center"/>
                </w:tcPr>
                <w:p w14:paraId="501C071D">
                  <w:pPr>
                    <w:pStyle w:val="54"/>
                    <w:rPr>
                      <w:color w:val="auto"/>
                    </w:rPr>
                  </w:pPr>
                  <w:r>
                    <w:rPr>
                      <w:color w:val="auto"/>
                    </w:rPr>
                    <w:t>/</w:t>
                  </w:r>
                </w:p>
              </w:tc>
            </w:tr>
            <w:tr w14:paraId="1B19D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48" w:type="dxa"/>
                  <w:vMerge w:val="restart"/>
                  <w:vAlign w:val="center"/>
                </w:tcPr>
                <w:p w14:paraId="69C7FE20">
                  <w:pPr>
                    <w:pStyle w:val="54"/>
                    <w:rPr>
                      <w:color w:val="auto"/>
                    </w:rPr>
                  </w:pPr>
                  <w:r>
                    <w:rPr>
                      <w:color w:val="auto"/>
                    </w:rPr>
                    <w:t>2025.</w:t>
                  </w:r>
                  <w:r>
                    <w:rPr>
                      <w:rFonts w:hint="eastAsia"/>
                      <w:color w:val="auto"/>
                    </w:rPr>
                    <w:t>04.20</w:t>
                  </w:r>
                </w:p>
              </w:tc>
              <w:tc>
                <w:tcPr>
                  <w:tcW w:w="789" w:type="dxa"/>
                  <w:vMerge w:val="restart"/>
                  <w:vAlign w:val="center"/>
                </w:tcPr>
                <w:p w14:paraId="55A8207F">
                  <w:pPr>
                    <w:pStyle w:val="54"/>
                    <w:rPr>
                      <w:color w:val="auto"/>
                    </w:rPr>
                  </w:pPr>
                  <w:r>
                    <w:rPr>
                      <w:color w:val="auto"/>
                    </w:rPr>
                    <w:t>DA001排气筒进口</w:t>
                  </w:r>
                </w:p>
              </w:tc>
              <w:tc>
                <w:tcPr>
                  <w:tcW w:w="947" w:type="dxa"/>
                  <w:vMerge w:val="restart"/>
                  <w:vAlign w:val="center"/>
                </w:tcPr>
                <w:p w14:paraId="3E20EB3F">
                  <w:pPr>
                    <w:pStyle w:val="54"/>
                    <w:rPr>
                      <w:color w:val="auto"/>
                    </w:rPr>
                  </w:pPr>
                  <w:r>
                    <w:rPr>
                      <w:color w:val="auto"/>
                    </w:rPr>
                    <w:t>/</w:t>
                  </w:r>
                </w:p>
              </w:tc>
              <w:tc>
                <w:tcPr>
                  <w:tcW w:w="1786" w:type="dxa"/>
                  <w:vAlign w:val="center"/>
                </w:tcPr>
                <w:p w14:paraId="79EADB02">
                  <w:pPr>
                    <w:pStyle w:val="54"/>
                    <w:rPr>
                      <w:color w:val="auto"/>
                    </w:rPr>
                  </w:pPr>
                  <w:r>
                    <w:rPr>
                      <w:color w:val="auto"/>
                    </w:rPr>
                    <w:t>烟道截面积</w:t>
                  </w:r>
                </w:p>
              </w:tc>
              <w:tc>
                <w:tcPr>
                  <w:tcW w:w="673" w:type="dxa"/>
                  <w:vAlign w:val="center"/>
                </w:tcPr>
                <w:p w14:paraId="6C976D9F">
                  <w:pPr>
                    <w:pStyle w:val="54"/>
                    <w:rPr>
                      <w:color w:val="auto"/>
                    </w:rPr>
                  </w:pPr>
                  <w:r>
                    <w:rPr>
                      <w:color w:val="auto"/>
                    </w:rPr>
                    <w:t>m</w:t>
                  </w:r>
                  <w:r>
                    <w:rPr>
                      <w:color w:val="auto"/>
                      <w:vertAlign w:val="superscript"/>
                    </w:rPr>
                    <w:t>2</w:t>
                  </w:r>
                </w:p>
              </w:tc>
              <w:tc>
                <w:tcPr>
                  <w:tcW w:w="854" w:type="dxa"/>
                  <w:vAlign w:val="center"/>
                </w:tcPr>
                <w:p w14:paraId="37F2A43C">
                  <w:pPr>
                    <w:pStyle w:val="54"/>
                    <w:rPr>
                      <w:color w:val="auto"/>
                    </w:rPr>
                  </w:pPr>
                  <w:r>
                    <w:rPr>
                      <w:rFonts w:hint="eastAsia"/>
                      <w:color w:val="auto"/>
                    </w:rPr>
                    <w:t>0.0707</w:t>
                  </w:r>
                </w:p>
              </w:tc>
              <w:tc>
                <w:tcPr>
                  <w:tcW w:w="854" w:type="dxa"/>
                  <w:vAlign w:val="center"/>
                </w:tcPr>
                <w:p w14:paraId="3D0D61B9">
                  <w:pPr>
                    <w:pStyle w:val="54"/>
                    <w:rPr>
                      <w:color w:val="auto"/>
                    </w:rPr>
                  </w:pPr>
                  <w:r>
                    <w:rPr>
                      <w:rFonts w:hint="eastAsia"/>
                      <w:color w:val="auto"/>
                    </w:rPr>
                    <w:t>0.0707</w:t>
                  </w:r>
                </w:p>
              </w:tc>
              <w:tc>
                <w:tcPr>
                  <w:tcW w:w="854" w:type="dxa"/>
                  <w:vAlign w:val="center"/>
                </w:tcPr>
                <w:p w14:paraId="154C5318">
                  <w:pPr>
                    <w:pStyle w:val="54"/>
                    <w:rPr>
                      <w:color w:val="auto"/>
                    </w:rPr>
                  </w:pPr>
                  <w:r>
                    <w:rPr>
                      <w:rFonts w:hint="eastAsia"/>
                      <w:color w:val="auto"/>
                    </w:rPr>
                    <w:t>0.0707</w:t>
                  </w:r>
                </w:p>
              </w:tc>
              <w:tc>
                <w:tcPr>
                  <w:tcW w:w="538" w:type="dxa"/>
                  <w:vAlign w:val="center"/>
                </w:tcPr>
                <w:p w14:paraId="182307F0">
                  <w:pPr>
                    <w:pStyle w:val="54"/>
                    <w:rPr>
                      <w:color w:val="auto"/>
                    </w:rPr>
                  </w:pPr>
                  <w:r>
                    <w:rPr>
                      <w:color w:val="auto"/>
                    </w:rPr>
                    <w:t>/</w:t>
                  </w:r>
                </w:p>
              </w:tc>
              <w:tc>
                <w:tcPr>
                  <w:tcW w:w="590" w:type="dxa"/>
                  <w:vAlign w:val="center"/>
                </w:tcPr>
                <w:p w14:paraId="5E2A10D1">
                  <w:pPr>
                    <w:pStyle w:val="54"/>
                    <w:rPr>
                      <w:color w:val="auto"/>
                    </w:rPr>
                  </w:pPr>
                  <w:r>
                    <w:rPr>
                      <w:color w:val="auto"/>
                    </w:rPr>
                    <w:t>/</w:t>
                  </w:r>
                </w:p>
              </w:tc>
            </w:tr>
            <w:tr w14:paraId="1D0F0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48" w:type="dxa"/>
                  <w:vMerge w:val="continue"/>
                  <w:vAlign w:val="center"/>
                </w:tcPr>
                <w:p w14:paraId="4783C82A">
                  <w:pPr>
                    <w:pStyle w:val="54"/>
                    <w:rPr>
                      <w:color w:val="auto"/>
                    </w:rPr>
                  </w:pPr>
                </w:p>
              </w:tc>
              <w:tc>
                <w:tcPr>
                  <w:tcW w:w="789" w:type="dxa"/>
                  <w:vMerge w:val="continue"/>
                  <w:vAlign w:val="center"/>
                </w:tcPr>
                <w:p w14:paraId="3C4144F6">
                  <w:pPr>
                    <w:pStyle w:val="54"/>
                    <w:rPr>
                      <w:color w:val="auto"/>
                    </w:rPr>
                  </w:pPr>
                </w:p>
              </w:tc>
              <w:tc>
                <w:tcPr>
                  <w:tcW w:w="947" w:type="dxa"/>
                  <w:vMerge w:val="continue"/>
                  <w:vAlign w:val="center"/>
                </w:tcPr>
                <w:p w14:paraId="554A268C">
                  <w:pPr>
                    <w:pStyle w:val="54"/>
                    <w:rPr>
                      <w:color w:val="auto"/>
                    </w:rPr>
                  </w:pPr>
                </w:p>
              </w:tc>
              <w:tc>
                <w:tcPr>
                  <w:tcW w:w="1786" w:type="dxa"/>
                  <w:vAlign w:val="center"/>
                </w:tcPr>
                <w:p w14:paraId="152FDB52">
                  <w:pPr>
                    <w:pStyle w:val="54"/>
                    <w:rPr>
                      <w:color w:val="auto"/>
                    </w:rPr>
                  </w:pPr>
                  <w:r>
                    <w:rPr>
                      <w:color w:val="auto"/>
                    </w:rPr>
                    <w:t>烟气含湿量</w:t>
                  </w:r>
                </w:p>
              </w:tc>
              <w:tc>
                <w:tcPr>
                  <w:tcW w:w="673" w:type="dxa"/>
                  <w:vAlign w:val="center"/>
                </w:tcPr>
                <w:p w14:paraId="4CEEECB9">
                  <w:pPr>
                    <w:pStyle w:val="54"/>
                    <w:rPr>
                      <w:color w:val="auto"/>
                    </w:rPr>
                  </w:pPr>
                  <w:r>
                    <w:rPr>
                      <w:color w:val="auto"/>
                    </w:rPr>
                    <w:t>%</w:t>
                  </w:r>
                </w:p>
              </w:tc>
              <w:tc>
                <w:tcPr>
                  <w:tcW w:w="854" w:type="dxa"/>
                  <w:vAlign w:val="center"/>
                </w:tcPr>
                <w:p w14:paraId="0D097472">
                  <w:pPr>
                    <w:pStyle w:val="54"/>
                    <w:rPr>
                      <w:color w:val="auto"/>
                    </w:rPr>
                  </w:pPr>
                  <w:r>
                    <w:rPr>
                      <w:rFonts w:hint="eastAsia"/>
                      <w:color w:val="auto"/>
                    </w:rPr>
                    <w:t>2.0</w:t>
                  </w:r>
                </w:p>
              </w:tc>
              <w:tc>
                <w:tcPr>
                  <w:tcW w:w="854" w:type="dxa"/>
                  <w:vAlign w:val="center"/>
                </w:tcPr>
                <w:p w14:paraId="3408122B">
                  <w:pPr>
                    <w:pStyle w:val="54"/>
                    <w:rPr>
                      <w:color w:val="auto"/>
                    </w:rPr>
                  </w:pPr>
                  <w:r>
                    <w:rPr>
                      <w:rFonts w:hint="eastAsia"/>
                      <w:color w:val="auto"/>
                    </w:rPr>
                    <w:t>1.8</w:t>
                  </w:r>
                </w:p>
              </w:tc>
              <w:tc>
                <w:tcPr>
                  <w:tcW w:w="854" w:type="dxa"/>
                  <w:vAlign w:val="center"/>
                </w:tcPr>
                <w:p w14:paraId="0A153098">
                  <w:pPr>
                    <w:pStyle w:val="54"/>
                    <w:rPr>
                      <w:color w:val="auto"/>
                    </w:rPr>
                  </w:pPr>
                  <w:r>
                    <w:rPr>
                      <w:rFonts w:hint="eastAsia"/>
                      <w:color w:val="auto"/>
                    </w:rPr>
                    <w:t>1.9</w:t>
                  </w:r>
                </w:p>
              </w:tc>
              <w:tc>
                <w:tcPr>
                  <w:tcW w:w="538" w:type="dxa"/>
                  <w:vAlign w:val="center"/>
                </w:tcPr>
                <w:p w14:paraId="1699DCDD">
                  <w:pPr>
                    <w:pStyle w:val="54"/>
                    <w:rPr>
                      <w:color w:val="auto"/>
                    </w:rPr>
                  </w:pPr>
                  <w:r>
                    <w:rPr>
                      <w:color w:val="auto"/>
                    </w:rPr>
                    <w:t>/</w:t>
                  </w:r>
                </w:p>
              </w:tc>
              <w:tc>
                <w:tcPr>
                  <w:tcW w:w="590" w:type="dxa"/>
                  <w:vAlign w:val="center"/>
                </w:tcPr>
                <w:p w14:paraId="06A6DAE4">
                  <w:pPr>
                    <w:pStyle w:val="54"/>
                    <w:rPr>
                      <w:color w:val="auto"/>
                    </w:rPr>
                  </w:pPr>
                  <w:r>
                    <w:rPr>
                      <w:color w:val="auto"/>
                    </w:rPr>
                    <w:t>/</w:t>
                  </w:r>
                </w:p>
              </w:tc>
            </w:tr>
            <w:tr w14:paraId="76202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48" w:type="dxa"/>
                  <w:vMerge w:val="continue"/>
                  <w:vAlign w:val="center"/>
                </w:tcPr>
                <w:p w14:paraId="7D4E251C">
                  <w:pPr>
                    <w:pStyle w:val="54"/>
                    <w:rPr>
                      <w:color w:val="auto"/>
                    </w:rPr>
                  </w:pPr>
                </w:p>
              </w:tc>
              <w:tc>
                <w:tcPr>
                  <w:tcW w:w="789" w:type="dxa"/>
                  <w:vMerge w:val="continue"/>
                  <w:vAlign w:val="center"/>
                </w:tcPr>
                <w:p w14:paraId="69C67280">
                  <w:pPr>
                    <w:pStyle w:val="54"/>
                    <w:rPr>
                      <w:color w:val="auto"/>
                    </w:rPr>
                  </w:pPr>
                </w:p>
              </w:tc>
              <w:tc>
                <w:tcPr>
                  <w:tcW w:w="947" w:type="dxa"/>
                  <w:vMerge w:val="continue"/>
                  <w:vAlign w:val="center"/>
                </w:tcPr>
                <w:p w14:paraId="2BC791DD">
                  <w:pPr>
                    <w:pStyle w:val="54"/>
                    <w:rPr>
                      <w:color w:val="auto"/>
                    </w:rPr>
                  </w:pPr>
                </w:p>
              </w:tc>
              <w:tc>
                <w:tcPr>
                  <w:tcW w:w="1786" w:type="dxa"/>
                  <w:vAlign w:val="center"/>
                </w:tcPr>
                <w:p w14:paraId="536AE9C9">
                  <w:pPr>
                    <w:pStyle w:val="54"/>
                    <w:rPr>
                      <w:color w:val="auto"/>
                    </w:rPr>
                  </w:pPr>
                  <w:r>
                    <w:rPr>
                      <w:color w:val="auto"/>
                    </w:rPr>
                    <w:t>烟气温度</w:t>
                  </w:r>
                </w:p>
              </w:tc>
              <w:tc>
                <w:tcPr>
                  <w:tcW w:w="673" w:type="dxa"/>
                  <w:vAlign w:val="center"/>
                </w:tcPr>
                <w:p w14:paraId="5769E908">
                  <w:pPr>
                    <w:pStyle w:val="54"/>
                    <w:rPr>
                      <w:color w:val="auto"/>
                    </w:rPr>
                  </w:pPr>
                  <w:r>
                    <w:rPr>
                      <w:color w:val="auto"/>
                    </w:rPr>
                    <w:t>℃</w:t>
                  </w:r>
                </w:p>
              </w:tc>
              <w:tc>
                <w:tcPr>
                  <w:tcW w:w="854" w:type="dxa"/>
                  <w:vAlign w:val="center"/>
                </w:tcPr>
                <w:p w14:paraId="65C876FB">
                  <w:pPr>
                    <w:pStyle w:val="54"/>
                    <w:rPr>
                      <w:color w:val="auto"/>
                    </w:rPr>
                  </w:pPr>
                  <w:r>
                    <w:rPr>
                      <w:rFonts w:hint="eastAsia"/>
                      <w:color w:val="auto"/>
                    </w:rPr>
                    <w:t>29</w:t>
                  </w:r>
                </w:p>
              </w:tc>
              <w:tc>
                <w:tcPr>
                  <w:tcW w:w="854" w:type="dxa"/>
                  <w:vAlign w:val="center"/>
                </w:tcPr>
                <w:p w14:paraId="1A45E91E">
                  <w:pPr>
                    <w:pStyle w:val="54"/>
                    <w:rPr>
                      <w:color w:val="auto"/>
                    </w:rPr>
                  </w:pPr>
                  <w:r>
                    <w:rPr>
                      <w:rFonts w:hint="eastAsia"/>
                      <w:color w:val="auto"/>
                    </w:rPr>
                    <w:t>30</w:t>
                  </w:r>
                </w:p>
              </w:tc>
              <w:tc>
                <w:tcPr>
                  <w:tcW w:w="854" w:type="dxa"/>
                  <w:vAlign w:val="center"/>
                </w:tcPr>
                <w:p w14:paraId="0503EE7C">
                  <w:pPr>
                    <w:pStyle w:val="54"/>
                    <w:rPr>
                      <w:color w:val="auto"/>
                    </w:rPr>
                  </w:pPr>
                  <w:r>
                    <w:rPr>
                      <w:rFonts w:hint="eastAsia"/>
                      <w:color w:val="auto"/>
                    </w:rPr>
                    <w:t>28</w:t>
                  </w:r>
                </w:p>
              </w:tc>
              <w:tc>
                <w:tcPr>
                  <w:tcW w:w="538" w:type="dxa"/>
                  <w:vAlign w:val="center"/>
                </w:tcPr>
                <w:p w14:paraId="546992F5">
                  <w:pPr>
                    <w:pStyle w:val="54"/>
                    <w:rPr>
                      <w:color w:val="auto"/>
                    </w:rPr>
                  </w:pPr>
                  <w:r>
                    <w:rPr>
                      <w:color w:val="auto"/>
                    </w:rPr>
                    <w:t>/</w:t>
                  </w:r>
                </w:p>
              </w:tc>
              <w:tc>
                <w:tcPr>
                  <w:tcW w:w="590" w:type="dxa"/>
                  <w:vAlign w:val="center"/>
                </w:tcPr>
                <w:p w14:paraId="600C096A">
                  <w:pPr>
                    <w:pStyle w:val="54"/>
                    <w:rPr>
                      <w:color w:val="auto"/>
                    </w:rPr>
                  </w:pPr>
                  <w:r>
                    <w:rPr>
                      <w:color w:val="auto"/>
                    </w:rPr>
                    <w:t>/</w:t>
                  </w:r>
                </w:p>
              </w:tc>
            </w:tr>
            <w:tr w14:paraId="2DF58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48" w:type="dxa"/>
                  <w:vMerge w:val="continue"/>
                  <w:vAlign w:val="center"/>
                </w:tcPr>
                <w:p w14:paraId="1DD50BA0">
                  <w:pPr>
                    <w:pStyle w:val="54"/>
                    <w:rPr>
                      <w:color w:val="auto"/>
                    </w:rPr>
                  </w:pPr>
                </w:p>
              </w:tc>
              <w:tc>
                <w:tcPr>
                  <w:tcW w:w="789" w:type="dxa"/>
                  <w:vMerge w:val="continue"/>
                  <w:vAlign w:val="center"/>
                </w:tcPr>
                <w:p w14:paraId="52669BB6">
                  <w:pPr>
                    <w:pStyle w:val="54"/>
                    <w:rPr>
                      <w:color w:val="auto"/>
                    </w:rPr>
                  </w:pPr>
                </w:p>
              </w:tc>
              <w:tc>
                <w:tcPr>
                  <w:tcW w:w="947" w:type="dxa"/>
                  <w:vMerge w:val="continue"/>
                  <w:vAlign w:val="center"/>
                </w:tcPr>
                <w:p w14:paraId="1466546D">
                  <w:pPr>
                    <w:pStyle w:val="54"/>
                    <w:rPr>
                      <w:color w:val="auto"/>
                    </w:rPr>
                  </w:pPr>
                </w:p>
              </w:tc>
              <w:tc>
                <w:tcPr>
                  <w:tcW w:w="1786" w:type="dxa"/>
                  <w:vAlign w:val="center"/>
                </w:tcPr>
                <w:p w14:paraId="4E5DAE7F">
                  <w:pPr>
                    <w:pStyle w:val="54"/>
                    <w:rPr>
                      <w:color w:val="auto"/>
                    </w:rPr>
                  </w:pPr>
                  <w:r>
                    <w:rPr>
                      <w:color w:val="auto"/>
                    </w:rPr>
                    <w:t>烟气流速</w:t>
                  </w:r>
                </w:p>
              </w:tc>
              <w:tc>
                <w:tcPr>
                  <w:tcW w:w="673" w:type="dxa"/>
                  <w:vAlign w:val="center"/>
                </w:tcPr>
                <w:p w14:paraId="3EF8FC95">
                  <w:pPr>
                    <w:pStyle w:val="54"/>
                    <w:rPr>
                      <w:color w:val="auto"/>
                    </w:rPr>
                  </w:pPr>
                  <w:r>
                    <w:rPr>
                      <w:color w:val="auto"/>
                    </w:rPr>
                    <w:t>m/s</w:t>
                  </w:r>
                </w:p>
              </w:tc>
              <w:tc>
                <w:tcPr>
                  <w:tcW w:w="854" w:type="dxa"/>
                  <w:vAlign w:val="center"/>
                </w:tcPr>
                <w:p w14:paraId="59BED928">
                  <w:pPr>
                    <w:pStyle w:val="54"/>
                    <w:rPr>
                      <w:color w:val="auto"/>
                    </w:rPr>
                  </w:pPr>
                  <w:r>
                    <w:rPr>
                      <w:rFonts w:hint="eastAsia"/>
                      <w:color w:val="auto"/>
                    </w:rPr>
                    <w:t>24.7</w:t>
                  </w:r>
                </w:p>
              </w:tc>
              <w:tc>
                <w:tcPr>
                  <w:tcW w:w="854" w:type="dxa"/>
                  <w:vAlign w:val="center"/>
                </w:tcPr>
                <w:p w14:paraId="02FBE64E">
                  <w:pPr>
                    <w:pStyle w:val="54"/>
                    <w:rPr>
                      <w:color w:val="auto"/>
                    </w:rPr>
                  </w:pPr>
                  <w:r>
                    <w:rPr>
                      <w:rFonts w:hint="eastAsia"/>
                      <w:color w:val="auto"/>
                    </w:rPr>
                    <w:t>25.8</w:t>
                  </w:r>
                </w:p>
              </w:tc>
              <w:tc>
                <w:tcPr>
                  <w:tcW w:w="854" w:type="dxa"/>
                  <w:vAlign w:val="center"/>
                </w:tcPr>
                <w:p w14:paraId="7F26EA96">
                  <w:pPr>
                    <w:pStyle w:val="54"/>
                    <w:rPr>
                      <w:color w:val="auto"/>
                    </w:rPr>
                  </w:pPr>
                  <w:r>
                    <w:rPr>
                      <w:rFonts w:hint="eastAsia"/>
                      <w:color w:val="auto"/>
                    </w:rPr>
                    <w:t>24.6</w:t>
                  </w:r>
                </w:p>
              </w:tc>
              <w:tc>
                <w:tcPr>
                  <w:tcW w:w="538" w:type="dxa"/>
                  <w:vAlign w:val="center"/>
                </w:tcPr>
                <w:p w14:paraId="23780D57">
                  <w:pPr>
                    <w:pStyle w:val="54"/>
                    <w:rPr>
                      <w:color w:val="auto"/>
                    </w:rPr>
                  </w:pPr>
                  <w:r>
                    <w:rPr>
                      <w:color w:val="auto"/>
                    </w:rPr>
                    <w:t>/</w:t>
                  </w:r>
                </w:p>
              </w:tc>
              <w:tc>
                <w:tcPr>
                  <w:tcW w:w="590" w:type="dxa"/>
                  <w:vAlign w:val="center"/>
                </w:tcPr>
                <w:p w14:paraId="159F4C23">
                  <w:pPr>
                    <w:pStyle w:val="54"/>
                    <w:rPr>
                      <w:color w:val="auto"/>
                    </w:rPr>
                  </w:pPr>
                  <w:r>
                    <w:rPr>
                      <w:color w:val="auto"/>
                    </w:rPr>
                    <w:t>/</w:t>
                  </w:r>
                </w:p>
              </w:tc>
            </w:tr>
            <w:tr w14:paraId="02164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48" w:type="dxa"/>
                  <w:vMerge w:val="continue"/>
                  <w:vAlign w:val="center"/>
                </w:tcPr>
                <w:p w14:paraId="78BFE0F5">
                  <w:pPr>
                    <w:pStyle w:val="54"/>
                    <w:rPr>
                      <w:color w:val="auto"/>
                    </w:rPr>
                  </w:pPr>
                </w:p>
              </w:tc>
              <w:tc>
                <w:tcPr>
                  <w:tcW w:w="789" w:type="dxa"/>
                  <w:vMerge w:val="continue"/>
                  <w:vAlign w:val="center"/>
                </w:tcPr>
                <w:p w14:paraId="0E68F6D2">
                  <w:pPr>
                    <w:pStyle w:val="54"/>
                    <w:rPr>
                      <w:color w:val="auto"/>
                    </w:rPr>
                  </w:pPr>
                </w:p>
              </w:tc>
              <w:tc>
                <w:tcPr>
                  <w:tcW w:w="947" w:type="dxa"/>
                  <w:vMerge w:val="continue"/>
                  <w:vAlign w:val="center"/>
                </w:tcPr>
                <w:p w14:paraId="3B982BED">
                  <w:pPr>
                    <w:pStyle w:val="54"/>
                    <w:rPr>
                      <w:color w:val="auto"/>
                    </w:rPr>
                  </w:pPr>
                </w:p>
              </w:tc>
              <w:tc>
                <w:tcPr>
                  <w:tcW w:w="1786" w:type="dxa"/>
                  <w:vAlign w:val="center"/>
                </w:tcPr>
                <w:p w14:paraId="78ACDDD4">
                  <w:pPr>
                    <w:pStyle w:val="54"/>
                    <w:rPr>
                      <w:color w:val="auto"/>
                    </w:rPr>
                  </w:pPr>
                  <w:r>
                    <w:rPr>
                      <w:color w:val="auto"/>
                    </w:rPr>
                    <w:t>烟气流量</w:t>
                  </w:r>
                </w:p>
              </w:tc>
              <w:tc>
                <w:tcPr>
                  <w:tcW w:w="673" w:type="dxa"/>
                  <w:vAlign w:val="center"/>
                </w:tcPr>
                <w:p w14:paraId="3CD5EF3F">
                  <w:pPr>
                    <w:pStyle w:val="54"/>
                    <w:rPr>
                      <w:color w:val="auto"/>
                    </w:rPr>
                  </w:pPr>
                  <w:r>
                    <w:rPr>
                      <w:color w:val="auto"/>
                    </w:rPr>
                    <w:t>m</w:t>
                  </w:r>
                  <w:r>
                    <w:rPr>
                      <w:color w:val="auto"/>
                      <w:vertAlign w:val="superscript"/>
                    </w:rPr>
                    <w:t>3</w:t>
                  </w:r>
                  <w:r>
                    <w:rPr>
                      <w:color w:val="auto"/>
                    </w:rPr>
                    <w:t>/h</w:t>
                  </w:r>
                </w:p>
              </w:tc>
              <w:tc>
                <w:tcPr>
                  <w:tcW w:w="854" w:type="dxa"/>
                  <w:vAlign w:val="center"/>
                </w:tcPr>
                <w:p w14:paraId="4C832A54">
                  <w:pPr>
                    <w:pStyle w:val="54"/>
                    <w:rPr>
                      <w:color w:val="auto"/>
                    </w:rPr>
                  </w:pPr>
                  <w:r>
                    <w:rPr>
                      <w:rFonts w:hint="eastAsia"/>
                      <w:color w:val="auto"/>
                    </w:rPr>
                    <w:t>6278</w:t>
                  </w:r>
                </w:p>
              </w:tc>
              <w:tc>
                <w:tcPr>
                  <w:tcW w:w="854" w:type="dxa"/>
                  <w:vAlign w:val="center"/>
                </w:tcPr>
                <w:p w14:paraId="603BF7EB">
                  <w:pPr>
                    <w:pStyle w:val="54"/>
                    <w:rPr>
                      <w:color w:val="auto"/>
                    </w:rPr>
                  </w:pPr>
                  <w:r>
                    <w:rPr>
                      <w:rFonts w:hint="eastAsia"/>
                      <w:color w:val="auto"/>
                    </w:rPr>
                    <w:t>6574</w:t>
                  </w:r>
                </w:p>
              </w:tc>
              <w:tc>
                <w:tcPr>
                  <w:tcW w:w="854" w:type="dxa"/>
                  <w:vAlign w:val="center"/>
                </w:tcPr>
                <w:p w14:paraId="1D81BFCD">
                  <w:pPr>
                    <w:pStyle w:val="54"/>
                    <w:rPr>
                      <w:color w:val="auto"/>
                    </w:rPr>
                  </w:pPr>
                  <w:r>
                    <w:rPr>
                      <w:rFonts w:hint="eastAsia"/>
                      <w:color w:val="auto"/>
                    </w:rPr>
                    <w:t>6252</w:t>
                  </w:r>
                </w:p>
              </w:tc>
              <w:tc>
                <w:tcPr>
                  <w:tcW w:w="538" w:type="dxa"/>
                  <w:vAlign w:val="center"/>
                </w:tcPr>
                <w:p w14:paraId="7D285731">
                  <w:pPr>
                    <w:pStyle w:val="54"/>
                    <w:rPr>
                      <w:color w:val="auto"/>
                    </w:rPr>
                  </w:pPr>
                  <w:r>
                    <w:rPr>
                      <w:color w:val="auto"/>
                    </w:rPr>
                    <w:t>/</w:t>
                  </w:r>
                </w:p>
              </w:tc>
              <w:tc>
                <w:tcPr>
                  <w:tcW w:w="590" w:type="dxa"/>
                  <w:vAlign w:val="center"/>
                </w:tcPr>
                <w:p w14:paraId="2A7B193B">
                  <w:pPr>
                    <w:pStyle w:val="54"/>
                    <w:rPr>
                      <w:color w:val="auto"/>
                    </w:rPr>
                  </w:pPr>
                  <w:r>
                    <w:rPr>
                      <w:color w:val="auto"/>
                    </w:rPr>
                    <w:t>/</w:t>
                  </w:r>
                </w:p>
              </w:tc>
            </w:tr>
            <w:tr w14:paraId="0CE1B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48" w:type="dxa"/>
                  <w:vMerge w:val="continue"/>
                  <w:shd w:val="clear" w:color="auto" w:fill="auto"/>
                  <w:vAlign w:val="center"/>
                </w:tcPr>
                <w:p w14:paraId="433C8FBD">
                  <w:pPr>
                    <w:pStyle w:val="54"/>
                    <w:rPr>
                      <w:color w:val="auto"/>
                    </w:rPr>
                  </w:pPr>
                </w:p>
              </w:tc>
              <w:tc>
                <w:tcPr>
                  <w:tcW w:w="789" w:type="dxa"/>
                  <w:vMerge w:val="continue"/>
                  <w:shd w:val="clear" w:color="auto" w:fill="auto"/>
                  <w:vAlign w:val="center"/>
                </w:tcPr>
                <w:p w14:paraId="261AC2E6">
                  <w:pPr>
                    <w:pStyle w:val="54"/>
                    <w:rPr>
                      <w:color w:val="auto"/>
                    </w:rPr>
                  </w:pPr>
                </w:p>
              </w:tc>
              <w:tc>
                <w:tcPr>
                  <w:tcW w:w="947" w:type="dxa"/>
                  <w:vMerge w:val="continue"/>
                  <w:shd w:val="clear" w:color="auto" w:fill="auto"/>
                  <w:vAlign w:val="center"/>
                </w:tcPr>
                <w:p w14:paraId="6EF0B572">
                  <w:pPr>
                    <w:pStyle w:val="54"/>
                    <w:rPr>
                      <w:color w:val="auto"/>
                    </w:rPr>
                  </w:pPr>
                </w:p>
              </w:tc>
              <w:tc>
                <w:tcPr>
                  <w:tcW w:w="1786" w:type="dxa"/>
                  <w:shd w:val="clear" w:color="auto" w:fill="auto"/>
                  <w:vAlign w:val="center"/>
                </w:tcPr>
                <w:p w14:paraId="22CAB4DC">
                  <w:pPr>
                    <w:pStyle w:val="54"/>
                    <w:rPr>
                      <w:color w:val="auto"/>
                    </w:rPr>
                  </w:pPr>
                  <w:r>
                    <w:rPr>
                      <w:color w:val="auto"/>
                    </w:rPr>
                    <w:t>标干流量</w:t>
                  </w:r>
                </w:p>
              </w:tc>
              <w:tc>
                <w:tcPr>
                  <w:tcW w:w="673" w:type="dxa"/>
                  <w:shd w:val="clear" w:color="auto" w:fill="auto"/>
                  <w:vAlign w:val="center"/>
                </w:tcPr>
                <w:p w14:paraId="14BC54BF">
                  <w:pPr>
                    <w:pStyle w:val="54"/>
                    <w:rPr>
                      <w:color w:val="auto"/>
                    </w:rPr>
                  </w:pPr>
                  <w:r>
                    <w:rPr>
                      <w:color w:val="auto"/>
                    </w:rPr>
                    <w:t>Nm</w:t>
                  </w:r>
                  <w:r>
                    <w:rPr>
                      <w:color w:val="auto"/>
                      <w:vertAlign w:val="superscript"/>
                    </w:rPr>
                    <w:t>3</w:t>
                  </w:r>
                  <w:r>
                    <w:rPr>
                      <w:color w:val="auto"/>
                    </w:rPr>
                    <w:t>/h</w:t>
                  </w:r>
                </w:p>
              </w:tc>
              <w:tc>
                <w:tcPr>
                  <w:tcW w:w="854" w:type="dxa"/>
                  <w:vAlign w:val="center"/>
                </w:tcPr>
                <w:p w14:paraId="7E8B84C1">
                  <w:pPr>
                    <w:pStyle w:val="54"/>
                    <w:rPr>
                      <w:color w:val="auto"/>
                    </w:rPr>
                  </w:pPr>
                  <w:r>
                    <w:rPr>
                      <w:rFonts w:hint="eastAsia"/>
                      <w:color w:val="auto"/>
                    </w:rPr>
                    <w:t>5494</w:t>
                  </w:r>
                </w:p>
              </w:tc>
              <w:tc>
                <w:tcPr>
                  <w:tcW w:w="854" w:type="dxa"/>
                  <w:vAlign w:val="center"/>
                </w:tcPr>
                <w:p w14:paraId="5B2C8DEA">
                  <w:pPr>
                    <w:pStyle w:val="54"/>
                    <w:rPr>
                      <w:color w:val="auto"/>
                    </w:rPr>
                  </w:pPr>
                  <w:r>
                    <w:rPr>
                      <w:rFonts w:hint="eastAsia"/>
                      <w:color w:val="auto"/>
                    </w:rPr>
                    <w:t>5732</w:t>
                  </w:r>
                </w:p>
              </w:tc>
              <w:tc>
                <w:tcPr>
                  <w:tcW w:w="854" w:type="dxa"/>
                  <w:vAlign w:val="center"/>
                </w:tcPr>
                <w:p w14:paraId="46DAA62E">
                  <w:pPr>
                    <w:pStyle w:val="54"/>
                    <w:rPr>
                      <w:color w:val="auto"/>
                    </w:rPr>
                  </w:pPr>
                  <w:r>
                    <w:rPr>
                      <w:rFonts w:hint="eastAsia"/>
                      <w:color w:val="auto"/>
                    </w:rPr>
                    <w:t>5483</w:t>
                  </w:r>
                </w:p>
              </w:tc>
              <w:tc>
                <w:tcPr>
                  <w:tcW w:w="538" w:type="dxa"/>
                  <w:vAlign w:val="center"/>
                </w:tcPr>
                <w:p w14:paraId="5F7F9AA3">
                  <w:pPr>
                    <w:pStyle w:val="54"/>
                    <w:rPr>
                      <w:color w:val="auto"/>
                    </w:rPr>
                  </w:pPr>
                  <w:r>
                    <w:rPr>
                      <w:color w:val="auto"/>
                    </w:rPr>
                    <w:t>/</w:t>
                  </w:r>
                </w:p>
              </w:tc>
              <w:tc>
                <w:tcPr>
                  <w:tcW w:w="590" w:type="dxa"/>
                  <w:vAlign w:val="center"/>
                </w:tcPr>
                <w:p w14:paraId="4A51F479">
                  <w:pPr>
                    <w:pStyle w:val="54"/>
                    <w:rPr>
                      <w:color w:val="auto"/>
                    </w:rPr>
                  </w:pPr>
                  <w:r>
                    <w:rPr>
                      <w:color w:val="auto"/>
                    </w:rPr>
                    <w:t>/</w:t>
                  </w:r>
                </w:p>
              </w:tc>
            </w:tr>
            <w:tr w14:paraId="69E39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48" w:type="dxa"/>
                  <w:vMerge w:val="continue"/>
                  <w:shd w:val="clear" w:color="auto" w:fill="auto"/>
                  <w:vAlign w:val="center"/>
                </w:tcPr>
                <w:p w14:paraId="4423EA44">
                  <w:pPr>
                    <w:pStyle w:val="54"/>
                    <w:rPr>
                      <w:color w:val="auto"/>
                    </w:rPr>
                  </w:pPr>
                </w:p>
              </w:tc>
              <w:tc>
                <w:tcPr>
                  <w:tcW w:w="789" w:type="dxa"/>
                  <w:vMerge w:val="continue"/>
                  <w:shd w:val="clear" w:color="auto" w:fill="auto"/>
                  <w:vAlign w:val="center"/>
                </w:tcPr>
                <w:p w14:paraId="18B4B6B7">
                  <w:pPr>
                    <w:pStyle w:val="54"/>
                    <w:rPr>
                      <w:color w:val="auto"/>
                    </w:rPr>
                  </w:pPr>
                </w:p>
              </w:tc>
              <w:tc>
                <w:tcPr>
                  <w:tcW w:w="947" w:type="dxa"/>
                  <w:vMerge w:val="continue"/>
                  <w:shd w:val="clear" w:color="auto" w:fill="auto"/>
                  <w:vAlign w:val="center"/>
                </w:tcPr>
                <w:p w14:paraId="28F44DFF">
                  <w:pPr>
                    <w:pStyle w:val="54"/>
                    <w:rPr>
                      <w:color w:val="auto"/>
                    </w:rPr>
                  </w:pPr>
                </w:p>
              </w:tc>
              <w:tc>
                <w:tcPr>
                  <w:tcW w:w="1786" w:type="dxa"/>
                  <w:shd w:val="clear" w:color="auto" w:fill="auto"/>
                  <w:vAlign w:val="center"/>
                </w:tcPr>
                <w:p w14:paraId="379A6219">
                  <w:pPr>
                    <w:pStyle w:val="54"/>
                    <w:rPr>
                      <w:color w:val="auto"/>
                    </w:rPr>
                  </w:pPr>
                  <w:r>
                    <w:rPr>
                      <w:color w:val="auto"/>
                    </w:rPr>
                    <w:t>颗粒物</w:t>
                  </w:r>
                  <w:r>
                    <w:rPr>
                      <w:rFonts w:hint="eastAsia"/>
                      <w:color w:val="auto"/>
                    </w:rPr>
                    <w:t>排放</w:t>
                  </w:r>
                  <w:r>
                    <w:rPr>
                      <w:color w:val="auto"/>
                    </w:rPr>
                    <w:t>浓度</w:t>
                  </w:r>
                </w:p>
              </w:tc>
              <w:tc>
                <w:tcPr>
                  <w:tcW w:w="673" w:type="dxa"/>
                  <w:shd w:val="clear" w:color="auto" w:fill="auto"/>
                  <w:vAlign w:val="center"/>
                </w:tcPr>
                <w:p w14:paraId="6753AFAA">
                  <w:pPr>
                    <w:pStyle w:val="54"/>
                    <w:rPr>
                      <w:color w:val="auto"/>
                    </w:rPr>
                  </w:pPr>
                  <w:r>
                    <w:rPr>
                      <w:color w:val="auto"/>
                    </w:rPr>
                    <w:t>mg/m</w:t>
                  </w:r>
                  <w:r>
                    <w:rPr>
                      <w:color w:val="auto"/>
                      <w:vertAlign w:val="superscript"/>
                    </w:rPr>
                    <w:t>3</w:t>
                  </w:r>
                </w:p>
              </w:tc>
              <w:tc>
                <w:tcPr>
                  <w:tcW w:w="854" w:type="dxa"/>
                  <w:vAlign w:val="center"/>
                </w:tcPr>
                <w:p w14:paraId="4F3429CD">
                  <w:pPr>
                    <w:pStyle w:val="54"/>
                    <w:rPr>
                      <w:color w:val="auto"/>
                    </w:rPr>
                  </w:pPr>
                  <w:r>
                    <w:rPr>
                      <w:rFonts w:hint="eastAsia"/>
                      <w:color w:val="auto"/>
                    </w:rPr>
                    <w:t>22.8</w:t>
                  </w:r>
                </w:p>
              </w:tc>
              <w:tc>
                <w:tcPr>
                  <w:tcW w:w="854" w:type="dxa"/>
                  <w:vAlign w:val="center"/>
                </w:tcPr>
                <w:p w14:paraId="00168A95">
                  <w:pPr>
                    <w:pStyle w:val="54"/>
                    <w:rPr>
                      <w:color w:val="auto"/>
                    </w:rPr>
                  </w:pPr>
                  <w:r>
                    <w:rPr>
                      <w:rFonts w:hint="eastAsia"/>
                      <w:color w:val="auto"/>
                    </w:rPr>
                    <w:t>23.2</w:t>
                  </w:r>
                </w:p>
              </w:tc>
              <w:tc>
                <w:tcPr>
                  <w:tcW w:w="854" w:type="dxa"/>
                  <w:vAlign w:val="center"/>
                </w:tcPr>
                <w:p w14:paraId="5273C81D">
                  <w:pPr>
                    <w:pStyle w:val="54"/>
                    <w:rPr>
                      <w:color w:val="auto"/>
                    </w:rPr>
                  </w:pPr>
                  <w:r>
                    <w:rPr>
                      <w:rFonts w:hint="eastAsia"/>
                      <w:color w:val="auto"/>
                    </w:rPr>
                    <w:t>21.1</w:t>
                  </w:r>
                </w:p>
              </w:tc>
              <w:tc>
                <w:tcPr>
                  <w:tcW w:w="538" w:type="dxa"/>
                  <w:vAlign w:val="center"/>
                </w:tcPr>
                <w:p w14:paraId="0A80DCE5">
                  <w:pPr>
                    <w:pStyle w:val="54"/>
                    <w:rPr>
                      <w:color w:val="auto"/>
                    </w:rPr>
                  </w:pPr>
                  <w:r>
                    <w:rPr>
                      <w:color w:val="auto"/>
                    </w:rPr>
                    <w:t>/</w:t>
                  </w:r>
                </w:p>
              </w:tc>
              <w:tc>
                <w:tcPr>
                  <w:tcW w:w="590" w:type="dxa"/>
                  <w:vAlign w:val="center"/>
                </w:tcPr>
                <w:p w14:paraId="46FEF980">
                  <w:pPr>
                    <w:pStyle w:val="54"/>
                    <w:rPr>
                      <w:color w:val="auto"/>
                    </w:rPr>
                  </w:pPr>
                  <w:r>
                    <w:rPr>
                      <w:color w:val="auto"/>
                    </w:rPr>
                    <w:t>/</w:t>
                  </w:r>
                </w:p>
              </w:tc>
            </w:tr>
            <w:tr w14:paraId="5EAA2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288" w:hRule="atLeast"/>
                <w:jc w:val="center"/>
              </w:trPr>
              <w:tc>
                <w:tcPr>
                  <w:tcW w:w="548" w:type="dxa"/>
                  <w:vMerge w:val="continue"/>
                  <w:shd w:val="clear" w:color="auto" w:fill="auto"/>
                  <w:vAlign w:val="center"/>
                </w:tcPr>
                <w:p w14:paraId="2B2F77F7">
                  <w:pPr>
                    <w:pStyle w:val="54"/>
                    <w:rPr>
                      <w:color w:val="auto"/>
                    </w:rPr>
                  </w:pPr>
                </w:p>
              </w:tc>
              <w:tc>
                <w:tcPr>
                  <w:tcW w:w="789" w:type="dxa"/>
                  <w:vMerge w:val="continue"/>
                  <w:shd w:val="clear" w:color="auto" w:fill="auto"/>
                  <w:vAlign w:val="center"/>
                </w:tcPr>
                <w:p w14:paraId="0FD462BB">
                  <w:pPr>
                    <w:pStyle w:val="54"/>
                    <w:rPr>
                      <w:color w:val="auto"/>
                    </w:rPr>
                  </w:pPr>
                </w:p>
              </w:tc>
              <w:tc>
                <w:tcPr>
                  <w:tcW w:w="947" w:type="dxa"/>
                  <w:vMerge w:val="continue"/>
                  <w:shd w:val="clear" w:color="auto" w:fill="auto"/>
                  <w:vAlign w:val="center"/>
                </w:tcPr>
                <w:p w14:paraId="4B05295B">
                  <w:pPr>
                    <w:pStyle w:val="54"/>
                    <w:rPr>
                      <w:color w:val="auto"/>
                    </w:rPr>
                  </w:pPr>
                </w:p>
              </w:tc>
              <w:tc>
                <w:tcPr>
                  <w:tcW w:w="1786" w:type="dxa"/>
                  <w:shd w:val="clear" w:color="auto" w:fill="auto"/>
                  <w:vAlign w:val="center"/>
                </w:tcPr>
                <w:p w14:paraId="2A890846">
                  <w:pPr>
                    <w:pStyle w:val="54"/>
                    <w:rPr>
                      <w:color w:val="auto"/>
                    </w:rPr>
                  </w:pPr>
                  <w:r>
                    <w:rPr>
                      <w:color w:val="auto"/>
                    </w:rPr>
                    <w:t>颗粒物</w:t>
                  </w:r>
                  <w:r>
                    <w:rPr>
                      <w:rFonts w:hint="eastAsia"/>
                      <w:color w:val="auto"/>
                    </w:rPr>
                    <w:t>排放</w:t>
                  </w:r>
                  <w:r>
                    <w:rPr>
                      <w:color w:val="auto"/>
                    </w:rPr>
                    <w:t>速率</w:t>
                  </w:r>
                </w:p>
              </w:tc>
              <w:tc>
                <w:tcPr>
                  <w:tcW w:w="673" w:type="dxa"/>
                  <w:shd w:val="clear" w:color="auto" w:fill="auto"/>
                  <w:vAlign w:val="center"/>
                </w:tcPr>
                <w:p w14:paraId="6F575675">
                  <w:pPr>
                    <w:pStyle w:val="54"/>
                    <w:rPr>
                      <w:color w:val="auto"/>
                    </w:rPr>
                  </w:pPr>
                  <w:r>
                    <w:rPr>
                      <w:color w:val="auto"/>
                    </w:rPr>
                    <w:t>kg/h</w:t>
                  </w:r>
                </w:p>
              </w:tc>
              <w:tc>
                <w:tcPr>
                  <w:tcW w:w="854" w:type="dxa"/>
                  <w:vAlign w:val="center"/>
                </w:tcPr>
                <w:p w14:paraId="631D4579">
                  <w:pPr>
                    <w:pStyle w:val="54"/>
                    <w:rPr>
                      <w:color w:val="auto"/>
                    </w:rPr>
                  </w:pPr>
                  <w:r>
                    <w:rPr>
                      <w:rFonts w:hint="eastAsia"/>
                      <w:color w:val="auto"/>
                    </w:rPr>
                    <w:t>0.125</w:t>
                  </w:r>
                </w:p>
              </w:tc>
              <w:tc>
                <w:tcPr>
                  <w:tcW w:w="854" w:type="dxa"/>
                  <w:vAlign w:val="center"/>
                </w:tcPr>
                <w:p w14:paraId="18FC464D">
                  <w:pPr>
                    <w:pStyle w:val="54"/>
                    <w:rPr>
                      <w:color w:val="auto"/>
                    </w:rPr>
                  </w:pPr>
                  <w:r>
                    <w:rPr>
                      <w:rFonts w:hint="eastAsia"/>
                      <w:color w:val="auto"/>
                    </w:rPr>
                    <w:t>0.133</w:t>
                  </w:r>
                </w:p>
              </w:tc>
              <w:tc>
                <w:tcPr>
                  <w:tcW w:w="854" w:type="dxa"/>
                  <w:vAlign w:val="center"/>
                </w:tcPr>
                <w:p w14:paraId="4FB80A9F">
                  <w:pPr>
                    <w:pStyle w:val="54"/>
                    <w:rPr>
                      <w:color w:val="auto"/>
                    </w:rPr>
                  </w:pPr>
                  <w:r>
                    <w:rPr>
                      <w:rFonts w:hint="eastAsia"/>
                      <w:color w:val="auto"/>
                    </w:rPr>
                    <w:t>0.116</w:t>
                  </w:r>
                </w:p>
              </w:tc>
              <w:tc>
                <w:tcPr>
                  <w:tcW w:w="538" w:type="dxa"/>
                  <w:vAlign w:val="center"/>
                </w:tcPr>
                <w:p w14:paraId="0B7670B7">
                  <w:pPr>
                    <w:pStyle w:val="54"/>
                    <w:rPr>
                      <w:color w:val="auto"/>
                    </w:rPr>
                  </w:pPr>
                  <w:r>
                    <w:rPr>
                      <w:color w:val="auto"/>
                    </w:rPr>
                    <w:t>/</w:t>
                  </w:r>
                </w:p>
              </w:tc>
              <w:tc>
                <w:tcPr>
                  <w:tcW w:w="590" w:type="dxa"/>
                  <w:vAlign w:val="center"/>
                </w:tcPr>
                <w:p w14:paraId="1AB07BC4">
                  <w:pPr>
                    <w:pStyle w:val="54"/>
                    <w:rPr>
                      <w:color w:val="auto"/>
                    </w:rPr>
                  </w:pPr>
                  <w:r>
                    <w:rPr>
                      <w:color w:val="auto"/>
                    </w:rPr>
                    <w:t>/</w:t>
                  </w:r>
                </w:p>
              </w:tc>
            </w:tr>
            <w:tr w14:paraId="6A3E2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48" w:type="dxa"/>
                  <w:vMerge w:val="continue"/>
                  <w:vAlign w:val="center"/>
                </w:tcPr>
                <w:p w14:paraId="2A95E7CB">
                  <w:pPr>
                    <w:pStyle w:val="54"/>
                    <w:rPr>
                      <w:color w:val="auto"/>
                    </w:rPr>
                  </w:pPr>
                </w:p>
              </w:tc>
              <w:tc>
                <w:tcPr>
                  <w:tcW w:w="789" w:type="dxa"/>
                  <w:vMerge w:val="restart"/>
                  <w:vAlign w:val="center"/>
                </w:tcPr>
                <w:p w14:paraId="118801FB">
                  <w:pPr>
                    <w:pStyle w:val="54"/>
                    <w:rPr>
                      <w:color w:val="auto"/>
                    </w:rPr>
                  </w:pPr>
                  <w:r>
                    <w:rPr>
                      <w:color w:val="auto"/>
                    </w:rPr>
                    <w:t>DA001排气筒出口</w:t>
                  </w:r>
                </w:p>
              </w:tc>
              <w:tc>
                <w:tcPr>
                  <w:tcW w:w="947" w:type="dxa"/>
                  <w:vMerge w:val="restart"/>
                  <w:vAlign w:val="center"/>
                </w:tcPr>
                <w:p w14:paraId="768E3DAC">
                  <w:pPr>
                    <w:pStyle w:val="54"/>
                    <w:rPr>
                      <w:color w:val="auto"/>
                    </w:rPr>
                  </w:pPr>
                  <w:r>
                    <w:rPr>
                      <w:rFonts w:hint="eastAsia"/>
                      <w:color w:val="auto"/>
                    </w:rPr>
                    <w:t>脉冲布袋除尘器</w:t>
                  </w:r>
                </w:p>
              </w:tc>
              <w:tc>
                <w:tcPr>
                  <w:tcW w:w="1786" w:type="dxa"/>
                  <w:vAlign w:val="center"/>
                </w:tcPr>
                <w:p w14:paraId="4DE75F25">
                  <w:pPr>
                    <w:pStyle w:val="54"/>
                    <w:rPr>
                      <w:color w:val="auto"/>
                    </w:rPr>
                  </w:pPr>
                  <w:r>
                    <w:rPr>
                      <w:color w:val="auto"/>
                    </w:rPr>
                    <w:t>烟道截面积</w:t>
                  </w:r>
                </w:p>
              </w:tc>
              <w:tc>
                <w:tcPr>
                  <w:tcW w:w="673" w:type="dxa"/>
                  <w:vAlign w:val="center"/>
                </w:tcPr>
                <w:p w14:paraId="1AFB5315">
                  <w:pPr>
                    <w:pStyle w:val="54"/>
                    <w:rPr>
                      <w:color w:val="auto"/>
                    </w:rPr>
                  </w:pPr>
                  <w:r>
                    <w:rPr>
                      <w:color w:val="auto"/>
                    </w:rPr>
                    <w:t>m</w:t>
                  </w:r>
                  <w:r>
                    <w:rPr>
                      <w:color w:val="auto"/>
                      <w:vertAlign w:val="superscript"/>
                    </w:rPr>
                    <w:t>2</w:t>
                  </w:r>
                </w:p>
              </w:tc>
              <w:tc>
                <w:tcPr>
                  <w:tcW w:w="854" w:type="dxa"/>
                  <w:vAlign w:val="center"/>
                </w:tcPr>
                <w:p w14:paraId="59A8AF6F">
                  <w:pPr>
                    <w:pStyle w:val="54"/>
                    <w:rPr>
                      <w:color w:val="auto"/>
                    </w:rPr>
                  </w:pPr>
                  <w:r>
                    <w:rPr>
                      <w:rFonts w:hint="eastAsia"/>
                      <w:color w:val="auto"/>
                    </w:rPr>
                    <w:t>0.0707</w:t>
                  </w:r>
                </w:p>
              </w:tc>
              <w:tc>
                <w:tcPr>
                  <w:tcW w:w="854" w:type="dxa"/>
                  <w:vAlign w:val="center"/>
                </w:tcPr>
                <w:p w14:paraId="0398249F">
                  <w:pPr>
                    <w:pStyle w:val="54"/>
                    <w:rPr>
                      <w:color w:val="auto"/>
                    </w:rPr>
                  </w:pPr>
                  <w:r>
                    <w:rPr>
                      <w:rFonts w:hint="eastAsia"/>
                      <w:color w:val="auto"/>
                    </w:rPr>
                    <w:t>0.0707</w:t>
                  </w:r>
                </w:p>
              </w:tc>
              <w:tc>
                <w:tcPr>
                  <w:tcW w:w="854" w:type="dxa"/>
                  <w:vAlign w:val="center"/>
                </w:tcPr>
                <w:p w14:paraId="7B78FDA4">
                  <w:pPr>
                    <w:pStyle w:val="54"/>
                    <w:rPr>
                      <w:color w:val="auto"/>
                    </w:rPr>
                  </w:pPr>
                  <w:r>
                    <w:rPr>
                      <w:rFonts w:hint="eastAsia"/>
                      <w:color w:val="auto"/>
                    </w:rPr>
                    <w:t>0.0707</w:t>
                  </w:r>
                </w:p>
              </w:tc>
              <w:tc>
                <w:tcPr>
                  <w:tcW w:w="538" w:type="dxa"/>
                  <w:vAlign w:val="center"/>
                </w:tcPr>
                <w:p w14:paraId="443F96B1">
                  <w:pPr>
                    <w:pStyle w:val="54"/>
                    <w:rPr>
                      <w:color w:val="auto"/>
                    </w:rPr>
                  </w:pPr>
                  <w:r>
                    <w:rPr>
                      <w:color w:val="auto"/>
                    </w:rPr>
                    <w:t>/</w:t>
                  </w:r>
                </w:p>
              </w:tc>
              <w:tc>
                <w:tcPr>
                  <w:tcW w:w="590" w:type="dxa"/>
                  <w:vAlign w:val="center"/>
                </w:tcPr>
                <w:p w14:paraId="6EF16230">
                  <w:pPr>
                    <w:pStyle w:val="54"/>
                    <w:rPr>
                      <w:color w:val="auto"/>
                    </w:rPr>
                  </w:pPr>
                  <w:r>
                    <w:rPr>
                      <w:color w:val="auto"/>
                    </w:rPr>
                    <w:t>/</w:t>
                  </w:r>
                </w:p>
              </w:tc>
            </w:tr>
            <w:tr w14:paraId="2FBC8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48" w:type="dxa"/>
                  <w:vMerge w:val="continue"/>
                  <w:vAlign w:val="center"/>
                </w:tcPr>
                <w:p w14:paraId="20AD7239">
                  <w:pPr>
                    <w:pStyle w:val="54"/>
                    <w:rPr>
                      <w:color w:val="auto"/>
                    </w:rPr>
                  </w:pPr>
                </w:p>
              </w:tc>
              <w:tc>
                <w:tcPr>
                  <w:tcW w:w="789" w:type="dxa"/>
                  <w:vMerge w:val="continue"/>
                  <w:vAlign w:val="center"/>
                </w:tcPr>
                <w:p w14:paraId="6E8DAC97">
                  <w:pPr>
                    <w:pStyle w:val="54"/>
                    <w:rPr>
                      <w:color w:val="auto"/>
                    </w:rPr>
                  </w:pPr>
                </w:p>
              </w:tc>
              <w:tc>
                <w:tcPr>
                  <w:tcW w:w="947" w:type="dxa"/>
                  <w:vMerge w:val="continue"/>
                  <w:vAlign w:val="center"/>
                </w:tcPr>
                <w:p w14:paraId="22EA57B3">
                  <w:pPr>
                    <w:pStyle w:val="54"/>
                    <w:rPr>
                      <w:color w:val="auto"/>
                    </w:rPr>
                  </w:pPr>
                </w:p>
              </w:tc>
              <w:tc>
                <w:tcPr>
                  <w:tcW w:w="1786" w:type="dxa"/>
                  <w:vAlign w:val="center"/>
                </w:tcPr>
                <w:p w14:paraId="3C8C1B15">
                  <w:pPr>
                    <w:pStyle w:val="54"/>
                    <w:rPr>
                      <w:color w:val="auto"/>
                    </w:rPr>
                  </w:pPr>
                  <w:r>
                    <w:rPr>
                      <w:color w:val="auto"/>
                    </w:rPr>
                    <w:t>烟气含湿量</w:t>
                  </w:r>
                </w:p>
              </w:tc>
              <w:tc>
                <w:tcPr>
                  <w:tcW w:w="673" w:type="dxa"/>
                  <w:vAlign w:val="center"/>
                </w:tcPr>
                <w:p w14:paraId="16F7465D">
                  <w:pPr>
                    <w:pStyle w:val="54"/>
                    <w:rPr>
                      <w:color w:val="auto"/>
                    </w:rPr>
                  </w:pPr>
                  <w:r>
                    <w:rPr>
                      <w:color w:val="auto"/>
                    </w:rPr>
                    <w:t>%</w:t>
                  </w:r>
                </w:p>
              </w:tc>
              <w:tc>
                <w:tcPr>
                  <w:tcW w:w="854" w:type="dxa"/>
                  <w:vAlign w:val="center"/>
                </w:tcPr>
                <w:p w14:paraId="3976936E">
                  <w:pPr>
                    <w:pStyle w:val="54"/>
                    <w:rPr>
                      <w:color w:val="auto"/>
                    </w:rPr>
                  </w:pPr>
                  <w:r>
                    <w:rPr>
                      <w:rFonts w:hint="eastAsia"/>
                      <w:color w:val="auto"/>
                    </w:rPr>
                    <w:t>1.9</w:t>
                  </w:r>
                </w:p>
              </w:tc>
              <w:tc>
                <w:tcPr>
                  <w:tcW w:w="854" w:type="dxa"/>
                  <w:vAlign w:val="center"/>
                </w:tcPr>
                <w:p w14:paraId="1A7555DC">
                  <w:pPr>
                    <w:pStyle w:val="54"/>
                    <w:rPr>
                      <w:color w:val="auto"/>
                    </w:rPr>
                  </w:pPr>
                  <w:r>
                    <w:rPr>
                      <w:rFonts w:hint="eastAsia"/>
                      <w:color w:val="auto"/>
                    </w:rPr>
                    <w:t>2.1</w:t>
                  </w:r>
                </w:p>
              </w:tc>
              <w:tc>
                <w:tcPr>
                  <w:tcW w:w="854" w:type="dxa"/>
                  <w:vAlign w:val="center"/>
                </w:tcPr>
                <w:p w14:paraId="46444872">
                  <w:pPr>
                    <w:pStyle w:val="54"/>
                    <w:rPr>
                      <w:color w:val="auto"/>
                    </w:rPr>
                  </w:pPr>
                  <w:r>
                    <w:rPr>
                      <w:rFonts w:hint="eastAsia"/>
                      <w:color w:val="auto"/>
                    </w:rPr>
                    <w:t>2.0</w:t>
                  </w:r>
                </w:p>
              </w:tc>
              <w:tc>
                <w:tcPr>
                  <w:tcW w:w="538" w:type="dxa"/>
                  <w:vAlign w:val="center"/>
                </w:tcPr>
                <w:p w14:paraId="4FF985C1">
                  <w:pPr>
                    <w:pStyle w:val="54"/>
                    <w:rPr>
                      <w:color w:val="auto"/>
                    </w:rPr>
                  </w:pPr>
                  <w:r>
                    <w:rPr>
                      <w:color w:val="auto"/>
                    </w:rPr>
                    <w:t>/</w:t>
                  </w:r>
                </w:p>
              </w:tc>
              <w:tc>
                <w:tcPr>
                  <w:tcW w:w="590" w:type="dxa"/>
                  <w:vAlign w:val="center"/>
                </w:tcPr>
                <w:p w14:paraId="73955CB3">
                  <w:pPr>
                    <w:pStyle w:val="54"/>
                    <w:rPr>
                      <w:color w:val="auto"/>
                    </w:rPr>
                  </w:pPr>
                  <w:r>
                    <w:rPr>
                      <w:color w:val="auto"/>
                    </w:rPr>
                    <w:t>/</w:t>
                  </w:r>
                </w:p>
              </w:tc>
            </w:tr>
            <w:tr w14:paraId="13EA4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274" w:hRule="atLeast"/>
                <w:jc w:val="center"/>
              </w:trPr>
              <w:tc>
                <w:tcPr>
                  <w:tcW w:w="548" w:type="dxa"/>
                  <w:vMerge w:val="continue"/>
                  <w:vAlign w:val="center"/>
                </w:tcPr>
                <w:p w14:paraId="4C55D3C5">
                  <w:pPr>
                    <w:pStyle w:val="54"/>
                    <w:rPr>
                      <w:color w:val="auto"/>
                    </w:rPr>
                  </w:pPr>
                </w:p>
              </w:tc>
              <w:tc>
                <w:tcPr>
                  <w:tcW w:w="789" w:type="dxa"/>
                  <w:vMerge w:val="continue"/>
                  <w:vAlign w:val="center"/>
                </w:tcPr>
                <w:p w14:paraId="09E0AE8D">
                  <w:pPr>
                    <w:pStyle w:val="54"/>
                    <w:rPr>
                      <w:color w:val="auto"/>
                    </w:rPr>
                  </w:pPr>
                </w:p>
              </w:tc>
              <w:tc>
                <w:tcPr>
                  <w:tcW w:w="947" w:type="dxa"/>
                  <w:vMerge w:val="continue"/>
                  <w:vAlign w:val="center"/>
                </w:tcPr>
                <w:p w14:paraId="0E5E71C5">
                  <w:pPr>
                    <w:pStyle w:val="54"/>
                    <w:rPr>
                      <w:color w:val="auto"/>
                    </w:rPr>
                  </w:pPr>
                </w:p>
              </w:tc>
              <w:tc>
                <w:tcPr>
                  <w:tcW w:w="1786" w:type="dxa"/>
                  <w:vAlign w:val="center"/>
                </w:tcPr>
                <w:p w14:paraId="55E95E3D">
                  <w:pPr>
                    <w:pStyle w:val="54"/>
                    <w:rPr>
                      <w:color w:val="auto"/>
                    </w:rPr>
                  </w:pPr>
                  <w:r>
                    <w:rPr>
                      <w:color w:val="auto"/>
                    </w:rPr>
                    <w:t>烟气温度</w:t>
                  </w:r>
                </w:p>
              </w:tc>
              <w:tc>
                <w:tcPr>
                  <w:tcW w:w="673" w:type="dxa"/>
                  <w:vAlign w:val="center"/>
                </w:tcPr>
                <w:p w14:paraId="4EEDB102">
                  <w:pPr>
                    <w:pStyle w:val="54"/>
                    <w:rPr>
                      <w:color w:val="auto"/>
                    </w:rPr>
                  </w:pPr>
                  <w:r>
                    <w:rPr>
                      <w:color w:val="auto"/>
                    </w:rPr>
                    <w:t>℃</w:t>
                  </w:r>
                </w:p>
              </w:tc>
              <w:tc>
                <w:tcPr>
                  <w:tcW w:w="854" w:type="dxa"/>
                  <w:vAlign w:val="center"/>
                </w:tcPr>
                <w:p w14:paraId="0754A4D5">
                  <w:pPr>
                    <w:pStyle w:val="54"/>
                    <w:rPr>
                      <w:color w:val="auto"/>
                    </w:rPr>
                  </w:pPr>
                  <w:r>
                    <w:rPr>
                      <w:rFonts w:hint="eastAsia"/>
                      <w:color w:val="auto"/>
                    </w:rPr>
                    <w:t>32</w:t>
                  </w:r>
                </w:p>
              </w:tc>
              <w:tc>
                <w:tcPr>
                  <w:tcW w:w="854" w:type="dxa"/>
                  <w:vAlign w:val="center"/>
                </w:tcPr>
                <w:p w14:paraId="55035682">
                  <w:pPr>
                    <w:pStyle w:val="54"/>
                    <w:rPr>
                      <w:color w:val="auto"/>
                    </w:rPr>
                  </w:pPr>
                  <w:r>
                    <w:rPr>
                      <w:rFonts w:hint="eastAsia"/>
                      <w:color w:val="auto"/>
                    </w:rPr>
                    <w:t>33</w:t>
                  </w:r>
                </w:p>
              </w:tc>
              <w:tc>
                <w:tcPr>
                  <w:tcW w:w="854" w:type="dxa"/>
                  <w:vAlign w:val="center"/>
                </w:tcPr>
                <w:p w14:paraId="55B73D8E">
                  <w:pPr>
                    <w:pStyle w:val="54"/>
                    <w:rPr>
                      <w:color w:val="auto"/>
                    </w:rPr>
                  </w:pPr>
                  <w:r>
                    <w:rPr>
                      <w:rFonts w:hint="eastAsia"/>
                      <w:color w:val="auto"/>
                    </w:rPr>
                    <w:t>31</w:t>
                  </w:r>
                </w:p>
              </w:tc>
              <w:tc>
                <w:tcPr>
                  <w:tcW w:w="538" w:type="dxa"/>
                  <w:vAlign w:val="center"/>
                </w:tcPr>
                <w:p w14:paraId="367F3967">
                  <w:pPr>
                    <w:pStyle w:val="54"/>
                    <w:rPr>
                      <w:color w:val="auto"/>
                    </w:rPr>
                  </w:pPr>
                  <w:r>
                    <w:rPr>
                      <w:color w:val="auto"/>
                    </w:rPr>
                    <w:t>/</w:t>
                  </w:r>
                </w:p>
              </w:tc>
              <w:tc>
                <w:tcPr>
                  <w:tcW w:w="590" w:type="dxa"/>
                  <w:vAlign w:val="center"/>
                </w:tcPr>
                <w:p w14:paraId="1C5E03C8">
                  <w:pPr>
                    <w:pStyle w:val="54"/>
                    <w:rPr>
                      <w:color w:val="auto"/>
                    </w:rPr>
                  </w:pPr>
                  <w:r>
                    <w:rPr>
                      <w:color w:val="auto"/>
                    </w:rPr>
                    <w:t>/</w:t>
                  </w:r>
                </w:p>
              </w:tc>
            </w:tr>
            <w:tr w14:paraId="668C65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48" w:type="dxa"/>
                  <w:vMerge w:val="continue"/>
                  <w:vAlign w:val="center"/>
                </w:tcPr>
                <w:p w14:paraId="01354B11">
                  <w:pPr>
                    <w:pStyle w:val="54"/>
                    <w:rPr>
                      <w:color w:val="auto"/>
                    </w:rPr>
                  </w:pPr>
                </w:p>
              </w:tc>
              <w:tc>
                <w:tcPr>
                  <w:tcW w:w="789" w:type="dxa"/>
                  <w:vMerge w:val="continue"/>
                  <w:vAlign w:val="center"/>
                </w:tcPr>
                <w:p w14:paraId="298AFEA6">
                  <w:pPr>
                    <w:pStyle w:val="54"/>
                    <w:rPr>
                      <w:color w:val="auto"/>
                    </w:rPr>
                  </w:pPr>
                </w:p>
              </w:tc>
              <w:tc>
                <w:tcPr>
                  <w:tcW w:w="947" w:type="dxa"/>
                  <w:vMerge w:val="continue"/>
                  <w:vAlign w:val="center"/>
                </w:tcPr>
                <w:p w14:paraId="4A8F8123">
                  <w:pPr>
                    <w:pStyle w:val="54"/>
                    <w:rPr>
                      <w:color w:val="auto"/>
                    </w:rPr>
                  </w:pPr>
                </w:p>
              </w:tc>
              <w:tc>
                <w:tcPr>
                  <w:tcW w:w="1786" w:type="dxa"/>
                  <w:vAlign w:val="center"/>
                </w:tcPr>
                <w:p w14:paraId="638A468A">
                  <w:pPr>
                    <w:pStyle w:val="54"/>
                    <w:rPr>
                      <w:color w:val="auto"/>
                    </w:rPr>
                  </w:pPr>
                  <w:r>
                    <w:rPr>
                      <w:color w:val="auto"/>
                    </w:rPr>
                    <w:t>烟气流速</w:t>
                  </w:r>
                </w:p>
              </w:tc>
              <w:tc>
                <w:tcPr>
                  <w:tcW w:w="673" w:type="dxa"/>
                  <w:vAlign w:val="center"/>
                </w:tcPr>
                <w:p w14:paraId="0C68D0D7">
                  <w:pPr>
                    <w:pStyle w:val="54"/>
                    <w:rPr>
                      <w:color w:val="auto"/>
                    </w:rPr>
                  </w:pPr>
                  <w:r>
                    <w:rPr>
                      <w:color w:val="auto"/>
                    </w:rPr>
                    <w:t>m/s</w:t>
                  </w:r>
                </w:p>
              </w:tc>
              <w:tc>
                <w:tcPr>
                  <w:tcW w:w="854" w:type="dxa"/>
                  <w:vAlign w:val="center"/>
                </w:tcPr>
                <w:p w14:paraId="6EE5654F">
                  <w:pPr>
                    <w:pStyle w:val="54"/>
                    <w:rPr>
                      <w:color w:val="auto"/>
                    </w:rPr>
                  </w:pPr>
                  <w:r>
                    <w:rPr>
                      <w:rFonts w:hint="eastAsia"/>
                      <w:color w:val="auto"/>
                    </w:rPr>
                    <w:t>26.0</w:t>
                  </w:r>
                </w:p>
              </w:tc>
              <w:tc>
                <w:tcPr>
                  <w:tcW w:w="854" w:type="dxa"/>
                  <w:vAlign w:val="center"/>
                </w:tcPr>
                <w:p w14:paraId="3CC38801">
                  <w:pPr>
                    <w:pStyle w:val="54"/>
                    <w:rPr>
                      <w:color w:val="auto"/>
                    </w:rPr>
                  </w:pPr>
                  <w:r>
                    <w:rPr>
                      <w:rFonts w:hint="eastAsia"/>
                      <w:color w:val="auto"/>
                    </w:rPr>
                    <w:t>26.0</w:t>
                  </w:r>
                </w:p>
              </w:tc>
              <w:tc>
                <w:tcPr>
                  <w:tcW w:w="854" w:type="dxa"/>
                  <w:vAlign w:val="center"/>
                </w:tcPr>
                <w:p w14:paraId="71CF362F">
                  <w:pPr>
                    <w:pStyle w:val="54"/>
                    <w:rPr>
                      <w:color w:val="auto"/>
                    </w:rPr>
                  </w:pPr>
                  <w:r>
                    <w:rPr>
                      <w:rFonts w:hint="eastAsia"/>
                      <w:color w:val="auto"/>
                    </w:rPr>
                    <w:t>26.2</w:t>
                  </w:r>
                </w:p>
              </w:tc>
              <w:tc>
                <w:tcPr>
                  <w:tcW w:w="538" w:type="dxa"/>
                  <w:vAlign w:val="center"/>
                </w:tcPr>
                <w:p w14:paraId="21D6158D">
                  <w:pPr>
                    <w:pStyle w:val="54"/>
                    <w:rPr>
                      <w:color w:val="auto"/>
                    </w:rPr>
                  </w:pPr>
                  <w:r>
                    <w:rPr>
                      <w:color w:val="auto"/>
                    </w:rPr>
                    <w:t>/</w:t>
                  </w:r>
                </w:p>
              </w:tc>
              <w:tc>
                <w:tcPr>
                  <w:tcW w:w="590" w:type="dxa"/>
                  <w:vAlign w:val="center"/>
                </w:tcPr>
                <w:p w14:paraId="4FC94CDE">
                  <w:pPr>
                    <w:pStyle w:val="54"/>
                    <w:rPr>
                      <w:color w:val="auto"/>
                    </w:rPr>
                  </w:pPr>
                  <w:r>
                    <w:rPr>
                      <w:color w:val="auto"/>
                    </w:rPr>
                    <w:t>/</w:t>
                  </w:r>
                </w:p>
              </w:tc>
            </w:tr>
            <w:tr w14:paraId="3B490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48" w:type="dxa"/>
                  <w:vMerge w:val="continue"/>
                  <w:vAlign w:val="center"/>
                </w:tcPr>
                <w:p w14:paraId="66A1E8A2">
                  <w:pPr>
                    <w:pStyle w:val="54"/>
                    <w:rPr>
                      <w:color w:val="auto"/>
                    </w:rPr>
                  </w:pPr>
                </w:p>
              </w:tc>
              <w:tc>
                <w:tcPr>
                  <w:tcW w:w="789" w:type="dxa"/>
                  <w:vMerge w:val="continue"/>
                  <w:vAlign w:val="center"/>
                </w:tcPr>
                <w:p w14:paraId="0294C18F">
                  <w:pPr>
                    <w:pStyle w:val="54"/>
                    <w:rPr>
                      <w:color w:val="auto"/>
                    </w:rPr>
                  </w:pPr>
                </w:p>
              </w:tc>
              <w:tc>
                <w:tcPr>
                  <w:tcW w:w="947" w:type="dxa"/>
                  <w:vMerge w:val="continue"/>
                  <w:vAlign w:val="center"/>
                </w:tcPr>
                <w:p w14:paraId="62BD6A3E">
                  <w:pPr>
                    <w:pStyle w:val="54"/>
                    <w:rPr>
                      <w:color w:val="auto"/>
                    </w:rPr>
                  </w:pPr>
                </w:p>
              </w:tc>
              <w:tc>
                <w:tcPr>
                  <w:tcW w:w="1786" w:type="dxa"/>
                  <w:vAlign w:val="center"/>
                </w:tcPr>
                <w:p w14:paraId="62B3C693">
                  <w:pPr>
                    <w:pStyle w:val="54"/>
                    <w:rPr>
                      <w:color w:val="auto"/>
                    </w:rPr>
                  </w:pPr>
                  <w:r>
                    <w:rPr>
                      <w:color w:val="auto"/>
                    </w:rPr>
                    <w:t>烟气流量</w:t>
                  </w:r>
                </w:p>
              </w:tc>
              <w:tc>
                <w:tcPr>
                  <w:tcW w:w="673" w:type="dxa"/>
                  <w:vAlign w:val="center"/>
                </w:tcPr>
                <w:p w14:paraId="7E7AD632">
                  <w:pPr>
                    <w:pStyle w:val="54"/>
                    <w:rPr>
                      <w:color w:val="auto"/>
                    </w:rPr>
                  </w:pPr>
                  <w:r>
                    <w:rPr>
                      <w:color w:val="auto"/>
                    </w:rPr>
                    <w:t>m</w:t>
                  </w:r>
                  <w:r>
                    <w:rPr>
                      <w:color w:val="auto"/>
                      <w:vertAlign w:val="superscript"/>
                    </w:rPr>
                    <w:t>3</w:t>
                  </w:r>
                  <w:r>
                    <w:rPr>
                      <w:color w:val="auto"/>
                    </w:rPr>
                    <w:t>/h</w:t>
                  </w:r>
                </w:p>
              </w:tc>
              <w:tc>
                <w:tcPr>
                  <w:tcW w:w="854" w:type="dxa"/>
                  <w:vAlign w:val="center"/>
                </w:tcPr>
                <w:p w14:paraId="205F0E19">
                  <w:pPr>
                    <w:pStyle w:val="54"/>
                    <w:rPr>
                      <w:color w:val="auto"/>
                    </w:rPr>
                  </w:pPr>
                  <w:r>
                    <w:rPr>
                      <w:rFonts w:hint="eastAsia"/>
                      <w:color w:val="auto"/>
                    </w:rPr>
                    <w:t>6616</w:t>
                  </w:r>
                </w:p>
              </w:tc>
              <w:tc>
                <w:tcPr>
                  <w:tcW w:w="854" w:type="dxa"/>
                  <w:vAlign w:val="center"/>
                </w:tcPr>
                <w:p w14:paraId="72E71CD2">
                  <w:pPr>
                    <w:pStyle w:val="54"/>
                    <w:rPr>
                      <w:color w:val="auto"/>
                    </w:rPr>
                  </w:pPr>
                  <w:r>
                    <w:rPr>
                      <w:rFonts w:hint="eastAsia"/>
                      <w:color w:val="auto"/>
                    </w:rPr>
                    <w:t>6616</w:t>
                  </w:r>
                </w:p>
              </w:tc>
              <w:tc>
                <w:tcPr>
                  <w:tcW w:w="854" w:type="dxa"/>
                  <w:vAlign w:val="center"/>
                </w:tcPr>
                <w:p w14:paraId="72B722EC">
                  <w:pPr>
                    <w:pStyle w:val="54"/>
                    <w:rPr>
                      <w:color w:val="auto"/>
                    </w:rPr>
                  </w:pPr>
                  <w:r>
                    <w:rPr>
                      <w:rFonts w:hint="eastAsia"/>
                      <w:color w:val="auto"/>
                    </w:rPr>
                    <w:t>6667</w:t>
                  </w:r>
                </w:p>
              </w:tc>
              <w:tc>
                <w:tcPr>
                  <w:tcW w:w="538" w:type="dxa"/>
                  <w:vAlign w:val="center"/>
                </w:tcPr>
                <w:p w14:paraId="757DC038">
                  <w:pPr>
                    <w:pStyle w:val="54"/>
                    <w:rPr>
                      <w:color w:val="auto"/>
                    </w:rPr>
                  </w:pPr>
                  <w:r>
                    <w:rPr>
                      <w:color w:val="auto"/>
                    </w:rPr>
                    <w:t>/</w:t>
                  </w:r>
                </w:p>
              </w:tc>
              <w:tc>
                <w:tcPr>
                  <w:tcW w:w="590" w:type="dxa"/>
                  <w:vAlign w:val="center"/>
                </w:tcPr>
                <w:p w14:paraId="5F814F06">
                  <w:pPr>
                    <w:pStyle w:val="54"/>
                    <w:rPr>
                      <w:color w:val="auto"/>
                    </w:rPr>
                  </w:pPr>
                  <w:r>
                    <w:rPr>
                      <w:color w:val="auto"/>
                    </w:rPr>
                    <w:t>/</w:t>
                  </w:r>
                </w:p>
              </w:tc>
            </w:tr>
            <w:tr w14:paraId="66CDF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48" w:type="dxa"/>
                  <w:vMerge w:val="continue"/>
                  <w:vAlign w:val="center"/>
                </w:tcPr>
                <w:p w14:paraId="7AE14627">
                  <w:pPr>
                    <w:pStyle w:val="54"/>
                    <w:rPr>
                      <w:color w:val="auto"/>
                    </w:rPr>
                  </w:pPr>
                </w:p>
              </w:tc>
              <w:tc>
                <w:tcPr>
                  <w:tcW w:w="789" w:type="dxa"/>
                  <w:vMerge w:val="continue"/>
                  <w:vAlign w:val="center"/>
                </w:tcPr>
                <w:p w14:paraId="6905B11E">
                  <w:pPr>
                    <w:pStyle w:val="54"/>
                    <w:rPr>
                      <w:color w:val="auto"/>
                    </w:rPr>
                  </w:pPr>
                </w:p>
              </w:tc>
              <w:tc>
                <w:tcPr>
                  <w:tcW w:w="947" w:type="dxa"/>
                  <w:vMerge w:val="continue"/>
                  <w:vAlign w:val="center"/>
                </w:tcPr>
                <w:p w14:paraId="27960076">
                  <w:pPr>
                    <w:pStyle w:val="54"/>
                    <w:rPr>
                      <w:color w:val="auto"/>
                    </w:rPr>
                  </w:pPr>
                </w:p>
              </w:tc>
              <w:tc>
                <w:tcPr>
                  <w:tcW w:w="1786" w:type="dxa"/>
                  <w:vAlign w:val="center"/>
                </w:tcPr>
                <w:p w14:paraId="24999486">
                  <w:pPr>
                    <w:pStyle w:val="54"/>
                    <w:rPr>
                      <w:color w:val="auto"/>
                    </w:rPr>
                  </w:pPr>
                  <w:r>
                    <w:rPr>
                      <w:color w:val="auto"/>
                    </w:rPr>
                    <w:t>标干流量</w:t>
                  </w:r>
                </w:p>
              </w:tc>
              <w:tc>
                <w:tcPr>
                  <w:tcW w:w="673" w:type="dxa"/>
                  <w:vAlign w:val="center"/>
                </w:tcPr>
                <w:p w14:paraId="0E677E25">
                  <w:pPr>
                    <w:pStyle w:val="54"/>
                    <w:rPr>
                      <w:color w:val="auto"/>
                    </w:rPr>
                  </w:pPr>
                  <w:r>
                    <w:rPr>
                      <w:color w:val="auto"/>
                    </w:rPr>
                    <w:t>Nm</w:t>
                  </w:r>
                  <w:r>
                    <w:rPr>
                      <w:color w:val="auto"/>
                      <w:vertAlign w:val="superscript"/>
                    </w:rPr>
                    <w:t>3</w:t>
                  </w:r>
                  <w:r>
                    <w:rPr>
                      <w:color w:val="auto"/>
                    </w:rPr>
                    <w:t>/h</w:t>
                  </w:r>
                </w:p>
              </w:tc>
              <w:tc>
                <w:tcPr>
                  <w:tcW w:w="854" w:type="dxa"/>
                  <w:vAlign w:val="center"/>
                </w:tcPr>
                <w:p w14:paraId="01C5F447">
                  <w:pPr>
                    <w:pStyle w:val="54"/>
                    <w:rPr>
                      <w:color w:val="auto"/>
                    </w:rPr>
                  </w:pPr>
                  <w:r>
                    <w:rPr>
                      <w:rFonts w:hint="eastAsia"/>
                      <w:color w:val="auto"/>
                    </w:rPr>
                    <w:t>5798</w:t>
                  </w:r>
                </w:p>
              </w:tc>
              <w:tc>
                <w:tcPr>
                  <w:tcW w:w="854" w:type="dxa"/>
                  <w:vAlign w:val="center"/>
                </w:tcPr>
                <w:p w14:paraId="2B03DA3F">
                  <w:pPr>
                    <w:pStyle w:val="54"/>
                    <w:rPr>
                      <w:color w:val="auto"/>
                    </w:rPr>
                  </w:pPr>
                  <w:r>
                    <w:rPr>
                      <w:rFonts w:hint="eastAsia"/>
                      <w:color w:val="auto"/>
                    </w:rPr>
                    <w:t>5788</w:t>
                  </w:r>
                </w:p>
              </w:tc>
              <w:tc>
                <w:tcPr>
                  <w:tcW w:w="854" w:type="dxa"/>
                  <w:vAlign w:val="center"/>
                </w:tcPr>
                <w:p w14:paraId="326DCED4">
                  <w:pPr>
                    <w:pStyle w:val="54"/>
                    <w:rPr>
                      <w:color w:val="auto"/>
                    </w:rPr>
                  </w:pPr>
                  <w:r>
                    <w:rPr>
                      <w:rFonts w:hint="eastAsia"/>
                      <w:color w:val="auto"/>
                    </w:rPr>
                    <w:t>5865</w:t>
                  </w:r>
                </w:p>
              </w:tc>
              <w:tc>
                <w:tcPr>
                  <w:tcW w:w="538" w:type="dxa"/>
                  <w:vAlign w:val="center"/>
                </w:tcPr>
                <w:p w14:paraId="0B37FD87">
                  <w:pPr>
                    <w:pStyle w:val="54"/>
                    <w:rPr>
                      <w:color w:val="auto"/>
                    </w:rPr>
                  </w:pPr>
                  <w:r>
                    <w:rPr>
                      <w:color w:val="auto"/>
                    </w:rPr>
                    <w:t>/</w:t>
                  </w:r>
                </w:p>
              </w:tc>
              <w:tc>
                <w:tcPr>
                  <w:tcW w:w="590" w:type="dxa"/>
                  <w:vAlign w:val="center"/>
                </w:tcPr>
                <w:p w14:paraId="611478D7">
                  <w:pPr>
                    <w:pStyle w:val="54"/>
                    <w:rPr>
                      <w:color w:val="auto"/>
                    </w:rPr>
                  </w:pPr>
                  <w:r>
                    <w:rPr>
                      <w:color w:val="auto"/>
                    </w:rPr>
                    <w:t>/</w:t>
                  </w:r>
                </w:p>
              </w:tc>
            </w:tr>
            <w:tr w14:paraId="525A3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48" w:type="dxa"/>
                  <w:vMerge w:val="continue"/>
                  <w:vAlign w:val="center"/>
                </w:tcPr>
                <w:p w14:paraId="46EE005B">
                  <w:pPr>
                    <w:pStyle w:val="54"/>
                    <w:rPr>
                      <w:color w:val="auto"/>
                    </w:rPr>
                  </w:pPr>
                </w:p>
              </w:tc>
              <w:tc>
                <w:tcPr>
                  <w:tcW w:w="789" w:type="dxa"/>
                  <w:vMerge w:val="continue"/>
                  <w:vAlign w:val="center"/>
                </w:tcPr>
                <w:p w14:paraId="37676132">
                  <w:pPr>
                    <w:pStyle w:val="54"/>
                    <w:rPr>
                      <w:color w:val="auto"/>
                    </w:rPr>
                  </w:pPr>
                </w:p>
              </w:tc>
              <w:tc>
                <w:tcPr>
                  <w:tcW w:w="947" w:type="dxa"/>
                  <w:vMerge w:val="continue"/>
                  <w:vAlign w:val="center"/>
                </w:tcPr>
                <w:p w14:paraId="69CC3004">
                  <w:pPr>
                    <w:pStyle w:val="54"/>
                    <w:rPr>
                      <w:color w:val="auto"/>
                    </w:rPr>
                  </w:pPr>
                </w:p>
              </w:tc>
              <w:tc>
                <w:tcPr>
                  <w:tcW w:w="1786" w:type="dxa"/>
                  <w:vAlign w:val="center"/>
                </w:tcPr>
                <w:p w14:paraId="01673514">
                  <w:pPr>
                    <w:pStyle w:val="54"/>
                    <w:rPr>
                      <w:color w:val="auto"/>
                    </w:rPr>
                  </w:pPr>
                  <w:r>
                    <w:rPr>
                      <w:rFonts w:hint="eastAsia"/>
                      <w:color w:val="auto"/>
                    </w:rPr>
                    <w:t>低浓度颗粒物排放</w:t>
                  </w:r>
                  <w:r>
                    <w:rPr>
                      <w:color w:val="auto"/>
                    </w:rPr>
                    <w:t>浓度</w:t>
                  </w:r>
                </w:p>
              </w:tc>
              <w:tc>
                <w:tcPr>
                  <w:tcW w:w="673" w:type="dxa"/>
                  <w:vAlign w:val="center"/>
                </w:tcPr>
                <w:p w14:paraId="5F072BA5">
                  <w:pPr>
                    <w:pStyle w:val="54"/>
                    <w:rPr>
                      <w:color w:val="auto"/>
                    </w:rPr>
                  </w:pPr>
                  <w:r>
                    <w:rPr>
                      <w:color w:val="auto"/>
                    </w:rPr>
                    <w:t>mg/m</w:t>
                  </w:r>
                  <w:r>
                    <w:rPr>
                      <w:color w:val="auto"/>
                      <w:vertAlign w:val="superscript"/>
                    </w:rPr>
                    <w:t>3</w:t>
                  </w:r>
                </w:p>
              </w:tc>
              <w:tc>
                <w:tcPr>
                  <w:tcW w:w="854" w:type="dxa"/>
                  <w:vAlign w:val="center"/>
                </w:tcPr>
                <w:p w14:paraId="5BC39880">
                  <w:pPr>
                    <w:pStyle w:val="54"/>
                    <w:rPr>
                      <w:color w:val="auto"/>
                    </w:rPr>
                  </w:pPr>
                  <w:r>
                    <w:rPr>
                      <w:rFonts w:hint="eastAsia"/>
                      <w:color w:val="auto"/>
                    </w:rPr>
                    <w:t>1.2</w:t>
                  </w:r>
                </w:p>
              </w:tc>
              <w:tc>
                <w:tcPr>
                  <w:tcW w:w="854" w:type="dxa"/>
                  <w:vAlign w:val="center"/>
                </w:tcPr>
                <w:p w14:paraId="1A832CE6">
                  <w:pPr>
                    <w:pStyle w:val="54"/>
                    <w:rPr>
                      <w:color w:val="auto"/>
                    </w:rPr>
                  </w:pPr>
                  <w:r>
                    <w:rPr>
                      <w:rFonts w:hint="eastAsia"/>
                      <w:color w:val="auto"/>
                    </w:rPr>
                    <w:t>1.4</w:t>
                  </w:r>
                </w:p>
              </w:tc>
              <w:tc>
                <w:tcPr>
                  <w:tcW w:w="854" w:type="dxa"/>
                  <w:vAlign w:val="center"/>
                </w:tcPr>
                <w:p w14:paraId="39D3A5E9">
                  <w:pPr>
                    <w:pStyle w:val="54"/>
                    <w:rPr>
                      <w:color w:val="auto"/>
                    </w:rPr>
                  </w:pPr>
                  <w:r>
                    <w:rPr>
                      <w:rFonts w:hint="eastAsia"/>
                      <w:color w:val="auto"/>
                    </w:rPr>
                    <w:t>1.4</w:t>
                  </w:r>
                </w:p>
              </w:tc>
              <w:tc>
                <w:tcPr>
                  <w:tcW w:w="538" w:type="dxa"/>
                  <w:vAlign w:val="center"/>
                </w:tcPr>
                <w:p w14:paraId="4D5F2EE5">
                  <w:pPr>
                    <w:pStyle w:val="54"/>
                    <w:rPr>
                      <w:color w:val="auto"/>
                    </w:rPr>
                  </w:pPr>
                  <w:r>
                    <w:rPr>
                      <w:color w:val="auto"/>
                    </w:rPr>
                    <w:t>&lt;20</w:t>
                  </w:r>
                </w:p>
              </w:tc>
              <w:tc>
                <w:tcPr>
                  <w:tcW w:w="590" w:type="dxa"/>
                  <w:vAlign w:val="center"/>
                </w:tcPr>
                <w:p w14:paraId="1BB66A44">
                  <w:pPr>
                    <w:pStyle w:val="54"/>
                    <w:rPr>
                      <w:color w:val="auto"/>
                    </w:rPr>
                  </w:pPr>
                  <w:r>
                    <w:rPr>
                      <w:color w:val="auto"/>
                    </w:rPr>
                    <w:t>达标</w:t>
                  </w:r>
                </w:p>
              </w:tc>
            </w:tr>
            <w:tr w14:paraId="5B728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48" w:type="dxa"/>
                  <w:vMerge w:val="continue"/>
                  <w:vAlign w:val="center"/>
                </w:tcPr>
                <w:p w14:paraId="2410A3A4">
                  <w:pPr>
                    <w:pStyle w:val="54"/>
                    <w:rPr>
                      <w:color w:val="auto"/>
                    </w:rPr>
                  </w:pPr>
                </w:p>
              </w:tc>
              <w:tc>
                <w:tcPr>
                  <w:tcW w:w="789" w:type="dxa"/>
                  <w:vMerge w:val="continue"/>
                  <w:vAlign w:val="center"/>
                </w:tcPr>
                <w:p w14:paraId="08B8CA96">
                  <w:pPr>
                    <w:pStyle w:val="54"/>
                    <w:rPr>
                      <w:color w:val="auto"/>
                    </w:rPr>
                  </w:pPr>
                </w:p>
              </w:tc>
              <w:tc>
                <w:tcPr>
                  <w:tcW w:w="947" w:type="dxa"/>
                  <w:vMerge w:val="continue"/>
                  <w:vAlign w:val="center"/>
                </w:tcPr>
                <w:p w14:paraId="0F3CB81C">
                  <w:pPr>
                    <w:pStyle w:val="54"/>
                    <w:rPr>
                      <w:color w:val="auto"/>
                    </w:rPr>
                  </w:pPr>
                </w:p>
              </w:tc>
              <w:tc>
                <w:tcPr>
                  <w:tcW w:w="1786" w:type="dxa"/>
                  <w:vAlign w:val="center"/>
                </w:tcPr>
                <w:p w14:paraId="3DDC5D08">
                  <w:pPr>
                    <w:pStyle w:val="54"/>
                    <w:rPr>
                      <w:color w:val="auto"/>
                    </w:rPr>
                  </w:pPr>
                  <w:r>
                    <w:rPr>
                      <w:rFonts w:hint="eastAsia"/>
                      <w:color w:val="auto"/>
                    </w:rPr>
                    <w:t>低浓度颗粒物</w:t>
                  </w:r>
                  <w:r>
                    <w:rPr>
                      <w:color w:val="auto"/>
                    </w:rPr>
                    <w:t>排放速率</w:t>
                  </w:r>
                </w:p>
              </w:tc>
              <w:tc>
                <w:tcPr>
                  <w:tcW w:w="673" w:type="dxa"/>
                  <w:vAlign w:val="center"/>
                </w:tcPr>
                <w:p w14:paraId="7E9D975B">
                  <w:pPr>
                    <w:pStyle w:val="54"/>
                    <w:rPr>
                      <w:color w:val="auto"/>
                    </w:rPr>
                  </w:pPr>
                  <w:r>
                    <w:rPr>
                      <w:color w:val="auto"/>
                    </w:rPr>
                    <w:t>kg/h</w:t>
                  </w:r>
                </w:p>
              </w:tc>
              <w:tc>
                <w:tcPr>
                  <w:tcW w:w="854" w:type="dxa"/>
                  <w:vAlign w:val="center"/>
                </w:tcPr>
                <w:p w14:paraId="2B53E7B4">
                  <w:pPr>
                    <w:pStyle w:val="54"/>
                    <w:rPr>
                      <w:color w:val="auto"/>
                    </w:rPr>
                  </w:pPr>
                  <w:r>
                    <w:rPr>
                      <w:rFonts w:hint="eastAsia"/>
                      <w:color w:val="auto"/>
                    </w:rPr>
                    <w:t>6.96</w:t>
                  </w:r>
                  <w:r>
                    <w:rPr>
                      <w:color w:val="auto"/>
                    </w:rPr>
                    <w:t>×10-</w:t>
                  </w:r>
                  <w:r>
                    <w:rPr>
                      <w:color w:val="auto"/>
                      <w:vertAlign w:val="superscript"/>
                    </w:rPr>
                    <w:t>3</w:t>
                  </w:r>
                </w:p>
              </w:tc>
              <w:tc>
                <w:tcPr>
                  <w:tcW w:w="854" w:type="dxa"/>
                  <w:vAlign w:val="center"/>
                </w:tcPr>
                <w:p w14:paraId="74D80800">
                  <w:pPr>
                    <w:pStyle w:val="54"/>
                    <w:rPr>
                      <w:color w:val="auto"/>
                    </w:rPr>
                  </w:pPr>
                  <w:r>
                    <w:rPr>
                      <w:rFonts w:hint="eastAsia"/>
                      <w:color w:val="auto"/>
                    </w:rPr>
                    <w:t>8.10</w:t>
                  </w:r>
                  <w:r>
                    <w:rPr>
                      <w:color w:val="auto"/>
                    </w:rPr>
                    <w:t>×10-</w:t>
                  </w:r>
                  <w:r>
                    <w:rPr>
                      <w:color w:val="auto"/>
                      <w:vertAlign w:val="superscript"/>
                    </w:rPr>
                    <w:t>3</w:t>
                  </w:r>
                </w:p>
              </w:tc>
              <w:tc>
                <w:tcPr>
                  <w:tcW w:w="854" w:type="dxa"/>
                  <w:vAlign w:val="center"/>
                </w:tcPr>
                <w:p w14:paraId="196123EA">
                  <w:pPr>
                    <w:pStyle w:val="54"/>
                    <w:rPr>
                      <w:color w:val="auto"/>
                    </w:rPr>
                  </w:pPr>
                  <w:r>
                    <w:rPr>
                      <w:color w:val="auto"/>
                    </w:rPr>
                    <w:t>8.</w:t>
                  </w:r>
                  <w:r>
                    <w:rPr>
                      <w:rFonts w:hint="eastAsia"/>
                      <w:color w:val="auto"/>
                    </w:rPr>
                    <w:t>21</w:t>
                  </w:r>
                  <w:r>
                    <w:rPr>
                      <w:color w:val="auto"/>
                    </w:rPr>
                    <w:t>×10-</w:t>
                  </w:r>
                  <w:r>
                    <w:rPr>
                      <w:color w:val="auto"/>
                      <w:vertAlign w:val="superscript"/>
                    </w:rPr>
                    <w:t>3</w:t>
                  </w:r>
                </w:p>
              </w:tc>
              <w:tc>
                <w:tcPr>
                  <w:tcW w:w="538" w:type="dxa"/>
                  <w:vAlign w:val="center"/>
                </w:tcPr>
                <w:p w14:paraId="1F11C3E8">
                  <w:pPr>
                    <w:pStyle w:val="54"/>
                    <w:rPr>
                      <w:color w:val="auto"/>
                    </w:rPr>
                  </w:pPr>
                  <w:r>
                    <w:rPr>
                      <w:color w:val="auto"/>
                    </w:rPr>
                    <w:t>/</w:t>
                  </w:r>
                </w:p>
              </w:tc>
              <w:tc>
                <w:tcPr>
                  <w:tcW w:w="590" w:type="dxa"/>
                  <w:vAlign w:val="center"/>
                </w:tcPr>
                <w:p w14:paraId="1B06A901">
                  <w:pPr>
                    <w:pStyle w:val="54"/>
                    <w:rPr>
                      <w:color w:val="auto"/>
                    </w:rPr>
                  </w:pPr>
                  <w:r>
                    <w:rPr>
                      <w:color w:val="auto"/>
                    </w:rPr>
                    <w:t>/</w:t>
                  </w:r>
                </w:p>
              </w:tc>
            </w:tr>
          </w:tbl>
          <w:p w14:paraId="086AF2D7">
            <w:pPr>
              <w:pStyle w:val="7"/>
              <w:ind w:firstLine="422" w:firstLineChars="200"/>
              <w:rPr>
                <w:color w:val="auto"/>
              </w:rPr>
            </w:pPr>
            <w:bookmarkStart w:id="63" w:name="_Ref10567"/>
            <w:bookmarkStart w:id="64" w:name="_Ref15815"/>
            <w:r>
              <w:rPr>
                <w:color w:val="auto"/>
              </w:rPr>
              <w:t xml:space="preserve">表2- </w:t>
            </w:r>
            <w:r>
              <w:rPr>
                <w:color w:val="auto"/>
              </w:rPr>
              <w:fldChar w:fldCharType="begin"/>
            </w:r>
            <w:r>
              <w:rPr>
                <w:color w:val="auto"/>
              </w:rPr>
              <w:instrText xml:space="preserve"> SEQ 表2- \* ARABIC </w:instrText>
            </w:r>
            <w:r>
              <w:rPr>
                <w:color w:val="auto"/>
              </w:rPr>
              <w:fldChar w:fldCharType="separate"/>
            </w:r>
            <w:r>
              <w:rPr>
                <w:color w:val="auto"/>
              </w:rPr>
              <w:t>19</w:t>
            </w:r>
            <w:r>
              <w:rPr>
                <w:color w:val="auto"/>
              </w:rPr>
              <w:fldChar w:fldCharType="end"/>
            </w:r>
            <w:bookmarkEnd w:id="63"/>
            <w:bookmarkEnd w:id="64"/>
            <w:r>
              <w:rPr>
                <w:color w:val="auto"/>
              </w:rPr>
              <w:t xml:space="preserve"> 无组织废气检测结果</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3"/>
              <w:gridCol w:w="1066"/>
              <w:gridCol w:w="1200"/>
              <w:gridCol w:w="925"/>
              <w:gridCol w:w="1031"/>
              <w:gridCol w:w="1031"/>
              <w:gridCol w:w="1033"/>
              <w:gridCol w:w="723"/>
              <w:gridCol w:w="681"/>
            </w:tblGrid>
            <w:tr w14:paraId="71840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43" w:type="dxa"/>
                  <w:vMerge w:val="restart"/>
                  <w:tcBorders>
                    <w:tl2br w:val="nil"/>
                    <w:tr2bl w:val="nil"/>
                  </w:tcBorders>
                  <w:shd w:val="clear" w:color="auto" w:fill="auto"/>
                  <w:vAlign w:val="center"/>
                </w:tcPr>
                <w:p w14:paraId="1B81D085">
                  <w:pPr>
                    <w:pStyle w:val="52"/>
                    <w:rPr>
                      <w:color w:val="auto"/>
                    </w:rPr>
                  </w:pPr>
                  <w:r>
                    <w:rPr>
                      <w:rFonts w:hint="eastAsia"/>
                      <w:color w:val="auto"/>
                    </w:rPr>
                    <w:t>采样日期</w:t>
                  </w:r>
                </w:p>
              </w:tc>
              <w:tc>
                <w:tcPr>
                  <w:tcW w:w="2266" w:type="dxa"/>
                  <w:gridSpan w:val="2"/>
                  <w:vMerge w:val="restart"/>
                  <w:tcBorders>
                    <w:tl2br w:val="nil"/>
                    <w:tr2bl w:val="nil"/>
                  </w:tcBorders>
                  <w:shd w:val="clear" w:color="auto" w:fill="auto"/>
                  <w:vAlign w:val="center"/>
                </w:tcPr>
                <w:p w14:paraId="2FCF4F53">
                  <w:pPr>
                    <w:pStyle w:val="52"/>
                    <w:rPr>
                      <w:color w:val="auto"/>
                    </w:rPr>
                  </w:pPr>
                  <w:r>
                    <w:rPr>
                      <w:rFonts w:hint="eastAsia"/>
                      <w:color w:val="auto"/>
                    </w:rPr>
                    <w:t>检测项目</w:t>
                  </w:r>
                </w:p>
              </w:tc>
              <w:tc>
                <w:tcPr>
                  <w:tcW w:w="925" w:type="dxa"/>
                  <w:vMerge w:val="restart"/>
                  <w:tcBorders>
                    <w:tl2br w:val="nil"/>
                    <w:tr2bl w:val="nil"/>
                  </w:tcBorders>
                  <w:shd w:val="clear" w:color="auto" w:fill="auto"/>
                  <w:vAlign w:val="center"/>
                </w:tcPr>
                <w:p w14:paraId="366B9364">
                  <w:pPr>
                    <w:pStyle w:val="52"/>
                    <w:rPr>
                      <w:color w:val="auto"/>
                    </w:rPr>
                  </w:pPr>
                  <w:r>
                    <w:rPr>
                      <w:rFonts w:hint="eastAsia"/>
                      <w:color w:val="auto"/>
                    </w:rPr>
                    <w:t>单位</w:t>
                  </w:r>
                </w:p>
              </w:tc>
              <w:tc>
                <w:tcPr>
                  <w:tcW w:w="3095" w:type="dxa"/>
                  <w:gridSpan w:val="3"/>
                  <w:tcBorders>
                    <w:tl2br w:val="nil"/>
                    <w:tr2bl w:val="nil"/>
                  </w:tcBorders>
                  <w:shd w:val="clear" w:color="auto" w:fill="auto"/>
                  <w:vAlign w:val="center"/>
                </w:tcPr>
                <w:p w14:paraId="717C68EC">
                  <w:pPr>
                    <w:pStyle w:val="52"/>
                    <w:rPr>
                      <w:color w:val="auto"/>
                    </w:rPr>
                  </w:pPr>
                  <w:r>
                    <w:rPr>
                      <w:rFonts w:hint="eastAsia"/>
                      <w:color w:val="auto"/>
                    </w:rPr>
                    <w:t>检测结果</w:t>
                  </w:r>
                </w:p>
              </w:tc>
              <w:tc>
                <w:tcPr>
                  <w:tcW w:w="723" w:type="dxa"/>
                  <w:vMerge w:val="restart"/>
                  <w:tcBorders>
                    <w:tl2br w:val="nil"/>
                    <w:tr2bl w:val="nil"/>
                  </w:tcBorders>
                  <w:shd w:val="clear" w:color="auto" w:fill="auto"/>
                  <w:noWrap/>
                  <w:vAlign w:val="center"/>
                </w:tcPr>
                <w:p w14:paraId="39AB947B">
                  <w:pPr>
                    <w:pStyle w:val="52"/>
                    <w:rPr>
                      <w:color w:val="auto"/>
                    </w:rPr>
                  </w:pPr>
                  <w:r>
                    <w:rPr>
                      <w:rFonts w:hint="eastAsia"/>
                      <w:color w:val="auto"/>
                    </w:rPr>
                    <w:t>排放限值</w:t>
                  </w:r>
                </w:p>
              </w:tc>
              <w:tc>
                <w:tcPr>
                  <w:tcW w:w="681" w:type="dxa"/>
                  <w:vMerge w:val="restart"/>
                  <w:tcBorders>
                    <w:tl2br w:val="nil"/>
                    <w:tr2bl w:val="nil"/>
                  </w:tcBorders>
                  <w:shd w:val="clear" w:color="auto" w:fill="auto"/>
                  <w:noWrap/>
                  <w:vAlign w:val="center"/>
                </w:tcPr>
                <w:p w14:paraId="295174A9">
                  <w:pPr>
                    <w:pStyle w:val="52"/>
                    <w:rPr>
                      <w:color w:val="auto"/>
                    </w:rPr>
                  </w:pPr>
                  <w:r>
                    <w:rPr>
                      <w:rFonts w:hint="eastAsia"/>
                      <w:color w:val="auto"/>
                    </w:rPr>
                    <w:t>达标情况</w:t>
                  </w:r>
                </w:p>
              </w:tc>
            </w:tr>
            <w:tr w14:paraId="23A5C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43" w:type="dxa"/>
                  <w:vMerge w:val="continue"/>
                  <w:tcBorders>
                    <w:tl2br w:val="nil"/>
                    <w:tr2bl w:val="nil"/>
                  </w:tcBorders>
                  <w:shd w:val="clear" w:color="auto" w:fill="auto"/>
                  <w:vAlign w:val="center"/>
                </w:tcPr>
                <w:p w14:paraId="4A54CCC1">
                  <w:pPr>
                    <w:pStyle w:val="52"/>
                    <w:rPr>
                      <w:color w:val="auto"/>
                    </w:rPr>
                  </w:pPr>
                </w:p>
              </w:tc>
              <w:tc>
                <w:tcPr>
                  <w:tcW w:w="2266" w:type="dxa"/>
                  <w:gridSpan w:val="2"/>
                  <w:vMerge w:val="continue"/>
                  <w:tcBorders>
                    <w:tl2br w:val="nil"/>
                    <w:tr2bl w:val="nil"/>
                  </w:tcBorders>
                  <w:shd w:val="clear" w:color="auto" w:fill="auto"/>
                  <w:vAlign w:val="center"/>
                </w:tcPr>
                <w:p w14:paraId="632A6F44">
                  <w:pPr>
                    <w:pStyle w:val="52"/>
                    <w:rPr>
                      <w:color w:val="auto"/>
                    </w:rPr>
                  </w:pPr>
                </w:p>
              </w:tc>
              <w:tc>
                <w:tcPr>
                  <w:tcW w:w="925" w:type="dxa"/>
                  <w:vMerge w:val="continue"/>
                  <w:tcBorders>
                    <w:tl2br w:val="nil"/>
                    <w:tr2bl w:val="nil"/>
                  </w:tcBorders>
                  <w:shd w:val="clear" w:color="auto" w:fill="auto"/>
                  <w:vAlign w:val="center"/>
                </w:tcPr>
                <w:p w14:paraId="57137A08">
                  <w:pPr>
                    <w:pStyle w:val="52"/>
                    <w:rPr>
                      <w:color w:val="auto"/>
                    </w:rPr>
                  </w:pPr>
                </w:p>
              </w:tc>
              <w:tc>
                <w:tcPr>
                  <w:tcW w:w="1031" w:type="dxa"/>
                  <w:tcBorders>
                    <w:tl2br w:val="nil"/>
                    <w:tr2bl w:val="nil"/>
                  </w:tcBorders>
                  <w:shd w:val="clear" w:color="auto" w:fill="auto"/>
                  <w:vAlign w:val="center"/>
                </w:tcPr>
                <w:p w14:paraId="1305A1B2">
                  <w:pPr>
                    <w:pStyle w:val="52"/>
                    <w:rPr>
                      <w:color w:val="auto"/>
                    </w:rPr>
                  </w:pPr>
                  <w:r>
                    <w:rPr>
                      <w:color w:val="auto"/>
                    </w:rPr>
                    <w:t>第一次</w:t>
                  </w:r>
                </w:p>
              </w:tc>
              <w:tc>
                <w:tcPr>
                  <w:tcW w:w="1031" w:type="dxa"/>
                  <w:tcBorders>
                    <w:tl2br w:val="nil"/>
                    <w:tr2bl w:val="nil"/>
                  </w:tcBorders>
                  <w:shd w:val="clear" w:color="auto" w:fill="auto"/>
                  <w:vAlign w:val="center"/>
                </w:tcPr>
                <w:p w14:paraId="24C33B6A">
                  <w:pPr>
                    <w:pStyle w:val="52"/>
                    <w:rPr>
                      <w:color w:val="auto"/>
                    </w:rPr>
                  </w:pPr>
                  <w:r>
                    <w:rPr>
                      <w:color w:val="auto"/>
                    </w:rPr>
                    <w:t>第二次</w:t>
                  </w:r>
                </w:p>
              </w:tc>
              <w:tc>
                <w:tcPr>
                  <w:tcW w:w="1033" w:type="dxa"/>
                  <w:tcBorders>
                    <w:tl2br w:val="nil"/>
                    <w:tr2bl w:val="nil"/>
                  </w:tcBorders>
                  <w:shd w:val="clear" w:color="auto" w:fill="auto"/>
                  <w:vAlign w:val="center"/>
                </w:tcPr>
                <w:p w14:paraId="28F4971A">
                  <w:pPr>
                    <w:pStyle w:val="52"/>
                    <w:rPr>
                      <w:color w:val="auto"/>
                    </w:rPr>
                  </w:pPr>
                  <w:r>
                    <w:rPr>
                      <w:color w:val="auto"/>
                    </w:rPr>
                    <w:t>第三次</w:t>
                  </w:r>
                </w:p>
              </w:tc>
              <w:tc>
                <w:tcPr>
                  <w:tcW w:w="723" w:type="dxa"/>
                  <w:vMerge w:val="continue"/>
                  <w:tcBorders>
                    <w:tl2br w:val="nil"/>
                    <w:tr2bl w:val="nil"/>
                  </w:tcBorders>
                  <w:shd w:val="clear" w:color="auto" w:fill="auto"/>
                  <w:noWrap/>
                  <w:vAlign w:val="center"/>
                </w:tcPr>
                <w:p w14:paraId="7DB9264A">
                  <w:pPr>
                    <w:rPr>
                      <w:color w:val="auto"/>
                    </w:rPr>
                  </w:pPr>
                </w:p>
              </w:tc>
              <w:tc>
                <w:tcPr>
                  <w:tcW w:w="681" w:type="dxa"/>
                  <w:vMerge w:val="continue"/>
                  <w:tcBorders>
                    <w:tl2br w:val="nil"/>
                    <w:tr2bl w:val="nil"/>
                  </w:tcBorders>
                  <w:shd w:val="clear" w:color="auto" w:fill="auto"/>
                  <w:noWrap/>
                  <w:vAlign w:val="center"/>
                </w:tcPr>
                <w:p w14:paraId="082195FE">
                  <w:pPr>
                    <w:rPr>
                      <w:color w:val="auto"/>
                    </w:rPr>
                  </w:pPr>
                </w:p>
              </w:tc>
            </w:tr>
            <w:tr w14:paraId="211C9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43" w:type="dxa"/>
                  <w:vMerge w:val="restart"/>
                  <w:tcBorders>
                    <w:tl2br w:val="nil"/>
                    <w:tr2bl w:val="nil"/>
                  </w:tcBorders>
                  <w:shd w:val="clear" w:color="auto" w:fill="auto"/>
                  <w:vAlign w:val="center"/>
                </w:tcPr>
                <w:p w14:paraId="5CF2BB9B">
                  <w:pPr>
                    <w:pStyle w:val="54"/>
                    <w:rPr>
                      <w:color w:val="auto"/>
                    </w:rPr>
                  </w:pPr>
                  <w:r>
                    <w:rPr>
                      <w:rFonts w:hint="eastAsia"/>
                      <w:color w:val="auto"/>
                    </w:rPr>
                    <w:t>2025.04.19</w:t>
                  </w:r>
                </w:p>
              </w:tc>
              <w:tc>
                <w:tcPr>
                  <w:tcW w:w="1066" w:type="dxa"/>
                  <w:vMerge w:val="restart"/>
                  <w:tcBorders>
                    <w:tl2br w:val="nil"/>
                    <w:tr2bl w:val="nil"/>
                  </w:tcBorders>
                  <w:shd w:val="clear" w:color="auto" w:fill="auto"/>
                  <w:vAlign w:val="center"/>
                </w:tcPr>
                <w:p w14:paraId="4EB5118D">
                  <w:pPr>
                    <w:pStyle w:val="54"/>
                    <w:rPr>
                      <w:color w:val="auto"/>
                    </w:rPr>
                  </w:pPr>
                  <w:r>
                    <w:rPr>
                      <w:color w:val="auto"/>
                    </w:rPr>
                    <w:t>总悬浮颗粒物</w:t>
                  </w:r>
                </w:p>
              </w:tc>
              <w:tc>
                <w:tcPr>
                  <w:tcW w:w="1200" w:type="dxa"/>
                  <w:tcBorders>
                    <w:tl2br w:val="nil"/>
                    <w:tr2bl w:val="nil"/>
                  </w:tcBorders>
                  <w:shd w:val="clear" w:color="auto" w:fill="auto"/>
                  <w:vAlign w:val="center"/>
                </w:tcPr>
                <w:p w14:paraId="459A240F">
                  <w:pPr>
                    <w:pStyle w:val="54"/>
                    <w:rPr>
                      <w:color w:val="auto"/>
                    </w:rPr>
                  </w:pPr>
                  <w:r>
                    <w:rPr>
                      <w:color w:val="auto"/>
                    </w:rPr>
                    <w:t>上风向</w:t>
                  </w:r>
                  <w:r>
                    <w:rPr>
                      <w:rFonts w:hint="eastAsia"/>
                      <w:color w:val="auto"/>
                    </w:rPr>
                    <w:t>O</w:t>
                  </w:r>
                  <w:r>
                    <w:rPr>
                      <w:color w:val="auto"/>
                    </w:rPr>
                    <w:t>1</w:t>
                  </w:r>
                </w:p>
              </w:tc>
              <w:tc>
                <w:tcPr>
                  <w:tcW w:w="925" w:type="dxa"/>
                  <w:tcBorders>
                    <w:tl2br w:val="nil"/>
                    <w:tr2bl w:val="nil"/>
                  </w:tcBorders>
                  <w:shd w:val="clear" w:color="auto" w:fill="auto"/>
                  <w:vAlign w:val="center"/>
                </w:tcPr>
                <w:p w14:paraId="0B90DB01">
                  <w:pPr>
                    <w:pStyle w:val="54"/>
                    <w:rPr>
                      <w:color w:val="auto"/>
                    </w:rPr>
                  </w:pPr>
                  <w:r>
                    <w:rPr>
                      <w:color w:val="auto"/>
                    </w:rPr>
                    <w:t>mg/m</w:t>
                  </w:r>
                  <w:r>
                    <w:rPr>
                      <w:color w:val="auto"/>
                      <w:vertAlign w:val="superscript"/>
                    </w:rPr>
                    <w:t>3</w:t>
                  </w:r>
                </w:p>
              </w:tc>
              <w:tc>
                <w:tcPr>
                  <w:tcW w:w="1031" w:type="dxa"/>
                  <w:tcBorders>
                    <w:tl2br w:val="nil"/>
                    <w:tr2bl w:val="nil"/>
                  </w:tcBorders>
                  <w:shd w:val="clear" w:color="auto" w:fill="auto"/>
                  <w:noWrap/>
                  <w:vAlign w:val="center"/>
                </w:tcPr>
                <w:p w14:paraId="1BE80FDC">
                  <w:pPr>
                    <w:pStyle w:val="54"/>
                    <w:rPr>
                      <w:color w:val="auto"/>
                    </w:rPr>
                  </w:pPr>
                  <w:r>
                    <w:rPr>
                      <w:rFonts w:hint="eastAsia"/>
                      <w:color w:val="auto"/>
                    </w:rPr>
                    <w:t>0.272</w:t>
                  </w:r>
                </w:p>
              </w:tc>
              <w:tc>
                <w:tcPr>
                  <w:tcW w:w="1031" w:type="dxa"/>
                  <w:tcBorders>
                    <w:tl2br w:val="nil"/>
                    <w:tr2bl w:val="nil"/>
                  </w:tcBorders>
                  <w:shd w:val="clear" w:color="auto" w:fill="auto"/>
                  <w:noWrap/>
                  <w:vAlign w:val="center"/>
                </w:tcPr>
                <w:p w14:paraId="19B61455">
                  <w:pPr>
                    <w:pStyle w:val="54"/>
                    <w:rPr>
                      <w:color w:val="auto"/>
                    </w:rPr>
                  </w:pPr>
                  <w:r>
                    <w:rPr>
                      <w:rFonts w:hint="eastAsia"/>
                      <w:color w:val="auto"/>
                    </w:rPr>
                    <w:t>0.732</w:t>
                  </w:r>
                </w:p>
              </w:tc>
              <w:tc>
                <w:tcPr>
                  <w:tcW w:w="1033" w:type="dxa"/>
                  <w:tcBorders>
                    <w:tl2br w:val="nil"/>
                    <w:tr2bl w:val="nil"/>
                  </w:tcBorders>
                  <w:shd w:val="clear" w:color="auto" w:fill="auto"/>
                  <w:noWrap/>
                  <w:vAlign w:val="center"/>
                </w:tcPr>
                <w:p w14:paraId="78AB8A3E">
                  <w:pPr>
                    <w:pStyle w:val="54"/>
                    <w:rPr>
                      <w:color w:val="auto"/>
                    </w:rPr>
                  </w:pPr>
                  <w:r>
                    <w:rPr>
                      <w:rFonts w:hint="eastAsia"/>
                      <w:color w:val="auto"/>
                    </w:rPr>
                    <w:t>0.216</w:t>
                  </w:r>
                </w:p>
              </w:tc>
              <w:tc>
                <w:tcPr>
                  <w:tcW w:w="723" w:type="dxa"/>
                  <w:tcBorders>
                    <w:tl2br w:val="nil"/>
                    <w:tr2bl w:val="nil"/>
                  </w:tcBorders>
                  <w:shd w:val="clear" w:color="auto" w:fill="auto"/>
                  <w:vAlign w:val="center"/>
                </w:tcPr>
                <w:p w14:paraId="48E3CA23">
                  <w:pPr>
                    <w:pStyle w:val="54"/>
                    <w:rPr>
                      <w:color w:val="auto"/>
                    </w:rPr>
                  </w:pPr>
                  <w:r>
                    <w:rPr>
                      <w:color w:val="auto"/>
                    </w:rPr>
                    <w:t>&lt;0.5</w:t>
                  </w:r>
                </w:p>
              </w:tc>
              <w:tc>
                <w:tcPr>
                  <w:tcW w:w="681" w:type="dxa"/>
                  <w:tcBorders>
                    <w:tl2br w:val="nil"/>
                    <w:tr2bl w:val="nil"/>
                  </w:tcBorders>
                  <w:shd w:val="clear" w:color="auto" w:fill="auto"/>
                  <w:vAlign w:val="center"/>
                </w:tcPr>
                <w:p w14:paraId="752D1002">
                  <w:pPr>
                    <w:pStyle w:val="54"/>
                    <w:rPr>
                      <w:color w:val="auto"/>
                    </w:rPr>
                  </w:pPr>
                  <w:r>
                    <w:rPr>
                      <w:rFonts w:hint="eastAsia"/>
                      <w:color w:val="auto"/>
                    </w:rPr>
                    <w:t>达标</w:t>
                  </w:r>
                </w:p>
              </w:tc>
            </w:tr>
            <w:tr w14:paraId="3C1BE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43" w:type="dxa"/>
                  <w:vMerge w:val="continue"/>
                  <w:tcBorders>
                    <w:tl2br w:val="nil"/>
                    <w:tr2bl w:val="nil"/>
                  </w:tcBorders>
                  <w:shd w:val="clear" w:color="auto" w:fill="auto"/>
                  <w:vAlign w:val="center"/>
                </w:tcPr>
                <w:p w14:paraId="6DE05062">
                  <w:pPr>
                    <w:pStyle w:val="54"/>
                    <w:rPr>
                      <w:color w:val="auto"/>
                    </w:rPr>
                  </w:pPr>
                </w:p>
              </w:tc>
              <w:tc>
                <w:tcPr>
                  <w:tcW w:w="1066" w:type="dxa"/>
                  <w:vMerge w:val="continue"/>
                  <w:tcBorders>
                    <w:tl2br w:val="nil"/>
                    <w:tr2bl w:val="nil"/>
                  </w:tcBorders>
                  <w:shd w:val="clear" w:color="auto" w:fill="auto"/>
                  <w:vAlign w:val="center"/>
                </w:tcPr>
                <w:p w14:paraId="681C9609">
                  <w:pPr>
                    <w:pStyle w:val="54"/>
                    <w:rPr>
                      <w:color w:val="auto"/>
                    </w:rPr>
                  </w:pPr>
                </w:p>
              </w:tc>
              <w:tc>
                <w:tcPr>
                  <w:tcW w:w="1200" w:type="dxa"/>
                  <w:tcBorders>
                    <w:tl2br w:val="nil"/>
                    <w:tr2bl w:val="nil"/>
                  </w:tcBorders>
                  <w:shd w:val="clear" w:color="auto" w:fill="auto"/>
                  <w:vAlign w:val="center"/>
                </w:tcPr>
                <w:p w14:paraId="052024BE">
                  <w:pPr>
                    <w:pStyle w:val="54"/>
                    <w:rPr>
                      <w:color w:val="auto"/>
                    </w:rPr>
                  </w:pPr>
                  <w:r>
                    <w:rPr>
                      <w:color w:val="auto"/>
                    </w:rPr>
                    <w:t>下风向</w:t>
                  </w:r>
                  <w:r>
                    <w:rPr>
                      <w:rFonts w:hint="eastAsia"/>
                      <w:color w:val="auto"/>
                    </w:rPr>
                    <w:t>O</w:t>
                  </w:r>
                  <w:r>
                    <w:rPr>
                      <w:color w:val="auto"/>
                    </w:rPr>
                    <w:t>2</w:t>
                  </w:r>
                </w:p>
              </w:tc>
              <w:tc>
                <w:tcPr>
                  <w:tcW w:w="925" w:type="dxa"/>
                  <w:tcBorders>
                    <w:tl2br w:val="nil"/>
                    <w:tr2bl w:val="nil"/>
                  </w:tcBorders>
                  <w:shd w:val="clear" w:color="auto" w:fill="auto"/>
                  <w:vAlign w:val="center"/>
                </w:tcPr>
                <w:p w14:paraId="1F49C843">
                  <w:pPr>
                    <w:pStyle w:val="54"/>
                    <w:rPr>
                      <w:color w:val="auto"/>
                    </w:rPr>
                  </w:pPr>
                  <w:r>
                    <w:rPr>
                      <w:color w:val="auto"/>
                    </w:rPr>
                    <w:t>mg/m</w:t>
                  </w:r>
                  <w:r>
                    <w:rPr>
                      <w:color w:val="auto"/>
                      <w:vertAlign w:val="superscript"/>
                    </w:rPr>
                    <w:t>3</w:t>
                  </w:r>
                </w:p>
              </w:tc>
              <w:tc>
                <w:tcPr>
                  <w:tcW w:w="1031" w:type="dxa"/>
                  <w:tcBorders>
                    <w:tl2br w:val="nil"/>
                    <w:tr2bl w:val="nil"/>
                  </w:tcBorders>
                  <w:shd w:val="clear" w:color="auto" w:fill="auto"/>
                  <w:noWrap/>
                  <w:vAlign w:val="center"/>
                </w:tcPr>
                <w:p w14:paraId="674D82B5">
                  <w:pPr>
                    <w:pStyle w:val="54"/>
                    <w:rPr>
                      <w:color w:val="auto"/>
                    </w:rPr>
                  </w:pPr>
                  <w:r>
                    <w:rPr>
                      <w:rFonts w:hint="eastAsia"/>
                      <w:color w:val="auto"/>
                    </w:rPr>
                    <w:t>0.252</w:t>
                  </w:r>
                </w:p>
              </w:tc>
              <w:tc>
                <w:tcPr>
                  <w:tcW w:w="1031" w:type="dxa"/>
                  <w:tcBorders>
                    <w:tl2br w:val="nil"/>
                    <w:tr2bl w:val="nil"/>
                  </w:tcBorders>
                  <w:shd w:val="clear" w:color="auto" w:fill="auto"/>
                  <w:noWrap/>
                  <w:vAlign w:val="center"/>
                </w:tcPr>
                <w:p w14:paraId="0ECAE48E">
                  <w:pPr>
                    <w:pStyle w:val="54"/>
                    <w:rPr>
                      <w:color w:val="auto"/>
                    </w:rPr>
                  </w:pPr>
                  <w:r>
                    <w:rPr>
                      <w:rFonts w:hint="eastAsia"/>
                      <w:color w:val="auto"/>
                    </w:rPr>
                    <w:t>0.208</w:t>
                  </w:r>
                </w:p>
              </w:tc>
              <w:tc>
                <w:tcPr>
                  <w:tcW w:w="1033" w:type="dxa"/>
                  <w:tcBorders>
                    <w:tl2br w:val="nil"/>
                    <w:tr2bl w:val="nil"/>
                  </w:tcBorders>
                  <w:shd w:val="clear" w:color="auto" w:fill="auto"/>
                  <w:noWrap/>
                  <w:vAlign w:val="center"/>
                </w:tcPr>
                <w:p w14:paraId="07FD785A">
                  <w:pPr>
                    <w:pStyle w:val="54"/>
                    <w:rPr>
                      <w:color w:val="auto"/>
                    </w:rPr>
                  </w:pPr>
                  <w:r>
                    <w:rPr>
                      <w:rFonts w:hint="eastAsia"/>
                      <w:color w:val="auto"/>
                    </w:rPr>
                    <w:t>0.272</w:t>
                  </w:r>
                </w:p>
              </w:tc>
              <w:tc>
                <w:tcPr>
                  <w:tcW w:w="723" w:type="dxa"/>
                  <w:tcBorders>
                    <w:tl2br w:val="nil"/>
                    <w:tr2bl w:val="nil"/>
                  </w:tcBorders>
                  <w:shd w:val="clear" w:color="auto" w:fill="auto"/>
                  <w:vAlign w:val="center"/>
                </w:tcPr>
                <w:p w14:paraId="41DD4F87">
                  <w:pPr>
                    <w:pStyle w:val="54"/>
                    <w:rPr>
                      <w:color w:val="auto"/>
                    </w:rPr>
                  </w:pPr>
                  <w:r>
                    <w:rPr>
                      <w:color w:val="auto"/>
                    </w:rPr>
                    <w:t>&lt;0.5</w:t>
                  </w:r>
                </w:p>
              </w:tc>
              <w:tc>
                <w:tcPr>
                  <w:tcW w:w="681" w:type="dxa"/>
                  <w:tcBorders>
                    <w:tl2br w:val="nil"/>
                    <w:tr2bl w:val="nil"/>
                  </w:tcBorders>
                  <w:shd w:val="clear" w:color="auto" w:fill="auto"/>
                  <w:vAlign w:val="center"/>
                </w:tcPr>
                <w:p w14:paraId="38BA6FCD">
                  <w:pPr>
                    <w:pStyle w:val="54"/>
                    <w:rPr>
                      <w:color w:val="auto"/>
                    </w:rPr>
                  </w:pPr>
                  <w:r>
                    <w:rPr>
                      <w:rFonts w:hint="eastAsia"/>
                      <w:color w:val="auto"/>
                    </w:rPr>
                    <w:t>达标</w:t>
                  </w:r>
                </w:p>
              </w:tc>
            </w:tr>
            <w:tr w14:paraId="6BE86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43" w:type="dxa"/>
                  <w:vMerge w:val="continue"/>
                  <w:tcBorders>
                    <w:tl2br w:val="nil"/>
                    <w:tr2bl w:val="nil"/>
                  </w:tcBorders>
                  <w:shd w:val="clear" w:color="auto" w:fill="auto"/>
                  <w:vAlign w:val="center"/>
                </w:tcPr>
                <w:p w14:paraId="04C492C5">
                  <w:pPr>
                    <w:pStyle w:val="54"/>
                    <w:rPr>
                      <w:color w:val="auto"/>
                    </w:rPr>
                  </w:pPr>
                </w:p>
              </w:tc>
              <w:tc>
                <w:tcPr>
                  <w:tcW w:w="1066" w:type="dxa"/>
                  <w:vMerge w:val="continue"/>
                  <w:tcBorders>
                    <w:tl2br w:val="nil"/>
                    <w:tr2bl w:val="nil"/>
                  </w:tcBorders>
                  <w:shd w:val="clear" w:color="auto" w:fill="auto"/>
                  <w:vAlign w:val="center"/>
                </w:tcPr>
                <w:p w14:paraId="045C232B">
                  <w:pPr>
                    <w:pStyle w:val="54"/>
                    <w:rPr>
                      <w:color w:val="auto"/>
                    </w:rPr>
                  </w:pPr>
                </w:p>
              </w:tc>
              <w:tc>
                <w:tcPr>
                  <w:tcW w:w="1200" w:type="dxa"/>
                  <w:tcBorders>
                    <w:tl2br w:val="nil"/>
                    <w:tr2bl w:val="nil"/>
                  </w:tcBorders>
                  <w:shd w:val="clear" w:color="auto" w:fill="auto"/>
                  <w:vAlign w:val="center"/>
                </w:tcPr>
                <w:p w14:paraId="63566CEE">
                  <w:pPr>
                    <w:pStyle w:val="54"/>
                    <w:rPr>
                      <w:color w:val="auto"/>
                    </w:rPr>
                  </w:pPr>
                  <w:r>
                    <w:rPr>
                      <w:color w:val="auto"/>
                    </w:rPr>
                    <w:t>下风向</w:t>
                  </w:r>
                  <w:r>
                    <w:rPr>
                      <w:rFonts w:hint="eastAsia"/>
                      <w:color w:val="auto"/>
                    </w:rPr>
                    <w:t>O</w:t>
                  </w:r>
                  <w:r>
                    <w:rPr>
                      <w:color w:val="auto"/>
                    </w:rPr>
                    <w:t>3</w:t>
                  </w:r>
                </w:p>
              </w:tc>
              <w:tc>
                <w:tcPr>
                  <w:tcW w:w="925" w:type="dxa"/>
                  <w:tcBorders>
                    <w:tl2br w:val="nil"/>
                    <w:tr2bl w:val="nil"/>
                  </w:tcBorders>
                  <w:shd w:val="clear" w:color="auto" w:fill="auto"/>
                  <w:vAlign w:val="center"/>
                </w:tcPr>
                <w:p w14:paraId="0B3C140E">
                  <w:pPr>
                    <w:pStyle w:val="54"/>
                    <w:rPr>
                      <w:color w:val="auto"/>
                    </w:rPr>
                  </w:pPr>
                  <w:r>
                    <w:rPr>
                      <w:color w:val="auto"/>
                    </w:rPr>
                    <w:t>mg/m</w:t>
                  </w:r>
                  <w:r>
                    <w:rPr>
                      <w:color w:val="auto"/>
                      <w:vertAlign w:val="superscript"/>
                    </w:rPr>
                    <w:t>3</w:t>
                  </w:r>
                </w:p>
              </w:tc>
              <w:tc>
                <w:tcPr>
                  <w:tcW w:w="1031" w:type="dxa"/>
                  <w:tcBorders>
                    <w:tl2br w:val="nil"/>
                    <w:tr2bl w:val="nil"/>
                  </w:tcBorders>
                  <w:shd w:val="clear" w:color="auto" w:fill="auto"/>
                  <w:noWrap/>
                  <w:vAlign w:val="center"/>
                </w:tcPr>
                <w:p w14:paraId="1D29A0CD">
                  <w:pPr>
                    <w:pStyle w:val="54"/>
                    <w:rPr>
                      <w:color w:val="auto"/>
                    </w:rPr>
                  </w:pPr>
                  <w:r>
                    <w:rPr>
                      <w:rFonts w:hint="eastAsia"/>
                      <w:color w:val="auto"/>
                    </w:rPr>
                    <w:t>0.245</w:t>
                  </w:r>
                </w:p>
              </w:tc>
              <w:tc>
                <w:tcPr>
                  <w:tcW w:w="1031" w:type="dxa"/>
                  <w:tcBorders>
                    <w:tl2br w:val="nil"/>
                    <w:tr2bl w:val="nil"/>
                  </w:tcBorders>
                  <w:shd w:val="clear" w:color="auto" w:fill="auto"/>
                  <w:noWrap/>
                  <w:vAlign w:val="center"/>
                </w:tcPr>
                <w:p w14:paraId="48611DDD">
                  <w:pPr>
                    <w:pStyle w:val="54"/>
                    <w:rPr>
                      <w:color w:val="auto"/>
                    </w:rPr>
                  </w:pPr>
                  <w:r>
                    <w:rPr>
                      <w:rFonts w:hint="eastAsia"/>
                      <w:color w:val="auto"/>
                    </w:rPr>
                    <w:t>0.263</w:t>
                  </w:r>
                </w:p>
              </w:tc>
              <w:tc>
                <w:tcPr>
                  <w:tcW w:w="1033" w:type="dxa"/>
                  <w:tcBorders>
                    <w:tl2br w:val="nil"/>
                    <w:tr2bl w:val="nil"/>
                  </w:tcBorders>
                  <w:shd w:val="clear" w:color="auto" w:fill="auto"/>
                  <w:noWrap/>
                  <w:vAlign w:val="center"/>
                </w:tcPr>
                <w:p w14:paraId="5EE0A55D">
                  <w:pPr>
                    <w:pStyle w:val="54"/>
                    <w:rPr>
                      <w:color w:val="auto"/>
                    </w:rPr>
                  </w:pPr>
                  <w:r>
                    <w:rPr>
                      <w:rFonts w:hint="eastAsia"/>
                      <w:color w:val="auto"/>
                    </w:rPr>
                    <w:t>0.272</w:t>
                  </w:r>
                </w:p>
              </w:tc>
              <w:tc>
                <w:tcPr>
                  <w:tcW w:w="723" w:type="dxa"/>
                  <w:tcBorders>
                    <w:tl2br w:val="nil"/>
                    <w:tr2bl w:val="nil"/>
                  </w:tcBorders>
                  <w:shd w:val="clear" w:color="auto" w:fill="auto"/>
                  <w:vAlign w:val="center"/>
                </w:tcPr>
                <w:p w14:paraId="4F37DDB6">
                  <w:pPr>
                    <w:pStyle w:val="54"/>
                    <w:rPr>
                      <w:color w:val="auto"/>
                    </w:rPr>
                  </w:pPr>
                  <w:r>
                    <w:rPr>
                      <w:color w:val="auto"/>
                    </w:rPr>
                    <w:t>&lt;0.5</w:t>
                  </w:r>
                </w:p>
              </w:tc>
              <w:tc>
                <w:tcPr>
                  <w:tcW w:w="681" w:type="dxa"/>
                  <w:tcBorders>
                    <w:tl2br w:val="nil"/>
                    <w:tr2bl w:val="nil"/>
                  </w:tcBorders>
                  <w:shd w:val="clear" w:color="auto" w:fill="auto"/>
                  <w:vAlign w:val="center"/>
                </w:tcPr>
                <w:p w14:paraId="4C0AEF24">
                  <w:pPr>
                    <w:pStyle w:val="54"/>
                    <w:rPr>
                      <w:color w:val="auto"/>
                    </w:rPr>
                  </w:pPr>
                  <w:r>
                    <w:rPr>
                      <w:rFonts w:hint="eastAsia"/>
                      <w:color w:val="auto"/>
                    </w:rPr>
                    <w:t>达标</w:t>
                  </w:r>
                </w:p>
              </w:tc>
            </w:tr>
            <w:tr w14:paraId="4413F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43" w:type="dxa"/>
                  <w:vMerge w:val="continue"/>
                  <w:tcBorders>
                    <w:tl2br w:val="nil"/>
                    <w:tr2bl w:val="nil"/>
                  </w:tcBorders>
                  <w:shd w:val="clear" w:color="auto" w:fill="auto"/>
                  <w:vAlign w:val="center"/>
                </w:tcPr>
                <w:p w14:paraId="3C4670D8">
                  <w:pPr>
                    <w:pStyle w:val="54"/>
                    <w:rPr>
                      <w:color w:val="auto"/>
                    </w:rPr>
                  </w:pPr>
                </w:p>
              </w:tc>
              <w:tc>
                <w:tcPr>
                  <w:tcW w:w="1066" w:type="dxa"/>
                  <w:vMerge w:val="continue"/>
                  <w:tcBorders>
                    <w:tl2br w:val="nil"/>
                    <w:tr2bl w:val="nil"/>
                  </w:tcBorders>
                  <w:shd w:val="clear" w:color="auto" w:fill="auto"/>
                  <w:vAlign w:val="center"/>
                </w:tcPr>
                <w:p w14:paraId="322D8DD3">
                  <w:pPr>
                    <w:pStyle w:val="54"/>
                    <w:rPr>
                      <w:color w:val="auto"/>
                    </w:rPr>
                  </w:pPr>
                </w:p>
              </w:tc>
              <w:tc>
                <w:tcPr>
                  <w:tcW w:w="1200" w:type="dxa"/>
                  <w:tcBorders>
                    <w:tl2br w:val="nil"/>
                    <w:tr2bl w:val="nil"/>
                  </w:tcBorders>
                  <w:shd w:val="clear" w:color="auto" w:fill="auto"/>
                  <w:vAlign w:val="center"/>
                </w:tcPr>
                <w:p w14:paraId="569683DA">
                  <w:pPr>
                    <w:pStyle w:val="54"/>
                    <w:rPr>
                      <w:color w:val="auto"/>
                    </w:rPr>
                  </w:pPr>
                  <w:r>
                    <w:rPr>
                      <w:color w:val="auto"/>
                    </w:rPr>
                    <w:t>下风向</w:t>
                  </w:r>
                  <w:r>
                    <w:rPr>
                      <w:rFonts w:hint="eastAsia"/>
                      <w:color w:val="auto"/>
                    </w:rPr>
                    <w:t>O</w:t>
                  </w:r>
                  <w:r>
                    <w:rPr>
                      <w:color w:val="auto"/>
                    </w:rPr>
                    <w:t>4</w:t>
                  </w:r>
                </w:p>
              </w:tc>
              <w:tc>
                <w:tcPr>
                  <w:tcW w:w="925" w:type="dxa"/>
                  <w:tcBorders>
                    <w:tl2br w:val="nil"/>
                    <w:tr2bl w:val="nil"/>
                  </w:tcBorders>
                  <w:shd w:val="clear" w:color="auto" w:fill="auto"/>
                  <w:vAlign w:val="center"/>
                </w:tcPr>
                <w:p w14:paraId="0035C3C1">
                  <w:pPr>
                    <w:pStyle w:val="54"/>
                    <w:rPr>
                      <w:color w:val="auto"/>
                    </w:rPr>
                  </w:pPr>
                  <w:r>
                    <w:rPr>
                      <w:color w:val="auto"/>
                    </w:rPr>
                    <w:t>mg/m</w:t>
                  </w:r>
                  <w:r>
                    <w:rPr>
                      <w:color w:val="auto"/>
                      <w:vertAlign w:val="superscript"/>
                    </w:rPr>
                    <w:t>3</w:t>
                  </w:r>
                </w:p>
              </w:tc>
              <w:tc>
                <w:tcPr>
                  <w:tcW w:w="1031" w:type="dxa"/>
                  <w:tcBorders>
                    <w:tl2br w:val="nil"/>
                    <w:tr2bl w:val="nil"/>
                  </w:tcBorders>
                  <w:shd w:val="clear" w:color="auto" w:fill="auto"/>
                  <w:noWrap/>
                  <w:vAlign w:val="center"/>
                </w:tcPr>
                <w:p w14:paraId="10E83DD4">
                  <w:pPr>
                    <w:pStyle w:val="54"/>
                    <w:rPr>
                      <w:color w:val="auto"/>
                    </w:rPr>
                  </w:pPr>
                  <w:r>
                    <w:rPr>
                      <w:rFonts w:hint="eastAsia"/>
                      <w:color w:val="auto"/>
                    </w:rPr>
                    <w:t>0.242</w:t>
                  </w:r>
                </w:p>
              </w:tc>
              <w:tc>
                <w:tcPr>
                  <w:tcW w:w="1031" w:type="dxa"/>
                  <w:tcBorders>
                    <w:tl2br w:val="nil"/>
                    <w:tr2bl w:val="nil"/>
                  </w:tcBorders>
                  <w:shd w:val="clear" w:color="auto" w:fill="auto"/>
                  <w:noWrap/>
                  <w:vAlign w:val="center"/>
                </w:tcPr>
                <w:p w14:paraId="74F9CE56">
                  <w:pPr>
                    <w:pStyle w:val="54"/>
                    <w:rPr>
                      <w:color w:val="auto"/>
                    </w:rPr>
                  </w:pPr>
                  <w:r>
                    <w:rPr>
                      <w:rFonts w:hint="eastAsia"/>
                      <w:color w:val="auto"/>
                    </w:rPr>
                    <w:t>0.271</w:t>
                  </w:r>
                </w:p>
              </w:tc>
              <w:tc>
                <w:tcPr>
                  <w:tcW w:w="1033" w:type="dxa"/>
                  <w:tcBorders>
                    <w:tl2br w:val="nil"/>
                    <w:tr2bl w:val="nil"/>
                  </w:tcBorders>
                  <w:shd w:val="clear" w:color="auto" w:fill="auto"/>
                  <w:noWrap/>
                  <w:vAlign w:val="center"/>
                </w:tcPr>
                <w:p w14:paraId="4CEE0B76">
                  <w:pPr>
                    <w:pStyle w:val="54"/>
                    <w:rPr>
                      <w:color w:val="auto"/>
                    </w:rPr>
                  </w:pPr>
                  <w:r>
                    <w:rPr>
                      <w:rFonts w:hint="eastAsia"/>
                      <w:color w:val="auto"/>
                    </w:rPr>
                    <w:t>0.226</w:t>
                  </w:r>
                </w:p>
              </w:tc>
              <w:tc>
                <w:tcPr>
                  <w:tcW w:w="723" w:type="dxa"/>
                  <w:tcBorders>
                    <w:tl2br w:val="nil"/>
                    <w:tr2bl w:val="nil"/>
                  </w:tcBorders>
                  <w:shd w:val="clear" w:color="auto" w:fill="auto"/>
                  <w:vAlign w:val="center"/>
                </w:tcPr>
                <w:p w14:paraId="28233491">
                  <w:pPr>
                    <w:pStyle w:val="54"/>
                    <w:rPr>
                      <w:color w:val="auto"/>
                    </w:rPr>
                  </w:pPr>
                  <w:r>
                    <w:rPr>
                      <w:color w:val="auto"/>
                    </w:rPr>
                    <w:t>&lt;0.5</w:t>
                  </w:r>
                </w:p>
              </w:tc>
              <w:tc>
                <w:tcPr>
                  <w:tcW w:w="681" w:type="dxa"/>
                  <w:tcBorders>
                    <w:tl2br w:val="nil"/>
                    <w:tr2bl w:val="nil"/>
                  </w:tcBorders>
                  <w:shd w:val="clear" w:color="auto" w:fill="auto"/>
                  <w:vAlign w:val="center"/>
                </w:tcPr>
                <w:p w14:paraId="7B459AC6">
                  <w:pPr>
                    <w:pStyle w:val="54"/>
                    <w:rPr>
                      <w:color w:val="auto"/>
                    </w:rPr>
                  </w:pPr>
                  <w:r>
                    <w:rPr>
                      <w:rFonts w:hint="eastAsia"/>
                      <w:color w:val="auto"/>
                    </w:rPr>
                    <w:t>达标</w:t>
                  </w:r>
                </w:p>
              </w:tc>
            </w:tr>
            <w:tr w14:paraId="5AA05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43" w:type="dxa"/>
                  <w:vMerge w:val="continue"/>
                  <w:tcBorders>
                    <w:tl2br w:val="nil"/>
                    <w:tr2bl w:val="nil"/>
                  </w:tcBorders>
                  <w:shd w:val="clear" w:color="auto" w:fill="auto"/>
                  <w:vAlign w:val="center"/>
                </w:tcPr>
                <w:p w14:paraId="5435526F">
                  <w:pPr>
                    <w:pStyle w:val="54"/>
                    <w:rPr>
                      <w:color w:val="auto"/>
                    </w:rPr>
                  </w:pPr>
                </w:p>
              </w:tc>
              <w:tc>
                <w:tcPr>
                  <w:tcW w:w="1066" w:type="dxa"/>
                  <w:vMerge w:val="continue"/>
                  <w:tcBorders>
                    <w:tl2br w:val="nil"/>
                    <w:tr2bl w:val="nil"/>
                  </w:tcBorders>
                  <w:shd w:val="clear" w:color="auto" w:fill="auto"/>
                  <w:vAlign w:val="center"/>
                </w:tcPr>
                <w:p w14:paraId="7F0E47B4">
                  <w:pPr>
                    <w:pStyle w:val="54"/>
                    <w:rPr>
                      <w:color w:val="auto"/>
                    </w:rPr>
                  </w:pPr>
                </w:p>
              </w:tc>
              <w:tc>
                <w:tcPr>
                  <w:tcW w:w="1200" w:type="dxa"/>
                  <w:tcBorders>
                    <w:tl2br w:val="nil"/>
                    <w:tr2bl w:val="nil"/>
                  </w:tcBorders>
                  <w:shd w:val="clear" w:color="auto" w:fill="auto"/>
                  <w:vAlign w:val="center"/>
                </w:tcPr>
                <w:p w14:paraId="599CC6FC">
                  <w:pPr>
                    <w:pStyle w:val="54"/>
                    <w:rPr>
                      <w:color w:val="auto"/>
                    </w:rPr>
                  </w:pPr>
                  <w:r>
                    <w:rPr>
                      <w:rFonts w:hint="eastAsia"/>
                      <w:color w:val="auto"/>
                    </w:rPr>
                    <w:t>厂区内O5</w:t>
                  </w:r>
                </w:p>
              </w:tc>
              <w:tc>
                <w:tcPr>
                  <w:tcW w:w="925" w:type="dxa"/>
                  <w:tcBorders>
                    <w:tl2br w:val="nil"/>
                    <w:tr2bl w:val="nil"/>
                  </w:tcBorders>
                  <w:shd w:val="clear" w:color="auto" w:fill="auto"/>
                  <w:vAlign w:val="center"/>
                </w:tcPr>
                <w:p w14:paraId="6B45D861">
                  <w:pPr>
                    <w:pStyle w:val="54"/>
                    <w:rPr>
                      <w:color w:val="auto"/>
                    </w:rPr>
                  </w:pPr>
                  <w:r>
                    <w:rPr>
                      <w:color w:val="auto"/>
                    </w:rPr>
                    <w:t>mg/m</w:t>
                  </w:r>
                  <w:r>
                    <w:rPr>
                      <w:color w:val="auto"/>
                      <w:vertAlign w:val="superscript"/>
                    </w:rPr>
                    <w:t>3</w:t>
                  </w:r>
                </w:p>
              </w:tc>
              <w:tc>
                <w:tcPr>
                  <w:tcW w:w="1031" w:type="dxa"/>
                  <w:tcBorders>
                    <w:tl2br w:val="nil"/>
                    <w:tr2bl w:val="nil"/>
                  </w:tcBorders>
                  <w:shd w:val="clear" w:color="auto" w:fill="auto"/>
                  <w:noWrap/>
                  <w:vAlign w:val="center"/>
                </w:tcPr>
                <w:p w14:paraId="75CA10DF">
                  <w:pPr>
                    <w:pStyle w:val="54"/>
                    <w:rPr>
                      <w:color w:val="auto"/>
                    </w:rPr>
                  </w:pPr>
                  <w:r>
                    <w:rPr>
                      <w:rFonts w:hint="eastAsia"/>
                      <w:color w:val="auto"/>
                    </w:rPr>
                    <w:t>0.214</w:t>
                  </w:r>
                </w:p>
              </w:tc>
              <w:tc>
                <w:tcPr>
                  <w:tcW w:w="1031" w:type="dxa"/>
                  <w:tcBorders>
                    <w:tl2br w:val="nil"/>
                    <w:tr2bl w:val="nil"/>
                  </w:tcBorders>
                  <w:shd w:val="clear" w:color="auto" w:fill="auto"/>
                  <w:noWrap/>
                  <w:vAlign w:val="center"/>
                </w:tcPr>
                <w:p w14:paraId="79CFE281">
                  <w:pPr>
                    <w:pStyle w:val="54"/>
                    <w:rPr>
                      <w:color w:val="auto"/>
                    </w:rPr>
                  </w:pPr>
                  <w:r>
                    <w:rPr>
                      <w:rFonts w:hint="eastAsia"/>
                      <w:color w:val="auto"/>
                    </w:rPr>
                    <w:t>0.258</w:t>
                  </w:r>
                </w:p>
              </w:tc>
              <w:tc>
                <w:tcPr>
                  <w:tcW w:w="1033" w:type="dxa"/>
                  <w:tcBorders>
                    <w:tl2br w:val="nil"/>
                    <w:tr2bl w:val="nil"/>
                  </w:tcBorders>
                  <w:shd w:val="clear" w:color="auto" w:fill="auto"/>
                  <w:noWrap/>
                  <w:vAlign w:val="center"/>
                </w:tcPr>
                <w:p w14:paraId="55ED9BA7">
                  <w:pPr>
                    <w:pStyle w:val="54"/>
                    <w:rPr>
                      <w:color w:val="auto"/>
                    </w:rPr>
                  </w:pPr>
                  <w:r>
                    <w:rPr>
                      <w:rFonts w:hint="eastAsia"/>
                      <w:color w:val="auto"/>
                    </w:rPr>
                    <w:t>0.254</w:t>
                  </w:r>
                </w:p>
              </w:tc>
              <w:tc>
                <w:tcPr>
                  <w:tcW w:w="723" w:type="dxa"/>
                  <w:tcBorders>
                    <w:tl2br w:val="nil"/>
                    <w:tr2bl w:val="nil"/>
                  </w:tcBorders>
                  <w:shd w:val="clear" w:color="auto" w:fill="auto"/>
                  <w:vAlign w:val="center"/>
                </w:tcPr>
                <w:p w14:paraId="5282BCF1">
                  <w:pPr>
                    <w:pStyle w:val="54"/>
                    <w:rPr>
                      <w:color w:val="auto"/>
                    </w:rPr>
                  </w:pPr>
                  <w:r>
                    <w:rPr>
                      <w:color w:val="auto"/>
                    </w:rPr>
                    <w:t>&lt;</w:t>
                  </w:r>
                  <w:r>
                    <w:rPr>
                      <w:rFonts w:hint="eastAsia"/>
                      <w:color w:val="auto"/>
                    </w:rPr>
                    <w:t>5.0</w:t>
                  </w:r>
                </w:p>
              </w:tc>
              <w:tc>
                <w:tcPr>
                  <w:tcW w:w="681" w:type="dxa"/>
                  <w:tcBorders>
                    <w:tl2br w:val="nil"/>
                    <w:tr2bl w:val="nil"/>
                  </w:tcBorders>
                  <w:shd w:val="clear" w:color="auto" w:fill="auto"/>
                  <w:vAlign w:val="center"/>
                </w:tcPr>
                <w:p w14:paraId="6B2A6A9D">
                  <w:pPr>
                    <w:pStyle w:val="54"/>
                    <w:rPr>
                      <w:color w:val="auto"/>
                    </w:rPr>
                  </w:pPr>
                  <w:r>
                    <w:rPr>
                      <w:rFonts w:hint="eastAsia"/>
                      <w:color w:val="auto"/>
                    </w:rPr>
                    <w:t>达标</w:t>
                  </w:r>
                </w:p>
              </w:tc>
            </w:tr>
            <w:tr w14:paraId="1E2B2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43" w:type="dxa"/>
                  <w:vMerge w:val="restart"/>
                  <w:tcBorders>
                    <w:tl2br w:val="nil"/>
                    <w:tr2bl w:val="nil"/>
                  </w:tcBorders>
                  <w:shd w:val="clear" w:color="auto" w:fill="auto"/>
                  <w:vAlign w:val="center"/>
                </w:tcPr>
                <w:p w14:paraId="04A3099B">
                  <w:pPr>
                    <w:pStyle w:val="54"/>
                    <w:rPr>
                      <w:color w:val="auto"/>
                    </w:rPr>
                  </w:pPr>
                  <w:r>
                    <w:rPr>
                      <w:rFonts w:hint="eastAsia"/>
                      <w:color w:val="auto"/>
                    </w:rPr>
                    <w:t>2025.04.20</w:t>
                  </w:r>
                </w:p>
              </w:tc>
              <w:tc>
                <w:tcPr>
                  <w:tcW w:w="1066" w:type="dxa"/>
                  <w:vMerge w:val="restart"/>
                  <w:tcBorders>
                    <w:tl2br w:val="nil"/>
                    <w:tr2bl w:val="nil"/>
                  </w:tcBorders>
                  <w:shd w:val="clear" w:color="auto" w:fill="auto"/>
                  <w:vAlign w:val="center"/>
                </w:tcPr>
                <w:p w14:paraId="51A1F3BA">
                  <w:pPr>
                    <w:pStyle w:val="54"/>
                    <w:rPr>
                      <w:color w:val="auto"/>
                    </w:rPr>
                  </w:pPr>
                  <w:r>
                    <w:rPr>
                      <w:color w:val="auto"/>
                    </w:rPr>
                    <w:t>总悬浮颗粒物</w:t>
                  </w:r>
                </w:p>
              </w:tc>
              <w:tc>
                <w:tcPr>
                  <w:tcW w:w="1200" w:type="dxa"/>
                  <w:tcBorders>
                    <w:tl2br w:val="nil"/>
                    <w:tr2bl w:val="nil"/>
                  </w:tcBorders>
                  <w:shd w:val="clear" w:color="auto" w:fill="auto"/>
                  <w:vAlign w:val="center"/>
                </w:tcPr>
                <w:p w14:paraId="1E0382F8">
                  <w:pPr>
                    <w:pStyle w:val="54"/>
                    <w:rPr>
                      <w:color w:val="auto"/>
                    </w:rPr>
                  </w:pPr>
                  <w:r>
                    <w:rPr>
                      <w:color w:val="auto"/>
                    </w:rPr>
                    <w:t>上风向</w:t>
                  </w:r>
                  <w:r>
                    <w:rPr>
                      <w:rFonts w:hint="eastAsia"/>
                      <w:color w:val="auto"/>
                    </w:rPr>
                    <w:t>O</w:t>
                  </w:r>
                  <w:r>
                    <w:rPr>
                      <w:color w:val="auto"/>
                    </w:rPr>
                    <w:t>1</w:t>
                  </w:r>
                </w:p>
              </w:tc>
              <w:tc>
                <w:tcPr>
                  <w:tcW w:w="925" w:type="dxa"/>
                  <w:tcBorders>
                    <w:tl2br w:val="nil"/>
                    <w:tr2bl w:val="nil"/>
                  </w:tcBorders>
                  <w:shd w:val="clear" w:color="auto" w:fill="auto"/>
                  <w:vAlign w:val="center"/>
                </w:tcPr>
                <w:p w14:paraId="1513D7FA">
                  <w:pPr>
                    <w:pStyle w:val="54"/>
                    <w:rPr>
                      <w:color w:val="auto"/>
                    </w:rPr>
                  </w:pPr>
                  <w:r>
                    <w:rPr>
                      <w:color w:val="auto"/>
                    </w:rPr>
                    <w:t>mg/m</w:t>
                  </w:r>
                  <w:r>
                    <w:rPr>
                      <w:color w:val="auto"/>
                      <w:vertAlign w:val="superscript"/>
                    </w:rPr>
                    <w:t>3</w:t>
                  </w:r>
                </w:p>
              </w:tc>
              <w:tc>
                <w:tcPr>
                  <w:tcW w:w="1031" w:type="dxa"/>
                  <w:tcBorders>
                    <w:tl2br w:val="nil"/>
                    <w:tr2bl w:val="nil"/>
                  </w:tcBorders>
                  <w:shd w:val="clear" w:color="auto" w:fill="auto"/>
                  <w:noWrap/>
                  <w:vAlign w:val="center"/>
                </w:tcPr>
                <w:p w14:paraId="5D1E0D39">
                  <w:pPr>
                    <w:pStyle w:val="54"/>
                    <w:rPr>
                      <w:color w:val="auto"/>
                    </w:rPr>
                  </w:pPr>
                  <w:r>
                    <w:rPr>
                      <w:rFonts w:hint="eastAsia"/>
                      <w:color w:val="auto"/>
                    </w:rPr>
                    <w:t>0.258</w:t>
                  </w:r>
                </w:p>
              </w:tc>
              <w:tc>
                <w:tcPr>
                  <w:tcW w:w="1031" w:type="dxa"/>
                  <w:tcBorders>
                    <w:tl2br w:val="nil"/>
                    <w:tr2bl w:val="nil"/>
                  </w:tcBorders>
                  <w:shd w:val="clear" w:color="auto" w:fill="auto"/>
                  <w:noWrap/>
                  <w:vAlign w:val="center"/>
                </w:tcPr>
                <w:p w14:paraId="3BD688FD">
                  <w:pPr>
                    <w:pStyle w:val="54"/>
                    <w:rPr>
                      <w:color w:val="auto"/>
                    </w:rPr>
                  </w:pPr>
                  <w:r>
                    <w:rPr>
                      <w:rFonts w:hint="eastAsia"/>
                      <w:color w:val="auto"/>
                    </w:rPr>
                    <w:t>0.250</w:t>
                  </w:r>
                </w:p>
              </w:tc>
              <w:tc>
                <w:tcPr>
                  <w:tcW w:w="1033" w:type="dxa"/>
                  <w:tcBorders>
                    <w:tl2br w:val="nil"/>
                    <w:tr2bl w:val="nil"/>
                  </w:tcBorders>
                  <w:shd w:val="clear" w:color="auto" w:fill="auto"/>
                  <w:noWrap/>
                  <w:vAlign w:val="center"/>
                </w:tcPr>
                <w:p w14:paraId="0102BF11">
                  <w:pPr>
                    <w:pStyle w:val="54"/>
                    <w:rPr>
                      <w:color w:val="auto"/>
                    </w:rPr>
                  </w:pPr>
                  <w:r>
                    <w:rPr>
                      <w:rFonts w:hint="eastAsia"/>
                      <w:color w:val="auto"/>
                    </w:rPr>
                    <w:t>0.233</w:t>
                  </w:r>
                </w:p>
              </w:tc>
              <w:tc>
                <w:tcPr>
                  <w:tcW w:w="723" w:type="dxa"/>
                  <w:tcBorders>
                    <w:tl2br w:val="nil"/>
                    <w:tr2bl w:val="nil"/>
                  </w:tcBorders>
                  <w:shd w:val="clear" w:color="auto" w:fill="auto"/>
                  <w:vAlign w:val="center"/>
                </w:tcPr>
                <w:p w14:paraId="76F7D28B">
                  <w:pPr>
                    <w:pStyle w:val="54"/>
                    <w:rPr>
                      <w:color w:val="auto"/>
                    </w:rPr>
                  </w:pPr>
                  <w:r>
                    <w:rPr>
                      <w:color w:val="auto"/>
                    </w:rPr>
                    <w:t>&lt;0.5</w:t>
                  </w:r>
                </w:p>
              </w:tc>
              <w:tc>
                <w:tcPr>
                  <w:tcW w:w="681" w:type="dxa"/>
                  <w:tcBorders>
                    <w:tl2br w:val="nil"/>
                    <w:tr2bl w:val="nil"/>
                  </w:tcBorders>
                  <w:shd w:val="clear" w:color="auto" w:fill="auto"/>
                  <w:vAlign w:val="center"/>
                </w:tcPr>
                <w:p w14:paraId="6BE9CA82">
                  <w:pPr>
                    <w:pStyle w:val="54"/>
                    <w:rPr>
                      <w:color w:val="auto"/>
                    </w:rPr>
                  </w:pPr>
                  <w:r>
                    <w:rPr>
                      <w:rFonts w:hint="eastAsia"/>
                      <w:color w:val="auto"/>
                    </w:rPr>
                    <w:t>达标</w:t>
                  </w:r>
                </w:p>
              </w:tc>
            </w:tr>
            <w:tr w14:paraId="52BB8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43" w:type="dxa"/>
                  <w:vMerge w:val="continue"/>
                  <w:tcBorders>
                    <w:tl2br w:val="nil"/>
                    <w:tr2bl w:val="nil"/>
                  </w:tcBorders>
                  <w:shd w:val="clear" w:color="auto" w:fill="auto"/>
                  <w:vAlign w:val="center"/>
                </w:tcPr>
                <w:p w14:paraId="79442A07">
                  <w:pPr>
                    <w:pStyle w:val="54"/>
                    <w:rPr>
                      <w:color w:val="auto"/>
                    </w:rPr>
                  </w:pPr>
                </w:p>
              </w:tc>
              <w:tc>
                <w:tcPr>
                  <w:tcW w:w="1066" w:type="dxa"/>
                  <w:vMerge w:val="continue"/>
                  <w:tcBorders>
                    <w:tl2br w:val="nil"/>
                    <w:tr2bl w:val="nil"/>
                  </w:tcBorders>
                  <w:shd w:val="clear" w:color="auto" w:fill="auto"/>
                  <w:vAlign w:val="center"/>
                </w:tcPr>
                <w:p w14:paraId="5983E759">
                  <w:pPr>
                    <w:pStyle w:val="54"/>
                    <w:rPr>
                      <w:color w:val="auto"/>
                    </w:rPr>
                  </w:pPr>
                </w:p>
              </w:tc>
              <w:tc>
                <w:tcPr>
                  <w:tcW w:w="1200" w:type="dxa"/>
                  <w:tcBorders>
                    <w:tl2br w:val="nil"/>
                    <w:tr2bl w:val="nil"/>
                  </w:tcBorders>
                  <w:shd w:val="clear" w:color="auto" w:fill="auto"/>
                  <w:vAlign w:val="center"/>
                </w:tcPr>
                <w:p w14:paraId="4650A2EC">
                  <w:pPr>
                    <w:pStyle w:val="54"/>
                    <w:rPr>
                      <w:color w:val="auto"/>
                    </w:rPr>
                  </w:pPr>
                  <w:r>
                    <w:rPr>
                      <w:color w:val="auto"/>
                    </w:rPr>
                    <w:t>下风向</w:t>
                  </w:r>
                  <w:r>
                    <w:rPr>
                      <w:rFonts w:hint="eastAsia"/>
                      <w:color w:val="auto"/>
                    </w:rPr>
                    <w:t>O</w:t>
                  </w:r>
                  <w:r>
                    <w:rPr>
                      <w:color w:val="auto"/>
                    </w:rPr>
                    <w:t>2</w:t>
                  </w:r>
                </w:p>
              </w:tc>
              <w:tc>
                <w:tcPr>
                  <w:tcW w:w="925" w:type="dxa"/>
                  <w:tcBorders>
                    <w:tl2br w:val="nil"/>
                    <w:tr2bl w:val="nil"/>
                  </w:tcBorders>
                  <w:shd w:val="clear" w:color="auto" w:fill="auto"/>
                  <w:vAlign w:val="center"/>
                </w:tcPr>
                <w:p w14:paraId="7B10DC54">
                  <w:pPr>
                    <w:pStyle w:val="54"/>
                    <w:rPr>
                      <w:color w:val="auto"/>
                    </w:rPr>
                  </w:pPr>
                  <w:r>
                    <w:rPr>
                      <w:color w:val="auto"/>
                    </w:rPr>
                    <w:t>mg/m</w:t>
                  </w:r>
                  <w:r>
                    <w:rPr>
                      <w:color w:val="auto"/>
                      <w:vertAlign w:val="superscript"/>
                    </w:rPr>
                    <w:t>3</w:t>
                  </w:r>
                </w:p>
              </w:tc>
              <w:tc>
                <w:tcPr>
                  <w:tcW w:w="1031" w:type="dxa"/>
                  <w:tcBorders>
                    <w:tl2br w:val="nil"/>
                    <w:tr2bl w:val="nil"/>
                  </w:tcBorders>
                  <w:shd w:val="clear" w:color="auto" w:fill="auto"/>
                  <w:noWrap/>
                  <w:vAlign w:val="center"/>
                </w:tcPr>
                <w:p w14:paraId="07835211">
                  <w:pPr>
                    <w:pStyle w:val="54"/>
                    <w:rPr>
                      <w:color w:val="auto"/>
                    </w:rPr>
                  </w:pPr>
                  <w:r>
                    <w:rPr>
                      <w:rFonts w:hint="eastAsia"/>
                      <w:color w:val="auto"/>
                    </w:rPr>
                    <w:t>0.207</w:t>
                  </w:r>
                </w:p>
              </w:tc>
              <w:tc>
                <w:tcPr>
                  <w:tcW w:w="1031" w:type="dxa"/>
                  <w:tcBorders>
                    <w:tl2br w:val="nil"/>
                    <w:tr2bl w:val="nil"/>
                  </w:tcBorders>
                  <w:shd w:val="clear" w:color="auto" w:fill="auto"/>
                  <w:noWrap/>
                  <w:vAlign w:val="center"/>
                </w:tcPr>
                <w:p w14:paraId="1DA406FB">
                  <w:pPr>
                    <w:pStyle w:val="54"/>
                    <w:rPr>
                      <w:color w:val="auto"/>
                    </w:rPr>
                  </w:pPr>
                  <w:r>
                    <w:rPr>
                      <w:rFonts w:hint="eastAsia"/>
                      <w:color w:val="auto"/>
                    </w:rPr>
                    <w:t>0.277</w:t>
                  </w:r>
                </w:p>
              </w:tc>
              <w:tc>
                <w:tcPr>
                  <w:tcW w:w="1033" w:type="dxa"/>
                  <w:tcBorders>
                    <w:tl2br w:val="nil"/>
                    <w:tr2bl w:val="nil"/>
                  </w:tcBorders>
                  <w:shd w:val="clear" w:color="auto" w:fill="auto"/>
                  <w:noWrap/>
                  <w:vAlign w:val="center"/>
                </w:tcPr>
                <w:p w14:paraId="1BA4CD32">
                  <w:pPr>
                    <w:pStyle w:val="54"/>
                    <w:rPr>
                      <w:color w:val="auto"/>
                    </w:rPr>
                  </w:pPr>
                  <w:r>
                    <w:rPr>
                      <w:rFonts w:hint="eastAsia"/>
                      <w:color w:val="auto"/>
                    </w:rPr>
                    <w:t>0.285</w:t>
                  </w:r>
                </w:p>
              </w:tc>
              <w:tc>
                <w:tcPr>
                  <w:tcW w:w="723" w:type="dxa"/>
                  <w:tcBorders>
                    <w:tl2br w:val="nil"/>
                    <w:tr2bl w:val="nil"/>
                  </w:tcBorders>
                  <w:shd w:val="clear" w:color="auto" w:fill="auto"/>
                  <w:vAlign w:val="center"/>
                </w:tcPr>
                <w:p w14:paraId="24572570">
                  <w:pPr>
                    <w:pStyle w:val="54"/>
                    <w:rPr>
                      <w:color w:val="auto"/>
                    </w:rPr>
                  </w:pPr>
                  <w:r>
                    <w:rPr>
                      <w:color w:val="auto"/>
                    </w:rPr>
                    <w:t>&lt;0.5</w:t>
                  </w:r>
                </w:p>
              </w:tc>
              <w:tc>
                <w:tcPr>
                  <w:tcW w:w="681" w:type="dxa"/>
                  <w:tcBorders>
                    <w:tl2br w:val="nil"/>
                    <w:tr2bl w:val="nil"/>
                  </w:tcBorders>
                  <w:shd w:val="clear" w:color="auto" w:fill="auto"/>
                  <w:vAlign w:val="center"/>
                </w:tcPr>
                <w:p w14:paraId="7265895C">
                  <w:pPr>
                    <w:pStyle w:val="54"/>
                    <w:rPr>
                      <w:color w:val="auto"/>
                    </w:rPr>
                  </w:pPr>
                  <w:r>
                    <w:rPr>
                      <w:rFonts w:hint="eastAsia"/>
                      <w:color w:val="auto"/>
                    </w:rPr>
                    <w:t>达标</w:t>
                  </w:r>
                </w:p>
              </w:tc>
            </w:tr>
            <w:tr w14:paraId="1D5AD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43" w:type="dxa"/>
                  <w:vMerge w:val="continue"/>
                  <w:tcBorders>
                    <w:tl2br w:val="nil"/>
                    <w:tr2bl w:val="nil"/>
                  </w:tcBorders>
                  <w:shd w:val="clear" w:color="auto" w:fill="auto"/>
                  <w:vAlign w:val="center"/>
                </w:tcPr>
                <w:p w14:paraId="771DC15B">
                  <w:pPr>
                    <w:pStyle w:val="54"/>
                    <w:rPr>
                      <w:color w:val="auto"/>
                    </w:rPr>
                  </w:pPr>
                </w:p>
              </w:tc>
              <w:tc>
                <w:tcPr>
                  <w:tcW w:w="1066" w:type="dxa"/>
                  <w:vMerge w:val="continue"/>
                  <w:tcBorders>
                    <w:tl2br w:val="nil"/>
                    <w:tr2bl w:val="nil"/>
                  </w:tcBorders>
                  <w:shd w:val="clear" w:color="auto" w:fill="auto"/>
                  <w:vAlign w:val="center"/>
                </w:tcPr>
                <w:p w14:paraId="1B13CCE7">
                  <w:pPr>
                    <w:pStyle w:val="54"/>
                    <w:rPr>
                      <w:color w:val="auto"/>
                    </w:rPr>
                  </w:pPr>
                </w:p>
              </w:tc>
              <w:tc>
                <w:tcPr>
                  <w:tcW w:w="1200" w:type="dxa"/>
                  <w:tcBorders>
                    <w:tl2br w:val="nil"/>
                    <w:tr2bl w:val="nil"/>
                  </w:tcBorders>
                  <w:shd w:val="clear" w:color="auto" w:fill="auto"/>
                  <w:vAlign w:val="center"/>
                </w:tcPr>
                <w:p w14:paraId="12166182">
                  <w:pPr>
                    <w:pStyle w:val="54"/>
                    <w:rPr>
                      <w:color w:val="auto"/>
                    </w:rPr>
                  </w:pPr>
                  <w:r>
                    <w:rPr>
                      <w:color w:val="auto"/>
                    </w:rPr>
                    <w:t>下风向</w:t>
                  </w:r>
                  <w:r>
                    <w:rPr>
                      <w:rFonts w:hint="eastAsia"/>
                      <w:color w:val="auto"/>
                    </w:rPr>
                    <w:t>O</w:t>
                  </w:r>
                  <w:r>
                    <w:rPr>
                      <w:color w:val="auto"/>
                    </w:rPr>
                    <w:t>3</w:t>
                  </w:r>
                </w:p>
              </w:tc>
              <w:tc>
                <w:tcPr>
                  <w:tcW w:w="925" w:type="dxa"/>
                  <w:tcBorders>
                    <w:tl2br w:val="nil"/>
                    <w:tr2bl w:val="nil"/>
                  </w:tcBorders>
                  <w:shd w:val="clear" w:color="auto" w:fill="auto"/>
                  <w:vAlign w:val="center"/>
                </w:tcPr>
                <w:p w14:paraId="4A9787EF">
                  <w:pPr>
                    <w:pStyle w:val="54"/>
                    <w:rPr>
                      <w:color w:val="auto"/>
                    </w:rPr>
                  </w:pPr>
                  <w:r>
                    <w:rPr>
                      <w:color w:val="auto"/>
                    </w:rPr>
                    <w:t>mg/m</w:t>
                  </w:r>
                  <w:r>
                    <w:rPr>
                      <w:color w:val="auto"/>
                      <w:vertAlign w:val="superscript"/>
                    </w:rPr>
                    <w:t>3</w:t>
                  </w:r>
                </w:p>
              </w:tc>
              <w:tc>
                <w:tcPr>
                  <w:tcW w:w="1031" w:type="dxa"/>
                  <w:tcBorders>
                    <w:tl2br w:val="nil"/>
                    <w:tr2bl w:val="nil"/>
                  </w:tcBorders>
                  <w:shd w:val="clear" w:color="auto" w:fill="auto"/>
                  <w:noWrap/>
                  <w:vAlign w:val="center"/>
                </w:tcPr>
                <w:p w14:paraId="61314EE6">
                  <w:pPr>
                    <w:pStyle w:val="54"/>
                    <w:rPr>
                      <w:color w:val="auto"/>
                    </w:rPr>
                  </w:pPr>
                  <w:r>
                    <w:rPr>
                      <w:rFonts w:hint="eastAsia"/>
                      <w:color w:val="auto"/>
                    </w:rPr>
                    <w:t>0.206</w:t>
                  </w:r>
                </w:p>
              </w:tc>
              <w:tc>
                <w:tcPr>
                  <w:tcW w:w="1031" w:type="dxa"/>
                  <w:tcBorders>
                    <w:tl2br w:val="nil"/>
                    <w:tr2bl w:val="nil"/>
                  </w:tcBorders>
                  <w:shd w:val="clear" w:color="auto" w:fill="auto"/>
                  <w:noWrap/>
                  <w:vAlign w:val="center"/>
                </w:tcPr>
                <w:p w14:paraId="79B91B1D">
                  <w:pPr>
                    <w:pStyle w:val="54"/>
                    <w:rPr>
                      <w:color w:val="auto"/>
                    </w:rPr>
                  </w:pPr>
                  <w:r>
                    <w:rPr>
                      <w:rFonts w:hint="eastAsia"/>
                      <w:color w:val="auto"/>
                    </w:rPr>
                    <w:t>0.287</w:t>
                  </w:r>
                </w:p>
              </w:tc>
              <w:tc>
                <w:tcPr>
                  <w:tcW w:w="1033" w:type="dxa"/>
                  <w:tcBorders>
                    <w:tl2br w:val="nil"/>
                    <w:tr2bl w:val="nil"/>
                  </w:tcBorders>
                  <w:shd w:val="clear" w:color="auto" w:fill="auto"/>
                  <w:noWrap/>
                  <w:vAlign w:val="center"/>
                </w:tcPr>
                <w:p w14:paraId="2175E1B0">
                  <w:pPr>
                    <w:pStyle w:val="54"/>
                    <w:rPr>
                      <w:color w:val="auto"/>
                    </w:rPr>
                  </w:pPr>
                  <w:r>
                    <w:rPr>
                      <w:rFonts w:hint="eastAsia"/>
                      <w:color w:val="auto"/>
                    </w:rPr>
                    <w:t>0.225</w:t>
                  </w:r>
                </w:p>
              </w:tc>
              <w:tc>
                <w:tcPr>
                  <w:tcW w:w="723" w:type="dxa"/>
                  <w:tcBorders>
                    <w:tl2br w:val="nil"/>
                    <w:tr2bl w:val="nil"/>
                  </w:tcBorders>
                  <w:shd w:val="clear" w:color="auto" w:fill="auto"/>
                  <w:vAlign w:val="center"/>
                </w:tcPr>
                <w:p w14:paraId="55AA8F6A">
                  <w:pPr>
                    <w:pStyle w:val="54"/>
                    <w:rPr>
                      <w:color w:val="auto"/>
                    </w:rPr>
                  </w:pPr>
                  <w:r>
                    <w:rPr>
                      <w:color w:val="auto"/>
                    </w:rPr>
                    <w:t>&lt;0.5</w:t>
                  </w:r>
                </w:p>
              </w:tc>
              <w:tc>
                <w:tcPr>
                  <w:tcW w:w="681" w:type="dxa"/>
                  <w:tcBorders>
                    <w:tl2br w:val="nil"/>
                    <w:tr2bl w:val="nil"/>
                  </w:tcBorders>
                  <w:shd w:val="clear" w:color="auto" w:fill="auto"/>
                  <w:vAlign w:val="center"/>
                </w:tcPr>
                <w:p w14:paraId="6B113E11">
                  <w:pPr>
                    <w:pStyle w:val="54"/>
                    <w:rPr>
                      <w:color w:val="auto"/>
                    </w:rPr>
                  </w:pPr>
                  <w:r>
                    <w:rPr>
                      <w:rFonts w:hint="eastAsia"/>
                      <w:color w:val="auto"/>
                    </w:rPr>
                    <w:t>达标</w:t>
                  </w:r>
                </w:p>
              </w:tc>
            </w:tr>
            <w:tr w14:paraId="44983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43" w:type="dxa"/>
                  <w:vMerge w:val="continue"/>
                  <w:tcBorders>
                    <w:tl2br w:val="nil"/>
                    <w:tr2bl w:val="nil"/>
                  </w:tcBorders>
                  <w:shd w:val="clear" w:color="auto" w:fill="auto"/>
                  <w:vAlign w:val="center"/>
                </w:tcPr>
                <w:p w14:paraId="58FFADEA">
                  <w:pPr>
                    <w:pStyle w:val="54"/>
                    <w:rPr>
                      <w:color w:val="auto"/>
                    </w:rPr>
                  </w:pPr>
                </w:p>
              </w:tc>
              <w:tc>
                <w:tcPr>
                  <w:tcW w:w="1066" w:type="dxa"/>
                  <w:vMerge w:val="continue"/>
                  <w:tcBorders>
                    <w:tl2br w:val="nil"/>
                    <w:tr2bl w:val="nil"/>
                  </w:tcBorders>
                  <w:shd w:val="clear" w:color="auto" w:fill="auto"/>
                  <w:vAlign w:val="center"/>
                </w:tcPr>
                <w:p w14:paraId="7048AA7F">
                  <w:pPr>
                    <w:pStyle w:val="54"/>
                    <w:rPr>
                      <w:color w:val="auto"/>
                    </w:rPr>
                  </w:pPr>
                </w:p>
              </w:tc>
              <w:tc>
                <w:tcPr>
                  <w:tcW w:w="1200" w:type="dxa"/>
                  <w:tcBorders>
                    <w:tl2br w:val="nil"/>
                    <w:tr2bl w:val="nil"/>
                  </w:tcBorders>
                  <w:shd w:val="clear" w:color="auto" w:fill="auto"/>
                  <w:vAlign w:val="center"/>
                </w:tcPr>
                <w:p w14:paraId="00E6EF93">
                  <w:pPr>
                    <w:pStyle w:val="54"/>
                    <w:rPr>
                      <w:color w:val="auto"/>
                    </w:rPr>
                  </w:pPr>
                  <w:r>
                    <w:rPr>
                      <w:color w:val="auto"/>
                    </w:rPr>
                    <w:t>下风向</w:t>
                  </w:r>
                  <w:r>
                    <w:rPr>
                      <w:rFonts w:hint="eastAsia"/>
                      <w:color w:val="auto"/>
                    </w:rPr>
                    <w:t>O</w:t>
                  </w:r>
                  <w:r>
                    <w:rPr>
                      <w:color w:val="auto"/>
                    </w:rPr>
                    <w:t>4</w:t>
                  </w:r>
                </w:p>
              </w:tc>
              <w:tc>
                <w:tcPr>
                  <w:tcW w:w="925" w:type="dxa"/>
                  <w:tcBorders>
                    <w:tl2br w:val="nil"/>
                    <w:tr2bl w:val="nil"/>
                  </w:tcBorders>
                  <w:shd w:val="clear" w:color="auto" w:fill="auto"/>
                  <w:vAlign w:val="center"/>
                </w:tcPr>
                <w:p w14:paraId="610CCE58">
                  <w:pPr>
                    <w:pStyle w:val="54"/>
                    <w:rPr>
                      <w:color w:val="auto"/>
                    </w:rPr>
                  </w:pPr>
                  <w:r>
                    <w:rPr>
                      <w:color w:val="auto"/>
                    </w:rPr>
                    <w:t>mg/m</w:t>
                  </w:r>
                  <w:r>
                    <w:rPr>
                      <w:color w:val="auto"/>
                      <w:vertAlign w:val="superscript"/>
                    </w:rPr>
                    <w:t>3</w:t>
                  </w:r>
                </w:p>
              </w:tc>
              <w:tc>
                <w:tcPr>
                  <w:tcW w:w="1031" w:type="dxa"/>
                  <w:tcBorders>
                    <w:tl2br w:val="nil"/>
                    <w:tr2bl w:val="nil"/>
                  </w:tcBorders>
                  <w:shd w:val="clear" w:color="auto" w:fill="auto"/>
                  <w:noWrap/>
                  <w:vAlign w:val="center"/>
                </w:tcPr>
                <w:p w14:paraId="1C25849A">
                  <w:pPr>
                    <w:pStyle w:val="54"/>
                    <w:rPr>
                      <w:color w:val="auto"/>
                    </w:rPr>
                  </w:pPr>
                  <w:r>
                    <w:rPr>
                      <w:rFonts w:hint="eastAsia"/>
                      <w:color w:val="auto"/>
                    </w:rPr>
                    <w:t>0.255</w:t>
                  </w:r>
                </w:p>
              </w:tc>
              <w:tc>
                <w:tcPr>
                  <w:tcW w:w="1031" w:type="dxa"/>
                  <w:tcBorders>
                    <w:tl2br w:val="nil"/>
                    <w:tr2bl w:val="nil"/>
                  </w:tcBorders>
                  <w:shd w:val="clear" w:color="auto" w:fill="auto"/>
                  <w:noWrap/>
                  <w:vAlign w:val="center"/>
                </w:tcPr>
                <w:p w14:paraId="077983A0">
                  <w:pPr>
                    <w:pStyle w:val="54"/>
                    <w:rPr>
                      <w:color w:val="auto"/>
                    </w:rPr>
                  </w:pPr>
                  <w:r>
                    <w:rPr>
                      <w:rFonts w:hint="eastAsia"/>
                      <w:color w:val="auto"/>
                    </w:rPr>
                    <w:t>0.220</w:t>
                  </w:r>
                </w:p>
              </w:tc>
              <w:tc>
                <w:tcPr>
                  <w:tcW w:w="1033" w:type="dxa"/>
                  <w:tcBorders>
                    <w:tl2br w:val="nil"/>
                    <w:tr2bl w:val="nil"/>
                  </w:tcBorders>
                  <w:shd w:val="clear" w:color="auto" w:fill="auto"/>
                  <w:noWrap/>
                  <w:vAlign w:val="center"/>
                </w:tcPr>
                <w:p w14:paraId="680BDA9B">
                  <w:pPr>
                    <w:pStyle w:val="54"/>
                    <w:rPr>
                      <w:color w:val="auto"/>
                    </w:rPr>
                  </w:pPr>
                  <w:r>
                    <w:rPr>
                      <w:rFonts w:hint="eastAsia"/>
                      <w:color w:val="auto"/>
                    </w:rPr>
                    <w:t>0.242</w:t>
                  </w:r>
                </w:p>
              </w:tc>
              <w:tc>
                <w:tcPr>
                  <w:tcW w:w="723" w:type="dxa"/>
                  <w:tcBorders>
                    <w:tl2br w:val="nil"/>
                    <w:tr2bl w:val="nil"/>
                  </w:tcBorders>
                  <w:shd w:val="clear" w:color="auto" w:fill="auto"/>
                  <w:vAlign w:val="center"/>
                </w:tcPr>
                <w:p w14:paraId="49E23E04">
                  <w:pPr>
                    <w:pStyle w:val="54"/>
                    <w:rPr>
                      <w:color w:val="auto"/>
                    </w:rPr>
                  </w:pPr>
                  <w:r>
                    <w:rPr>
                      <w:color w:val="auto"/>
                    </w:rPr>
                    <w:t>&lt;0.5</w:t>
                  </w:r>
                </w:p>
              </w:tc>
              <w:tc>
                <w:tcPr>
                  <w:tcW w:w="681" w:type="dxa"/>
                  <w:tcBorders>
                    <w:tl2br w:val="nil"/>
                    <w:tr2bl w:val="nil"/>
                  </w:tcBorders>
                  <w:shd w:val="clear" w:color="auto" w:fill="auto"/>
                  <w:vAlign w:val="center"/>
                </w:tcPr>
                <w:p w14:paraId="3A638ABE">
                  <w:pPr>
                    <w:pStyle w:val="54"/>
                    <w:rPr>
                      <w:color w:val="auto"/>
                    </w:rPr>
                  </w:pPr>
                  <w:r>
                    <w:rPr>
                      <w:rFonts w:hint="eastAsia"/>
                      <w:color w:val="auto"/>
                    </w:rPr>
                    <w:t>达标</w:t>
                  </w:r>
                </w:p>
              </w:tc>
            </w:tr>
            <w:tr w14:paraId="42315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43" w:type="dxa"/>
                  <w:vMerge w:val="continue"/>
                  <w:tcBorders>
                    <w:tl2br w:val="nil"/>
                    <w:tr2bl w:val="nil"/>
                  </w:tcBorders>
                  <w:shd w:val="clear" w:color="auto" w:fill="auto"/>
                  <w:vAlign w:val="center"/>
                </w:tcPr>
                <w:p w14:paraId="599E2616">
                  <w:pPr>
                    <w:pStyle w:val="54"/>
                    <w:rPr>
                      <w:color w:val="auto"/>
                    </w:rPr>
                  </w:pPr>
                </w:p>
              </w:tc>
              <w:tc>
                <w:tcPr>
                  <w:tcW w:w="1066" w:type="dxa"/>
                  <w:vMerge w:val="continue"/>
                  <w:tcBorders>
                    <w:tl2br w:val="nil"/>
                    <w:tr2bl w:val="nil"/>
                  </w:tcBorders>
                  <w:shd w:val="clear" w:color="auto" w:fill="auto"/>
                  <w:vAlign w:val="center"/>
                </w:tcPr>
                <w:p w14:paraId="3A7E7465">
                  <w:pPr>
                    <w:pStyle w:val="54"/>
                    <w:rPr>
                      <w:color w:val="auto"/>
                    </w:rPr>
                  </w:pPr>
                </w:p>
              </w:tc>
              <w:tc>
                <w:tcPr>
                  <w:tcW w:w="1200" w:type="dxa"/>
                  <w:tcBorders>
                    <w:tl2br w:val="nil"/>
                    <w:tr2bl w:val="nil"/>
                  </w:tcBorders>
                  <w:shd w:val="clear" w:color="auto" w:fill="auto"/>
                  <w:vAlign w:val="center"/>
                </w:tcPr>
                <w:p w14:paraId="5406288C">
                  <w:pPr>
                    <w:pStyle w:val="54"/>
                    <w:rPr>
                      <w:color w:val="auto"/>
                    </w:rPr>
                  </w:pPr>
                  <w:r>
                    <w:rPr>
                      <w:rFonts w:hint="eastAsia"/>
                      <w:color w:val="auto"/>
                    </w:rPr>
                    <w:t>厂区内O5</w:t>
                  </w:r>
                </w:p>
              </w:tc>
              <w:tc>
                <w:tcPr>
                  <w:tcW w:w="925" w:type="dxa"/>
                  <w:tcBorders>
                    <w:tl2br w:val="nil"/>
                    <w:tr2bl w:val="nil"/>
                  </w:tcBorders>
                  <w:shd w:val="clear" w:color="auto" w:fill="auto"/>
                  <w:vAlign w:val="center"/>
                </w:tcPr>
                <w:p w14:paraId="14F9A95B">
                  <w:pPr>
                    <w:pStyle w:val="54"/>
                    <w:rPr>
                      <w:color w:val="auto"/>
                    </w:rPr>
                  </w:pPr>
                  <w:r>
                    <w:rPr>
                      <w:color w:val="auto"/>
                    </w:rPr>
                    <w:t>mg/m</w:t>
                  </w:r>
                  <w:r>
                    <w:rPr>
                      <w:color w:val="auto"/>
                      <w:vertAlign w:val="superscript"/>
                    </w:rPr>
                    <w:t>3</w:t>
                  </w:r>
                </w:p>
              </w:tc>
              <w:tc>
                <w:tcPr>
                  <w:tcW w:w="1031" w:type="dxa"/>
                  <w:tcBorders>
                    <w:tl2br w:val="nil"/>
                    <w:tr2bl w:val="nil"/>
                  </w:tcBorders>
                  <w:shd w:val="clear" w:color="auto" w:fill="auto"/>
                  <w:noWrap/>
                  <w:vAlign w:val="center"/>
                </w:tcPr>
                <w:p w14:paraId="56955C3F">
                  <w:pPr>
                    <w:pStyle w:val="54"/>
                    <w:rPr>
                      <w:color w:val="auto"/>
                    </w:rPr>
                  </w:pPr>
                  <w:r>
                    <w:rPr>
                      <w:rFonts w:hint="eastAsia"/>
                      <w:color w:val="auto"/>
                    </w:rPr>
                    <w:t>0.225</w:t>
                  </w:r>
                </w:p>
              </w:tc>
              <w:tc>
                <w:tcPr>
                  <w:tcW w:w="1031" w:type="dxa"/>
                  <w:tcBorders>
                    <w:tl2br w:val="nil"/>
                    <w:tr2bl w:val="nil"/>
                  </w:tcBorders>
                  <w:shd w:val="clear" w:color="auto" w:fill="auto"/>
                  <w:noWrap/>
                  <w:vAlign w:val="center"/>
                </w:tcPr>
                <w:p w14:paraId="5D7EF22F">
                  <w:pPr>
                    <w:pStyle w:val="54"/>
                    <w:rPr>
                      <w:color w:val="auto"/>
                    </w:rPr>
                  </w:pPr>
                  <w:r>
                    <w:rPr>
                      <w:rFonts w:hint="eastAsia"/>
                      <w:color w:val="auto"/>
                    </w:rPr>
                    <w:t>0.289</w:t>
                  </w:r>
                </w:p>
              </w:tc>
              <w:tc>
                <w:tcPr>
                  <w:tcW w:w="1033" w:type="dxa"/>
                  <w:tcBorders>
                    <w:tl2br w:val="nil"/>
                    <w:tr2bl w:val="nil"/>
                  </w:tcBorders>
                  <w:shd w:val="clear" w:color="auto" w:fill="auto"/>
                  <w:noWrap/>
                  <w:vAlign w:val="center"/>
                </w:tcPr>
                <w:p w14:paraId="24684283">
                  <w:pPr>
                    <w:pStyle w:val="54"/>
                    <w:rPr>
                      <w:color w:val="auto"/>
                    </w:rPr>
                  </w:pPr>
                  <w:r>
                    <w:rPr>
                      <w:rFonts w:hint="eastAsia"/>
                      <w:color w:val="auto"/>
                    </w:rPr>
                    <w:t>0.267</w:t>
                  </w:r>
                </w:p>
              </w:tc>
              <w:tc>
                <w:tcPr>
                  <w:tcW w:w="723" w:type="dxa"/>
                  <w:tcBorders>
                    <w:tl2br w:val="nil"/>
                    <w:tr2bl w:val="nil"/>
                  </w:tcBorders>
                  <w:shd w:val="clear" w:color="auto" w:fill="auto"/>
                  <w:vAlign w:val="center"/>
                </w:tcPr>
                <w:p w14:paraId="638ED397">
                  <w:pPr>
                    <w:pStyle w:val="54"/>
                    <w:rPr>
                      <w:color w:val="auto"/>
                    </w:rPr>
                  </w:pPr>
                  <w:r>
                    <w:rPr>
                      <w:color w:val="auto"/>
                    </w:rPr>
                    <w:t>&lt;</w:t>
                  </w:r>
                  <w:r>
                    <w:rPr>
                      <w:rFonts w:hint="eastAsia"/>
                      <w:color w:val="auto"/>
                    </w:rPr>
                    <w:t>5.0</w:t>
                  </w:r>
                </w:p>
              </w:tc>
              <w:tc>
                <w:tcPr>
                  <w:tcW w:w="681" w:type="dxa"/>
                  <w:tcBorders>
                    <w:tl2br w:val="nil"/>
                    <w:tr2bl w:val="nil"/>
                  </w:tcBorders>
                  <w:shd w:val="clear" w:color="auto" w:fill="auto"/>
                  <w:vAlign w:val="center"/>
                </w:tcPr>
                <w:p w14:paraId="56192404">
                  <w:pPr>
                    <w:pStyle w:val="54"/>
                    <w:rPr>
                      <w:color w:val="auto"/>
                    </w:rPr>
                  </w:pPr>
                  <w:r>
                    <w:rPr>
                      <w:rFonts w:hint="eastAsia"/>
                      <w:color w:val="auto"/>
                    </w:rPr>
                    <w:t>达标</w:t>
                  </w:r>
                </w:p>
              </w:tc>
            </w:tr>
          </w:tbl>
          <w:p w14:paraId="28EB36CA">
            <w:pPr>
              <w:pStyle w:val="50"/>
              <w:ind w:firstLine="482"/>
              <w:rPr>
                <w:b/>
                <w:bCs/>
                <w:color w:val="auto"/>
              </w:rPr>
            </w:pPr>
            <w:r>
              <w:rPr>
                <w:b/>
                <w:bCs/>
                <w:color w:val="auto"/>
              </w:rPr>
              <w:t>②废水</w:t>
            </w:r>
          </w:p>
          <w:p w14:paraId="163FD21A">
            <w:pPr>
              <w:pStyle w:val="50"/>
              <w:ind w:firstLine="480"/>
              <w:rPr>
                <w:color w:val="auto"/>
              </w:rPr>
            </w:pPr>
            <w:r>
              <w:rPr>
                <w:rFonts w:hint="eastAsia"/>
                <w:color w:val="auto"/>
              </w:rPr>
              <w:t>现有项目使用生活用水、上引连铸机用冷却水，其中仅生活污水外排。</w:t>
            </w:r>
          </w:p>
          <w:p w14:paraId="7790F5C3">
            <w:pPr>
              <w:pStyle w:val="50"/>
              <w:ind w:firstLine="480"/>
              <w:rPr>
                <w:color w:val="auto"/>
              </w:rPr>
            </w:pPr>
            <w:r>
              <w:rPr>
                <w:color w:val="auto"/>
              </w:rPr>
              <w:t>根据</w:t>
            </w:r>
            <w:r>
              <w:rPr>
                <w:rFonts w:hint="eastAsia"/>
                <w:color w:val="auto"/>
              </w:rPr>
              <w:t>验收</w:t>
            </w:r>
            <w:r>
              <w:rPr>
                <w:color w:val="auto"/>
              </w:rPr>
              <w:t>检测报告</w:t>
            </w:r>
            <w:r>
              <w:rPr>
                <w:rFonts w:hint="eastAsia"/>
                <w:color w:val="auto"/>
              </w:rPr>
              <w:t>（</w:t>
            </w:r>
            <w:r>
              <w:rPr>
                <w:color w:val="auto"/>
              </w:rPr>
              <w:t>检测</w:t>
            </w:r>
            <w:r>
              <w:rPr>
                <w:rFonts w:hint="eastAsia"/>
                <w:color w:val="auto"/>
              </w:rPr>
              <w:t>公司为宿迁爱迪信环境科技有限公司、</w:t>
            </w:r>
            <w:r>
              <w:rPr>
                <w:color w:val="auto"/>
              </w:rPr>
              <w:t>检测</w:t>
            </w:r>
            <w:r>
              <w:rPr>
                <w:rFonts w:hint="eastAsia"/>
                <w:color w:val="auto"/>
              </w:rPr>
              <w:t>时间为2025.04.19~2025.04.20、报告编号为SQADT250419002）</w:t>
            </w:r>
            <w:r>
              <w:rPr>
                <w:color w:val="auto"/>
              </w:rPr>
              <w:t>，现有项目废</w:t>
            </w:r>
            <w:r>
              <w:rPr>
                <w:rFonts w:hint="eastAsia"/>
                <w:color w:val="auto"/>
              </w:rPr>
              <w:t>水</w:t>
            </w:r>
            <w:r>
              <w:rPr>
                <w:color w:val="auto"/>
              </w:rPr>
              <w:t>检测结果见</w:t>
            </w:r>
            <w:r>
              <w:rPr>
                <w:color w:val="auto"/>
              </w:rPr>
              <w:fldChar w:fldCharType="begin"/>
            </w:r>
            <w:r>
              <w:rPr>
                <w:color w:val="auto"/>
              </w:rPr>
              <w:instrText xml:space="preserve"> REF _Ref10616 \h </w:instrText>
            </w:r>
            <w:r>
              <w:rPr>
                <w:color w:val="auto"/>
              </w:rPr>
              <w:fldChar w:fldCharType="separate"/>
            </w:r>
            <w:r>
              <w:rPr>
                <w:color w:val="auto"/>
              </w:rPr>
              <w:t>表2- 20</w:t>
            </w:r>
            <w:r>
              <w:rPr>
                <w:color w:val="auto"/>
              </w:rPr>
              <w:fldChar w:fldCharType="end"/>
            </w:r>
            <w:r>
              <w:rPr>
                <w:color w:val="auto"/>
              </w:rPr>
              <w:t>。</w:t>
            </w:r>
          </w:p>
          <w:p w14:paraId="75B65C7A">
            <w:pPr>
              <w:pStyle w:val="7"/>
              <w:rPr>
                <w:color w:val="auto"/>
              </w:rPr>
            </w:pPr>
            <w:bookmarkStart w:id="65" w:name="_Ref10616"/>
            <w:r>
              <w:rPr>
                <w:color w:val="auto"/>
              </w:rPr>
              <w:t xml:space="preserve">表2- </w:t>
            </w:r>
            <w:r>
              <w:rPr>
                <w:color w:val="auto"/>
              </w:rPr>
              <w:fldChar w:fldCharType="begin"/>
            </w:r>
            <w:r>
              <w:rPr>
                <w:color w:val="auto"/>
              </w:rPr>
              <w:instrText xml:space="preserve"> SEQ 表2- \* ARABIC </w:instrText>
            </w:r>
            <w:r>
              <w:rPr>
                <w:color w:val="auto"/>
              </w:rPr>
              <w:fldChar w:fldCharType="separate"/>
            </w:r>
            <w:r>
              <w:rPr>
                <w:color w:val="auto"/>
              </w:rPr>
              <w:t>20</w:t>
            </w:r>
            <w:r>
              <w:rPr>
                <w:color w:val="auto"/>
              </w:rPr>
              <w:fldChar w:fldCharType="end"/>
            </w:r>
            <w:bookmarkEnd w:id="65"/>
            <w:r>
              <w:rPr>
                <w:color w:val="auto"/>
              </w:rPr>
              <w:t xml:space="preserve"> 废水</w:t>
            </w:r>
            <w:r>
              <w:rPr>
                <w:rFonts w:hint="eastAsia"/>
                <w:color w:val="auto"/>
              </w:rPr>
              <w:t>检测</w:t>
            </w:r>
            <w:r>
              <w:rPr>
                <w:color w:val="auto"/>
              </w:rPr>
              <w:t>结果（单位：mg/L，pH无量纲）</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8"/>
              <w:gridCol w:w="959"/>
              <w:gridCol w:w="1418"/>
              <w:gridCol w:w="964"/>
              <w:gridCol w:w="964"/>
              <w:gridCol w:w="964"/>
              <w:gridCol w:w="967"/>
              <w:gridCol w:w="758"/>
              <w:gridCol w:w="741"/>
            </w:tblGrid>
            <w:tr w14:paraId="6026BC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8" w:type="dxa"/>
                  <w:vMerge w:val="restart"/>
                  <w:tcBorders>
                    <w:tl2br w:val="nil"/>
                    <w:tr2bl w:val="nil"/>
                  </w:tcBorders>
                  <w:vAlign w:val="center"/>
                </w:tcPr>
                <w:p w14:paraId="5B5348C0">
                  <w:pPr>
                    <w:pStyle w:val="52"/>
                    <w:rPr>
                      <w:color w:val="auto"/>
                    </w:rPr>
                  </w:pPr>
                  <w:r>
                    <w:rPr>
                      <w:rFonts w:hint="eastAsia"/>
                      <w:color w:val="auto"/>
                    </w:rPr>
                    <w:t>采样日期</w:t>
                  </w:r>
                </w:p>
              </w:tc>
              <w:tc>
                <w:tcPr>
                  <w:tcW w:w="959" w:type="dxa"/>
                  <w:vMerge w:val="restart"/>
                  <w:tcBorders>
                    <w:tl2br w:val="nil"/>
                    <w:tr2bl w:val="nil"/>
                  </w:tcBorders>
                  <w:vAlign w:val="center"/>
                </w:tcPr>
                <w:p w14:paraId="73DD3167">
                  <w:pPr>
                    <w:pStyle w:val="52"/>
                    <w:rPr>
                      <w:color w:val="auto"/>
                    </w:rPr>
                  </w:pPr>
                  <w:r>
                    <w:rPr>
                      <w:color w:val="auto"/>
                    </w:rPr>
                    <w:t>检测</w:t>
                  </w:r>
                </w:p>
                <w:p w14:paraId="7EE3F44C">
                  <w:pPr>
                    <w:pStyle w:val="52"/>
                    <w:rPr>
                      <w:color w:val="auto"/>
                    </w:rPr>
                  </w:pPr>
                  <w:r>
                    <w:rPr>
                      <w:color w:val="auto"/>
                    </w:rPr>
                    <w:t>点位</w:t>
                  </w:r>
                </w:p>
              </w:tc>
              <w:tc>
                <w:tcPr>
                  <w:tcW w:w="1418" w:type="dxa"/>
                  <w:vMerge w:val="restart"/>
                  <w:tcBorders>
                    <w:tl2br w:val="nil"/>
                    <w:tr2bl w:val="nil"/>
                  </w:tcBorders>
                  <w:vAlign w:val="center"/>
                </w:tcPr>
                <w:p w14:paraId="6298C36C">
                  <w:pPr>
                    <w:pStyle w:val="52"/>
                    <w:rPr>
                      <w:color w:val="auto"/>
                    </w:rPr>
                  </w:pPr>
                  <w:r>
                    <w:rPr>
                      <w:color w:val="auto"/>
                    </w:rPr>
                    <w:t>检测项目</w:t>
                  </w:r>
                </w:p>
              </w:tc>
              <w:tc>
                <w:tcPr>
                  <w:tcW w:w="3859" w:type="dxa"/>
                  <w:gridSpan w:val="4"/>
                  <w:tcBorders>
                    <w:tl2br w:val="nil"/>
                    <w:tr2bl w:val="nil"/>
                  </w:tcBorders>
                  <w:vAlign w:val="center"/>
                </w:tcPr>
                <w:p w14:paraId="7FBB2D59">
                  <w:pPr>
                    <w:pStyle w:val="52"/>
                    <w:rPr>
                      <w:color w:val="auto"/>
                    </w:rPr>
                  </w:pPr>
                  <w:r>
                    <w:rPr>
                      <w:rFonts w:hint="eastAsia"/>
                      <w:color w:val="auto"/>
                    </w:rPr>
                    <w:t>检测结果</w:t>
                  </w:r>
                </w:p>
              </w:tc>
              <w:tc>
                <w:tcPr>
                  <w:tcW w:w="758" w:type="dxa"/>
                  <w:vMerge w:val="restart"/>
                  <w:tcBorders>
                    <w:tl2br w:val="nil"/>
                    <w:tr2bl w:val="nil"/>
                  </w:tcBorders>
                  <w:vAlign w:val="center"/>
                </w:tcPr>
                <w:p w14:paraId="5BCAD765">
                  <w:pPr>
                    <w:pStyle w:val="52"/>
                    <w:rPr>
                      <w:color w:val="auto"/>
                    </w:rPr>
                  </w:pPr>
                  <w:r>
                    <w:rPr>
                      <w:color w:val="auto"/>
                    </w:rPr>
                    <w:t>限值</w:t>
                  </w:r>
                </w:p>
              </w:tc>
              <w:tc>
                <w:tcPr>
                  <w:tcW w:w="741" w:type="dxa"/>
                  <w:vMerge w:val="restart"/>
                  <w:tcBorders>
                    <w:tl2br w:val="nil"/>
                    <w:tr2bl w:val="nil"/>
                  </w:tcBorders>
                  <w:vAlign w:val="center"/>
                </w:tcPr>
                <w:p w14:paraId="76822310">
                  <w:pPr>
                    <w:pStyle w:val="52"/>
                    <w:rPr>
                      <w:color w:val="auto"/>
                    </w:rPr>
                  </w:pPr>
                  <w:r>
                    <w:rPr>
                      <w:color w:val="auto"/>
                    </w:rPr>
                    <w:t>达标</w:t>
                  </w:r>
                </w:p>
                <w:p w14:paraId="0558C31F">
                  <w:pPr>
                    <w:pStyle w:val="52"/>
                    <w:rPr>
                      <w:color w:val="auto"/>
                    </w:rPr>
                  </w:pPr>
                  <w:r>
                    <w:rPr>
                      <w:color w:val="auto"/>
                    </w:rPr>
                    <w:t>情况</w:t>
                  </w:r>
                </w:p>
              </w:tc>
            </w:tr>
            <w:tr w14:paraId="6E5FB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8" w:type="dxa"/>
                  <w:vMerge w:val="continue"/>
                  <w:tcBorders>
                    <w:tl2br w:val="nil"/>
                    <w:tr2bl w:val="nil"/>
                  </w:tcBorders>
                  <w:vAlign w:val="center"/>
                </w:tcPr>
                <w:p w14:paraId="7E4B530E">
                  <w:pPr>
                    <w:pStyle w:val="52"/>
                    <w:rPr>
                      <w:color w:val="auto"/>
                    </w:rPr>
                  </w:pPr>
                </w:p>
              </w:tc>
              <w:tc>
                <w:tcPr>
                  <w:tcW w:w="959" w:type="dxa"/>
                  <w:vMerge w:val="continue"/>
                  <w:tcBorders>
                    <w:tl2br w:val="nil"/>
                    <w:tr2bl w:val="nil"/>
                  </w:tcBorders>
                  <w:vAlign w:val="center"/>
                </w:tcPr>
                <w:p w14:paraId="729CF444">
                  <w:pPr>
                    <w:pStyle w:val="52"/>
                    <w:rPr>
                      <w:color w:val="auto"/>
                    </w:rPr>
                  </w:pPr>
                </w:p>
              </w:tc>
              <w:tc>
                <w:tcPr>
                  <w:tcW w:w="1418" w:type="dxa"/>
                  <w:vMerge w:val="continue"/>
                  <w:tcBorders>
                    <w:tl2br w:val="nil"/>
                    <w:tr2bl w:val="nil"/>
                  </w:tcBorders>
                  <w:vAlign w:val="center"/>
                </w:tcPr>
                <w:p w14:paraId="1D57D058">
                  <w:pPr>
                    <w:pStyle w:val="52"/>
                    <w:rPr>
                      <w:color w:val="auto"/>
                    </w:rPr>
                  </w:pPr>
                </w:p>
              </w:tc>
              <w:tc>
                <w:tcPr>
                  <w:tcW w:w="964" w:type="dxa"/>
                  <w:tcBorders>
                    <w:tl2br w:val="nil"/>
                    <w:tr2bl w:val="nil"/>
                  </w:tcBorders>
                  <w:vAlign w:val="center"/>
                </w:tcPr>
                <w:p w14:paraId="70B029A1">
                  <w:pPr>
                    <w:pStyle w:val="52"/>
                    <w:rPr>
                      <w:color w:val="auto"/>
                    </w:rPr>
                  </w:pPr>
                  <w:r>
                    <w:rPr>
                      <w:color w:val="auto"/>
                    </w:rPr>
                    <w:t>1</w:t>
                  </w:r>
                </w:p>
              </w:tc>
              <w:tc>
                <w:tcPr>
                  <w:tcW w:w="964" w:type="dxa"/>
                  <w:tcBorders>
                    <w:tl2br w:val="nil"/>
                    <w:tr2bl w:val="nil"/>
                  </w:tcBorders>
                  <w:vAlign w:val="center"/>
                </w:tcPr>
                <w:p w14:paraId="645B64FF">
                  <w:pPr>
                    <w:pStyle w:val="52"/>
                    <w:rPr>
                      <w:color w:val="auto"/>
                    </w:rPr>
                  </w:pPr>
                  <w:r>
                    <w:rPr>
                      <w:color w:val="auto"/>
                    </w:rPr>
                    <w:t>3</w:t>
                  </w:r>
                </w:p>
              </w:tc>
              <w:tc>
                <w:tcPr>
                  <w:tcW w:w="964" w:type="dxa"/>
                  <w:tcBorders>
                    <w:tl2br w:val="nil"/>
                    <w:tr2bl w:val="nil"/>
                  </w:tcBorders>
                  <w:vAlign w:val="center"/>
                </w:tcPr>
                <w:p w14:paraId="61ACB4B9">
                  <w:pPr>
                    <w:pStyle w:val="52"/>
                    <w:rPr>
                      <w:color w:val="auto"/>
                    </w:rPr>
                  </w:pPr>
                  <w:r>
                    <w:rPr>
                      <w:color w:val="auto"/>
                    </w:rPr>
                    <w:t>3</w:t>
                  </w:r>
                </w:p>
              </w:tc>
              <w:tc>
                <w:tcPr>
                  <w:tcW w:w="967" w:type="dxa"/>
                  <w:tcBorders>
                    <w:tl2br w:val="nil"/>
                    <w:tr2bl w:val="nil"/>
                  </w:tcBorders>
                  <w:vAlign w:val="center"/>
                </w:tcPr>
                <w:p w14:paraId="2FBED04D">
                  <w:pPr>
                    <w:pStyle w:val="52"/>
                    <w:rPr>
                      <w:color w:val="auto"/>
                    </w:rPr>
                  </w:pPr>
                  <w:r>
                    <w:rPr>
                      <w:rFonts w:hint="eastAsia"/>
                      <w:color w:val="auto"/>
                    </w:rPr>
                    <w:t>4</w:t>
                  </w:r>
                </w:p>
              </w:tc>
              <w:tc>
                <w:tcPr>
                  <w:tcW w:w="758" w:type="dxa"/>
                  <w:vMerge w:val="continue"/>
                  <w:tcBorders>
                    <w:tl2br w:val="nil"/>
                    <w:tr2bl w:val="nil"/>
                  </w:tcBorders>
                  <w:vAlign w:val="center"/>
                </w:tcPr>
                <w:p w14:paraId="462C9E21">
                  <w:pPr>
                    <w:pStyle w:val="52"/>
                    <w:rPr>
                      <w:color w:val="auto"/>
                    </w:rPr>
                  </w:pPr>
                </w:p>
              </w:tc>
              <w:tc>
                <w:tcPr>
                  <w:tcW w:w="741" w:type="dxa"/>
                  <w:vMerge w:val="continue"/>
                  <w:tcBorders>
                    <w:tl2br w:val="nil"/>
                    <w:tr2bl w:val="nil"/>
                  </w:tcBorders>
                  <w:vAlign w:val="center"/>
                </w:tcPr>
                <w:p w14:paraId="5856127E">
                  <w:pPr>
                    <w:pStyle w:val="52"/>
                    <w:rPr>
                      <w:color w:val="auto"/>
                    </w:rPr>
                  </w:pPr>
                </w:p>
              </w:tc>
            </w:tr>
            <w:tr w14:paraId="4C804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8" w:type="dxa"/>
                  <w:vMerge w:val="restart"/>
                  <w:tcBorders>
                    <w:tl2br w:val="nil"/>
                    <w:tr2bl w:val="nil"/>
                  </w:tcBorders>
                  <w:shd w:val="clear" w:color="auto" w:fill="auto"/>
                  <w:vAlign w:val="center"/>
                </w:tcPr>
                <w:p w14:paraId="5E5313B0">
                  <w:pPr>
                    <w:pStyle w:val="54"/>
                    <w:rPr>
                      <w:color w:val="auto"/>
                    </w:rPr>
                  </w:pPr>
                  <w:r>
                    <w:rPr>
                      <w:rFonts w:hint="eastAsia"/>
                      <w:color w:val="auto"/>
                    </w:rPr>
                    <w:t>2025.04.19</w:t>
                  </w:r>
                </w:p>
              </w:tc>
              <w:tc>
                <w:tcPr>
                  <w:tcW w:w="959" w:type="dxa"/>
                  <w:vMerge w:val="restart"/>
                  <w:tcBorders>
                    <w:tl2br w:val="nil"/>
                    <w:tr2bl w:val="nil"/>
                  </w:tcBorders>
                  <w:vAlign w:val="center"/>
                </w:tcPr>
                <w:p w14:paraId="6A7C3374">
                  <w:pPr>
                    <w:pStyle w:val="54"/>
                    <w:rPr>
                      <w:color w:val="auto"/>
                    </w:rPr>
                  </w:pPr>
                  <w:r>
                    <w:rPr>
                      <w:color w:val="auto"/>
                    </w:rPr>
                    <w:t>W1生活污水排放口</w:t>
                  </w:r>
                </w:p>
              </w:tc>
              <w:tc>
                <w:tcPr>
                  <w:tcW w:w="1418" w:type="dxa"/>
                  <w:tcBorders>
                    <w:tl2br w:val="nil"/>
                    <w:tr2bl w:val="nil"/>
                  </w:tcBorders>
                  <w:vAlign w:val="center"/>
                </w:tcPr>
                <w:p w14:paraId="5F009781">
                  <w:pPr>
                    <w:pStyle w:val="54"/>
                    <w:rPr>
                      <w:color w:val="auto"/>
                    </w:rPr>
                  </w:pPr>
                  <w:r>
                    <w:rPr>
                      <w:color w:val="auto"/>
                    </w:rPr>
                    <w:t>pH值</w:t>
                  </w:r>
                </w:p>
              </w:tc>
              <w:tc>
                <w:tcPr>
                  <w:tcW w:w="964" w:type="dxa"/>
                  <w:tcBorders>
                    <w:tl2br w:val="nil"/>
                    <w:tr2bl w:val="nil"/>
                  </w:tcBorders>
                  <w:vAlign w:val="center"/>
                </w:tcPr>
                <w:p w14:paraId="08BE8770">
                  <w:pPr>
                    <w:pStyle w:val="54"/>
                    <w:rPr>
                      <w:color w:val="auto"/>
                    </w:rPr>
                  </w:pPr>
                  <w:r>
                    <w:rPr>
                      <w:rFonts w:hint="eastAsia"/>
                      <w:color w:val="auto"/>
                    </w:rPr>
                    <w:t>8.3</w:t>
                  </w:r>
                </w:p>
              </w:tc>
              <w:tc>
                <w:tcPr>
                  <w:tcW w:w="964" w:type="dxa"/>
                  <w:tcBorders>
                    <w:tl2br w:val="nil"/>
                    <w:tr2bl w:val="nil"/>
                  </w:tcBorders>
                  <w:vAlign w:val="center"/>
                </w:tcPr>
                <w:p w14:paraId="33BB5BBA">
                  <w:pPr>
                    <w:pStyle w:val="54"/>
                    <w:rPr>
                      <w:color w:val="auto"/>
                    </w:rPr>
                  </w:pPr>
                  <w:r>
                    <w:rPr>
                      <w:rFonts w:hint="eastAsia"/>
                      <w:color w:val="auto"/>
                    </w:rPr>
                    <w:t>8.5</w:t>
                  </w:r>
                </w:p>
              </w:tc>
              <w:tc>
                <w:tcPr>
                  <w:tcW w:w="964" w:type="dxa"/>
                  <w:tcBorders>
                    <w:tl2br w:val="nil"/>
                    <w:tr2bl w:val="nil"/>
                  </w:tcBorders>
                  <w:vAlign w:val="center"/>
                </w:tcPr>
                <w:p w14:paraId="6B952C40">
                  <w:pPr>
                    <w:pStyle w:val="54"/>
                    <w:rPr>
                      <w:color w:val="auto"/>
                    </w:rPr>
                  </w:pPr>
                  <w:r>
                    <w:rPr>
                      <w:rFonts w:hint="eastAsia"/>
                      <w:color w:val="auto"/>
                    </w:rPr>
                    <w:t>8.4</w:t>
                  </w:r>
                </w:p>
              </w:tc>
              <w:tc>
                <w:tcPr>
                  <w:tcW w:w="967" w:type="dxa"/>
                  <w:tcBorders>
                    <w:tl2br w:val="nil"/>
                    <w:tr2bl w:val="nil"/>
                  </w:tcBorders>
                  <w:vAlign w:val="center"/>
                </w:tcPr>
                <w:p w14:paraId="617DF26B">
                  <w:pPr>
                    <w:pStyle w:val="54"/>
                    <w:rPr>
                      <w:color w:val="auto"/>
                    </w:rPr>
                  </w:pPr>
                  <w:r>
                    <w:rPr>
                      <w:rFonts w:hint="eastAsia"/>
                      <w:color w:val="auto"/>
                    </w:rPr>
                    <w:t>8.4</w:t>
                  </w:r>
                </w:p>
              </w:tc>
              <w:tc>
                <w:tcPr>
                  <w:tcW w:w="758" w:type="dxa"/>
                  <w:tcBorders>
                    <w:tl2br w:val="nil"/>
                    <w:tr2bl w:val="nil"/>
                  </w:tcBorders>
                  <w:vAlign w:val="center"/>
                </w:tcPr>
                <w:p w14:paraId="39BA7258">
                  <w:pPr>
                    <w:pStyle w:val="54"/>
                    <w:rPr>
                      <w:color w:val="auto"/>
                    </w:rPr>
                  </w:pPr>
                  <w:r>
                    <w:rPr>
                      <w:rFonts w:hint="eastAsia"/>
                      <w:color w:val="auto"/>
                    </w:rPr>
                    <w:t>6~9</w:t>
                  </w:r>
                </w:p>
              </w:tc>
              <w:tc>
                <w:tcPr>
                  <w:tcW w:w="741" w:type="dxa"/>
                  <w:tcBorders>
                    <w:tl2br w:val="nil"/>
                    <w:tr2bl w:val="nil"/>
                  </w:tcBorders>
                  <w:vAlign w:val="center"/>
                </w:tcPr>
                <w:p w14:paraId="15E4425B">
                  <w:pPr>
                    <w:pStyle w:val="54"/>
                    <w:rPr>
                      <w:color w:val="auto"/>
                    </w:rPr>
                  </w:pPr>
                  <w:r>
                    <w:rPr>
                      <w:color w:val="auto"/>
                    </w:rPr>
                    <w:t>达标</w:t>
                  </w:r>
                </w:p>
              </w:tc>
            </w:tr>
            <w:tr w14:paraId="61C12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jc w:val="center"/>
              </w:trPr>
              <w:tc>
                <w:tcPr>
                  <w:tcW w:w="698" w:type="dxa"/>
                  <w:vMerge w:val="continue"/>
                  <w:tcBorders>
                    <w:tl2br w:val="nil"/>
                    <w:tr2bl w:val="nil"/>
                  </w:tcBorders>
                  <w:vAlign w:val="center"/>
                </w:tcPr>
                <w:p w14:paraId="02AD68C6">
                  <w:pPr>
                    <w:pStyle w:val="54"/>
                    <w:rPr>
                      <w:color w:val="auto"/>
                    </w:rPr>
                  </w:pPr>
                </w:p>
              </w:tc>
              <w:tc>
                <w:tcPr>
                  <w:tcW w:w="959" w:type="dxa"/>
                  <w:vMerge w:val="continue"/>
                  <w:tcBorders>
                    <w:tl2br w:val="nil"/>
                    <w:tr2bl w:val="nil"/>
                  </w:tcBorders>
                  <w:vAlign w:val="center"/>
                </w:tcPr>
                <w:p w14:paraId="61704072">
                  <w:pPr>
                    <w:pStyle w:val="54"/>
                    <w:rPr>
                      <w:color w:val="auto"/>
                    </w:rPr>
                  </w:pPr>
                </w:p>
              </w:tc>
              <w:tc>
                <w:tcPr>
                  <w:tcW w:w="1418" w:type="dxa"/>
                  <w:tcBorders>
                    <w:tl2br w:val="nil"/>
                    <w:tr2bl w:val="nil"/>
                  </w:tcBorders>
                  <w:vAlign w:val="center"/>
                </w:tcPr>
                <w:p w14:paraId="779EF1D5">
                  <w:pPr>
                    <w:pStyle w:val="54"/>
                    <w:rPr>
                      <w:color w:val="auto"/>
                    </w:rPr>
                  </w:pPr>
                  <w:r>
                    <w:rPr>
                      <w:rFonts w:hint="eastAsia"/>
                      <w:color w:val="auto"/>
                    </w:rPr>
                    <w:t>化学需氧量</w:t>
                  </w:r>
                </w:p>
              </w:tc>
              <w:tc>
                <w:tcPr>
                  <w:tcW w:w="964" w:type="dxa"/>
                  <w:tcBorders>
                    <w:tl2br w:val="nil"/>
                    <w:tr2bl w:val="nil"/>
                  </w:tcBorders>
                  <w:vAlign w:val="center"/>
                </w:tcPr>
                <w:p w14:paraId="03ACA08E">
                  <w:pPr>
                    <w:pStyle w:val="54"/>
                    <w:rPr>
                      <w:color w:val="auto"/>
                    </w:rPr>
                  </w:pPr>
                  <w:r>
                    <w:rPr>
                      <w:rFonts w:hint="eastAsia"/>
                      <w:color w:val="auto"/>
                    </w:rPr>
                    <w:t>214</w:t>
                  </w:r>
                </w:p>
              </w:tc>
              <w:tc>
                <w:tcPr>
                  <w:tcW w:w="964" w:type="dxa"/>
                  <w:tcBorders>
                    <w:tl2br w:val="nil"/>
                    <w:tr2bl w:val="nil"/>
                  </w:tcBorders>
                  <w:vAlign w:val="center"/>
                </w:tcPr>
                <w:p w14:paraId="0DA131F4">
                  <w:pPr>
                    <w:pStyle w:val="54"/>
                    <w:rPr>
                      <w:color w:val="auto"/>
                    </w:rPr>
                  </w:pPr>
                  <w:r>
                    <w:rPr>
                      <w:rFonts w:hint="eastAsia"/>
                      <w:color w:val="auto"/>
                    </w:rPr>
                    <w:t>203</w:t>
                  </w:r>
                </w:p>
              </w:tc>
              <w:tc>
                <w:tcPr>
                  <w:tcW w:w="964" w:type="dxa"/>
                  <w:tcBorders>
                    <w:tl2br w:val="nil"/>
                    <w:tr2bl w:val="nil"/>
                  </w:tcBorders>
                  <w:vAlign w:val="center"/>
                </w:tcPr>
                <w:p w14:paraId="313498CF">
                  <w:pPr>
                    <w:pStyle w:val="54"/>
                    <w:rPr>
                      <w:color w:val="auto"/>
                    </w:rPr>
                  </w:pPr>
                  <w:r>
                    <w:rPr>
                      <w:rFonts w:hint="eastAsia"/>
                      <w:color w:val="auto"/>
                    </w:rPr>
                    <w:t>188</w:t>
                  </w:r>
                </w:p>
              </w:tc>
              <w:tc>
                <w:tcPr>
                  <w:tcW w:w="967" w:type="dxa"/>
                  <w:tcBorders>
                    <w:tl2br w:val="nil"/>
                    <w:tr2bl w:val="nil"/>
                  </w:tcBorders>
                  <w:vAlign w:val="center"/>
                </w:tcPr>
                <w:p w14:paraId="1C585582">
                  <w:pPr>
                    <w:pStyle w:val="54"/>
                    <w:rPr>
                      <w:color w:val="auto"/>
                    </w:rPr>
                  </w:pPr>
                  <w:r>
                    <w:rPr>
                      <w:rFonts w:hint="eastAsia"/>
                      <w:color w:val="auto"/>
                    </w:rPr>
                    <w:t>202</w:t>
                  </w:r>
                </w:p>
              </w:tc>
              <w:tc>
                <w:tcPr>
                  <w:tcW w:w="758" w:type="dxa"/>
                  <w:tcBorders>
                    <w:tl2br w:val="nil"/>
                    <w:tr2bl w:val="nil"/>
                  </w:tcBorders>
                  <w:vAlign w:val="center"/>
                </w:tcPr>
                <w:p w14:paraId="19C9A9C1">
                  <w:pPr>
                    <w:pStyle w:val="54"/>
                    <w:rPr>
                      <w:color w:val="auto"/>
                    </w:rPr>
                  </w:pPr>
                  <w:r>
                    <w:rPr>
                      <w:color w:val="auto"/>
                    </w:rPr>
                    <w:t>≤</w:t>
                  </w:r>
                  <w:r>
                    <w:rPr>
                      <w:rFonts w:hint="eastAsia"/>
                      <w:color w:val="auto"/>
                    </w:rPr>
                    <w:t>280</w:t>
                  </w:r>
                </w:p>
              </w:tc>
              <w:tc>
                <w:tcPr>
                  <w:tcW w:w="741" w:type="dxa"/>
                  <w:tcBorders>
                    <w:tl2br w:val="nil"/>
                    <w:tr2bl w:val="nil"/>
                  </w:tcBorders>
                  <w:vAlign w:val="center"/>
                </w:tcPr>
                <w:p w14:paraId="352BC0C5">
                  <w:pPr>
                    <w:pStyle w:val="54"/>
                    <w:rPr>
                      <w:color w:val="auto"/>
                    </w:rPr>
                  </w:pPr>
                  <w:r>
                    <w:rPr>
                      <w:color w:val="auto"/>
                    </w:rPr>
                    <w:t>达标</w:t>
                  </w:r>
                </w:p>
              </w:tc>
            </w:tr>
            <w:tr w14:paraId="7B9D7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8" w:type="dxa"/>
                  <w:vMerge w:val="continue"/>
                  <w:tcBorders>
                    <w:tl2br w:val="nil"/>
                    <w:tr2bl w:val="nil"/>
                  </w:tcBorders>
                  <w:vAlign w:val="center"/>
                </w:tcPr>
                <w:p w14:paraId="5228ED9F">
                  <w:pPr>
                    <w:pStyle w:val="54"/>
                    <w:rPr>
                      <w:color w:val="auto"/>
                    </w:rPr>
                  </w:pPr>
                </w:p>
              </w:tc>
              <w:tc>
                <w:tcPr>
                  <w:tcW w:w="959" w:type="dxa"/>
                  <w:vMerge w:val="continue"/>
                  <w:tcBorders>
                    <w:tl2br w:val="nil"/>
                    <w:tr2bl w:val="nil"/>
                  </w:tcBorders>
                  <w:vAlign w:val="center"/>
                </w:tcPr>
                <w:p w14:paraId="1D854FB2">
                  <w:pPr>
                    <w:pStyle w:val="54"/>
                    <w:rPr>
                      <w:color w:val="auto"/>
                    </w:rPr>
                  </w:pPr>
                </w:p>
              </w:tc>
              <w:tc>
                <w:tcPr>
                  <w:tcW w:w="1418" w:type="dxa"/>
                  <w:tcBorders>
                    <w:tl2br w:val="nil"/>
                    <w:tr2bl w:val="nil"/>
                  </w:tcBorders>
                  <w:vAlign w:val="center"/>
                </w:tcPr>
                <w:p w14:paraId="46E32CDF">
                  <w:pPr>
                    <w:pStyle w:val="54"/>
                    <w:rPr>
                      <w:color w:val="auto"/>
                    </w:rPr>
                  </w:pPr>
                  <w:r>
                    <w:rPr>
                      <w:rFonts w:hint="eastAsia"/>
                      <w:color w:val="auto"/>
                    </w:rPr>
                    <w:t>悬浮物</w:t>
                  </w:r>
                </w:p>
              </w:tc>
              <w:tc>
                <w:tcPr>
                  <w:tcW w:w="964" w:type="dxa"/>
                  <w:tcBorders>
                    <w:tl2br w:val="nil"/>
                    <w:tr2bl w:val="nil"/>
                  </w:tcBorders>
                  <w:vAlign w:val="center"/>
                </w:tcPr>
                <w:p w14:paraId="110AB64F">
                  <w:pPr>
                    <w:pStyle w:val="54"/>
                    <w:rPr>
                      <w:color w:val="auto"/>
                    </w:rPr>
                  </w:pPr>
                  <w:r>
                    <w:rPr>
                      <w:rFonts w:hint="eastAsia"/>
                      <w:color w:val="auto"/>
                    </w:rPr>
                    <w:t>59</w:t>
                  </w:r>
                </w:p>
              </w:tc>
              <w:tc>
                <w:tcPr>
                  <w:tcW w:w="964" w:type="dxa"/>
                  <w:tcBorders>
                    <w:tl2br w:val="nil"/>
                    <w:tr2bl w:val="nil"/>
                  </w:tcBorders>
                  <w:vAlign w:val="center"/>
                </w:tcPr>
                <w:p w14:paraId="019277C7">
                  <w:pPr>
                    <w:pStyle w:val="54"/>
                    <w:rPr>
                      <w:color w:val="auto"/>
                    </w:rPr>
                  </w:pPr>
                  <w:r>
                    <w:rPr>
                      <w:rFonts w:hint="eastAsia"/>
                      <w:color w:val="auto"/>
                    </w:rPr>
                    <w:t>64</w:t>
                  </w:r>
                </w:p>
              </w:tc>
              <w:tc>
                <w:tcPr>
                  <w:tcW w:w="964" w:type="dxa"/>
                  <w:tcBorders>
                    <w:tl2br w:val="nil"/>
                    <w:tr2bl w:val="nil"/>
                  </w:tcBorders>
                  <w:vAlign w:val="center"/>
                </w:tcPr>
                <w:p w14:paraId="03D0BF48">
                  <w:pPr>
                    <w:pStyle w:val="54"/>
                    <w:rPr>
                      <w:color w:val="auto"/>
                    </w:rPr>
                  </w:pPr>
                  <w:r>
                    <w:rPr>
                      <w:rFonts w:hint="eastAsia"/>
                      <w:color w:val="auto"/>
                    </w:rPr>
                    <w:t>54</w:t>
                  </w:r>
                </w:p>
              </w:tc>
              <w:tc>
                <w:tcPr>
                  <w:tcW w:w="967" w:type="dxa"/>
                  <w:tcBorders>
                    <w:tl2br w:val="nil"/>
                    <w:tr2bl w:val="nil"/>
                  </w:tcBorders>
                  <w:vAlign w:val="center"/>
                </w:tcPr>
                <w:p w14:paraId="6B32C0F2">
                  <w:pPr>
                    <w:pStyle w:val="54"/>
                    <w:rPr>
                      <w:color w:val="auto"/>
                    </w:rPr>
                  </w:pPr>
                  <w:r>
                    <w:rPr>
                      <w:rFonts w:hint="eastAsia"/>
                      <w:color w:val="auto"/>
                    </w:rPr>
                    <w:t>51</w:t>
                  </w:r>
                </w:p>
              </w:tc>
              <w:tc>
                <w:tcPr>
                  <w:tcW w:w="758" w:type="dxa"/>
                  <w:tcBorders>
                    <w:tl2br w:val="nil"/>
                    <w:tr2bl w:val="nil"/>
                  </w:tcBorders>
                  <w:vAlign w:val="center"/>
                </w:tcPr>
                <w:p w14:paraId="528B6E2D">
                  <w:pPr>
                    <w:pStyle w:val="54"/>
                    <w:rPr>
                      <w:color w:val="auto"/>
                    </w:rPr>
                  </w:pPr>
                  <w:r>
                    <w:rPr>
                      <w:color w:val="auto"/>
                    </w:rPr>
                    <w:t>≤</w:t>
                  </w:r>
                  <w:r>
                    <w:rPr>
                      <w:rFonts w:hint="eastAsia"/>
                      <w:color w:val="auto"/>
                    </w:rPr>
                    <w:t>180</w:t>
                  </w:r>
                </w:p>
              </w:tc>
              <w:tc>
                <w:tcPr>
                  <w:tcW w:w="741" w:type="dxa"/>
                  <w:tcBorders>
                    <w:tl2br w:val="nil"/>
                    <w:tr2bl w:val="nil"/>
                  </w:tcBorders>
                  <w:vAlign w:val="center"/>
                </w:tcPr>
                <w:p w14:paraId="7F1BD53A">
                  <w:pPr>
                    <w:pStyle w:val="54"/>
                    <w:rPr>
                      <w:color w:val="auto"/>
                    </w:rPr>
                  </w:pPr>
                  <w:r>
                    <w:rPr>
                      <w:color w:val="auto"/>
                    </w:rPr>
                    <w:t>达标</w:t>
                  </w:r>
                </w:p>
              </w:tc>
            </w:tr>
            <w:tr w14:paraId="1DBE2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8" w:type="dxa"/>
                  <w:vMerge w:val="continue"/>
                  <w:tcBorders>
                    <w:tl2br w:val="nil"/>
                    <w:tr2bl w:val="nil"/>
                  </w:tcBorders>
                  <w:vAlign w:val="center"/>
                </w:tcPr>
                <w:p w14:paraId="0D4EDC2A">
                  <w:pPr>
                    <w:pStyle w:val="54"/>
                    <w:rPr>
                      <w:color w:val="auto"/>
                    </w:rPr>
                  </w:pPr>
                </w:p>
              </w:tc>
              <w:tc>
                <w:tcPr>
                  <w:tcW w:w="959" w:type="dxa"/>
                  <w:vMerge w:val="continue"/>
                  <w:tcBorders>
                    <w:tl2br w:val="nil"/>
                    <w:tr2bl w:val="nil"/>
                  </w:tcBorders>
                  <w:vAlign w:val="center"/>
                </w:tcPr>
                <w:p w14:paraId="6FA841B6">
                  <w:pPr>
                    <w:pStyle w:val="54"/>
                    <w:rPr>
                      <w:color w:val="auto"/>
                    </w:rPr>
                  </w:pPr>
                </w:p>
              </w:tc>
              <w:tc>
                <w:tcPr>
                  <w:tcW w:w="1418" w:type="dxa"/>
                  <w:tcBorders>
                    <w:tl2br w:val="nil"/>
                    <w:tr2bl w:val="nil"/>
                  </w:tcBorders>
                  <w:vAlign w:val="center"/>
                </w:tcPr>
                <w:p w14:paraId="577555E0">
                  <w:pPr>
                    <w:pStyle w:val="54"/>
                    <w:rPr>
                      <w:color w:val="auto"/>
                    </w:rPr>
                  </w:pPr>
                  <w:r>
                    <w:rPr>
                      <w:color w:val="auto"/>
                    </w:rPr>
                    <w:t>氨氮</w:t>
                  </w:r>
                </w:p>
              </w:tc>
              <w:tc>
                <w:tcPr>
                  <w:tcW w:w="964" w:type="dxa"/>
                  <w:tcBorders>
                    <w:tl2br w:val="nil"/>
                    <w:tr2bl w:val="nil"/>
                  </w:tcBorders>
                  <w:vAlign w:val="center"/>
                </w:tcPr>
                <w:p w14:paraId="405BC436">
                  <w:pPr>
                    <w:pStyle w:val="54"/>
                    <w:rPr>
                      <w:color w:val="auto"/>
                    </w:rPr>
                  </w:pPr>
                  <w:r>
                    <w:rPr>
                      <w:rFonts w:hint="eastAsia"/>
                      <w:color w:val="auto"/>
                    </w:rPr>
                    <w:t>23.0</w:t>
                  </w:r>
                </w:p>
              </w:tc>
              <w:tc>
                <w:tcPr>
                  <w:tcW w:w="964" w:type="dxa"/>
                  <w:tcBorders>
                    <w:tl2br w:val="nil"/>
                    <w:tr2bl w:val="nil"/>
                  </w:tcBorders>
                  <w:vAlign w:val="center"/>
                </w:tcPr>
                <w:p w14:paraId="5738D8B0">
                  <w:pPr>
                    <w:pStyle w:val="54"/>
                    <w:rPr>
                      <w:color w:val="auto"/>
                    </w:rPr>
                  </w:pPr>
                  <w:r>
                    <w:rPr>
                      <w:rFonts w:hint="eastAsia"/>
                      <w:color w:val="auto"/>
                    </w:rPr>
                    <w:t>23.9</w:t>
                  </w:r>
                </w:p>
              </w:tc>
              <w:tc>
                <w:tcPr>
                  <w:tcW w:w="964" w:type="dxa"/>
                  <w:tcBorders>
                    <w:tl2br w:val="nil"/>
                    <w:tr2bl w:val="nil"/>
                  </w:tcBorders>
                  <w:vAlign w:val="center"/>
                </w:tcPr>
                <w:p w14:paraId="3383217A">
                  <w:pPr>
                    <w:pStyle w:val="54"/>
                    <w:rPr>
                      <w:color w:val="auto"/>
                    </w:rPr>
                  </w:pPr>
                  <w:r>
                    <w:rPr>
                      <w:rFonts w:hint="eastAsia"/>
                      <w:color w:val="auto"/>
                    </w:rPr>
                    <w:t>25.0</w:t>
                  </w:r>
                </w:p>
              </w:tc>
              <w:tc>
                <w:tcPr>
                  <w:tcW w:w="967" w:type="dxa"/>
                  <w:tcBorders>
                    <w:tl2br w:val="nil"/>
                    <w:tr2bl w:val="nil"/>
                  </w:tcBorders>
                  <w:vAlign w:val="center"/>
                </w:tcPr>
                <w:p w14:paraId="2CD8267D">
                  <w:pPr>
                    <w:pStyle w:val="54"/>
                    <w:rPr>
                      <w:color w:val="auto"/>
                    </w:rPr>
                  </w:pPr>
                  <w:r>
                    <w:rPr>
                      <w:rFonts w:hint="eastAsia"/>
                      <w:color w:val="auto"/>
                    </w:rPr>
                    <w:t>24.0</w:t>
                  </w:r>
                </w:p>
              </w:tc>
              <w:tc>
                <w:tcPr>
                  <w:tcW w:w="758" w:type="dxa"/>
                  <w:tcBorders>
                    <w:tl2br w:val="nil"/>
                    <w:tr2bl w:val="nil"/>
                  </w:tcBorders>
                  <w:vAlign w:val="center"/>
                </w:tcPr>
                <w:p w14:paraId="5EA3CA71">
                  <w:pPr>
                    <w:pStyle w:val="54"/>
                    <w:rPr>
                      <w:color w:val="auto"/>
                    </w:rPr>
                  </w:pPr>
                  <w:r>
                    <w:rPr>
                      <w:color w:val="auto"/>
                    </w:rPr>
                    <w:t>≤</w:t>
                  </w:r>
                  <w:r>
                    <w:rPr>
                      <w:rFonts w:hint="eastAsia"/>
                      <w:color w:val="auto"/>
                    </w:rPr>
                    <w:t>35</w:t>
                  </w:r>
                </w:p>
              </w:tc>
              <w:tc>
                <w:tcPr>
                  <w:tcW w:w="741" w:type="dxa"/>
                  <w:tcBorders>
                    <w:tl2br w:val="nil"/>
                    <w:tr2bl w:val="nil"/>
                  </w:tcBorders>
                  <w:vAlign w:val="center"/>
                </w:tcPr>
                <w:p w14:paraId="745C45F0">
                  <w:pPr>
                    <w:pStyle w:val="54"/>
                    <w:rPr>
                      <w:color w:val="auto"/>
                    </w:rPr>
                  </w:pPr>
                  <w:r>
                    <w:rPr>
                      <w:color w:val="auto"/>
                    </w:rPr>
                    <w:t>达标</w:t>
                  </w:r>
                </w:p>
              </w:tc>
            </w:tr>
            <w:tr w14:paraId="15BD44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8" w:type="dxa"/>
                  <w:vMerge w:val="continue"/>
                  <w:tcBorders>
                    <w:tl2br w:val="nil"/>
                    <w:tr2bl w:val="nil"/>
                  </w:tcBorders>
                  <w:vAlign w:val="center"/>
                </w:tcPr>
                <w:p w14:paraId="47588A80">
                  <w:pPr>
                    <w:pStyle w:val="54"/>
                    <w:rPr>
                      <w:color w:val="auto"/>
                    </w:rPr>
                  </w:pPr>
                </w:p>
              </w:tc>
              <w:tc>
                <w:tcPr>
                  <w:tcW w:w="959" w:type="dxa"/>
                  <w:vMerge w:val="continue"/>
                  <w:tcBorders>
                    <w:tl2br w:val="nil"/>
                    <w:tr2bl w:val="nil"/>
                  </w:tcBorders>
                  <w:vAlign w:val="center"/>
                </w:tcPr>
                <w:p w14:paraId="66E3E764">
                  <w:pPr>
                    <w:pStyle w:val="54"/>
                    <w:rPr>
                      <w:color w:val="auto"/>
                    </w:rPr>
                  </w:pPr>
                </w:p>
              </w:tc>
              <w:tc>
                <w:tcPr>
                  <w:tcW w:w="1418" w:type="dxa"/>
                  <w:tcBorders>
                    <w:tl2br w:val="nil"/>
                    <w:tr2bl w:val="nil"/>
                  </w:tcBorders>
                  <w:vAlign w:val="center"/>
                </w:tcPr>
                <w:p w14:paraId="12CE94DD">
                  <w:pPr>
                    <w:pStyle w:val="54"/>
                    <w:rPr>
                      <w:color w:val="auto"/>
                    </w:rPr>
                  </w:pPr>
                  <w:r>
                    <w:rPr>
                      <w:rFonts w:hint="eastAsia"/>
                      <w:color w:val="auto"/>
                    </w:rPr>
                    <w:t>总磷</w:t>
                  </w:r>
                </w:p>
              </w:tc>
              <w:tc>
                <w:tcPr>
                  <w:tcW w:w="964" w:type="dxa"/>
                  <w:tcBorders>
                    <w:tl2br w:val="nil"/>
                    <w:tr2bl w:val="nil"/>
                  </w:tcBorders>
                  <w:vAlign w:val="center"/>
                </w:tcPr>
                <w:p w14:paraId="7F958944">
                  <w:pPr>
                    <w:pStyle w:val="54"/>
                    <w:rPr>
                      <w:color w:val="auto"/>
                    </w:rPr>
                  </w:pPr>
                  <w:r>
                    <w:rPr>
                      <w:rFonts w:hint="eastAsia"/>
                      <w:color w:val="auto"/>
                    </w:rPr>
                    <w:t>2.18</w:t>
                  </w:r>
                </w:p>
              </w:tc>
              <w:tc>
                <w:tcPr>
                  <w:tcW w:w="964" w:type="dxa"/>
                  <w:tcBorders>
                    <w:tl2br w:val="nil"/>
                    <w:tr2bl w:val="nil"/>
                  </w:tcBorders>
                  <w:vAlign w:val="center"/>
                </w:tcPr>
                <w:p w14:paraId="6875BCFA">
                  <w:pPr>
                    <w:pStyle w:val="54"/>
                    <w:rPr>
                      <w:color w:val="auto"/>
                    </w:rPr>
                  </w:pPr>
                  <w:r>
                    <w:rPr>
                      <w:rFonts w:hint="eastAsia"/>
                      <w:color w:val="auto"/>
                    </w:rPr>
                    <w:t>2.03</w:t>
                  </w:r>
                </w:p>
              </w:tc>
              <w:tc>
                <w:tcPr>
                  <w:tcW w:w="964" w:type="dxa"/>
                  <w:tcBorders>
                    <w:tl2br w:val="nil"/>
                    <w:tr2bl w:val="nil"/>
                  </w:tcBorders>
                  <w:vAlign w:val="center"/>
                </w:tcPr>
                <w:p w14:paraId="63E86B34">
                  <w:pPr>
                    <w:pStyle w:val="54"/>
                    <w:rPr>
                      <w:color w:val="auto"/>
                    </w:rPr>
                  </w:pPr>
                  <w:r>
                    <w:rPr>
                      <w:rFonts w:hint="eastAsia"/>
                      <w:color w:val="auto"/>
                    </w:rPr>
                    <w:t>2.00</w:t>
                  </w:r>
                </w:p>
              </w:tc>
              <w:tc>
                <w:tcPr>
                  <w:tcW w:w="967" w:type="dxa"/>
                  <w:tcBorders>
                    <w:tl2br w:val="nil"/>
                    <w:tr2bl w:val="nil"/>
                  </w:tcBorders>
                  <w:vAlign w:val="center"/>
                </w:tcPr>
                <w:p w14:paraId="1AB29E34">
                  <w:pPr>
                    <w:pStyle w:val="54"/>
                    <w:rPr>
                      <w:color w:val="auto"/>
                    </w:rPr>
                  </w:pPr>
                  <w:r>
                    <w:rPr>
                      <w:rFonts w:hint="eastAsia"/>
                      <w:color w:val="auto"/>
                    </w:rPr>
                    <w:t>1.92</w:t>
                  </w:r>
                </w:p>
              </w:tc>
              <w:tc>
                <w:tcPr>
                  <w:tcW w:w="758" w:type="dxa"/>
                  <w:tcBorders>
                    <w:tl2br w:val="nil"/>
                    <w:tr2bl w:val="nil"/>
                  </w:tcBorders>
                  <w:vAlign w:val="center"/>
                </w:tcPr>
                <w:p w14:paraId="2B0C0BF7">
                  <w:pPr>
                    <w:pStyle w:val="54"/>
                    <w:rPr>
                      <w:color w:val="auto"/>
                    </w:rPr>
                  </w:pPr>
                  <w:r>
                    <w:rPr>
                      <w:color w:val="auto"/>
                    </w:rPr>
                    <w:t>≤</w:t>
                  </w:r>
                  <w:r>
                    <w:rPr>
                      <w:rFonts w:hint="eastAsia"/>
                      <w:color w:val="auto"/>
                    </w:rPr>
                    <w:t>3</w:t>
                  </w:r>
                </w:p>
              </w:tc>
              <w:tc>
                <w:tcPr>
                  <w:tcW w:w="741" w:type="dxa"/>
                  <w:tcBorders>
                    <w:tl2br w:val="nil"/>
                    <w:tr2bl w:val="nil"/>
                  </w:tcBorders>
                  <w:vAlign w:val="center"/>
                </w:tcPr>
                <w:p w14:paraId="5B7D72B5">
                  <w:pPr>
                    <w:pStyle w:val="54"/>
                    <w:rPr>
                      <w:color w:val="auto"/>
                    </w:rPr>
                  </w:pPr>
                  <w:r>
                    <w:rPr>
                      <w:color w:val="auto"/>
                    </w:rPr>
                    <w:t>达标</w:t>
                  </w:r>
                </w:p>
              </w:tc>
            </w:tr>
            <w:tr w14:paraId="2D27B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8" w:type="dxa"/>
                  <w:vMerge w:val="continue"/>
                  <w:tcBorders>
                    <w:tl2br w:val="nil"/>
                    <w:tr2bl w:val="nil"/>
                  </w:tcBorders>
                  <w:vAlign w:val="center"/>
                </w:tcPr>
                <w:p w14:paraId="589247F2">
                  <w:pPr>
                    <w:pStyle w:val="54"/>
                    <w:rPr>
                      <w:color w:val="auto"/>
                    </w:rPr>
                  </w:pPr>
                </w:p>
              </w:tc>
              <w:tc>
                <w:tcPr>
                  <w:tcW w:w="959" w:type="dxa"/>
                  <w:vMerge w:val="continue"/>
                  <w:tcBorders>
                    <w:tl2br w:val="nil"/>
                    <w:tr2bl w:val="nil"/>
                  </w:tcBorders>
                  <w:vAlign w:val="center"/>
                </w:tcPr>
                <w:p w14:paraId="54C4E881">
                  <w:pPr>
                    <w:pStyle w:val="54"/>
                    <w:rPr>
                      <w:color w:val="auto"/>
                    </w:rPr>
                  </w:pPr>
                </w:p>
              </w:tc>
              <w:tc>
                <w:tcPr>
                  <w:tcW w:w="1418" w:type="dxa"/>
                  <w:tcBorders>
                    <w:tl2br w:val="nil"/>
                    <w:tr2bl w:val="nil"/>
                  </w:tcBorders>
                  <w:vAlign w:val="center"/>
                </w:tcPr>
                <w:p w14:paraId="465AF583">
                  <w:pPr>
                    <w:pStyle w:val="54"/>
                    <w:rPr>
                      <w:color w:val="auto"/>
                    </w:rPr>
                  </w:pPr>
                  <w:r>
                    <w:rPr>
                      <w:rFonts w:hint="eastAsia"/>
                      <w:color w:val="auto"/>
                    </w:rPr>
                    <w:t>总氮</w:t>
                  </w:r>
                </w:p>
              </w:tc>
              <w:tc>
                <w:tcPr>
                  <w:tcW w:w="964" w:type="dxa"/>
                  <w:tcBorders>
                    <w:tl2br w:val="nil"/>
                    <w:tr2bl w:val="nil"/>
                  </w:tcBorders>
                  <w:vAlign w:val="center"/>
                </w:tcPr>
                <w:p w14:paraId="463BA8B2">
                  <w:pPr>
                    <w:pStyle w:val="54"/>
                    <w:rPr>
                      <w:color w:val="auto"/>
                    </w:rPr>
                  </w:pPr>
                  <w:r>
                    <w:rPr>
                      <w:rFonts w:hint="eastAsia"/>
                      <w:color w:val="auto"/>
                    </w:rPr>
                    <w:t>36.4</w:t>
                  </w:r>
                </w:p>
              </w:tc>
              <w:tc>
                <w:tcPr>
                  <w:tcW w:w="964" w:type="dxa"/>
                  <w:tcBorders>
                    <w:tl2br w:val="nil"/>
                    <w:tr2bl w:val="nil"/>
                  </w:tcBorders>
                  <w:vAlign w:val="center"/>
                </w:tcPr>
                <w:p w14:paraId="769B2F53">
                  <w:pPr>
                    <w:pStyle w:val="54"/>
                    <w:rPr>
                      <w:color w:val="auto"/>
                    </w:rPr>
                  </w:pPr>
                  <w:r>
                    <w:rPr>
                      <w:rFonts w:hint="eastAsia"/>
                      <w:color w:val="auto"/>
                    </w:rPr>
                    <w:t>32.6</w:t>
                  </w:r>
                </w:p>
              </w:tc>
              <w:tc>
                <w:tcPr>
                  <w:tcW w:w="964" w:type="dxa"/>
                  <w:tcBorders>
                    <w:tl2br w:val="nil"/>
                    <w:tr2bl w:val="nil"/>
                  </w:tcBorders>
                  <w:vAlign w:val="center"/>
                </w:tcPr>
                <w:p w14:paraId="4A993D62">
                  <w:pPr>
                    <w:pStyle w:val="54"/>
                    <w:rPr>
                      <w:color w:val="auto"/>
                    </w:rPr>
                  </w:pPr>
                  <w:r>
                    <w:rPr>
                      <w:rFonts w:hint="eastAsia"/>
                      <w:color w:val="auto"/>
                    </w:rPr>
                    <w:t>34.7</w:t>
                  </w:r>
                </w:p>
              </w:tc>
              <w:tc>
                <w:tcPr>
                  <w:tcW w:w="967" w:type="dxa"/>
                  <w:tcBorders>
                    <w:tl2br w:val="nil"/>
                    <w:tr2bl w:val="nil"/>
                  </w:tcBorders>
                  <w:vAlign w:val="center"/>
                </w:tcPr>
                <w:p w14:paraId="0C88D555">
                  <w:pPr>
                    <w:pStyle w:val="54"/>
                    <w:rPr>
                      <w:color w:val="auto"/>
                    </w:rPr>
                  </w:pPr>
                  <w:r>
                    <w:rPr>
                      <w:rFonts w:hint="eastAsia"/>
                      <w:color w:val="auto"/>
                    </w:rPr>
                    <w:t>36.2</w:t>
                  </w:r>
                </w:p>
              </w:tc>
              <w:tc>
                <w:tcPr>
                  <w:tcW w:w="758" w:type="dxa"/>
                  <w:tcBorders>
                    <w:tl2br w:val="nil"/>
                    <w:tr2bl w:val="nil"/>
                  </w:tcBorders>
                  <w:vAlign w:val="center"/>
                </w:tcPr>
                <w:p w14:paraId="3B87004D">
                  <w:pPr>
                    <w:pStyle w:val="54"/>
                    <w:rPr>
                      <w:color w:val="auto"/>
                    </w:rPr>
                  </w:pPr>
                  <w:r>
                    <w:rPr>
                      <w:color w:val="auto"/>
                    </w:rPr>
                    <w:t>≤</w:t>
                  </w:r>
                  <w:r>
                    <w:rPr>
                      <w:rFonts w:hint="eastAsia"/>
                      <w:color w:val="auto"/>
                    </w:rPr>
                    <w:t>40</w:t>
                  </w:r>
                </w:p>
              </w:tc>
              <w:tc>
                <w:tcPr>
                  <w:tcW w:w="741" w:type="dxa"/>
                  <w:tcBorders>
                    <w:tl2br w:val="nil"/>
                    <w:tr2bl w:val="nil"/>
                  </w:tcBorders>
                  <w:vAlign w:val="center"/>
                </w:tcPr>
                <w:p w14:paraId="365ED1E1">
                  <w:pPr>
                    <w:pStyle w:val="54"/>
                    <w:rPr>
                      <w:color w:val="auto"/>
                    </w:rPr>
                  </w:pPr>
                  <w:r>
                    <w:rPr>
                      <w:color w:val="auto"/>
                    </w:rPr>
                    <w:t>达标</w:t>
                  </w:r>
                </w:p>
              </w:tc>
            </w:tr>
            <w:tr w14:paraId="1B6D5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8" w:type="dxa"/>
                  <w:vMerge w:val="continue"/>
                  <w:tcBorders>
                    <w:tl2br w:val="nil"/>
                    <w:tr2bl w:val="nil"/>
                  </w:tcBorders>
                  <w:vAlign w:val="center"/>
                </w:tcPr>
                <w:p w14:paraId="7EBF180D">
                  <w:pPr>
                    <w:pStyle w:val="54"/>
                    <w:rPr>
                      <w:color w:val="auto"/>
                    </w:rPr>
                  </w:pPr>
                </w:p>
              </w:tc>
              <w:tc>
                <w:tcPr>
                  <w:tcW w:w="959" w:type="dxa"/>
                  <w:vMerge w:val="continue"/>
                  <w:tcBorders>
                    <w:tl2br w:val="nil"/>
                    <w:tr2bl w:val="nil"/>
                  </w:tcBorders>
                  <w:vAlign w:val="center"/>
                </w:tcPr>
                <w:p w14:paraId="0B3FDB2E">
                  <w:pPr>
                    <w:pStyle w:val="54"/>
                    <w:rPr>
                      <w:color w:val="auto"/>
                    </w:rPr>
                  </w:pPr>
                </w:p>
              </w:tc>
              <w:tc>
                <w:tcPr>
                  <w:tcW w:w="1418" w:type="dxa"/>
                  <w:tcBorders>
                    <w:tl2br w:val="nil"/>
                    <w:tr2bl w:val="nil"/>
                  </w:tcBorders>
                  <w:vAlign w:val="center"/>
                </w:tcPr>
                <w:p w14:paraId="287B790C">
                  <w:pPr>
                    <w:pStyle w:val="54"/>
                    <w:rPr>
                      <w:color w:val="auto"/>
                    </w:rPr>
                  </w:pPr>
                  <w:r>
                    <w:rPr>
                      <w:rFonts w:hint="eastAsia"/>
                      <w:color w:val="auto"/>
                    </w:rPr>
                    <w:t>动植物油</w:t>
                  </w:r>
                </w:p>
              </w:tc>
              <w:tc>
                <w:tcPr>
                  <w:tcW w:w="964" w:type="dxa"/>
                  <w:tcBorders>
                    <w:tl2br w:val="nil"/>
                    <w:tr2bl w:val="nil"/>
                  </w:tcBorders>
                  <w:vAlign w:val="center"/>
                </w:tcPr>
                <w:p w14:paraId="08EA3A99">
                  <w:pPr>
                    <w:pStyle w:val="54"/>
                    <w:rPr>
                      <w:color w:val="auto"/>
                    </w:rPr>
                  </w:pPr>
                  <w:r>
                    <w:rPr>
                      <w:rFonts w:hint="eastAsia"/>
                      <w:color w:val="auto"/>
                    </w:rPr>
                    <w:t>14.2</w:t>
                  </w:r>
                </w:p>
              </w:tc>
              <w:tc>
                <w:tcPr>
                  <w:tcW w:w="964" w:type="dxa"/>
                  <w:tcBorders>
                    <w:tl2br w:val="nil"/>
                    <w:tr2bl w:val="nil"/>
                  </w:tcBorders>
                  <w:vAlign w:val="center"/>
                </w:tcPr>
                <w:p w14:paraId="4DCA4980">
                  <w:pPr>
                    <w:pStyle w:val="54"/>
                    <w:rPr>
                      <w:color w:val="auto"/>
                    </w:rPr>
                  </w:pPr>
                  <w:r>
                    <w:rPr>
                      <w:rFonts w:hint="eastAsia"/>
                      <w:color w:val="auto"/>
                    </w:rPr>
                    <w:t>12.5</w:t>
                  </w:r>
                </w:p>
              </w:tc>
              <w:tc>
                <w:tcPr>
                  <w:tcW w:w="964" w:type="dxa"/>
                  <w:tcBorders>
                    <w:tl2br w:val="nil"/>
                    <w:tr2bl w:val="nil"/>
                  </w:tcBorders>
                  <w:vAlign w:val="center"/>
                </w:tcPr>
                <w:p w14:paraId="1189607A">
                  <w:pPr>
                    <w:pStyle w:val="54"/>
                    <w:rPr>
                      <w:color w:val="auto"/>
                    </w:rPr>
                  </w:pPr>
                  <w:r>
                    <w:rPr>
                      <w:rFonts w:hint="eastAsia"/>
                      <w:color w:val="auto"/>
                    </w:rPr>
                    <w:t>15.2</w:t>
                  </w:r>
                </w:p>
              </w:tc>
              <w:tc>
                <w:tcPr>
                  <w:tcW w:w="967" w:type="dxa"/>
                  <w:tcBorders>
                    <w:tl2br w:val="nil"/>
                    <w:tr2bl w:val="nil"/>
                  </w:tcBorders>
                  <w:vAlign w:val="center"/>
                </w:tcPr>
                <w:p w14:paraId="485D2B84">
                  <w:pPr>
                    <w:pStyle w:val="54"/>
                    <w:rPr>
                      <w:color w:val="auto"/>
                    </w:rPr>
                  </w:pPr>
                  <w:r>
                    <w:rPr>
                      <w:rFonts w:hint="eastAsia"/>
                      <w:color w:val="auto"/>
                    </w:rPr>
                    <w:t>12.8</w:t>
                  </w:r>
                </w:p>
              </w:tc>
              <w:tc>
                <w:tcPr>
                  <w:tcW w:w="758" w:type="dxa"/>
                  <w:tcBorders>
                    <w:tl2br w:val="nil"/>
                    <w:tr2bl w:val="nil"/>
                  </w:tcBorders>
                  <w:vAlign w:val="center"/>
                </w:tcPr>
                <w:p w14:paraId="3D75DE5F">
                  <w:pPr>
                    <w:pStyle w:val="54"/>
                    <w:rPr>
                      <w:color w:val="auto"/>
                    </w:rPr>
                  </w:pPr>
                  <w:r>
                    <w:rPr>
                      <w:color w:val="auto"/>
                    </w:rPr>
                    <w:t>≤</w:t>
                  </w:r>
                  <w:r>
                    <w:rPr>
                      <w:rFonts w:hint="eastAsia"/>
                      <w:color w:val="auto"/>
                    </w:rPr>
                    <w:t>100</w:t>
                  </w:r>
                </w:p>
              </w:tc>
              <w:tc>
                <w:tcPr>
                  <w:tcW w:w="741" w:type="dxa"/>
                  <w:tcBorders>
                    <w:tl2br w:val="nil"/>
                    <w:tr2bl w:val="nil"/>
                  </w:tcBorders>
                  <w:vAlign w:val="center"/>
                </w:tcPr>
                <w:p w14:paraId="75089067">
                  <w:pPr>
                    <w:pStyle w:val="54"/>
                    <w:rPr>
                      <w:color w:val="auto"/>
                    </w:rPr>
                  </w:pPr>
                  <w:r>
                    <w:rPr>
                      <w:color w:val="auto"/>
                    </w:rPr>
                    <w:t>达标</w:t>
                  </w:r>
                </w:p>
              </w:tc>
            </w:tr>
            <w:tr w14:paraId="4E58F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8" w:type="dxa"/>
                  <w:vMerge w:val="restart"/>
                  <w:tcBorders>
                    <w:tl2br w:val="nil"/>
                    <w:tr2bl w:val="nil"/>
                  </w:tcBorders>
                  <w:vAlign w:val="center"/>
                </w:tcPr>
                <w:p w14:paraId="3D3C0655">
                  <w:pPr>
                    <w:pStyle w:val="54"/>
                    <w:rPr>
                      <w:color w:val="auto"/>
                    </w:rPr>
                  </w:pPr>
                  <w:r>
                    <w:rPr>
                      <w:rFonts w:hint="eastAsia"/>
                      <w:color w:val="auto"/>
                    </w:rPr>
                    <w:t>2025.04.20</w:t>
                  </w:r>
                </w:p>
              </w:tc>
              <w:tc>
                <w:tcPr>
                  <w:tcW w:w="959" w:type="dxa"/>
                  <w:vMerge w:val="restart"/>
                  <w:tcBorders>
                    <w:tl2br w:val="nil"/>
                    <w:tr2bl w:val="nil"/>
                  </w:tcBorders>
                  <w:vAlign w:val="center"/>
                </w:tcPr>
                <w:p w14:paraId="454023AD">
                  <w:pPr>
                    <w:pStyle w:val="54"/>
                    <w:rPr>
                      <w:color w:val="auto"/>
                    </w:rPr>
                  </w:pPr>
                  <w:r>
                    <w:rPr>
                      <w:color w:val="auto"/>
                    </w:rPr>
                    <w:t>W1生活污水排放口</w:t>
                  </w:r>
                </w:p>
              </w:tc>
              <w:tc>
                <w:tcPr>
                  <w:tcW w:w="1418" w:type="dxa"/>
                  <w:tcBorders>
                    <w:tl2br w:val="nil"/>
                    <w:tr2bl w:val="nil"/>
                  </w:tcBorders>
                  <w:vAlign w:val="center"/>
                </w:tcPr>
                <w:p w14:paraId="185C84B4">
                  <w:pPr>
                    <w:pStyle w:val="54"/>
                    <w:rPr>
                      <w:color w:val="auto"/>
                    </w:rPr>
                  </w:pPr>
                  <w:r>
                    <w:rPr>
                      <w:color w:val="auto"/>
                    </w:rPr>
                    <w:t>pH值</w:t>
                  </w:r>
                </w:p>
              </w:tc>
              <w:tc>
                <w:tcPr>
                  <w:tcW w:w="964" w:type="dxa"/>
                  <w:tcBorders>
                    <w:tl2br w:val="nil"/>
                    <w:tr2bl w:val="nil"/>
                  </w:tcBorders>
                  <w:vAlign w:val="center"/>
                </w:tcPr>
                <w:p w14:paraId="0D314B24">
                  <w:pPr>
                    <w:pStyle w:val="54"/>
                    <w:rPr>
                      <w:color w:val="auto"/>
                    </w:rPr>
                  </w:pPr>
                  <w:r>
                    <w:rPr>
                      <w:rFonts w:hint="eastAsia"/>
                      <w:color w:val="auto"/>
                    </w:rPr>
                    <w:t>8.5</w:t>
                  </w:r>
                </w:p>
              </w:tc>
              <w:tc>
                <w:tcPr>
                  <w:tcW w:w="964" w:type="dxa"/>
                  <w:tcBorders>
                    <w:tl2br w:val="nil"/>
                    <w:tr2bl w:val="nil"/>
                  </w:tcBorders>
                  <w:vAlign w:val="center"/>
                </w:tcPr>
                <w:p w14:paraId="4FFAFEBC">
                  <w:pPr>
                    <w:pStyle w:val="54"/>
                    <w:rPr>
                      <w:color w:val="auto"/>
                    </w:rPr>
                  </w:pPr>
                  <w:r>
                    <w:rPr>
                      <w:rFonts w:hint="eastAsia"/>
                      <w:color w:val="auto"/>
                    </w:rPr>
                    <w:t>8.4</w:t>
                  </w:r>
                </w:p>
              </w:tc>
              <w:tc>
                <w:tcPr>
                  <w:tcW w:w="964" w:type="dxa"/>
                  <w:tcBorders>
                    <w:tl2br w:val="nil"/>
                    <w:tr2bl w:val="nil"/>
                  </w:tcBorders>
                  <w:vAlign w:val="center"/>
                </w:tcPr>
                <w:p w14:paraId="77791F19">
                  <w:pPr>
                    <w:pStyle w:val="54"/>
                    <w:rPr>
                      <w:color w:val="auto"/>
                    </w:rPr>
                  </w:pPr>
                  <w:r>
                    <w:rPr>
                      <w:rFonts w:hint="eastAsia"/>
                      <w:color w:val="auto"/>
                    </w:rPr>
                    <w:t>8.3</w:t>
                  </w:r>
                </w:p>
              </w:tc>
              <w:tc>
                <w:tcPr>
                  <w:tcW w:w="967" w:type="dxa"/>
                  <w:tcBorders>
                    <w:tl2br w:val="nil"/>
                    <w:tr2bl w:val="nil"/>
                  </w:tcBorders>
                  <w:vAlign w:val="center"/>
                </w:tcPr>
                <w:p w14:paraId="59358D01">
                  <w:pPr>
                    <w:pStyle w:val="54"/>
                    <w:rPr>
                      <w:color w:val="auto"/>
                    </w:rPr>
                  </w:pPr>
                  <w:r>
                    <w:rPr>
                      <w:rFonts w:hint="eastAsia"/>
                      <w:color w:val="auto"/>
                    </w:rPr>
                    <w:t>8.2</w:t>
                  </w:r>
                </w:p>
              </w:tc>
              <w:tc>
                <w:tcPr>
                  <w:tcW w:w="758" w:type="dxa"/>
                  <w:tcBorders>
                    <w:tl2br w:val="nil"/>
                    <w:tr2bl w:val="nil"/>
                  </w:tcBorders>
                  <w:vAlign w:val="center"/>
                </w:tcPr>
                <w:p w14:paraId="4DFD2DAE">
                  <w:pPr>
                    <w:pStyle w:val="54"/>
                    <w:rPr>
                      <w:color w:val="auto"/>
                    </w:rPr>
                  </w:pPr>
                  <w:r>
                    <w:rPr>
                      <w:rFonts w:hint="eastAsia"/>
                      <w:color w:val="auto"/>
                    </w:rPr>
                    <w:t>6~9</w:t>
                  </w:r>
                </w:p>
              </w:tc>
              <w:tc>
                <w:tcPr>
                  <w:tcW w:w="741" w:type="dxa"/>
                  <w:tcBorders>
                    <w:tl2br w:val="nil"/>
                    <w:tr2bl w:val="nil"/>
                  </w:tcBorders>
                  <w:vAlign w:val="center"/>
                </w:tcPr>
                <w:p w14:paraId="54A15E23">
                  <w:pPr>
                    <w:pStyle w:val="54"/>
                    <w:rPr>
                      <w:color w:val="auto"/>
                    </w:rPr>
                  </w:pPr>
                  <w:r>
                    <w:rPr>
                      <w:color w:val="auto"/>
                    </w:rPr>
                    <w:t>达标</w:t>
                  </w:r>
                </w:p>
              </w:tc>
            </w:tr>
            <w:tr w14:paraId="14C92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8" w:type="dxa"/>
                  <w:vMerge w:val="continue"/>
                  <w:tcBorders>
                    <w:tl2br w:val="nil"/>
                    <w:tr2bl w:val="nil"/>
                  </w:tcBorders>
                  <w:vAlign w:val="center"/>
                </w:tcPr>
                <w:p w14:paraId="25B6B20B">
                  <w:pPr>
                    <w:pStyle w:val="54"/>
                    <w:rPr>
                      <w:color w:val="auto"/>
                    </w:rPr>
                  </w:pPr>
                </w:p>
              </w:tc>
              <w:tc>
                <w:tcPr>
                  <w:tcW w:w="959" w:type="dxa"/>
                  <w:vMerge w:val="continue"/>
                  <w:tcBorders>
                    <w:tl2br w:val="nil"/>
                    <w:tr2bl w:val="nil"/>
                  </w:tcBorders>
                  <w:vAlign w:val="center"/>
                </w:tcPr>
                <w:p w14:paraId="72EA9CB3">
                  <w:pPr>
                    <w:pStyle w:val="54"/>
                    <w:rPr>
                      <w:color w:val="auto"/>
                    </w:rPr>
                  </w:pPr>
                </w:p>
              </w:tc>
              <w:tc>
                <w:tcPr>
                  <w:tcW w:w="1418" w:type="dxa"/>
                  <w:tcBorders>
                    <w:tl2br w:val="nil"/>
                    <w:tr2bl w:val="nil"/>
                  </w:tcBorders>
                  <w:vAlign w:val="center"/>
                </w:tcPr>
                <w:p w14:paraId="51E8F508">
                  <w:pPr>
                    <w:pStyle w:val="54"/>
                    <w:rPr>
                      <w:color w:val="auto"/>
                    </w:rPr>
                  </w:pPr>
                  <w:r>
                    <w:rPr>
                      <w:rFonts w:hint="eastAsia"/>
                      <w:color w:val="auto"/>
                    </w:rPr>
                    <w:t>化学需氧量</w:t>
                  </w:r>
                </w:p>
              </w:tc>
              <w:tc>
                <w:tcPr>
                  <w:tcW w:w="964" w:type="dxa"/>
                  <w:tcBorders>
                    <w:tl2br w:val="nil"/>
                    <w:tr2bl w:val="nil"/>
                  </w:tcBorders>
                  <w:vAlign w:val="center"/>
                </w:tcPr>
                <w:p w14:paraId="232C759A">
                  <w:pPr>
                    <w:pStyle w:val="54"/>
                    <w:rPr>
                      <w:color w:val="auto"/>
                    </w:rPr>
                  </w:pPr>
                  <w:r>
                    <w:rPr>
                      <w:rFonts w:hint="eastAsia"/>
                      <w:color w:val="auto"/>
                    </w:rPr>
                    <w:t>224</w:t>
                  </w:r>
                </w:p>
              </w:tc>
              <w:tc>
                <w:tcPr>
                  <w:tcW w:w="964" w:type="dxa"/>
                  <w:tcBorders>
                    <w:tl2br w:val="nil"/>
                    <w:tr2bl w:val="nil"/>
                  </w:tcBorders>
                  <w:vAlign w:val="center"/>
                </w:tcPr>
                <w:p w14:paraId="58E58F7B">
                  <w:pPr>
                    <w:pStyle w:val="54"/>
                    <w:rPr>
                      <w:color w:val="auto"/>
                    </w:rPr>
                  </w:pPr>
                  <w:r>
                    <w:rPr>
                      <w:rFonts w:hint="eastAsia"/>
                      <w:color w:val="auto"/>
                    </w:rPr>
                    <w:t>214</w:t>
                  </w:r>
                </w:p>
              </w:tc>
              <w:tc>
                <w:tcPr>
                  <w:tcW w:w="964" w:type="dxa"/>
                  <w:tcBorders>
                    <w:tl2br w:val="nil"/>
                    <w:tr2bl w:val="nil"/>
                  </w:tcBorders>
                  <w:vAlign w:val="center"/>
                </w:tcPr>
                <w:p w14:paraId="0105ECC8">
                  <w:pPr>
                    <w:pStyle w:val="54"/>
                    <w:rPr>
                      <w:color w:val="auto"/>
                    </w:rPr>
                  </w:pPr>
                  <w:r>
                    <w:rPr>
                      <w:rFonts w:hint="eastAsia"/>
                      <w:color w:val="auto"/>
                    </w:rPr>
                    <w:t>206</w:t>
                  </w:r>
                </w:p>
              </w:tc>
              <w:tc>
                <w:tcPr>
                  <w:tcW w:w="967" w:type="dxa"/>
                  <w:tcBorders>
                    <w:tl2br w:val="nil"/>
                    <w:tr2bl w:val="nil"/>
                  </w:tcBorders>
                  <w:vAlign w:val="center"/>
                </w:tcPr>
                <w:p w14:paraId="16556386">
                  <w:pPr>
                    <w:pStyle w:val="54"/>
                    <w:rPr>
                      <w:color w:val="auto"/>
                    </w:rPr>
                  </w:pPr>
                  <w:r>
                    <w:rPr>
                      <w:rFonts w:hint="eastAsia"/>
                      <w:color w:val="auto"/>
                    </w:rPr>
                    <w:t>206</w:t>
                  </w:r>
                </w:p>
              </w:tc>
              <w:tc>
                <w:tcPr>
                  <w:tcW w:w="758" w:type="dxa"/>
                  <w:tcBorders>
                    <w:tl2br w:val="nil"/>
                    <w:tr2bl w:val="nil"/>
                  </w:tcBorders>
                  <w:vAlign w:val="center"/>
                </w:tcPr>
                <w:p w14:paraId="7D48AEFC">
                  <w:pPr>
                    <w:pStyle w:val="54"/>
                    <w:rPr>
                      <w:color w:val="auto"/>
                    </w:rPr>
                  </w:pPr>
                  <w:r>
                    <w:rPr>
                      <w:color w:val="auto"/>
                    </w:rPr>
                    <w:t>≤</w:t>
                  </w:r>
                  <w:r>
                    <w:rPr>
                      <w:rFonts w:hint="eastAsia"/>
                      <w:color w:val="auto"/>
                    </w:rPr>
                    <w:t>280</w:t>
                  </w:r>
                </w:p>
              </w:tc>
              <w:tc>
                <w:tcPr>
                  <w:tcW w:w="741" w:type="dxa"/>
                  <w:tcBorders>
                    <w:tl2br w:val="nil"/>
                    <w:tr2bl w:val="nil"/>
                  </w:tcBorders>
                  <w:vAlign w:val="center"/>
                </w:tcPr>
                <w:p w14:paraId="39FF6215">
                  <w:pPr>
                    <w:pStyle w:val="54"/>
                    <w:rPr>
                      <w:color w:val="auto"/>
                    </w:rPr>
                  </w:pPr>
                  <w:r>
                    <w:rPr>
                      <w:color w:val="auto"/>
                    </w:rPr>
                    <w:t>达标</w:t>
                  </w:r>
                </w:p>
              </w:tc>
            </w:tr>
            <w:tr w14:paraId="14648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8" w:type="dxa"/>
                  <w:vMerge w:val="continue"/>
                  <w:tcBorders>
                    <w:tl2br w:val="nil"/>
                    <w:tr2bl w:val="nil"/>
                  </w:tcBorders>
                  <w:vAlign w:val="center"/>
                </w:tcPr>
                <w:p w14:paraId="49BFADDE">
                  <w:pPr>
                    <w:pStyle w:val="54"/>
                    <w:rPr>
                      <w:color w:val="auto"/>
                    </w:rPr>
                  </w:pPr>
                </w:p>
              </w:tc>
              <w:tc>
                <w:tcPr>
                  <w:tcW w:w="959" w:type="dxa"/>
                  <w:vMerge w:val="continue"/>
                  <w:tcBorders>
                    <w:tl2br w:val="nil"/>
                    <w:tr2bl w:val="nil"/>
                  </w:tcBorders>
                  <w:vAlign w:val="center"/>
                </w:tcPr>
                <w:p w14:paraId="69EA8624">
                  <w:pPr>
                    <w:pStyle w:val="54"/>
                    <w:rPr>
                      <w:color w:val="auto"/>
                    </w:rPr>
                  </w:pPr>
                </w:p>
              </w:tc>
              <w:tc>
                <w:tcPr>
                  <w:tcW w:w="1418" w:type="dxa"/>
                  <w:tcBorders>
                    <w:tl2br w:val="nil"/>
                    <w:tr2bl w:val="nil"/>
                  </w:tcBorders>
                  <w:vAlign w:val="center"/>
                </w:tcPr>
                <w:p w14:paraId="1E9BDAF3">
                  <w:pPr>
                    <w:pStyle w:val="54"/>
                    <w:rPr>
                      <w:color w:val="auto"/>
                    </w:rPr>
                  </w:pPr>
                  <w:r>
                    <w:rPr>
                      <w:rFonts w:hint="eastAsia"/>
                      <w:color w:val="auto"/>
                    </w:rPr>
                    <w:t>悬浮物</w:t>
                  </w:r>
                </w:p>
              </w:tc>
              <w:tc>
                <w:tcPr>
                  <w:tcW w:w="964" w:type="dxa"/>
                  <w:tcBorders>
                    <w:tl2br w:val="nil"/>
                    <w:tr2bl w:val="nil"/>
                  </w:tcBorders>
                  <w:vAlign w:val="center"/>
                </w:tcPr>
                <w:p w14:paraId="4AEE5094">
                  <w:pPr>
                    <w:pStyle w:val="54"/>
                    <w:rPr>
                      <w:color w:val="auto"/>
                    </w:rPr>
                  </w:pPr>
                  <w:r>
                    <w:rPr>
                      <w:rFonts w:hint="eastAsia"/>
                      <w:color w:val="auto"/>
                    </w:rPr>
                    <w:t>62</w:t>
                  </w:r>
                </w:p>
              </w:tc>
              <w:tc>
                <w:tcPr>
                  <w:tcW w:w="964" w:type="dxa"/>
                  <w:tcBorders>
                    <w:tl2br w:val="nil"/>
                    <w:tr2bl w:val="nil"/>
                  </w:tcBorders>
                  <w:vAlign w:val="center"/>
                </w:tcPr>
                <w:p w14:paraId="40128429">
                  <w:pPr>
                    <w:pStyle w:val="54"/>
                    <w:rPr>
                      <w:color w:val="auto"/>
                    </w:rPr>
                  </w:pPr>
                  <w:r>
                    <w:rPr>
                      <w:rFonts w:hint="eastAsia"/>
                      <w:color w:val="auto"/>
                    </w:rPr>
                    <w:t>67</w:t>
                  </w:r>
                </w:p>
              </w:tc>
              <w:tc>
                <w:tcPr>
                  <w:tcW w:w="964" w:type="dxa"/>
                  <w:tcBorders>
                    <w:tl2br w:val="nil"/>
                    <w:tr2bl w:val="nil"/>
                  </w:tcBorders>
                  <w:vAlign w:val="center"/>
                </w:tcPr>
                <w:p w14:paraId="39EBB1E8">
                  <w:pPr>
                    <w:pStyle w:val="54"/>
                    <w:rPr>
                      <w:color w:val="auto"/>
                    </w:rPr>
                  </w:pPr>
                  <w:r>
                    <w:rPr>
                      <w:rFonts w:hint="eastAsia"/>
                      <w:color w:val="auto"/>
                    </w:rPr>
                    <w:t>64</w:t>
                  </w:r>
                </w:p>
              </w:tc>
              <w:tc>
                <w:tcPr>
                  <w:tcW w:w="967" w:type="dxa"/>
                  <w:tcBorders>
                    <w:tl2br w:val="nil"/>
                    <w:tr2bl w:val="nil"/>
                  </w:tcBorders>
                  <w:vAlign w:val="center"/>
                </w:tcPr>
                <w:p w14:paraId="36B9C1F0">
                  <w:pPr>
                    <w:pStyle w:val="54"/>
                    <w:rPr>
                      <w:color w:val="auto"/>
                    </w:rPr>
                  </w:pPr>
                  <w:r>
                    <w:rPr>
                      <w:rFonts w:hint="eastAsia"/>
                      <w:color w:val="auto"/>
                    </w:rPr>
                    <w:t>58</w:t>
                  </w:r>
                </w:p>
              </w:tc>
              <w:tc>
                <w:tcPr>
                  <w:tcW w:w="758" w:type="dxa"/>
                  <w:tcBorders>
                    <w:tl2br w:val="nil"/>
                    <w:tr2bl w:val="nil"/>
                  </w:tcBorders>
                  <w:vAlign w:val="center"/>
                </w:tcPr>
                <w:p w14:paraId="14413EB5">
                  <w:pPr>
                    <w:pStyle w:val="54"/>
                    <w:rPr>
                      <w:color w:val="auto"/>
                    </w:rPr>
                  </w:pPr>
                  <w:r>
                    <w:rPr>
                      <w:color w:val="auto"/>
                    </w:rPr>
                    <w:t>≤</w:t>
                  </w:r>
                  <w:r>
                    <w:rPr>
                      <w:rFonts w:hint="eastAsia"/>
                      <w:color w:val="auto"/>
                    </w:rPr>
                    <w:t>180</w:t>
                  </w:r>
                </w:p>
              </w:tc>
              <w:tc>
                <w:tcPr>
                  <w:tcW w:w="741" w:type="dxa"/>
                  <w:tcBorders>
                    <w:tl2br w:val="nil"/>
                    <w:tr2bl w:val="nil"/>
                  </w:tcBorders>
                  <w:vAlign w:val="center"/>
                </w:tcPr>
                <w:p w14:paraId="49900A5A">
                  <w:pPr>
                    <w:pStyle w:val="54"/>
                    <w:rPr>
                      <w:color w:val="auto"/>
                    </w:rPr>
                  </w:pPr>
                  <w:r>
                    <w:rPr>
                      <w:color w:val="auto"/>
                    </w:rPr>
                    <w:t>达标</w:t>
                  </w:r>
                </w:p>
              </w:tc>
            </w:tr>
            <w:tr w14:paraId="2B63E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8" w:type="dxa"/>
                  <w:vMerge w:val="continue"/>
                  <w:tcBorders>
                    <w:tl2br w:val="nil"/>
                    <w:tr2bl w:val="nil"/>
                  </w:tcBorders>
                  <w:vAlign w:val="center"/>
                </w:tcPr>
                <w:p w14:paraId="24F90D6A">
                  <w:pPr>
                    <w:pStyle w:val="54"/>
                    <w:rPr>
                      <w:color w:val="auto"/>
                    </w:rPr>
                  </w:pPr>
                </w:p>
              </w:tc>
              <w:tc>
                <w:tcPr>
                  <w:tcW w:w="959" w:type="dxa"/>
                  <w:vMerge w:val="continue"/>
                  <w:tcBorders>
                    <w:tl2br w:val="nil"/>
                    <w:tr2bl w:val="nil"/>
                  </w:tcBorders>
                  <w:vAlign w:val="center"/>
                </w:tcPr>
                <w:p w14:paraId="3AAA356F">
                  <w:pPr>
                    <w:pStyle w:val="54"/>
                    <w:rPr>
                      <w:color w:val="auto"/>
                    </w:rPr>
                  </w:pPr>
                </w:p>
              </w:tc>
              <w:tc>
                <w:tcPr>
                  <w:tcW w:w="1418" w:type="dxa"/>
                  <w:tcBorders>
                    <w:tl2br w:val="nil"/>
                    <w:tr2bl w:val="nil"/>
                  </w:tcBorders>
                  <w:vAlign w:val="center"/>
                </w:tcPr>
                <w:p w14:paraId="4A1D0318">
                  <w:pPr>
                    <w:pStyle w:val="54"/>
                    <w:rPr>
                      <w:color w:val="auto"/>
                    </w:rPr>
                  </w:pPr>
                  <w:r>
                    <w:rPr>
                      <w:color w:val="auto"/>
                    </w:rPr>
                    <w:t>氨氮</w:t>
                  </w:r>
                </w:p>
              </w:tc>
              <w:tc>
                <w:tcPr>
                  <w:tcW w:w="964" w:type="dxa"/>
                  <w:tcBorders>
                    <w:tl2br w:val="nil"/>
                    <w:tr2bl w:val="nil"/>
                  </w:tcBorders>
                  <w:vAlign w:val="center"/>
                </w:tcPr>
                <w:p w14:paraId="06672E40">
                  <w:pPr>
                    <w:pStyle w:val="54"/>
                    <w:rPr>
                      <w:color w:val="auto"/>
                    </w:rPr>
                  </w:pPr>
                  <w:r>
                    <w:rPr>
                      <w:rFonts w:hint="eastAsia"/>
                      <w:color w:val="auto"/>
                    </w:rPr>
                    <w:t>25.6</w:t>
                  </w:r>
                </w:p>
              </w:tc>
              <w:tc>
                <w:tcPr>
                  <w:tcW w:w="964" w:type="dxa"/>
                  <w:tcBorders>
                    <w:tl2br w:val="nil"/>
                    <w:tr2bl w:val="nil"/>
                  </w:tcBorders>
                  <w:vAlign w:val="center"/>
                </w:tcPr>
                <w:p w14:paraId="616331BF">
                  <w:pPr>
                    <w:pStyle w:val="54"/>
                    <w:rPr>
                      <w:color w:val="auto"/>
                    </w:rPr>
                  </w:pPr>
                  <w:r>
                    <w:rPr>
                      <w:rFonts w:hint="eastAsia"/>
                      <w:color w:val="auto"/>
                    </w:rPr>
                    <w:t>24.5</w:t>
                  </w:r>
                </w:p>
              </w:tc>
              <w:tc>
                <w:tcPr>
                  <w:tcW w:w="964" w:type="dxa"/>
                  <w:tcBorders>
                    <w:tl2br w:val="nil"/>
                    <w:tr2bl w:val="nil"/>
                  </w:tcBorders>
                  <w:vAlign w:val="center"/>
                </w:tcPr>
                <w:p w14:paraId="174645F1">
                  <w:pPr>
                    <w:pStyle w:val="54"/>
                    <w:rPr>
                      <w:color w:val="auto"/>
                    </w:rPr>
                  </w:pPr>
                  <w:r>
                    <w:rPr>
                      <w:rFonts w:hint="eastAsia"/>
                      <w:color w:val="auto"/>
                    </w:rPr>
                    <w:t>25.4</w:t>
                  </w:r>
                </w:p>
              </w:tc>
              <w:tc>
                <w:tcPr>
                  <w:tcW w:w="967" w:type="dxa"/>
                  <w:tcBorders>
                    <w:tl2br w:val="nil"/>
                    <w:tr2bl w:val="nil"/>
                  </w:tcBorders>
                  <w:vAlign w:val="center"/>
                </w:tcPr>
                <w:p w14:paraId="3E51DE5A">
                  <w:pPr>
                    <w:pStyle w:val="54"/>
                    <w:rPr>
                      <w:color w:val="auto"/>
                    </w:rPr>
                  </w:pPr>
                  <w:r>
                    <w:rPr>
                      <w:rFonts w:hint="eastAsia"/>
                      <w:color w:val="auto"/>
                    </w:rPr>
                    <w:t>24.7</w:t>
                  </w:r>
                </w:p>
              </w:tc>
              <w:tc>
                <w:tcPr>
                  <w:tcW w:w="758" w:type="dxa"/>
                  <w:tcBorders>
                    <w:tl2br w:val="nil"/>
                    <w:tr2bl w:val="nil"/>
                  </w:tcBorders>
                  <w:vAlign w:val="center"/>
                </w:tcPr>
                <w:p w14:paraId="3E227907">
                  <w:pPr>
                    <w:pStyle w:val="54"/>
                    <w:rPr>
                      <w:color w:val="auto"/>
                    </w:rPr>
                  </w:pPr>
                  <w:r>
                    <w:rPr>
                      <w:color w:val="auto"/>
                    </w:rPr>
                    <w:t>≤</w:t>
                  </w:r>
                  <w:r>
                    <w:rPr>
                      <w:rFonts w:hint="eastAsia"/>
                      <w:color w:val="auto"/>
                    </w:rPr>
                    <w:t>35</w:t>
                  </w:r>
                </w:p>
              </w:tc>
              <w:tc>
                <w:tcPr>
                  <w:tcW w:w="741" w:type="dxa"/>
                  <w:tcBorders>
                    <w:tl2br w:val="nil"/>
                    <w:tr2bl w:val="nil"/>
                  </w:tcBorders>
                  <w:vAlign w:val="center"/>
                </w:tcPr>
                <w:p w14:paraId="7566B363">
                  <w:pPr>
                    <w:pStyle w:val="54"/>
                    <w:rPr>
                      <w:color w:val="auto"/>
                    </w:rPr>
                  </w:pPr>
                  <w:r>
                    <w:rPr>
                      <w:color w:val="auto"/>
                    </w:rPr>
                    <w:t>达标</w:t>
                  </w:r>
                </w:p>
              </w:tc>
            </w:tr>
            <w:tr w14:paraId="24E757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8" w:type="dxa"/>
                  <w:vMerge w:val="continue"/>
                  <w:tcBorders>
                    <w:tl2br w:val="nil"/>
                    <w:tr2bl w:val="nil"/>
                  </w:tcBorders>
                  <w:vAlign w:val="center"/>
                </w:tcPr>
                <w:p w14:paraId="1C3FC1D2">
                  <w:pPr>
                    <w:pStyle w:val="54"/>
                    <w:rPr>
                      <w:color w:val="auto"/>
                    </w:rPr>
                  </w:pPr>
                </w:p>
              </w:tc>
              <w:tc>
                <w:tcPr>
                  <w:tcW w:w="959" w:type="dxa"/>
                  <w:vMerge w:val="continue"/>
                  <w:tcBorders>
                    <w:tl2br w:val="nil"/>
                    <w:tr2bl w:val="nil"/>
                  </w:tcBorders>
                  <w:vAlign w:val="center"/>
                </w:tcPr>
                <w:p w14:paraId="53D038FC">
                  <w:pPr>
                    <w:pStyle w:val="54"/>
                    <w:rPr>
                      <w:color w:val="auto"/>
                    </w:rPr>
                  </w:pPr>
                </w:p>
              </w:tc>
              <w:tc>
                <w:tcPr>
                  <w:tcW w:w="1418" w:type="dxa"/>
                  <w:tcBorders>
                    <w:tl2br w:val="nil"/>
                    <w:tr2bl w:val="nil"/>
                  </w:tcBorders>
                  <w:vAlign w:val="center"/>
                </w:tcPr>
                <w:p w14:paraId="70F3DFBE">
                  <w:pPr>
                    <w:pStyle w:val="54"/>
                    <w:rPr>
                      <w:color w:val="auto"/>
                    </w:rPr>
                  </w:pPr>
                  <w:r>
                    <w:rPr>
                      <w:rFonts w:hint="eastAsia"/>
                      <w:color w:val="auto"/>
                    </w:rPr>
                    <w:t>总磷</w:t>
                  </w:r>
                </w:p>
              </w:tc>
              <w:tc>
                <w:tcPr>
                  <w:tcW w:w="964" w:type="dxa"/>
                  <w:tcBorders>
                    <w:tl2br w:val="nil"/>
                    <w:tr2bl w:val="nil"/>
                  </w:tcBorders>
                  <w:vAlign w:val="center"/>
                </w:tcPr>
                <w:p w14:paraId="37A049CB">
                  <w:pPr>
                    <w:pStyle w:val="54"/>
                    <w:rPr>
                      <w:color w:val="auto"/>
                    </w:rPr>
                  </w:pPr>
                  <w:r>
                    <w:rPr>
                      <w:rFonts w:hint="eastAsia"/>
                      <w:color w:val="auto"/>
                    </w:rPr>
                    <w:t>2.22</w:t>
                  </w:r>
                </w:p>
              </w:tc>
              <w:tc>
                <w:tcPr>
                  <w:tcW w:w="964" w:type="dxa"/>
                  <w:tcBorders>
                    <w:tl2br w:val="nil"/>
                    <w:tr2bl w:val="nil"/>
                  </w:tcBorders>
                  <w:vAlign w:val="center"/>
                </w:tcPr>
                <w:p w14:paraId="139320EC">
                  <w:pPr>
                    <w:pStyle w:val="54"/>
                    <w:rPr>
                      <w:color w:val="auto"/>
                    </w:rPr>
                  </w:pPr>
                  <w:r>
                    <w:rPr>
                      <w:rFonts w:hint="eastAsia"/>
                      <w:color w:val="auto"/>
                    </w:rPr>
                    <w:t>2.15</w:t>
                  </w:r>
                </w:p>
              </w:tc>
              <w:tc>
                <w:tcPr>
                  <w:tcW w:w="964" w:type="dxa"/>
                  <w:tcBorders>
                    <w:tl2br w:val="nil"/>
                    <w:tr2bl w:val="nil"/>
                  </w:tcBorders>
                  <w:vAlign w:val="center"/>
                </w:tcPr>
                <w:p w14:paraId="028DE8A7">
                  <w:pPr>
                    <w:pStyle w:val="54"/>
                    <w:rPr>
                      <w:color w:val="auto"/>
                    </w:rPr>
                  </w:pPr>
                  <w:r>
                    <w:rPr>
                      <w:rFonts w:hint="eastAsia"/>
                      <w:color w:val="auto"/>
                    </w:rPr>
                    <w:t>2.06</w:t>
                  </w:r>
                </w:p>
              </w:tc>
              <w:tc>
                <w:tcPr>
                  <w:tcW w:w="967" w:type="dxa"/>
                  <w:tcBorders>
                    <w:tl2br w:val="nil"/>
                    <w:tr2bl w:val="nil"/>
                  </w:tcBorders>
                  <w:vAlign w:val="center"/>
                </w:tcPr>
                <w:p w14:paraId="368356D2">
                  <w:pPr>
                    <w:pStyle w:val="54"/>
                    <w:rPr>
                      <w:color w:val="auto"/>
                    </w:rPr>
                  </w:pPr>
                  <w:r>
                    <w:rPr>
                      <w:rFonts w:hint="eastAsia"/>
                      <w:color w:val="auto"/>
                    </w:rPr>
                    <w:t>2.08</w:t>
                  </w:r>
                </w:p>
              </w:tc>
              <w:tc>
                <w:tcPr>
                  <w:tcW w:w="758" w:type="dxa"/>
                  <w:tcBorders>
                    <w:tl2br w:val="nil"/>
                    <w:tr2bl w:val="nil"/>
                  </w:tcBorders>
                  <w:vAlign w:val="center"/>
                </w:tcPr>
                <w:p w14:paraId="37807639">
                  <w:pPr>
                    <w:pStyle w:val="54"/>
                    <w:rPr>
                      <w:color w:val="auto"/>
                    </w:rPr>
                  </w:pPr>
                  <w:r>
                    <w:rPr>
                      <w:color w:val="auto"/>
                    </w:rPr>
                    <w:t>≤</w:t>
                  </w:r>
                  <w:r>
                    <w:rPr>
                      <w:rFonts w:hint="eastAsia"/>
                      <w:color w:val="auto"/>
                    </w:rPr>
                    <w:t>3</w:t>
                  </w:r>
                </w:p>
              </w:tc>
              <w:tc>
                <w:tcPr>
                  <w:tcW w:w="741" w:type="dxa"/>
                  <w:tcBorders>
                    <w:tl2br w:val="nil"/>
                    <w:tr2bl w:val="nil"/>
                  </w:tcBorders>
                  <w:vAlign w:val="center"/>
                </w:tcPr>
                <w:p w14:paraId="03BF94D4">
                  <w:pPr>
                    <w:pStyle w:val="54"/>
                    <w:rPr>
                      <w:color w:val="auto"/>
                    </w:rPr>
                  </w:pPr>
                  <w:r>
                    <w:rPr>
                      <w:color w:val="auto"/>
                    </w:rPr>
                    <w:t>达标</w:t>
                  </w:r>
                </w:p>
              </w:tc>
            </w:tr>
            <w:tr w14:paraId="3649F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8" w:type="dxa"/>
                  <w:vMerge w:val="continue"/>
                  <w:tcBorders>
                    <w:tl2br w:val="nil"/>
                    <w:tr2bl w:val="nil"/>
                  </w:tcBorders>
                  <w:vAlign w:val="center"/>
                </w:tcPr>
                <w:p w14:paraId="2CC9C5DB">
                  <w:pPr>
                    <w:pStyle w:val="54"/>
                    <w:rPr>
                      <w:color w:val="auto"/>
                    </w:rPr>
                  </w:pPr>
                </w:p>
              </w:tc>
              <w:tc>
                <w:tcPr>
                  <w:tcW w:w="959" w:type="dxa"/>
                  <w:vMerge w:val="continue"/>
                  <w:tcBorders>
                    <w:tl2br w:val="nil"/>
                    <w:tr2bl w:val="nil"/>
                  </w:tcBorders>
                  <w:vAlign w:val="center"/>
                </w:tcPr>
                <w:p w14:paraId="02E0C764">
                  <w:pPr>
                    <w:pStyle w:val="54"/>
                    <w:rPr>
                      <w:color w:val="auto"/>
                    </w:rPr>
                  </w:pPr>
                </w:p>
              </w:tc>
              <w:tc>
                <w:tcPr>
                  <w:tcW w:w="1418" w:type="dxa"/>
                  <w:tcBorders>
                    <w:tl2br w:val="nil"/>
                    <w:tr2bl w:val="nil"/>
                  </w:tcBorders>
                  <w:vAlign w:val="center"/>
                </w:tcPr>
                <w:p w14:paraId="7CD6B601">
                  <w:pPr>
                    <w:pStyle w:val="54"/>
                    <w:rPr>
                      <w:color w:val="auto"/>
                    </w:rPr>
                  </w:pPr>
                  <w:r>
                    <w:rPr>
                      <w:rFonts w:hint="eastAsia"/>
                      <w:color w:val="auto"/>
                    </w:rPr>
                    <w:t>总氮</w:t>
                  </w:r>
                </w:p>
              </w:tc>
              <w:tc>
                <w:tcPr>
                  <w:tcW w:w="964" w:type="dxa"/>
                  <w:tcBorders>
                    <w:tl2br w:val="nil"/>
                    <w:tr2bl w:val="nil"/>
                  </w:tcBorders>
                  <w:vAlign w:val="center"/>
                </w:tcPr>
                <w:p w14:paraId="3B802F7F">
                  <w:pPr>
                    <w:pStyle w:val="54"/>
                    <w:rPr>
                      <w:color w:val="auto"/>
                    </w:rPr>
                  </w:pPr>
                  <w:r>
                    <w:rPr>
                      <w:rFonts w:hint="eastAsia"/>
                      <w:color w:val="auto"/>
                    </w:rPr>
                    <w:t>33.2</w:t>
                  </w:r>
                </w:p>
              </w:tc>
              <w:tc>
                <w:tcPr>
                  <w:tcW w:w="964" w:type="dxa"/>
                  <w:tcBorders>
                    <w:tl2br w:val="nil"/>
                    <w:tr2bl w:val="nil"/>
                  </w:tcBorders>
                  <w:vAlign w:val="center"/>
                </w:tcPr>
                <w:p w14:paraId="4FADB37A">
                  <w:pPr>
                    <w:pStyle w:val="54"/>
                    <w:rPr>
                      <w:color w:val="auto"/>
                    </w:rPr>
                  </w:pPr>
                  <w:r>
                    <w:rPr>
                      <w:rFonts w:hint="eastAsia"/>
                      <w:color w:val="auto"/>
                    </w:rPr>
                    <w:t>34.0</w:t>
                  </w:r>
                </w:p>
              </w:tc>
              <w:tc>
                <w:tcPr>
                  <w:tcW w:w="964" w:type="dxa"/>
                  <w:tcBorders>
                    <w:tl2br w:val="nil"/>
                    <w:tr2bl w:val="nil"/>
                  </w:tcBorders>
                  <w:vAlign w:val="center"/>
                </w:tcPr>
                <w:p w14:paraId="49CF8471">
                  <w:pPr>
                    <w:pStyle w:val="54"/>
                    <w:rPr>
                      <w:color w:val="auto"/>
                    </w:rPr>
                  </w:pPr>
                  <w:r>
                    <w:rPr>
                      <w:rFonts w:hint="eastAsia"/>
                      <w:color w:val="auto"/>
                    </w:rPr>
                    <w:t>32.2</w:t>
                  </w:r>
                </w:p>
              </w:tc>
              <w:tc>
                <w:tcPr>
                  <w:tcW w:w="967" w:type="dxa"/>
                  <w:tcBorders>
                    <w:tl2br w:val="nil"/>
                    <w:tr2bl w:val="nil"/>
                  </w:tcBorders>
                  <w:vAlign w:val="center"/>
                </w:tcPr>
                <w:p w14:paraId="1F6BB531">
                  <w:pPr>
                    <w:pStyle w:val="54"/>
                    <w:rPr>
                      <w:color w:val="auto"/>
                    </w:rPr>
                  </w:pPr>
                  <w:r>
                    <w:rPr>
                      <w:rFonts w:hint="eastAsia"/>
                      <w:color w:val="auto"/>
                    </w:rPr>
                    <w:t>33.7</w:t>
                  </w:r>
                </w:p>
              </w:tc>
              <w:tc>
                <w:tcPr>
                  <w:tcW w:w="758" w:type="dxa"/>
                  <w:tcBorders>
                    <w:tl2br w:val="nil"/>
                    <w:tr2bl w:val="nil"/>
                  </w:tcBorders>
                  <w:vAlign w:val="center"/>
                </w:tcPr>
                <w:p w14:paraId="2A2BFF0D">
                  <w:pPr>
                    <w:pStyle w:val="54"/>
                    <w:rPr>
                      <w:color w:val="auto"/>
                    </w:rPr>
                  </w:pPr>
                  <w:r>
                    <w:rPr>
                      <w:color w:val="auto"/>
                    </w:rPr>
                    <w:t>≤</w:t>
                  </w:r>
                  <w:r>
                    <w:rPr>
                      <w:rFonts w:hint="eastAsia"/>
                      <w:color w:val="auto"/>
                    </w:rPr>
                    <w:t>40</w:t>
                  </w:r>
                </w:p>
              </w:tc>
              <w:tc>
                <w:tcPr>
                  <w:tcW w:w="741" w:type="dxa"/>
                  <w:tcBorders>
                    <w:tl2br w:val="nil"/>
                    <w:tr2bl w:val="nil"/>
                  </w:tcBorders>
                  <w:vAlign w:val="center"/>
                </w:tcPr>
                <w:p w14:paraId="17093C88">
                  <w:pPr>
                    <w:pStyle w:val="54"/>
                    <w:rPr>
                      <w:color w:val="auto"/>
                    </w:rPr>
                  </w:pPr>
                  <w:r>
                    <w:rPr>
                      <w:color w:val="auto"/>
                    </w:rPr>
                    <w:t>达标</w:t>
                  </w:r>
                </w:p>
              </w:tc>
            </w:tr>
            <w:tr w14:paraId="1DA395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8" w:type="dxa"/>
                  <w:vMerge w:val="continue"/>
                  <w:tcBorders>
                    <w:tl2br w:val="nil"/>
                    <w:tr2bl w:val="nil"/>
                  </w:tcBorders>
                  <w:vAlign w:val="center"/>
                </w:tcPr>
                <w:p w14:paraId="23825775">
                  <w:pPr>
                    <w:pStyle w:val="54"/>
                    <w:rPr>
                      <w:color w:val="auto"/>
                    </w:rPr>
                  </w:pPr>
                </w:p>
              </w:tc>
              <w:tc>
                <w:tcPr>
                  <w:tcW w:w="959" w:type="dxa"/>
                  <w:vMerge w:val="continue"/>
                  <w:tcBorders>
                    <w:tl2br w:val="nil"/>
                    <w:tr2bl w:val="nil"/>
                  </w:tcBorders>
                  <w:vAlign w:val="center"/>
                </w:tcPr>
                <w:p w14:paraId="51B595DC">
                  <w:pPr>
                    <w:pStyle w:val="54"/>
                    <w:rPr>
                      <w:color w:val="auto"/>
                    </w:rPr>
                  </w:pPr>
                </w:p>
              </w:tc>
              <w:tc>
                <w:tcPr>
                  <w:tcW w:w="1418" w:type="dxa"/>
                  <w:tcBorders>
                    <w:tl2br w:val="nil"/>
                    <w:tr2bl w:val="nil"/>
                  </w:tcBorders>
                  <w:vAlign w:val="center"/>
                </w:tcPr>
                <w:p w14:paraId="1A706EEA">
                  <w:pPr>
                    <w:pStyle w:val="54"/>
                    <w:rPr>
                      <w:color w:val="auto"/>
                    </w:rPr>
                  </w:pPr>
                  <w:r>
                    <w:rPr>
                      <w:rFonts w:hint="eastAsia"/>
                      <w:color w:val="auto"/>
                    </w:rPr>
                    <w:t>动植物油</w:t>
                  </w:r>
                </w:p>
              </w:tc>
              <w:tc>
                <w:tcPr>
                  <w:tcW w:w="964" w:type="dxa"/>
                  <w:tcBorders>
                    <w:tl2br w:val="nil"/>
                    <w:tr2bl w:val="nil"/>
                  </w:tcBorders>
                  <w:vAlign w:val="center"/>
                </w:tcPr>
                <w:p w14:paraId="009FB9EA">
                  <w:pPr>
                    <w:pStyle w:val="54"/>
                    <w:rPr>
                      <w:color w:val="auto"/>
                    </w:rPr>
                  </w:pPr>
                  <w:r>
                    <w:rPr>
                      <w:rFonts w:hint="eastAsia"/>
                      <w:color w:val="auto"/>
                    </w:rPr>
                    <w:t>13.5</w:t>
                  </w:r>
                </w:p>
              </w:tc>
              <w:tc>
                <w:tcPr>
                  <w:tcW w:w="964" w:type="dxa"/>
                  <w:tcBorders>
                    <w:tl2br w:val="nil"/>
                    <w:tr2bl w:val="nil"/>
                  </w:tcBorders>
                  <w:vAlign w:val="center"/>
                </w:tcPr>
                <w:p w14:paraId="137F57F9">
                  <w:pPr>
                    <w:pStyle w:val="54"/>
                    <w:rPr>
                      <w:color w:val="auto"/>
                    </w:rPr>
                  </w:pPr>
                  <w:r>
                    <w:rPr>
                      <w:rFonts w:hint="eastAsia"/>
                      <w:color w:val="auto"/>
                    </w:rPr>
                    <w:t>14.4</w:t>
                  </w:r>
                </w:p>
              </w:tc>
              <w:tc>
                <w:tcPr>
                  <w:tcW w:w="964" w:type="dxa"/>
                  <w:tcBorders>
                    <w:tl2br w:val="nil"/>
                    <w:tr2bl w:val="nil"/>
                  </w:tcBorders>
                  <w:vAlign w:val="center"/>
                </w:tcPr>
                <w:p w14:paraId="619565CD">
                  <w:pPr>
                    <w:pStyle w:val="54"/>
                    <w:rPr>
                      <w:color w:val="auto"/>
                    </w:rPr>
                  </w:pPr>
                  <w:r>
                    <w:rPr>
                      <w:rFonts w:hint="eastAsia"/>
                      <w:color w:val="auto"/>
                    </w:rPr>
                    <w:t>13.7</w:t>
                  </w:r>
                </w:p>
              </w:tc>
              <w:tc>
                <w:tcPr>
                  <w:tcW w:w="967" w:type="dxa"/>
                  <w:tcBorders>
                    <w:tl2br w:val="nil"/>
                    <w:tr2bl w:val="nil"/>
                  </w:tcBorders>
                  <w:vAlign w:val="center"/>
                </w:tcPr>
                <w:p w14:paraId="7A15279A">
                  <w:pPr>
                    <w:pStyle w:val="54"/>
                    <w:rPr>
                      <w:color w:val="auto"/>
                    </w:rPr>
                  </w:pPr>
                  <w:r>
                    <w:rPr>
                      <w:rFonts w:hint="eastAsia"/>
                      <w:color w:val="auto"/>
                    </w:rPr>
                    <w:t>14.1</w:t>
                  </w:r>
                </w:p>
              </w:tc>
              <w:tc>
                <w:tcPr>
                  <w:tcW w:w="758" w:type="dxa"/>
                  <w:tcBorders>
                    <w:tl2br w:val="nil"/>
                    <w:tr2bl w:val="nil"/>
                  </w:tcBorders>
                  <w:vAlign w:val="center"/>
                </w:tcPr>
                <w:p w14:paraId="31FD3BF6">
                  <w:pPr>
                    <w:pStyle w:val="54"/>
                    <w:rPr>
                      <w:color w:val="auto"/>
                    </w:rPr>
                  </w:pPr>
                  <w:r>
                    <w:rPr>
                      <w:color w:val="auto"/>
                    </w:rPr>
                    <w:t>≤</w:t>
                  </w:r>
                  <w:r>
                    <w:rPr>
                      <w:rFonts w:hint="eastAsia"/>
                      <w:color w:val="auto"/>
                    </w:rPr>
                    <w:t>100</w:t>
                  </w:r>
                </w:p>
              </w:tc>
              <w:tc>
                <w:tcPr>
                  <w:tcW w:w="741" w:type="dxa"/>
                  <w:tcBorders>
                    <w:tl2br w:val="nil"/>
                    <w:tr2bl w:val="nil"/>
                  </w:tcBorders>
                  <w:vAlign w:val="center"/>
                </w:tcPr>
                <w:p w14:paraId="68F18235">
                  <w:pPr>
                    <w:pStyle w:val="54"/>
                    <w:rPr>
                      <w:color w:val="auto"/>
                    </w:rPr>
                  </w:pPr>
                  <w:r>
                    <w:rPr>
                      <w:color w:val="auto"/>
                    </w:rPr>
                    <w:t>达标</w:t>
                  </w:r>
                </w:p>
              </w:tc>
            </w:tr>
          </w:tbl>
          <w:p w14:paraId="58E641A1">
            <w:pPr>
              <w:pStyle w:val="50"/>
              <w:ind w:firstLine="482"/>
              <w:rPr>
                <w:b/>
                <w:bCs/>
                <w:color w:val="auto"/>
              </w:rPr>
            </w:pPr>
            <w:r>
              <w:rPr>
                <w:rFonts w:hint="eastAsia"/>
                <w:b/>
                <w:bCs/>
                <w:color w:val="auto"/>
              </w:rPr>
              <w:t>③</w:t>
            </w:r>
            <w:r>
              <w:rPr>
                <w:b/>
                <w:bCs/>
                <w:color w:val="auto"/>
              </w:rPr>
              <w:t>噪声</w:t>
            </w:r>
          </w:p>
          <w:p w14:paraId="08F58FA7">
            <w:pPr>
              <w:pStyle w:val="50"/>
              <w:ind w:firstLine="480"/>
              <w:rPr>
                <w:color w:val="auto"/>
              </w:rPr>
            </w:pPr>
            <w:r>
              <w:rPr>
                <w:color w:val="auto"/>
              </w:rPr>
              <w:t>现有项目</w:t>
            </w:r>
            <w:r>
              <w:rPr>
                <w:rFonts w:hint="eastAsia"/>
                <w:color w:val="auto"/>
              </w:rPr>
              <w:t>采用设备</w:t>
            </w:r>
            <w:r>
              <w:rPr>
                <w:color w:val="auto"/>
              </w:rPr>
              <w:t>合理化布局</w:t>
            </w:r>
            <w:r>
              <w:rPr>
                <w:rFonts w:hint="eastAsia"/>
                <w:color w:val="auto"/>
              </w:rPr>
              <w:t>、选用低噪声设备、厂房隔声等措施</w:t>
            </w:r>
            <w:r>
              <w:rPr>
                <w:color w:val="auto"/>
              </w:rPr>
              <w:t>减少噪声对环境的影响。</w:t>
            </w:r>
          </w:p>
          <w:p w14:paraId="386A306E">
            <w:pPr>
              <w:pStyle w:val="50"/>
              <w:ind w:firstLine="480"/>
              <w:rPr>
                <w:color w:val="auto"/>
              </w:rPr>
            </w:pPr>
            <w:r>
              <w:rPr>
                <w:color w:val="auto"/>
              </w:rPr>
              <w:t>根据</w:t>
            </w:r>
            <w:r>
              <w:rPr>
                <w:rFonts w:hint="eastAsia"/>
                <w:color w:val="auto"/>
              </w:rPr>
              <w:t>验收</w:t>
            </w:r>
            <w:r>
              <w:rPr>
                <w:color w:val="auto"/>
              </w:rPr>
              <w:t>检测报告</w:t>
            </w:r>
            <w:r>
              <w:rPr>
                <w:rFonts w:hint="eastAsia"/>
                <w:color w:val="auto"/>
              </w:rPr>
              <w:t>（</w:t>
            </w:r>
            <w:r>
              <w:rPr>
                <w:color w:val="auto"/>
              </w:rPr>
              <w:t>检测</w:t>
            </w:r>
            <w:r>
              <w:rPr>
                <w:rFonts w:hint="eastAsia"/>
                <w:color w:val="auto"/>
              </w:rPr>
              <w:t>公司为宿迁爱迪信环境科技有限公司、</w:t>
            </w:r>
            <w:r>
              <w:rPr>
                <w:color w:val="auto"/>
              </w:rPr>
              <w:t>检测</w:t>
            </w:r>
            <w:r>
              <w:rPr>
                <w:rFonts w:hint="eastAsia"/>
                <w:color w:val="auto"/>
              </w:rPr>
              <w:t>时间为2025.04.19~2025.04.20、报告编号为SQADT250419002）</w:t>
            </w:r>
            <w:r>
              <w:rPr>
                <w:color w:val="auto"/>
              </w:rPr>
              <w:t>，现有项目厂界噪声检测结果见</w:t>
            </w:r>
            <w:r>
              <w:rPr>
                <w:color w:val="auto"/>
              </w:rPr>
              <w:fldChar w:fldCharType="begin"/>
            </w:r>
            <w:r>
              <w:rPr>
                <w:color w:val="auto"/>
              </w:rPr>
              <w:instrText xml:space="preserve"> REF _Ref10646 \h </w:instrText>
            </w:r>
            <w:r>
              <w:rPr>
                <w:color w:val="auto"/>
              </w:rPr>
              <w:fldChar w:fldCharType="separate"/>
            </w:r>
            <w:r>
              <w:rPr>
                <w:color w:val="auto"/>
              </w:rPr>
              <w:t>表2- 21</w:t>
            </w:r>
            <w:r>
              <w:rPr>
                <w:color w:val="auto"/>
              </w:rPr>
              <w:fldChar w:fldCharType="end"/>
            </w:r>
            <w:r>
              <w:rPr>
                <w:color w:val="auto"/>
              </w:rPr>
              <w:t>。</w:t>
            </w:r>
          </w:p>
          <w:p w14:paraId="73FC1AA1">
            <w:pPr>
              <w:pStyle w:val="7"/>
              <w:rPr>
                <w:color w:val="auto"/>
              </w:rPr>
            </w:pPr>
            <w:bookmarkStart w:id="66" w:name="_Ref10646"/>
            <w:r>
              <w:rPr>
                <w:color w:val="auto"/>
              </w:rPr>
              <w:t xml:space="preserve">表2- </w:t>
            </w:r>
            <w:r>
              <w:rPr>
                <w:color w:val="auto"/>
              </w:rPr>
              <w:fldChar w:fldCharType="begin"/>
            </w:r>
            <w:r>
              <w:rPr>
                <w:color w:val="auto"/>
              </w:rPr>
              <w:instrText xml:space="preserve"> SEQ 表2- \* ARABIC </w:instrText>
            </w:r>
            <w:r>
              <w:rPr>
                <w:color w:val="auto"/>
              </w:rPr>
              <w:fldChar w:fldCharType="separate"/>
            </w:r>
            <w:r>
              <w:rPr>
                <w:color w:val="auto"/>
              </w:rPr>
              <w:t>21</w:t>
            </w:r>
            <w:r>
              <w:rPr>
                <w:color w:val="auto"/>
              </w:rPr>
              <w:fldChar w:fldCharType="end"/>
            </w:r>
            <w:bookmarkEnd w:id="66"/>
            <w:r>
              <w:rPr>
                <w:color w:val="auto"/>
              </w:rPr>
              <w:t xml:space="preserve"> 厂界噪声</w:t>
            </w:r>
            <w:r>
              <w:rPr>
                <w:rFonts w:hint="eastAsia"/>
                <w:color w:val="auto"/>
              </w:rPr>
              <w:t>检测</w:t>
            </w:r>
            <w:r>
              <w:rPr>
                <w:color w:val="auto"/>
              </w:rPr>
              <w:t>结果（单位：dB(A)）</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646"/>
              <w:gridCol w:w="1550"/>
              <w:gridCol w:w="671"/>
              <w:gridCol w:w="1321"/>
              <w:gridCol w:w="1090"/>
              <w:gridCol w:w="1309"/>
              <w:gridCol w:w="1076"/>
            </w:tblGrid>
            <w:tr w14:paraId="7591A8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56" w:type="pct"/>
                  <w:vMerge w:val="restart"/>
                  <w:tcBorders>
                    <w:tl2br w:val="nil"/>
                    <w:tr2bl w:val="nil"/>
                  </w:tcBorders>
                  <w:vAlign w:val="center"/>
                </w:tcPr>
                <w:p w14:paraId="2F2206B1">
                  <w:pPr>
                    <w:pStyle w:val="52"/>
                    <w:rPr>
                      <w:color w:val="auto"/>
                    </w:rPr>
                  </w:pPr>
                  <w:r>
                    <w:rPr>
                      <w:color w:val="auto"/>
                    </w:rPr>
                    <w:t>监测日期</w:t>
                  </w:r>
                </w:p>
              </w:tc>
              <w:tc>
                <w:tcPr>
                  <w:tcW w:w="383" w:type="pct"/>
                  <w:vMerge w:val="restart"/>
                  <w:tcBorders>
                    <w:tl2br w:val="nil"/>
                    <w:tr2bl w:val="nil"/>
                  </w:tcBorders>
                  <w:vAlign w:val="center"/>
                </w:tcPr>
                <w:p w14:paraId="4A78259A">
                  <w:pPr>
                    <w:pStyle w:val="52"/>
                    <w:rPr>
                      <w:color w:val="auto"/>
                    </w:rPr>
                  </w:pPr>
                  <w:r>
                    <w:rPr>
                      <w:color w:val="auto"/>
                    </w:rPr>
                    <w:t>测点编号</w:t>
                  </w:r>
                </w:p>
              </w:tc>
              <w:tc>
                <w:tcPr>
                  <w:tcW w:w="919" w:type="pct"/>
                  <w:vMerge w:val="restart"/>
                  <w:tcBorders>
                    <w:tl2br w:val="nil"/>
                    <w:tr2bl w:val="nil"/>
                  </w:tcBorders>
                  <w:vAlign w:val="center"/>
                </w:tcPr>
                <w:p w14:paraId="5A34D4DB">
                  <w:pPr>
                    <w:pStyle w:val="52"/>
                    <w:rPr>
                      <w:color w:val="auto"/>
                    </w:rPr>
                  </w:pPr>
                  <w:r>
                    <w:rPr>
                      <w:color w:val="auto"/>
                    </w:rPr>
                    <w:t>测点位置</w:t>
                  </w:r>
                </w:p>
              </w:tc>
              <w:tc>
                <w:tcPr>
                  <w:tcW w:w="396" w:type="pct"/>
                  <w:vMerge w:val="restart"/>
                  <w:tcBorders>
                    <w:tl2br w:val="nil"/>
                    <w:tr2bl w:val="nil"/>
                  </w:tcBorders>
                  <w:vAlign w:val="center"/>
                </w:tcPr>
                <w:p w14:paraId="23928B9E">
                  <w:pPr>
                    <w:pStyle w:val="52"/>
                    <w:rPr>
                      <w:color w:val="auto"/>
                    </w:rPr>
                  </w:pPr>
                  <w:r>
                    <w:rPr>
                      <w:color w:val="auto"/>
                    </w:rPr>
                    <w:t>主要声源</w:t>
                  </w:r>
                </w:p>
              </w:tc>
              <w:tc>
                <w:tcPr>
                  <w:tcW w:w="1429" w:type="pct"/>
                  <w:gridSpan w:val="2"/>
                  <w:tcBorders>
                    <w:tl2br w:val="nil"/>
                    <w:tr2bl w:val="nil"/>
                  </w:tcBorders>
                  <w:vAlign w:val="center"/>
                </w:tcPr>
                <w:p w14:paraId="64541955">
                  <w:pPr>
                    <w:pStyle w:val="52"/>
                    <w:rPr>
                      <w:color w:val="auto"/>
                    </w:rPr>
                  </w:pPr>
                  <w:r>
                    <w:rPr>
                      <w:rFonts w:hint="eastAsia"/>
                      <w:color w:val="auto"/>
                    </w:rPr>
                    <w:t>昼间</w:t>
                  </w:r>
                </w:p>
              </w:tc>
              <w:tc>
                <w:tcPr>
                  <w:tcW w:w="1414" w:type="pct"/>
                  <w:gridSpan w:val="2"/>
                  <w:tcBorders>
                    <w:tl2br w:val="nil"/>
                    <w:tr2bl w:val="nil"/>
                  </w:tcBorders>
                  <w:vAlign w:val="center"/>
                </w:tcPr>
                <w:p w14:paraId="5A8CD538">
                  <w:pPr>
                    <w:pStyle w:val="52"/>
                    <w:rPr>
                      <w:color w:val="auto"/>
                    </w:rPr>
                  </w:pPr>
                  <w:r>
                    <w:rPr>
                      <w:rFonts w:hint="eastAsia"/>
                      <w:color w:val="auto"/>
                    </w:rPr>
                    <w:t>夜间</w:t>
                  </w:r>
                </w:p>
              </w:tc>
            </w:tr>
            <w:tr w14:paraId="5ABB1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56" w:type="pct"/>
                  <w:vMerge w:val="continue"/>
                  <w:tcBorders>
                    <w:tl2br w:val="nil"/>
                    <w:tr2bl w:val="nil"/>
                  </w:tcBorders>
                  <w:vAlign w:val="center"/>
                </w:tcPr>
                <w:p w14:paraId="63E57E47">
                  <w:pPr>
                    <w:pStyle w:val="52"/>
                    <w:rPr>
                      <w:color w:val="auto"/>
                    </w:rPr>
                  </w:pPr>
                </w:p>
              </w:tc>
              <w:tc>
                <w:tcPr>
                  <w:tcW w:w="383" w:type="pct"/>
                  <w:vMerge w:val="continue"/>
                  <w:tcBorders>
                    <w:tl2br w:val="nil"/>
                    <w:tr2bl w:val="nil"/>
                  </w:tcBorders>
                  <w:vAlign w:val="center"/>
                </w:tcPr>
                <w:p w14:paraId="3B5A0528">
                  <w:pPr>
                    <w:pStyle w:val="52"/>
                    <w:rPr>
                      <w:color w:val="auto"/>
                    </w:rPr>
                  </w:pPr>
                </w:p>
              </w:tc>
              <w:tc>
                <w:tcPr>
                  <w:tcW w:w="919" w:type="pct"/>
                  <w:vMerge w:val="continue"/>
                  <w:tcBorders>
                    <w:tl2br w:val="nil"/>
                    <w:tr2bl w:val="nil"/>
                  </w:tcBorders>
                  <w:vAlign w:val="center"/>
                </w:tcPr>
                <w:p w14:paraId="62F8BE18">
                  <w:pPr>
                    <w:pStyle w:val="52"/>
                    <w:rPr>
                      <w:color w:val="auto"/>
                    </w:rPr>
                  </w:pPr>
                </w:p>
              </w:tc>
              <w:tc>
                <w:tcPr>
                  <w:tcW w:w="396" w:type="pct"/>
                  <w:vMerge w:val="continue"/>
                  <w:tcBorders>
                    <w:tl2br w:val="nil"/>
                    <w:tr2bl w:val="nil"/>
                  </w:tcBorders>
                  <w:vAlign w:val="center"/>
                </w:tcPr>
                <w:p w14:paraId="36C407C4">
                  <w:pPr>
                    <w:pStyle w:val="52"/>
                    <w:rPr>
                      <w:color w:val="auto"/>
                    </w:rPr>
                  </w:pPr>
                </w:p>
              </w:tc>
              <w:tc>
                <w:tcPr>
                  <w:tcW w:w="783" w:type="pct"/>
                  <w:tcBorders>
                    <w:tl2br w:val="nil"/>
                    <w:tr2bl w:val="nil"/>
                  </w:tcBorders>
                  <w:vAlign w:val="center"/>
                </w:tcPr>
                <w:p w14:paraId="26C79004">
                  <w:pPr>
                    <w:pStyle w:val="52"/>
                    <w:rPr>
                      <w:color w:val="auto"/>
                    </w:rPr>
                  </w:pPr>
                  <w:r>
                    <w:rPr>
                      <w:color w:val="auto"/>
                    </w:rPr>
                    <w:t>监测时段</w:t>
                  </w:r>
                </w:p>
              </w:tc>
              <w:tc>
                <w:tcPr>
                  <w:tcW w:w="645" w:type="pct"/>
                  <w:tcBorders>
                    <w:tl2br w:val="nil"/>
                    <w:tr2bl w:val="nil"/>
                  </w:tcBorders>
                  <w:vAlign w:val="center"/>
                </w:tcPr>
                <w:p w14:paraId="010B1B9F">
                  <w:pPr>
                    <w:pStyle w:val="52"/>
                    <w:rPr>
                      <w:color w:val="auto"/>
                    </w:rPr>
                  </w:pPr>
                  <w:r>
                    <w:rPr>
                      <w:color w:val="auto"/>
                    </w:rPr>
                    <w:t>监测结果</w:t>
                  </w:r>
                </w:p>
              </w:tc>
              <w:tc>
                <w:tcPr>
                  <w:tcW w:w="776" w:type="pct"/>
                  <w:tcBorders>
                    <w:tl2br w:val="nil"/>
                    <w:tr2bl w:val="nil"/>
                  </w:tcBorders>
                  <w:vAlign w:val="center"/>
                </w:tcPr>
                <w:p w14:paraId="0574D12A">
                  <w:pPr>
                    <w:pStyle w:val="52"/>
                    <w:rPr>
                      <w:color w:val="auto"/>
                    </w:rPr>
                  </w:pPr>
                  <w:r>
                    <w:rPr>
                      <w:color w:val="auto"/>
                    </w:rPr>
                    <w:t>监测时段</w:t>
                  </w:r>
                </w:p>
              </w:tc>
              <w:tc>
                <w:tcPr>
                  <w:tcW w:w="637" w:type="pct"/>
                  <w:tcBorders>
                    <w:tl2br w:val="nil"/>
                    <w:tr2bl w:val="nil"/>
                  </w:tcBorders>
                  <w:vAlign w:val="center"/>
                </w:tcPr>
                <w:p w14:paraId="75374BAF">
                  <w:pPr>
                    <w:pStyle w:val="52"/>
                    <w:rPr>
                      <w:color w:val="auto"/>
                    </w:rPr>
                  </w:pPr>
                  <w:r>
                    <w:rPr>
                      <w:color w:val="auto"/>
                    </w:rPr>
                    <w:t>监测结果</w:t>
                  </w:r>
                </w:p>
              </w:tc>
            </w:tr>
            <w:tr w14:paraId="18A51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456" w:type="pct"/>
                  <w:tcBorders>
                    <w:tl2br w:val="nil"/>
                    <w:tr2bl w:val="nil"/>
                  </w:tcBorders>
                  <w:vAlign w:val="center"/>
                </w:tcPr>
                <w:p w14:paraId="09657AFD">
                  <w:pPr>
                    <w:pStyle w:val="54"/>
                    <w:rPr>
                      <w:color w:val="auto"/>
                    </w:rPr>
                  </w:pPr>
                  <w:r>
                    <w:rPr>
                      <w:rFonts w:hint="eastAsia"/>
                      <w:color w:val="auto"/>
                    </w:rPr>
                    <w:t>2025.04.19</w:t>
                  </w:r>
                </w:p>
              </w:tc>
              <w:tc>
                <w:tcPr>
                  <w:tcW w:w="383" w:type="pct"/>
                  <w:tcBorders>
                    <w:tl2br w:val="nil"/>
                    <w:tr2bl w:val="nil"/>
                  </w:tcBorders>
                  <w:vAlign w:val="center"/>
                </w:tcPr>
                <w:p w14:paraId="5D7F58B6">
                  <w:pPr>
                    <w:pStyle w:val="54"/>
                    <w:rPr>
                      <w:color w:val="auto"/>
                    </w:rPr>
                  </w:pPr>
                  <w:r>
                    <w:rPr>
                      <w:color w:val="auto"/>
                    </w:rPr>
                    <w:t>N1</w:t>
                  </w:r>
                </w:p>
              </w:tc>
              <w:tc>
                <w:tcPr>
                  <w:tcW w:w="919" w:type="pct"/>
                  <w:tcBorders>
                    <w:tl2br w:val="nil"/>
                    <w:tr2bl w:val="nil"/>
                  </w:tcBorders>
                  <w:vAlign w:val="center"/>
                </w:tcPr>
                <w:p w14:paraId="7F83F716">
                  <w:pPr>
                    <w:pStyle w:val="54"/>
                    <w:rPr>
                      <w:color w:val="auto"/>
                    </w:rPr>
                  </w:pPr>
                  <w:r>
                    <w:rPr>
                      <w:color w:val="auto"/>
                    </w:rPr>
                    <w:t>厂界外</w:t>
                  </w:r>
                  <w:r>
                    <w:rPr>
                      <w:rFonts w:hint="eastAsia"/>
                      <w:color w:val="auto"/>
                    </w:rPr>
                    <w:t>北</w:t>
                  </w:r>
                  <w:r>
                    <w:rPr>
                      <w:color w:val="auto"/>
                    </w:rPr>
                    <w:t>1</w:t>
                  </w:r>
                  <w:r>
                    <w:rPr>
                      <w:rFonts w:hint="eastAsia"/>
                      <w:color w:val="auto"/>
                    </w:rPr>
                    <w:t>m</w:t>
                  </w:r>
                  <w:r>
                    <w:rPr>
                      <w:color w:val="auto"/>
                    </w:rPr>
                    <w:t>处</w:t>
                  </w:r>
                </w:p>
              </w:tc>
              <w:tc>
                <w:tcPr>
                  <w:tcW w:w="396" w:type="pct"/>
                  <w:vMerge w:val="restart"/>
                  <w:tcBorders>
                    <w:tl2br w:val="nil"/>
                    <w:tr2bl w:val="nil"/>
                  </w:tcBorders>
                  <w:vAlign w:val="center"/>
                </w:tcPr>
                <w:p w14:paraId="5A91308D">
                  <w:pPr>
                    <w:pStyle w:val="54"/>
                    <w:rPr>
                      <w:color w:val="auto"/>
                    </w:rPr>
                  </w:pPr>
                  <w:r>
                    <w:rPr>
                      <w:color w:val="auto"/>
                    </w:rPr>
                    <w:t>生产噪声</w:t>
                  </w:r>
                </w:p>
              </w:tc>
              <w:tc>
                <w:tcPr>
                  <w:tcW w:w="783" w:type="pct"/>
                  <w:tcBorders>
                    <w:tl2br w:val="nil"/>
                    <w:tr2bl w:val="nil"/>
                  </w:tcBorders>
                  <w:vAlign w:val="center"/>
                </w:tcPr>
                <w:p w14:paraId="345CC72B">
                  <w:pPr>
                    <w:pStyle w:val="54"/>
                    <w:rPr>
                      <w:color w:val="auto"/>
                    </w:rPr>
                  </w:pPr>
                  <w:r>
                    <w:rPr>
                      <w:rFonts w:hint="eastAsia"/>
                      <w:color w:val="auto"/>
                    </w:rPr>
                    <w:t>17:35~17:40</w:t>
                  </w:r>
                </w:p>
              </w:tc>
              <w:tc>
                <w:tcPr>
                  <w:tcW w:w="645" w:type="pct"/>
                  <w:tcBorders>
                    <w:tl2br w:val="nil"/>
                    <w:tr2bl w:val="nil"/>
                  </w:tcBorders>
                  <w:vAlign w:val="center"/>
                </w:tcPr>
                <w:p w14:paraId="0D556593">
                  <w:pPr>
                    <w:pStyle w:val="54"/>
                    <w:rPr>
                      <w:color w:val="auto"/>
                    </w:rPr>
                  </w:pPr>
                  <w:r>
                    <w:rPr>
                      <w:rFonts w:hint="eastAsia"/>
                      <w:color w:val="auto"/>
                    </w:rPr>
                    <w:t>61.4</w:t>
                  </w:r>
                </w:p>
              </w:tc>
              <w:tc>
                <w:tcPr>
                  <w:tcW w:w="776" w:type="pct"/>
                  <w:tcBorders>
                    <w:tl2br w:val="nil"/>
                    <w:tr2bl w:val="nil"/>
                  </w:tcBorders>
                  <w:vAlign w:val="center"/>
                </w:tcPr>
                <w:p w14:paraId="6A8D32A2">
                  <w:pPr>
                    <w:pStyle w:val="54"/>
                    <w:rPr>
                      <w:color w:val="auto"/>
                    </w:rPr>
                  </w:pPr>
                  <w:r>
                    <w:rPr>
                      <w:rFonts w:hint="eastAsia"/>
                      <w:color w:val="auto"/>
                    </w:rPr>
                    <w:t>22:11~226:1</w:t>
                  </w:r>
                </w:p>
              </w:tc>
              <w:tc>
                <w:tcPr>
                  <w:tcW w:w="637" w:type="pct"/>
                  <w:tcBorders>
                    <w:tl2br w:val="nil"/>
                    <w:tr2bl w:val="nil"/>
                  </w:tcBorders>
                  <w:vAlign w:val="center"/>
                </w:tcPr>
                <w:p w14:paraId="40055C2F">
                  <w:pPr>
                    <w:pStyle w:val="54"/>
                    <w:rPr>
                      <w:color w:val="auto"/>
                    </w:rPr>
                  </w:pPr>
                  <w:r>
                    <w:rPr>
                      <w:rFonts w:hint="eastAsia"/>
                      <w:color w:val="auto"/>
                    </w:rPr>
                    <w:t>50.3</w:t>
                  </w:r>
                </w:p>
              </w:tc>
            </w:tr>
            <w:tr w14:paraId="79D60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56" w:type="pct"/>
                  <w:tcBorders>
                    <w:tl2br w:val="nil"/>
                    <w:tr2bl w:val="nil"/>
                  </w:tcBorders>
                  <w:vAlign w:val="center"/>
                </w:tcPr>
                <w:p w14:paraId="1B582E56">
                  <w:pPr>
                    <w:pStyle w:val="54"/>
                    <w:rPr>
                      <w:color w:val="auto"/>
                    </w:rPr>
                  </w:pPr>
                  <w:r>
                    <w:rPr>
                      <w:rFonts w:hint="eastAsia"/>
                      <w:color w:val="auto"/>
                    </w:rPr>
                    <w:t>2025.04.20</w:t>
                  </w:r>
                </w:p>
              </w:tc>
              <w:tc>
                <w:tcPr>
                  <w:tcW w:w="383" w:type="pct"/>
                  <w:tcBorders>
                    <w:tl2br w:val="nil"/>
                    <w:tr2bl w:val="nil"/>
                  </w:tcBorders>
                  <w:vAlign w:val="center"/>
                </w:tcPr>
                <w:p w14:paraId="62F0DD5F">
                  <w:pPr>
                    <w:pStyle w:val="54"/>
                    <w:rPr>
                      <w:color w:val="auto"/>
                    </w:rPr>
                  </w:pPr>
                  <w:r>
                    <w:rPr>
                      <w:color w:val="auto"/>
                    </w:rPr>
                    <w:t>N1</w:t>
                  </w:r>
                </w:p>
              </w:tc>
              <w:tc>
                <w:tcPr>
                  <w:tcW w:w="919" w:type="pct"/>
                  <w:tcBorders>
                    <w:tl2br w:val="nil"/>
                    <w:tr2bl w:val="nil"/>
                  </w:tcBorders>
                  <w:vAlign w:val="center"/>
                </w:tcPr>
                <w:p w14:paraId="79E06058">
                  <w:pPr>
                    <w:pStyle w:val="54"/>
                    <w:rPr>
                      <w:color w:val="auto"/>
                    </w:rPr>
                  </w:pPr>
                  <w:r>
                    <w:rPr>
                      <w:color w:val="auto"/>
                    </w:rPr>
                    <w:t>厂界外</w:t>
                  </w:r>
                  <w:r>
                    <w:rPr>
                      <w:rFonts w:hint="eastAsia"/>
                      <w:color w:val="auto"/>
                    </w:rPr>
                    <w:t>北</w:t>
                  </w:r>
                  <w:r>
                    <w:rPr>
                      <w:color w:val="auto"/>
                    </w:rPr>
                    <w:t>1</w:t>
                  </w:r>
                  <w:r>
                    <w:rPr>
                      <w:rFonts w:hint="eastAsia"/>
                      <w:color w:val="auto"/>
                    </w:rPr>
                    <w:t>m</w:t>
                  </w:r>
                  <w:r>
                    <w:rPr>
                      <w:color w:val="auto"/>
                    </w:rPr>
                    <w:t>处</w:t>
                  </w:r>
                </w:p>
              </w:tc>
              <w:tc>
                <w:tcPr>
                  <w:tcW w:w="396" w:type="pct"/>
                  <w:vMerge w:val="continue"/>
                  <w:tcBorders>
                    <w:tl2br w:val="nil"/>
                    <w:tr2bl w:val="nil"/>
                  </w:tcBorders>
                  <w:vAlign w:val="center"/>
                </w:tcPr>
                <w:p w14:paraId="15B207E2">
                  <w:pPr>
                    <w:pStyle w:val="54"/>
                    <w:rPr>
                      <w:color w:val="auto"/>
                    </w:rPr>
                  </w:pPr>
                </w:p>
              </w:tc>
              <w:tc>
                <w:tcPr>
                  <w:tcW w:w="783" w:type="pct"/>
                  <w:tcBorders>
                    <w:tl2br w:val="nil"/>
                    <w:tr2bl w:val="nil"/>
                  </w:tcBorders>
                  <w:vAlign w:val="center"/>
                </w:tcPr>
                <w:p w14:paraId="0AAD2A96">
                  <w:pPr>
                    <w:pStyle w:val="54"/>
                    <w:rPr>
                      <w:color w:val="auto"/>
                    </w:rPr>
                  </w:pPr>
                  <w:r>
                    <w:rPr>
                      <w:rFonts w:hint="eastAsia"/>
                      <w:color w:val="auto"/>
                    </w:rPr>
                    <w:t>16:50~16:55</w:t>
                  </w:r>
                </w:p>
              </w:tc>
              <w:tc>
                <w:tcPr>
                  <w:tcW w:w="645" w:type="pct"/>
                  <w:tcBorders>
                    <w:tl2br w:val="nil"/>
                    <w:tr2bl w:val="nil"/>
                  </w:tcBorders>
                  <w:vAlign w:val="center"/>
                </w:tcPr>
                <w:p w14:paraId="42C9FCB4">
                  <w:pPr>
                    <w:pStyle w:val="54"/>
                    <w:rPr>
                      <w:color w:val="auto"/>
                    </w:rPr>
                  </w:pPr>
                  <w:r>
                    <w:rPr>
                      <w:rFonts w:hint="eastAsia"/>
                      <w:color w:val="auto"/>
                    </w:rPr>
                    <w:t>59.9</w:t>
                  </w:r>
                </w:p>
              </w:tc>
              <w:tc>
                <w:tcPr>
                  <w:tcW w:w="776" w:type="pct"/>
                  <w:tcBorders>
                    <w:tl2br w:val="nil"/>
                    <w:tr2bl w:val="nil"/>
                  </w:tcBorders>
                  <w:vAlign w:val="center"/>
                </w:tcPr>
                <w:p w14:paraId="3E525348">
                  <w:pPr>
                    <w:pStyle w:val="54"/>
                    <w:rPr>
                      <w:color w:val="auto"/>
                    </w:rPr>
                  </w:pPr>
                  <w:r>
                    <w:rPr>
                      <w:rFonts w:hint="eastAsia"/>
                      <w:color w:val="auto"/>
                    </w:rPr>
                    <w:t>22:00~22:05</w:t>
                  </w:r>
                </w:p>
              </w:tc>
              <w:tc>
                <w:tcPr>
                  <w:tcW w:w="637" w:type="pct"/>
                  <w:tcBorders>
                    <w:tl2br w:val="nil"/>
                    <w:tr2bl w:val="nil"/>
                  </w:tcBorders>
                  <w:vAlign w:val="center"/>
                </w:tcPr>
                <w:p w14:paraId="1076C14A">
                  <w:pPr>
                    <w:pStyle w:val="54"/>
                    <w:rPr>
                      <w:color w:val="auto"/>
                    </w:rPr>
                  </w:pPr>
                  <w:r>
                    <w:rPr>
                      <w:rFonts w:hint="eastAsia"/>
                      <w:color w:val="auto"/>
                    </w:rPr>
                    <w:t>51.3</w:t>
                  </w:r>
                </w:p>
              </w:tc>
            </w:tr>
            <w:tr w14:paraId="780EC7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2156" w:type="pct"/>
                  <w:gridSpan w:val="4"/>
                  <w:tcBorders>
                    <w:tl2br w:val="nil"/>
                    <w:tr2bl w:val="nil"/>
                  </w:tcBorders>
                  <w:vAlign w:val="center"/>
                </w:tcPr>
                <w:p w14:paraId="19F7A4ED">
                  <w:pPr>
                    <w:pStyle w:val="52"/>
                    <w:rPr>
                      <w:color w:val="auto"/>
                    </w:rPr>
                  </w:pPr>
                  <w:r>
                    <w:rPr>
                      <w:rFonts w:hint="eastAsia"/>
                      <w:color w:val="auto"/>
                    </w:rPr>
                    <w:t>标准值</w:t>
                  </w:r>
                </w:p>
              </w:tc>
              <w:tc>
                <w:tcPr>
                  <w:tcW w:w="1429" w:type="pct"/>
                  <w:gridSpan w:val="2"/>
                  <w:tcBorders>
                    <w:tl2br w:val="nil"/>
                    <w:tr2bl w:val="nil"/>
                  </w:tcBorders>
                  <w:shd w:val="clear" w:color="auto" w:fill="auto"/>
                  <w:vAlign w:val="center"/>
                </w:tcPr>
                <w:p w14:paraId="18F434AC">
                  <w:pPr>
                    <w:pStyle w:val="52"/>
                    <w:rPr>
                      <w:color w:val="auto"/>
                    </w:rPr>
                  </w:pPr>
                  <w:r>
                    <w:rPr>
                      <w:color w:val="auto"/>
                    </w:rPr>
                    <w:t>≤</w:t>
                  </w:r>
                  <w:r>
                    <w:rPr>
                      <w:rFonts w:hint="eastAsia"/>
                      <w:color w:val="auto"/>
                    </w:rPr>
                    <w:t>65</w:t>
                  </w:r>
                </w:p>
              </w:tc>
              <w:tc>
                <w:tcPr>
                  <w:tcW w:w="1414" w:type="pct"/>
                  <w:gridSpan w:val="2"/>
                  <w:tcBorders>
                    <w:tl2br w:val="nil"/>
                    <w:tr2bl w:val="nil"/>
                  </w:tcBorders>
                  <w:shd w:val="clear" w:color="auto" w:fill="auto"/>
                  <w:vAlign w:val="center"/>
                </w:tcPr>
                <w:p w14:paraId="4A3095EB">
                  <w:pPr>
                    <w:pStyle w:val="52"/>
                    <w:rPr>
                      <w:color w:val="auto"/>
                    </w:rPr>
                  </w:pPr>
                  <w:r>
                    <w:rPr>
                      <w:color w:val="auto"/>
                    </w:rPr>
                    <w:t>≤</w:t>
                  </w:r>
                  <w:r>
                    <w:rPr>
                      <w:rFonts w:hint="eastAsia"/>
                      <w:color w:val="auto"/>
                    </w:rPr>
                    <w:t>55</w:t>
                  </w:r>
                </w:p>
              </w:tc>
            </w:tr>
            <w:tr w14:paraId="74D8C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56" w:type="pct"/>
                  <w:gridSpan w:val="4"/>
                  <w:tcBorders>
                    <w:tl2br w:val="nil"/>
                    <w:tr2bl w:val="nil"/>
                  </w:tcBorders>
                  <w:vAlign w:val="center"/>
                </w:tcPr>
                <w:p w14:paraId="7417359B">
                  <w:pPr>
                    <w:pStyle w:val="52"/>
                    <w:rPr>
                      <w:color w:val="auto"/>
                    </w:rPr>
                  </w:pPr>
                  <w:r>
                    <w:rPr>
                      <w:color w:val="auto"/>
                    </w:rPr>
                    <w:t>达标情况</w:t>
                  </w:r>
                </w:p>
              </w:tc>
              <w:tc>
                <w:tcPr>
                  <w:tcW w:w="1429" w:type="pct"/>
                  <w:gridSpan w:val="2"/>
                  <w:tcBorders>
                    <w:tl2br w:val="nil"/>
                    <w:tr2bl w:val="nil"/>
                  </w:tcBorders>
                  <w:shd w:val="clear" w:color="auto" w:fill="auto"/>
                  <w:vAlign w:val="center"/>
                </w:tcPr>
                <w:p w14:paraId="0E74BCB8">
                  <w:pPr>
                    <w:pStyle w:val="52"/>
                    <w:rPr>
                      <w:color w:val="auto"/>
                    </w:rPr>
                  </w:pPr>
                  <w:r>
                    <w:rPr>
                      <w:rFonts w:hint="eastAsia"/>
                      <w:color w:val="auto"/>
                    </w:rPr>
                    <w:t>达标</w:t>
                  </w:r>
                </w:p>
              </w:tc>
              <w:tc>
                <w:tcPr>
                  <w:tcW w:w="1414" w:type="pct"/>
                  <w:gridSpan w:val="2"/>
                  <w:tcBorders>
                    <w:tl2br w:val="nil"/>
                    <w:tr2bl w:val="nil"/>
                  </w:tcBorders>
                  <w:shd w:val="clear" w:color="auto" w:fill="auto"/>
                  <w:vAlign w:val="center"/>
                </w:tcPr>
                <w:p w14:paraId="2889F017">
                  <w:pPr>
                    <w:pStyle w:val="52"/>
                    <w:rPr>
                      <w:color w:val="auto"/>
                    </w:rPr>
                  </w:pPr>
                  <w:r>
                    <w:rPr>
                      <w:rFonts w:hint="eastAsia"/>
                      <w:color w:val="auto"/>
                    </w:rPr>
                    <w:t>达标</w:t>
                  </w:r>
                </w:p>
              </w:tc>
            </w:tr>
          </w:tbl>
          <w:p w14:paraId="1884A324">
            <w:pPr>
              <w:pStyle w:val="50"/>
              <w:ind w:firstLine="482"/>
              <w:rPr>
                <w:b/>
                <w:bCs/>
                <w:color w:val="auto"/>
              </w:rPr>
            </w:pPr>
            <w:r>
              <w:rPr>
                <w:rFonts w:hint="eastAsia"/>
                <w:b/>
                <w:bCs/>
                <w:color w:val="auto"/>
              </w:rPr>
              <w:t>④</w:t>
            </w:r>
            <w:r>
              <w:rPr>
                <w:b/>
                <w:bCs/>
                <w:color w:val="auto"/>
              </w:rPr>
              <w:t>固废</w:t>
            </w:r>
          </w:p>
          <w:p w14:paraId="45B49F04">
            <w:pPr>
              <w:pStyle w:val="50"/>
              <w:ind w:firstLine="480"/>
              <w:rPr>
                <w:color w:val="auto"/>
              </w:rPr>
            </w:pPr>
            <w:r>
              <w:rPr>
                <w:color w:val="auto"/>
              </w:rPr>
              <w:t>现有项目固废产生及处理情况见</w:t>
            </w:r>
            <w:r>
              <w:rPr>
                <w:color w:val="auto"/>
              </w:rPr>
              <w:fldChar w:fldCharType="begin"/>
            </w:r>
            <w:r>
              <w:rPr>
                <w:color w:val="auto"/>
              </w:rPr>
              <w:instrText xml:space="preserve"> REF _Ref10682 \h </w:instrText>
            </w:r>
            <w:r>
              <w:rPr>
                <w:color w:val="auto"/>
              </w:rPr>
              <w:fldChar w:fldCharType="separate"/>
            </w:r>
            <w:r>
              <w:rPr>
                <w:color w:val="auto"/>
              </w:rPr>
              <w:t>表2- 22</w:t>
            </w:r>
            <w:r>
              <w:rPr>
                <w:color w:val="auto"/>
              </w:rPr>
              <w:fldChar w:fldCharType="end"/>
            </w:r>
            <w:r>
              <w:rPr>
                <w:color w:val="auto"/>
              </w:rPr>
              <w:t>。</w:t>
            </w:r>
          </w:p>
          <w:p w14:paraId="1AF66EF3">
            <w:pPr>
              <w:pStyle w:val="7"/>
              <w:rPr>
                <w:color w:val="auto"/>
              </w:rPr>
            </w:pPr>
            <w:bookmarkStart w:id="67" w:name="_Ref10682"/>
            <w:r>
              <w:rPr>
                <w:color w:val="auto"/>
              </w:rPr>
              <w:t xml:space="preserve">表2- </w:t>
            </w:r>
            <w:r>
              <w:rPr>
                <w:color w:val="auto"/>
              </w:rPr>
              <w:fldChar w:fldCharType="begin"/>
            </w:r>
            <w:r>
              <w:rPr>
                <w:color w:val="auto"/>
              </w:rPr>
              <w:instrText xml:space="preserve"> SEQ 表2- \* ARABIC </w:instrText>
            </w:r>
            <w:r>
              <w:rPr>
                <w:color w:val="auto"/>
              </w:rPr>
              <w:fldChar w:fldCharType="separate"/>
            </w:r>
            <w:r>
              <w:rPr>
                <w:color w:val="auto"/>
              </w:rPr>
              <w:t>22</w:t>
            </w:r>
            <w:r>
              <w:rPr>
                <w:color w:val="auto"/>
              </w:rPr>
              <w:fldChar w:fldCharType="end"/>
            </w:r>
            <w:bookmarkEnd w:id="67"/>
            <w:r>
              <w:rPr>
                <w:color w:val="auto"/>
              </w:rPr>
              <w:t xml:space="preserve"> 现有项目固废产生及处理情况一览表</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5"/>
              <w:gridCol w:w="1086"/>
              <w:gridCol w:w="400"/>
              <w:gridCol w:w="700"/>
              <w:gridCol w:w="888"/>
              <w:gridCol w:w="837"/>
              <w:gridCol w:w="1350"/>
              <w:gridCol w:w="2837"/>
            </w:tblGrid>
            <w:tr w14:paraId="1C4E2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335" w:type="dxa"/>
                  <w:tcBorders>
                    <w:tl2br w:val="nil"/>
                    <w:tr2bl w:val="nil"/>
                  </w:tcBorders>
                  <w:vAlign w:val="center"/>
                </w:tcPr>
                <w:p w14:paraId="283CAC16">
                  <w:pPr>
                    <w:pStyle w:val="52"/>
                    <w:rPr>
                      <w:color w:val="auto"/>
                    </w:rPr>
                  </w:pPr>
                  <w:r>
                    <w:rPr>
                      <w:color w:val="auto"/>
                    </w:rPr>
                    <w:t>序号</w:t>
                  </w:r>
                </w:p>
              </w:tc>
              <w:tc>
                <w:tcPr>
                  <w:tcW w:w="1086" w:type="dxa"/>
                  <w:tcBorders>
                    <w:tl2br w:val="nil"/>
                    <w:tr2bl w:val="nil"/>
                  </w:tcBorders>
                  <w:vAlign w:val="center"/>
                </w:tcPr>
                <w:p w14:paraId="590320FB">
                  <w:pPr>
                    <w:pStyle w:val="52"/>
                    <w:rPr>
                      <w:color w:val="auto"/>
                    </w:rPr>
                  </w:pPr>
                  <w:r>
                    <w:rPr>
                      <w:color w:val="auto"/>
                    </w:rPr>
                    <w:t>固体废物名称</w:t>
                  </w:r>
                </w:p>
              </w:tc>
              <w:tc>
                <w:tcPr>
                  <w:tcW w:w="400" w:type="dxa"/>
                  <w:tcBorders>
                    <w:tl2br w:val="nil"/>
                    <w:tr2bl w:val="nil"/>
                  </w:tcBorders>
                  <w:vAlign w:val="center"/>
                </w:tcPr>
                <w:p w14:paraId="0A4F56A7">
                  <w:pPr>
                    <w:pStyle w:val="52"/>
                    <w:rPr>
                      <w:color w:val="auto"/>
                    </w:rPr>
                  </w:pPr>
                  <w:r>
                    <w:rPr>
                      <w:color w:val="auto"/>
                    </w:rPr>
                    <w:t>属性</w:t>
                  </w:r>
                </w:p>
              </w:tc>
              <w:tc>
                <w:tcPr>
                  <w:tcW w:w="700" w:type="dxa"/>
                  <w:tcBorders>
                    <w:tl2br w:val="nil"/>
                    <w:tr2bl w:val="nil"/>
                  </w:tcBorders>
                  <w:vAlign w:val="center"/>
                </w:tcPr>
                <w:p w14:paraId="6C232AA6">
                  <w:pPr>
                    <w:pStyle w:val="52"/>
                    <w:rPr>
                      <w:color w:val="auto"/>
                    </w:rPr>
                  </w:pPr>
                  <w:r>
                    <w:rPr>
                      <w:color w:val="auto"/>
                    </w:rPr>
                    <w:t>形态</w:t>
                  </w:r>
                </w:p>
              </w:tc>
              <w:tc>
                <w:tcPr>
                  <w:tcW w:w="888" w:type="dxa"/>
                  <w:tcBorders>
                    <w:tl2br w:val="nil"/>
                    <w:tr2bl w:val="nil"/>
                  </w:tcBorders>
                  <w:vAlign w:val="center"/>
                </w:tcPr>
                <w:p w14:paraId="717901F2">
                  <w:pPr>
                    <w:pStyle w:val="52"/>
                    <w:rPr>
                      <w:color w:val="auto"/>
                    </w:rPr>
                  </w:pPr>
                  <w:r>
                    <w:rPr>
                      <w:color w:val="auto"/>
                    </w:rPr>
                    <w:t>产生量（t/a）</w:t>
                  </w:r>
                </w:p>
              </w:tc>
              <w:tc>
                <w:tcPr>
                  <w:tcW w:w="837" w:type="dxa"/>
                  <w:tcBorders>
                    <w:tl2br w:val="nil"/>
                    <w:tr2bl w:val="nil"/>
                  </w:tcBorders>
                  <w:vAlign w:val="center"/>
                </w:tcPr>
                <w:p w14:paraId="04447675">
                  <w:pPr>
                    <w:pStyle w:val="52"/>
                    <w:rPr>
                      <w:color w:val="auto"/>
                    </w:rPr>
                  </w:pPr>
                  <w:r>
                    <w:rPr>
                      <w:color w:val="auto"/>
                    </w:rPr>
                    <w:t>废物</w:t>
                  </w:r>
                </w:p>
                <w:p w14:paraId="793697F8">
                  <w:pPr>
                    <w:pStyle w:val="52"/>
                    <w:rPr>
                      <w:color w:val="auto"/>
                    </w:rPr>
                  </w:pPr>
                  <w:r>
                    <w:rPr>
                      <w:color w:val="auto"/>
                    </w:rPr>
                    <w:t>类别</w:t>
                  </w:r>
                </w:p>
              </w:tc>
              <w:tc>
                <w:tcPr>
                  <w:tcW w:w="1350" w:type="dxa"/>
                  <w:tcBorders>
                    <w:tl2br w:val="nil"/>
                    <w:tr2bl w:val="nil"/>
                  </w:tcBorders>
                  <w:vAlign w:val="center"/>
                </w:tcPr>
                <w:p w14:paraId="20292FED">
                  <w:pPr>
                    <w:pStyle w:val="52"/>
                    <w:rPr>
                      <w:color w:val="auto"/>
                    </w:rPr>
                  </w:pPr>
                  <w:r>
                    <w:rPr>
                      <w:color w:val="auto"/>
                    </w:rPr>
                    <w:t>废物代码</w:t>
                  </w:r>
                </w:p>
              </w:tc>
              <w:tc>
                <w:tcPr>
                  <w:tcW w:w="2837" w:type="dxa"/>
                  <w:tcBorders>
                    <w:tl2br w:val="nil"/>
                    <w:tr2bl w:val="nil"/>
                  </w:tcBorders>
                  <w:vAlign w:val="center"/>
                </w:tcPr>
                <w:p w14:paraId="19FF62BE">
                  <w:pPr>
                    <w:pStyle w:val="52"/>
                    <w:rPr>
                      <w:color w:val="auto"/>
                    </w:rPr>
                  </w:pPr>
                  <w:r>
                    <w:rPr>
                      <w:color w:val="auto"/>
                    </w:rPr>
                    <w:t>利用处置方式</w:t>
                  </w:r>
                </w:p>
              </w:tc>
            </w:tr>
            <w:tr w14:paraId="0E5DF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35" w:type="dxa"/>
                  <w:tcBorders>
                    <w:tl2br w:val="nil"/>
                    <w:tr2bl w:val="nil"/>
                  </w:tcBorders>
                  <w:vAlign w:val="center"/>
                </w:tcPr>
                <w:p w14:paraId="430F526D">
                  <w:pPr>
                    <w:pStyle w:val="54"/>
                    <w:bidi w:val="0"/>
                    <w:rPr>
                      <w:color w:val="auto"/>
                    </w:rPr>
                  </w:pPr>
                  <w:r>
                    <w:rPr>
                      <w:rFonts w:hint="eastAsia"/>
                      <w:color w:val="auto"/>
                    </w:rPr>
                    <w:t>1</w:t>
                  </w:r>
                </w:p>
              </w:tc>
              <w:tc>
                <w:tcPr>
                  <w:tcW w:w="1086" w:type="dxa"/>
                  <w:tcBorders>
                    <w:tl2br w:val="nil"/>
                    <w:tr2bl w:val="nil"/>
                  </w:tcBorders>
                  <w:vAlign w:val="center"/>
                </w:tcPr>
                <w:p w14:paraId="1FF1AACF">
                  <w:pPr>
                    <w:pStyle w:val="54"/>
                    <w:bidi w:val="0"/>
                    <w:rPr>
                      <w:color w:val="auto"/>
                    </w:rPr>
                  </w:pPr>
                  <w:r>
                    <w:rPr>
                      <w:rFonts w:hint="eastAsia"/>
                      <w:color w:val="auto"/>
                    </w:rPr>
                    <w:t>炉渣</w:t>
                  </w:r>
                </w:p>
              </w:tc>
              <w:tc>
                <w:tcPr>
                  <w:tcW w:w="400" w:type="dxa"/>
                  <w:vMerge w:val="restart"/>
                  <w:tcBorders>
                    <w:tl2br w:val="nil"/>
                    <w:tr2bl w:val="nil"/>
                  </w:tcBorders>
                  <w:vAlign w:val="center"/>
                </w:tcPr>
                <w:p w14:paraId="4F10F37F">
                  <w:pPr>
                    <w:pStyle w:val="54"/>
                    <w:bidi w:val="0"/>
                    <w:rPr>
                      <w:color w:val="auto"/>
                    </w:rPr>
                  </w:pPr>
                  <w:r>
                    <w:rPr>
                      <w:rFonts w:hint="eastAsia"/>
                      <w:color w:val="auto"/>
                    </w:rPr>
                    <w:t>一般固废</w:t>
                  </w:r>
                </w:p>
              </w:tc>
              <w:tc>
                <w:tcPr>
                  <w:tcW w:w="700" w:type="dxa"/>
                  <w:tcBorders>
                    <w:tl2br w:val="nil"/>
                    <w:tr2bl w:val="nil"/>
                  </w:tcBorders>
                  <w:vAlign w:val="center"/>
                </w:tcPr>
                <w:p w14:paraId="3198A875">
                  <w:pPr>
                    <w:pStyle w:val="54"/>
                    <w:bidi w:val="0"/>
                    <w:rPr>
                      <w:color w:val="auto"/>
                    </w:rPr>
                  </w:pPr>
                  <w:r>
                    <w:rPr>
                      <w:rFonts w:hint="eastAsia"/>
                      <w:color w:val="auto"/>
                    </w:rPr>
                    <w:t>固态</w:t>
                  </w:r>
                </w:p>
              </w:tc>
              <w:tc>
                <w:tcPr>
                  <w:tcW w:w="888" w:type="dxa"/>
                  <w:tcBorders>
                    <w:tl2br w:val="nil"/>
                    <w:tr2bl w:val="nil"/>
                  </w:tcBorders>
                  <w:vAlign w:val="center"/>
                </w:tcPr>
                <w:p w14:paraId="6CF0B0B0">
                  <w:pPr>
                    <w:pStyle w:val="54"/>
                    <w:bidi w:val="0"/>
                    <w:rPr>
                      <w:color w:val="auto"/>
                    </w:rPr>
                  </w:pPr>
                  <w:r>
                    <w:rPr>
                      <w:rFonts w:hint="eastAsia"/>
                      <w:color w:val="auto"/>
                      <w:lang w:val="en-US" w:eastAsia="zh-CN"/>
                    </w:rPr>
                    <w:t>6.5</w:t>
                  </w:r>
                </w:p>
              </w:tc>
              <w:tc>
                <w:tcPr>
                  <w:tcW w:w="837" w:type="dxa"/>
                  <w:tcBorders>
                    <w:tl2br w:val="nil"/>
                    <w:tr2bl w:val="nil"/>
                  </w:tcBorders>
                  <w:vAlign w:val="center"/>
                </w:tcPr>
                <w:p w14:paraId="745EFE33">
                  <w:pPr>
                    <w:pStyle w:val="54"/>
                    <w:bidi w:val="0"/>
                    <w:rPr>
                      <w:color w:val="auto"/>
                    </w:rPr>
                  </w:pPr>
                  <w:r>
                    <w:rPr>
                      <w:color w:val="auto"/>
                    </w:rPr>
                    <w:t>SW01</w:t>
                  </w:r>
                </w:p>
              </w:tc>
              <w:tc>
                <w:tcPr>
                  <w:tcW w:w="1350" w:type="dxa"/>
                  <w:tcBorders>
                    <w:tl2br w:val="nil"/>
                    <w:tr2bl w:val="nil"/>
                  </w:tcBorders>
                  <w:vAlign w:val="center"/>
                </w:tcPr>
                <w:p w14:paraId="7D6B08CB">
                  <w:pPr>
                    <w:pStyle w:val="54"/>
                    <w:bidi w:val="0"/>
                    <w:rPr>
                      <w:color w:val="auto"/>
                    </w:rPr>
                  </w:pPr>
                  <w:r>
                    <w:rPr>
                      <w:color w:val="auto"/>
                    </w:rPr>
                    <w:t>325-001-S01</w:t>
                  </w:r>
                </w:p>
              </w:tc>
              <w:tc>
                <w:tcPr>
                  <w:tcW w:w="2837" w:type="dxa"/>
                  <w:vMerge w:val="restart"/>
                  <w:tcBorders>
                    <w:tl2br w:val="nil"/>
                    <w:tr2bl w:val="nil"/>
                  </w:tcBorders>
                  <w:vAlign w:val="center"/>
                </w:tcPr>
                <w:p w14:paraId="1B36BE73">
                  <w:pPr>
                    <w:pStyle w:val="54"/>
                    <w:rPr>
                      <w:color w:val="auto"/>
                    </w:rPr>
                  </w:pPr>
                  <w:r>
                    <w:rPr>
                      <w:rFonts w:hint="eastAsia"/>
                      <w:color w:val="auto"/>
                    </w:rPr>
                    <w:t>暂存一般固废库，定期外售鹰潭明泰金属材料有限公司综合利用。一般固废库位于2#厂房内西侧，占地面积为30m</w:t>
                  </w:r>
                  <w:r>
                    <w:rPr>
                      <w:rFonts w:hint="eastAsia"/>
                      <w:color w:val="auto"/>
                      <w:vertAlign w:val="superscript"/>
                    </w:rPr>
                    <w:t>2</w:t>
                  </w:r>
                </w:p>
              </w:tc>
            </w:tr>
            <w:tr w14:paraId="45611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35" w:type="dxa"/>
                  <w:tcBorders>
                    <w:tl2br w:val="nil"/>
                    <w:tr2bl w:val="nil"/>
                  </w:tcBorders>
                  <w:vAlign w:val="center"/>
                </w:tcPr>
                <w:p w14:paraId="205B3312">
                  <w:pPr>
                    <w:pStyle w:val="54"/>
                    <w:bidi w:val="0"/>
                    <w:rPr>
                      <w:color w:val="auto"/>
                    </w:rPr>
                  </w:pPr>
                  <w:r>
                    <w:rPr>
                      <w:rFonts w:hint="eastAsia"/>
                      <w:color w:val="auto"/>
                    </w:rPr>
                    <w:t>2</w:t>
                  </w:r>
                </w:p>
              </w:tc>
              <w:tc>
                <w:tcPr>
                  <w:tcW w:w="1086" w:type="dxa"/>
                  <w:tcBorders>
                    <w:tl2br w:val="nil"/>
                    <w:tr2bl w:val="nil"/>
                  </w:tcBorders>
                  <w:vAlign w:val="center"/>
                </w:tcPr>
                <w:p w14:paraId="6A787364">
                  <w:pPr>
                    <w:pStyle w:val="54"/>
                    <w:bidi w:val="0"/>
                    <w:rPr>
                      <w:color w:val="auto"/>
                    </w:rPr>
                  </w:pPr>
                  <w:r>
                    <w:rPr>
                      <w:rFonts w:hint="eastAsia"/>
                      <w:color w:val="auto"/>
                    </w:rPr>
                    <w:t>除尘灰</w:t>
                  </w:r>
                </w:p>
              </w:tc>
              <w:tc>
                <w:tcPr>
                  <w:tcW w:w="400" w:type="dxa"/>
                  <w:vMerge w:val="continue"/>
                  <w:tcBorders>
                    <w:tl2br w:val="nil"/>
                    <w:tr2bl w:val="nil"/>
                  </w:tcBorders>
                  <w:vAlign w:val="center"/>
                </w:tcPr>
                <w:p w14:paraId="58BD8E1F">
                  <w:pPr>
                    <w:pStyle w:val="54"/>
                    <w:bidi w:val="0"/>
                    <w:rPr>
                      <w:color w:val="auto"/>
                    </w:rPr>
                  </w:pPr>
                </w:p>
              </w:tc>
              <w:tc>
                <w:tcPr>
                  <w:tcW w:w="700" w:type="dxa"/>
                  <w:tcBorders>
                    <w:tl2br w:val="nil"/>
                    <w:tr2bl w:val="nil"/>
                  </w:tcBorders>
                  <w:vAlign w:val="center"/>
                </w:tcPr>
                <w:p w14:paraId="1F656434">
                  <w:pPr>
                    <w:pStyle w:val="54"/>
                    <w:bidi w:val="0"/>
                    <w:rPr>
                      <w:color w:val="auto"/>
                    </w:rPr>
                  </w:pPr>
                  <w:r>
                    <w:rPr>
                      <w:rFonts w:hint="eastAsia"/>
                      <w:color w:val="auto"/>
                    </w:rPr>
                    <w:t>固态</w:t>
                  </w:r>
                </w:p>
              </w:tc>
              <w:tc>
                <w:tcPr>
                  <w:tcW w:w="888" w:type="dxa"/>
                  <w:tcBorders>
                    <w:tl2br w:val="nil"/>
                    <w:tr2bl w:val="nil"/>
                  </w:tcBorders>
                  <w:vAlign w:val="center"/>
                </w:tcPr>
                <w:p w14:paraId="01A38914">
                  <w:pPr>
                    <w:pStyle w:val="54"/>
                    <w:bidi w:val="0"/>
                    <w:rPr>
                      <w:color w:val="auto"/>
                    </w:rPr>
                  </w:pPr>
                  <w:r>
                    <w:rPr>
                      <w:rFonts w:hint="eastAsia"/>
                      <w:color w:val="auto"/>
                      <w:lang w:val="en-US" w:eastAsia="zh-CN"/>
                    </w:rPr>
                    <w:t>0.3</w:t>
                  </w:r>
                </w:p>
              </w:tc>
              <w:tc>
                <w:tcPr>
                  <w:tcW w:w="837" w:type="dxa"/>
                  <w:tcBorders>
                    <w:tl2br w:val="nil"/>
                    <w:tr2bl w:val="nil"/>
                  </w:tcBorders>
                  <w:vAlign w:val="center"/>
                </w:tcPr>
                <w:p w14:paraId="38538A5E">
                  <w:pPr>
                    <w:pStyle w:val="54"/>
                    <w:bidi w:val="0"/>
                    <w:rPr>
                      <w:color w:val="auto"/>
                    </w:rPr>
                  </w:pPr>
                  <w:r>
                    <w:rPr>
                      <w:rFonts w:hint="eastAsia"/>
                      <w:color w:val="auto"/>
                    </w:rPr>
                    <w:t>SW59</w:t>
                  </w:r>
                </w:p>
              </w:tc>
              <w:tc>
                <w:tcPr>
                  <w:tcW w:w="1350" w:type="dxa"/>
                  <w:tcBorders>
                    <w:tl2br w:val="nil"/>
                    <w:tr2bl w:val="nil"/>
                  </w:tcBorders>
                  <w:vAlign w:val="center"/>
                </w:tcPr>
                <w:p w14:paraId="02CA920B">
                  <w:pPr>
                    <w:pStyle w:val="54"/>
                    <w:bidi w:val="0"/>
                    <w:rPr>
                      <w:color w:val="auto"/>
                    </w:rPr>
                  </w:pPr>
                  <w:r>
                    <w:rPr>
                      <w:rFonts w:hint="eastAsia"/>
                      <w:color w:val="auto"/>
                    </w:rPr>
                    <w:t>900-099-S59</w:t>
                  </w:r>
                </w:p>
              </w:tc>
              <w:tc>
                <w:tcPr>
                  <w:tcW w:w="2837" w:type="dxa"/>
                  <w:vMerge w:val="continue"/>
                  <w:tcBorders>
                    <w:tl2br w:val="nil"/>
                    <w:tr2bl w:val="nil"/>
                  </w:tcBorders>
                  <w:vAlign w:val="center"/>
                </w:tcPr>
                <w:p w14:paraId="6360CE77">
                  <w:pPr>
                    <w:pStyle w:val="54"/>
                    <w:rPr>
                      <w:color w:val="auto"/>
                    </w:rPr>
                  </w:pPr>
                </w:p>
              </w:tc>
            </w:tr>
            <w:tr w14:paraId="19A86C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35" w:type="dxa"/>
                  <w:tcBorders>
                    <w:tl2br w:val="nil"/>
                    <w:tr2bl w:val="nil"/>
                  </w:tcBorders>
                  <w:vAlign w:val="center"/>
                </w:tcPr>
                <w:p w14:paraId="034CEEAB">
                  <w:pPr>
                    <w:pStyle w:val="54"/>
                    <w:bidi w:val="0"/>
                    <w:rPr>
                      <w:color w:val="auto"/>
                    </w:rPr>
                  </w:pPr>
                  <w:r>
                    <w:rPr>
                      <w:rFonts w:hint="eastAsia"/>
                      <w:color w:val="auto"/>
                    </w:rPr>
                    <w:t>3</w:t>
                  </w:r>
                </w:p>
              </w:tc>
              <w:tc>
                <w:tcPr>
                  <w:tcW w:w="1086" w:type="dxa"/>
                  <w:tcBorders>
                    <w:tl2br w:val="nil"/>
                    <w:tr2bl w:val="nil"/>
                  </w:tcBorders>
                  <w:vAlign w:val="center"/>
                </w:tcPr>
                <w:p w14:paraId="6CFF0210">
                  <w:pPr>
                    <w:pStyle w:val="54"/>
                    <w:bidi w:val="0"/>
                    <w:rPr>
                      <w:color w:val="auto"/>
                    </w:rPr>
                  </w:pPr>
                  <w:r>
                    <w:rPr>
                      <w:rFonts w:hint="eastAsia"/>
                      <w:color w:val="auto"/>
                    </w:rPr>
                    <w:t>废布袋</w:t>
                  </w:r>
                </w:p>
              </w:tc>
              <w:tc>
                <w:tcPr>
                  <w:tcW w:w="400" w:type="dxa"/>
                  <w:vMerge w:val="continue"/>
                  <w:tcBorders>
                    <w:tl2br w:val="nil"/>
                    <w:tr2bl w:val="nil"/>
                  </w:tcBorders>
                  <w:vAlign w:val="center"/>
                </w:tcPr>
                <w:p w14:paraId="70AA947F">
                  <w:pPr>
                    <w:pStyle w:val="54"/>
                    <w:bidi w:val="0"/>
                    <w:rPr>
                      <w:color w:val="auto"/>
                    </w:rPr>
                  </w:pPr>
                </w:p>
              </w:tc>
              <w:tc>
                <w:tcPr>
                  <w:tcW w:w="700" w:type="dxa"/>
                  <w:tcBorders>
                    <w:tl2br w:val="nil"/>
                    <w:tr2bl w:val="nil"/>
                  </w:tcBorders>
                  <w:vAlign w:val="center"/>
                </w:tcPr>
                <w:p w14:paraId="7D00BBFB">
                  <w:pPr>
                    <w:pStyle w:val="54"/>
                    <w:bidi w:val="0"/>
                    <w:rPr>
                      <w:color w:val="auto"/>
                    </w:rPr>
                  </w:pPr>
                  <w:r>
                    <w:rPr>
                      <w:rFonts w:hint="eastAsia"/>
                      <w:color w:val="auto"/>
                    </w:rPr>
                    <w:t>固态</w:t>
                  </w:r>
                </w:p>
              </w:tc>
              <w:tc>
                <w:tcPr>
                  <w:tcW w:w="888" w:type="dxa"/>
                  <w:tcBorders>
                    <w:tl2br w:val="nil"/>
                    <w:tr2bl w:val="nil"/>
                  </w:tcBorders>
                  <w:vAlign w:val="center"/>
                </w:tcPr>
                <w:p w14:paraId="02B982E1">
                  <w:pPr>
                    <w:pStyle w:val="54"/>
                    <w:bidi w:val="0"/>
                    <w:rPr>
                      <w:color w:val="auto"/>
                    </w:rPr>
                  </w:pPr>
                  <w:r>
                    <w:rPr>
                      <w:rFonts w:hint="eastAsia"/>
                      <w:color w:val="auto"/>
                      <w:lang w:val="en-US" w:eastAsia="zh-CN"/>
                    </w:rPr>
                    <w:t>0.05</w:t>
                  </w:r>
                </w:p>
              </w:tc>
              <w:tc>
                <w:tcPr>
                  <w:tcW w:w="837" w:type="dxa"/>
                  <w:tcBorders>
                    <w:tl2br w:val="nil"/>
                    <w:tr2bl w:val="nil"/>
                  </w:tcBorders>
                  <w:vAlign w:val="center"/>
                </w:tcPr>
                <w:p w14:paraId="1187FAAC">
                  <w:pPr>
                    <w:pStyle w:val="54"/>
                    <w:bidi w:val="0"/>
                    <w:rPr>
                      <w:color w:val="auto"/>
                    </w:rPr>
                  </w:pPr>
                  <w:r>
                    <w:rPr>
                      <w:rFonts w:hint="eastAsia"/>
                      <w:color w:val="auto"/>
                    </w:rPr>
                    <w:t>SW59</w:t>
                  </w:r>
                </w:p>
              </w:tc>
              <w:tc>
                <w:tcPr>
                  <w:tcW w:w="1350" w:type="dxa"/>
                  <w:tcBorders>
                    <w:tl2br w:val="nil"/>
                    <w:tr2bl w:val="nil"/>
                  </w:tcBorders>
                  <w:vAlign w:val="center"/>
                </w:tcPr>
                <w:p w14:paraId="30C7CD3B">
                  <w:pPr>
                    <w:pStyle w:val="54"/>
                    <w:bidi w:val="0"/>
                    <w:rPr>
                      <w:color w:val="auto"/>
                    </w:rPr>
                  </w:pPr>
                  <w:r>
                    <w:rPr>
                      <w:rFonts w:hint="eastAsia"/>
                      <w:color w:val="auto"/>
                    </w:rPr>
                    <w:t>900-009-S59</w:t>
                  </w:r>
                </w:p>
              </w:tc>
              <w:tc>
                <w:tcPr>
                  <w:tcW w:w="2837" w:type="dxa"/>
                  <w:vMerge w:val="continue"/>
                  <w:tcBorders>
                    <w:tl2br w:val="nil"/>
                    <w:tr2bl w:val="nil"/>
                  </w:tcBorders>
                  <w:vAlign w:val="center"/>
                </w:tcPr>
                <w:p w14:paraId="0476FDD7">
                  <w:pPr>
                    <w:pStyle w:val="54"/>
                    <w:rPr>
                      <w:color w:val="auto"/>
                    </w:rPr>
                  </w:pPr>
                </w:p>
              </w:tc>
            </w:tr>
            <w:tr w14:paraId="4F12F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jc w:val="center"/>
              </w:trPr>
              <w:tc>
                <w:tcPr>
                  <w:tcW w:w="335" w:type="dxa"/>
                  <w:tcBorders>
                    <w:tl2br w:val="nil"/>
                    <w:tr2bl w:val="nil"/>
                  </w:tcBorders>
                  <w:vAlign w:val="center"/>
                </w:tcPr>
                <w:p w14:paraId="110E752B">
                  <w:pPr>
                    <w:pStyle w:val="54"/>
                    <w:bidi w:val="0"/>
                    <w:rPr>
                      <w:color w:val="auto"/>
                    </w:rPr>
                  </w:pPr>
                  <w:r>
                    <w:rPr>
                      <w:rFonts w:hint="eastAsia"/>
                      <w:color w:val="auto"/>
                    </w:rPr>
                    <w:t>4</w:t>
                  </w:r>
                </w:p>
              </w:tc>
              <w:tc>
                <w:tcPr>
                  <w:tcW w:w="1086" w:type="dxa"/>
                  <w:tcBorders>
                    <w:tl2br w:val="nil"/>
                    <w:tr2bl w:val="nil"/>
                  </w:tcBorders>
                  <w:vAlign w:val="center"/>
                </w:tcPr>
                <w:p w14:paraId="6D30F477">
                  <w:pPr>
                    <w:pStyle w:val="54"/>
                    <w:bidi w:val="0"/>
                    <w:rPr>
                      <w:color w:val="auto"/>
                    </w:rPr>
                  </w:pPr>
                  <w:r>
                    <w:rPr>
                      <w:rFonts w:hint="eastAsia"/>
                      <w:color w:val="auto"/>
                    </w:rPr>
                    <w:t>废液压油</w:t>
                  </w:r>
                </w:p>
              </w:tc>
              <w:tc>
                <w:tcPr>
                  <w:tcW w:w="400" w:type="dxa"/>
                  <w:vMerge w:val="restart"/>
                  <w:tcBorders>
                    <w:tl2br w:val="nil"/>
                    <w:tr2bl w:val="nil"/>
                  </w:tcBorders>
                  <w:vAlign w:val="center"/>
                </w:tcPr>
                <w:p w14:paraId="21278B13">
                  <w:pPr>
                    <w:pStyle w:val="54"/>
                    <w:bidi w:val="0"/>
                    <w:rPr>
                      <w:color w:val="auto"/>
                    </w:rPr>
                  </w:pPr>
                  <w:r>
                    <w:rPr>
                      <w:rFonts w:hint="eastAsia"/>
                      <w:color w:val="auto"/>
                    </w:rPr>
                    <w:t>危险废物</w:t>
                  </w:r>
                </w:p>
              </w:tc>
              <w:tc>
                <w:tcPr>
                  <w:tcW w:w="700" w:type="dxa"/>
                  <w:tcBorders>
                    <w:tl2br w:val="nil"/>
                    <w:tr2bl w:val="nil"/>
                  </w:tcBorders>
                  <w:vAlign w:val="center"/>
                </w:tcPr>
                <w:p w14:paraId="371F30A4">
                  <w:pPr>
                    <w:pStyle w:val="54"/>
                    <w:bidi w:val="0"/>
                    <w:rPr>
                      <w:color w:val="auto"/>
                    </w:rPr>
                  </w:pPr>
                  <w:r>
                    <w:rPr>
                      <w:rFonts w:hint="eastAsia"/>
                      <w:color w:val="auto"/>
                    </w:rPr>
                    <w:t>液态</w:t>
                  </w:r>
                </w:p>
              </w:tc>
              <w:tc>
                <w:tcPr>
                  <w:tcW w:w="888" w:type="dxa"/>
                  <w:tcBorders>
                    <w:tl2br w:val="nil"/>
                    <w:tr2bl w:val="nil"/>
                  </w:tcBorders>
                  <w:vAlign w:val="center"/>
                </w:tcPr>
                <w:p w14:paraId="5F8AAC23">
                  <w:pPr>
                    <w:pStyle w:val="54"/>
                    <w:bidi w:val="0"/>
                    <w:rPr>
                      <w:color w:val="auto"/>
                    </w:rPr>
                  </w:pPr>
                  <w:r>
                    <w:rPr>
                      <w:rFonts w:hint="eastAsia"/>
                      <w:color w:val="auto"/>
                      <w:lang w:val="en-US" w:eastAsia="zh-CN"/>
                    </w:rPr>
                    <w:t>0.01</w:t>
                  </w:r>
                </w:p>
              </w:tc>
              <w:tc>
                <w:tcPr>
                  <w:tcW w:w="837" w:type="dxa"/>
                  <w:tcBorders>
                    <w:tl2br w:val="nil"/>
                    <w:tr2bl w:val="nil"/>
                  </w:tcBorders>
                  <w:vAlign w:val="center"/>
                </w:tcPr>
                <w:p w14:paraId="3261CBC6">
                  <w:pPr>
                    <w:pStyle w:val="54"/>
                    <w:bidi w:val="0"/>
                    <w:rPr>
                      <w:color w:val="auto"/>
                    </w:rPr>
                  </w:pPr>
                  <w:r>
                    <w:rPr>
                      <w:rFonts w:hint="eastAsia"/>
                      <w:color w:val="auto"/>
                    </w:rPr>
                    <w:t>HW08</w:t>
                  </w:r>
                </w:p>
              </w:tc>
              <w:tc>
                <w:tcPr>
                  <w:tcW w:w="1350" w:type="dxa"/>
                  <w:tcBorders>
                    <w:tl2br w:val="nil"/>
                    <w:tr2bl w:val="nil"/>
                  </w:tcBorders>
                  <w:vAlign w:val="center"/>
                </w:tcPr>
                <w:p w14:paraId="36CC90CE">
                  <w:pPr>
                    <w:pStyle w:val="54"/>
                    <w:bidi w:val="0"/>
                    <w:rPr>
                      <w:color w:val="auto"/>
                    </w:rPr>
                  </w:pPr>
                  <w:r>
                    <w:rPr>
                      <w:rFonts w:hint="eastAsia"/>
                      <w:color w:val="auto"/>
                    </w:rPr>
                    <w:t>900-214-08</w:t>
                  </w:r>
                </w:p>
              </w:tc>
              <w:tc>
                <w:tcPr>
                  <w:tcW w:w="2837" w:type="dxa"/>
                  <w:vMerge w:val="restart"/>
                  <w:tcBorders>
                    <w:tl2br w:val="nil"/>
                    <w:tr2bl w:val="nil"/>
                  </w:tcBorders>
                  <w:vAlign w:val="center"/>
                </w:tcPr>
                <w:p w14:paraId="0162466E">
                  <w:pPr>
                    <w:pStyle w:val="54"/>
                    <w:rPr>
                      <w:color w:val="auto"/>
                    </w:rPr>
                  </w:pPr>
                  <w:r>
                    <w:rPr>
                      <w:rFonts w:hint="eastAsia"/>
                      <w:color w:val="auto"/>
                    </w:rPr>
                    <w:t>暂存危废库，定期委托江</w:t>
                  </w:r>
                </w:p>
                <w:p w14:paraId="6686A63F">
                  <w:pPr>
                    <w:pStyle w:val="54"/>
                    <w:rPr>
                      <w:color w:val="auto"/>
                    </w:rPr>
                  </w:pPr>
                  <w:r>
                    <w:rPr>
                      <w:rFonts w:hint="eastAsia"/>
                      <w:color w:val="auto"/>
                    </w:rPr>
                    <w:t>苏云果再生资源利用有</w:t>
                  </w:r>
                </w:p>
                <w:p w14:paraId="52708E1D">
                  <w:pPr>
                    <w:pStyle w:val="54"/>
                    <w:rPr>
                      <w:color w:val="auto"/>
                    </w:rPr>
                  </w:pPr>
                  <w:r>
                    <w:rPr>
                      <w:rFonts w:hint="eastAsia"/>
                      <w:color w:val="auto"/>
                    </w:rPr>
                    <w:t>限公司处置。危废库位于</w:t>
                  </w:r>
                </w:p>
                <w:p w14:paraId="360E79CA">
                  <w:pPr>
                    <w:pStyle w:val="54"/>
                    <w:rPr>
                      <w:color w:val="auto"/>
                    </w:rPr>
                  </w:pPr>
                  <w:r>
                    <w:rPr>
                      <w:rFonts w:hint="eastAsia"/>
                      <w:color w:val="auto"/>
                    </w:rPr>
                    <w:t>厂区东侧，占地面积为10m</w:t>
                  </w:r>
                  <w:r>
                    <w:rPr>
                      <w:rFonts w:hint="eastAsia"/>
                      <w:color w:val="auto"/>
                      <w:vertAlign w:val="superscript"/>
                    </w:rPr>
                    <w:t>2</w:t>
                  </w:r>
                </w:p>
              </w:tc>
            </w:tr>
            <w:tr w14:paraId="3A00E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35" w:type="dxa"/>
                  <w:tcBorders>
                    <w:tl2br w:val="nil"/>
                    <w:tr2bl w:val="nil"/>
                  </w:tcBorders>
                  <w:vAlign w:val="center"/>
                </w:tcPr>
                <w:p w14:paraId="119E56E4">
                  <w:pPr>
                    <w:pStyle w:val="54"/>
                    <w:bidi w:val="0"/>
                    <w:rPr>
                      <w:color w:val="auto"/>
                    </w:rPr>
                  </w:pPr>
                  <w:r>
                    <w:rPr>
                      <w:rFonts w:hint="eastAsia"/>
                      <w:color w:val="auto"/>
                    </w:rPr>
                    <w:t>5</w:t>
                  </w:r>
                </w:p>
              </w:tc>
              <w:tc>
                <w:tcPr>
                  <w:tcW w:w="1086" w:type="dxa"/>
                  <w:tcBorders>
                    <w:tl2br w:val="nil"/>
                    <w:tr2bl w:val="nil"/>
                  </w:tcBorders>
                  <w:vAlign w:val="center"/>
                </w:tcPr>
                <w:p w14:paraId="6AD49B76">
                  <w:pPr>
                    <w:pStyle w:val="54"/>
                    <w:bidi w:val="0"/>
                    <w:rPr>
                      <w:color w:val="auto"/>
                    </w:rPr>
                  </w:pPr>
                  <w:r>
                    <w:rPr>
                      <w:rFonts w:hint="eastAsia"/>
                      <w:color w:val="auto"/>
                    </w:rPr>
                    <w:t>废包装桶</w:t>
                  </w:r>
                </w:p>
              </w:tc>
              <w:tc>
                <w:tcPr>
                  <w:tcW w:w="400" w:type="dxa"/>
                  <w:vMerge w:val="continue"/>
                  <w:tcBorders>
                    <w:tl2br w:val="nil"/>
                    <w:tr2bl w:val="nil"/>
                  </w:tcBorders>
                  <w:vAlign w:val="center"/>
                </w:tcPr>
                <w:p w14:paraId="00974D2B">
                  <w:pPr>
                    <w:pStyle w:val="54"/>
                    <w:bidi w:val="0"/>
                    <w:rPr>
                      <w:color w:val="auto"/>
                    </w:rPr>
                  </w:pPr>
                </w:p>
              </w:tc>
              <w:tc>
                <w:tcPr>
                  <w:tcW w:w="700" w:type="dxa"/>
                  <w:tcBorders>
                    <w:tl2br w:val="nil"/>
                    <w:tr2bl w:val="nil"/>
                  </w:tcBorders>
                  <w:vAlign w:val="center"/>
                </w:tcPr>
                <w:p w14:paraId="04919E2F">
                  <w:pPr>
                    <w:pStyle w:val="54"/>
                    <w:bidi w:val="0"/>
                    <w:rPr>
                      <w:color w:val="auto"/>
                    </w:rPr>
                  </w:pPr>
                  <w:r>
                    <w:rPr>
                      <w:rFonts w:hint="eastAsia"/>
                      <w:color w:val="auto"/>
                    </w:rPr>
                    <w:t>固态</w:t>
                  </w:r>
                </w:p>
              </w:tc>
              <w:tc>
                <w:tcPr>
                  <w:tcW w:w="888" w:type="dxa"/>
                  <w:tcBorders>
                    <w:tl2br w:val="nil"/>
                    <w:tr2bl w:val="nil"/>
                  </w:tcBorders>
                  <w:vAlign w:val="center"/>
                </w:tcPr>
                <w:p w14:paraId="020AA288">
                  <w:pPr>
                    <w:pStyle w:val="54"/>
                    <w:bidi w:val="0"/>
                    <w:rPr>
                      <w:color w:val="auto"/>
                    </w:rPr>
                  </w:pPr>
                  <w:r>
                    <w:rPr>
                      <w:rFonts w:hint="eastAsia"/>
                      <w:color w:val="auto"/>
                      <w:lang w:val="en-US" w:eastAsia="zh-CN"/>
                    </w:rPr>
                    <w:t>0.005</w:t>
                  </w:r>
                </w:p>
              </w:tc>
              <w:tc>
                <w:tcPr>
                  <w:tcW w:w="837" w:type="dxa"/>
                  <w:tcBorders>
                    <w:tl2br w:val="nil"/>
                    <w:tr2bl w:val="nil"/>
                  </w:tcBorders>
                  <w:vAlign w:val="center"/>
                </w:tcPr>
                <w:p w14:paraId="5E1E7501">
                  <w:pPr>
                    <w:pStyle w:val="54"/>
                    <w:bidi w:val="0"/>
                    <w:rPr>
                      <w:color w:val="auto"/>
                    </w:rPr>
                  </w:pPr>
                  <w:r>
                    <w:rPr>
                      <w:rFonts w:hint="eastAsia"/>
                      <w:color w:val="auto"/>
                    </w:rPr>
                    <w:t>HW08</w:t>
                  </w:r>
                </w:p>
              </w:tc>
              <w:tc>
                <w:tcPr>
                  <w:tcW w:w="1350" w:type="dxa"/>
                  <w:tcBorders>
                    <w:tl2br w:val="nil"/>
                    <w:tr2bl w:val="nil"/>
                  </w:tcBorders>
                  <w:vAlign w:val="center"/>
                </w:tcPr>
                <w:p w14:paraId="622B867F">
                  <w:pPr>
                    <w:pStyle w:val="54"/>
                    <w:bidi w:val="0"/>
                    <w:rPr>
                      <w:color w:val="auto"/>
                    </w:rPr>
                  </w:pPr>
                  <w:r>
                    <w:rPr>
                      <w:rFonts w:hint="eastAsia"/>
                      <w:color w:val="auto"/>
                    </w:rPr>
                    <w:t>900-249-08</w:t>
                  </w:r>
                </w:p>
              </w:tc>
              <w:tc>
                <w:tcPr>
                  <w:tcW w:w="2837" w:type="dxa"/>
                  <w:vMerge w:val="continue"/>
                  <w:tcBorders>
                    <w:tl2br w:val="nil"/>
                    <w:tr2bl w:val="nil"/>
                  </w:tcBorders>
                  <w:vAlign w:val="center"/>
                </w:tcPr>
                <w:p w14:paraId="780D7348">
                  <w:pPr>
                    <w:pStyle w:val="54"/>
                    <w:rPr>
                      <w:color w:val="auto"/>
                    </w:rPr>
                  </w:pPr>
                </w:p>
              </w:tc>
            </w:tr>
            <w:tr w14:paraId="7E2AD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35" w:type="dxa"/>
                  <w:tcBorders>
                    <w:tl2br w:val="nil"/>
                    <w:tr2bl w:val="nil"/>
                  </w:tcBorders>
                  <w:vAlign w:val="center"/>
                </w:tcPr>
                <w:p w14:paraId="38045EA1">
                  <w:pPr>
                    <w:pStyle w:val="54"/>
                    <w:bidi w:val="0"/>
                    <w:rPr>
                      <w:color w:val="auto"/>
                    </w:rPr>
                  </w:pPr>
                  <w:r>
                    <w:rPr>
                      <w:rFonts w:hint="eastAsia"/>
                      <w:color w:val="auto"/>
                    </w:rPr>
                    <w:t>6</w:t>
                  </w:r>
                </w:p>
              </w:tc>
              <w:tc>
                <w:tcPr>
                  <w:tcW w:w="1086" w:type="dxa"/>
                  <w:tcBorders>
                    <w:tl2br w:val="nil"/>
                    <w:tr2bl w:val="nil"/>
                  </w:tcBorders>
                  <w:vAlign w:val="center"/>
                </w:tcPr>
                <w:p w14:paraId="4E36F5AE">
                  <w:pPr>
                    <w:pStyle w:val="54"/>
                    <w:bidi w:val="0"/>
                    <w:rPr>
                      <w:color w:val="auto"/>
                    </w:rPr>
                  </w:pPr>
                  <w:r>
                    <w:rPr>
                      <w:rFonts w:hint="eastAsia"/>
                      <w:color w:val="auto"/>
                    </w:rPr>
                    <w:t>生活垃圾</w:t>
                  </w:r>
                </w:p>
              </w:tc>
              <w:tc>
                <w:tcPr>
                  <w:tcW w:w="400" w:type="dxa"/>
                  <w:tcBorders>
                    <w:tl2br w:val="nil"/>
                    <w:tr2bl w:val="nil"/>
                  </w:tcBorders>
                  <w:vAlign w:val="center"/>
                </w:tcPr>
                <w:p w14:paraId="744221FB">
                  <w:pPr>
                    <w:pStyle w:val="54"/>
                    <w:bidi w:val="0"/>
                    <w:rPr>
                      <w:color w:val="auto"/>
                    </w:rPr>
                  </w:pPr>
                  <w:r>
                    <w:rPr>
                      <w:color w:val="auto"/>
                    </w:rPr>
                    <w:t>/</w:t>
                  </w:r>
                </w:p>
              </w:tc>
              <w:tc>
                <w:tcPr>
                  <w:tcW w:w="700" w:type="dxa"/>
                  <w:tcBorders>
                    <w:tl2br w:val="nil"/>
                    <w:tr2bl w:val="nil"/>
                  </w:tcBorders>
                  <w:vAlign w:val="center"/>
                </w:tcPr>
                <w:p w14:paraId="4FFECBD4">
                  <w:pPr>
                    <w:pStyle w:val="54"/>
                    <w:bidi w:val="0"/>
                    <w:rPr>
                      <w:color w:val="auto"/>
                    </w:rPr>
                  </w:pPr>
                  <w:r>
                    <w:rPr>
                      <w:color w:val="auto"/>
                    </w:rPr>
                    <w:t>固态、液态</w:t>
                  </w:r>
                </w:p>
              </w:tc>
              <w:tc>
                <w:tcPr>
                  <w:tcW w:w="888" w:type="dxa"/>
                  <w:tcBorders>
                    <w:tl2br w:val="nil"/>
                    <w:tr2bl w:val="nil"/>
                  </w:tcBorders>
                  <w:vAlign w:val="center"/>
                </w:tcPr>
                <w:p w14:paraId="3F9D6018">
                  <w:pPr>
                    <w:pStyle w:val="54"/>
                    <w:bidi w:val="0"/>
                    <w:rPr>
                      <w:color w:val="auto"/>
                    </w:rPr>
                  </w:pPr>
                  <w:r>
                    <w:rPr>
                      <w:rFonts w:hint="eastAsia"/>
                      <w:color w:val="auto"/>
                      <w:lang w:val="en-US" w:eastAsia="zh-CN"/>
                    </w:rPr>
                    <w:t>0.015</w:t>
                  </w:r>
                </w:p>
              </w:tc>
              <w:tc>
                <w:tcPr>
                  <w:tcW w:w="837" w:type="dxa"/>
                  <w:tcBorders>
                    <w:tl2br w:val="nil"/>
                    <w:tr2bl w:val="nil"/>
                  </w:tcBorders>
                  <w:vAlign w:val="center"/>
                </w:tcPr>
                <w:p w14:paraId="34C4AF4A">
                  <w:pPr>
                    <w:pStyle w:val="54"/>
                    <w:bidi w:val="0"/>
                    <w:rPr>
                      <w:color w:val="auto"/>
                    </w:rPr>
                  </w:pPr>
                  <w:r>
                    <w:rPr>
                      <w:rFonts w:hint="eastAsia"/>
                      <w:color w:val="auto"/>
                    </w:rPr>
                    <w:t>SW64</w:t>
                  </w:r>
                </w:p>
              </w:tc>
              <w:tc>
                <w:tcPr>
                  <w:tcW w:w="1350" w:type="dxa"/>
                  <w:tcBorders>
                    <w:tl2br w:val="nil"/>
                    <w:tr2bl w:val="nil"/>
                  </w:tcBorders>
                  <w:shd w:val="clear" w:color="auto" w:fill="auto"/>
                  <w:vAlign w:val="center"/>
                </w:tcPr>
                <w:p w14:paraId="7867DFCE">
                  <w:pPr>
                    <w:pStyle w:val="54"/>
                    <w:bidi w:val="0"/>
                    <w:rPr>
                      <w:color w:val="auto"/>
                    </w:rPr>
                  </w:pPr>
                  <w:r>
                    <w:rPr>
                      <w:rFonts w:hint="eastAsia"/>
                      <w:color w:val="auto"/>
                    </w:rPr>
                    <w:t>900-099-S64</w:t>
                  </w:r>
                </w:p>
              </w:tc>
              <w:tc>
                <w:tcPr>
                  <w:tcW w:w="2837" w:type="dxa"/>
                  <w:tcBorders>
                    <w:tl2br w:val="nil"/>
                    <w:tr2bl w:val="nil"/>
                  </w:tcBorders>
                  <w:vAlign w:val="center"/>
                </w:tcPr>
                <w:p w14:paraId="4CE6F183">
                  <w:pPr>
                    <w:pStyle w:val="54"/>
                    <w:rPr>
                      <w:color w:val="auto"/>
                    </w:rPr>
                  </w:pPr>
                  <w:r>
                    <w:rPr>
                      <w:rFonts w:hint="eastAsia"/>
                      <w:color w:val="auto"/>
                    </w:rPr>
                    <w:t>委托环卫部门统一清运</w:t>
                  </w:r>
                </w:p>
              </w:tc>
            </w:tr>
          </w:tbl>
          <w:p w14:paraId="1F633BFA">
            <w:pPr>
              <w:pStyle w:val="50"/>
              <w:ind w:firstLine="482"/>
              <w:rPr>
                <w:b/>
                <w:bCs/>
                <w:color w:val="auto"/>
              </w:rPr>
            </w:pPr>
            <w:r>
              <w:rPr>
                <w:rFonts w:hint="eastAsia"/>
                <w:b/>
                <w:bCs/>
                <w:color w:val="auto"/>
              </w:rPr>
              <w:t>（3）</w:t>
            </w:r>
            <w:r>
              <w:rPr>
                <w:b/>
                <w:bCs/>
                <w:color w:val="auto"/>
              </w:rPr>
              <w:t>现有项目污染物排放总量情况</w:t>
            </w:r>
          </w:p>
          <w:p w14:paraId="11896692">
            <w:pPr>
              <w:pStyle w:val="50"/>
              <w:ind w:firstLine="482"/>
              <w:rPr>
                <w:b/>
                <w:bCs/>
                <w:color w:val="auto"/>
              </w:rPr>
            </w:pPr>
            <w:r>
              <w:rPr>
                <w:rFonts w:hint="eastAsia"/>
                <w:b/>
                <w:bCs/>
                <w:color w:val="auto"/>
              </w:rPr>
              <w:t>①</w:t>
            </w:r>
            <w:r>
              <w:rPr>
                <w:b/>
                <w:bCs/>
                <w:color w:val="auto"/>
              </w:rPr>
              <w:t>废气</w:t>
            </w:r>
          </w:p>
          <w:p w14:paraId="183ED2FA">
            <w:pPr>
              <w:pStyle w:val="50"/>
              <w:ind w:firstLine="480"/>
              <w:rPr>
                <w:color w:val="auto"/>
              </w:rPr>
            </w:pPr>
            <w:r>
              <w:rPr>
                <w:color w:val="auto"/>
              </w:rPr>
              <w:t>现有项目废气污染物排放情况见</w:t>
            </w:r>
            <w:r>
              <w:rPr>
                <w:color w:val="auto"/>
              </w:rPr>
              <w:fldChar w:fldCharType="begin"/>
            </w:r>
            <w:r>
              <w:rPr>
                <w:color w:val="auto"/>
              </w:rPr>
              <w:instrText xml:space="preserve"> REF _Ref10708 \h </w:instrText>
            </w:r>
            <w:r>
              <w:rPr>
                <w:color w:val="auto"/>
              </w:rPr>
              <w:fldChar w:fldCharType="separate"/>
            </w:r>
            <w:r>
              <w:rPr>
                <w:color w:val="auto"/>
              </w:rPr>
              <w:t>表2- 23</w:t>
            </w:r>
            <w:r>
              <w:rPr>
                <w:color w:val="auto"/>
              </w:rPr>
              <w:fldChar w:fldCharType="end"/>
            </w:r>
            <w:r>
              <w:rPr>
                <w:color w:val="auto"/>
              </w:rPr>
              <w:t>。</w:t>
            </w:r>
          </w:p>
          <w:p w14:paraId="22BAC2B2">
            <w:pPr>
              <w:pStyle w:val="7"/>
              <w:rPr>
                <w:color w:val="auto"/>
              </w:rPr>
            </w:pPr>
            <w:bookmarkStart w:id="68" w:name="_Ref10708"/>
            <w:r>
              <w:rPr>
                <w:color w:val="auto"/>
              </w:rPr>
              <w:t xml:space="preserve">表2- </w:t>
            </w:r>
            <w:r>
              <w:rPr>
                <w:color w:val="auto"/>
              </w:rPr>
              <w:fldChar w:fldCharType="begin"/>
            </w:r>
            <w:r>
              <w:rPr>
                <w:color w:val="auto"/>
              </w:rPr>
              <w:instrText xml:space="preserve"> SEQ 表2- \* ARABIC </w:instrText>
            </w:r>
            <w:r>
              <w:rPr>
                <w:color w:val="auto"/>
              </w:rPr>
              <w:fldChar w:fldCharType="separate"/>
            </w:r>
            <w:r>
              <w:rPr>
                <w:color w:val="auto"/>
              </w:rPr>
              <w:t>23</w:t>
            </w:r>
            <w:r>
              <w:rPr>
                <w:color w:val="auto"/>
              </w:rPr>
              <w:fldChar w:fldCharType="end"/>
            </w:r>
            <w:bookmarkEnd w:id="68"/>
            <w:r>
              <w:rPr>
                <w:color w:val="auto"/>
              </w:rPr>
              <w:t xml:space="preserve"> 现有项目废气污染物排放情况表</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2"/>
              <w:gridCol w:w="975"/>
              <w:gridCol w:w="1062"/>
              <w:gridCol w:w="1063"/>
              <w:gridCol w:w="1175"/>
              <w:gridCol w:w="1425"/>
              <w:gridCol w:w="1037"/>
              <w:gridCol w:w="724"/>
            </w:tblGrid>
            <w:tr w14:paraId="33ABD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2" w:type="dxa"/>
                  <w:tcBorders>
                    <w:tl2br w:val="nil"/>
                    <w:tr2bl w:val="nil"/>
                  </w:tcBorders>
                  <w:vAlign w:val="center"/>
                </w:tcPr>
                <w:p w14:paraId="2738BAD9">
                  <w:pPr>
                    <w:pStyle w:val="52"/>
                    <w:rPr>
                      <w:color w:val="auto"/>
                    </w:rPr>
                  </w:pPr>
                  <w:r>
                    <w:rPr>
                      <w:color w:val="auto"/>
                    </w:rPr>
                    <w:t>排气筒编号</w:t>
                  </w:r>
                </w:p>
              </w:tc>
              <w:tc>
                <w:tcPr>
                  <w:tcW w:w="975" w:type="dxa"/>
                  <w:tcBorders>
                    <w:tl2br w:val="nil"/>
                    <w:tr2bl w:val="nil"/>
                  </w:tcBorders>
                  <w:vAlign w:val="center"/>
                </w:tcPr>
                <w:p w14:paraId="59F38985">
                  <w:pPr>
                    <w:pStyle w:val="52"/>
                    <w:rPr>
                      <w:color w:val="auto"/>
                    </w:rPr>
                  </w:pPr>
                  <w:r>
                    <w:rPr>
                      <w:color w:val="auto"/>
                    </w:rPr>
                    <w:t>污染物名称</w:t>
                  </w:r>
                </w:p>
              </w:tc>
              <w:tc>
                <w:tcPr>
                  <w:tcW w:w="1062" w:type="dxa"/>
                  <w:tcBorders>
                    <w:tl2br w:val="nil"/>
                    <w:tr2bl w:val="nil"/>
                  </w:tcBorders>
                  <w:vAlign w:val="center"/>
                </w:tcPr>
                <w:p w14:paraId="17296C63">
                  <w:pPr>
                    <w:pStyle w:val="52"/>
                    <w:rPr>
                      <w:color w:val="auto"/>
                    </w:rPr>
                  </w:pPr>
                  <w:r>
                    <w:rPr>
                      <w:color w:val="auto"/>
                    </w:rPr>
                    <w:t>平均排放速率（kg/h）</w:t>
                  </w:r>
                </w:p>
              </w:tc>
              <w:tc>
                <w:tcPr>
                  <w:tcW w:w="1063" w:type="dxa"/>
                  <w:tcBorders>
                    <w:tl2br w:val="nil"/>
                    <w:tr2bl w:val="nil"/>
                  </w:tcBorders>
                  <w:vAlign w:val="center"/>
                </w:tcPr>
                <w:p w14:paraId="68F273A6">
                  <w:pPr>
                    <w:pStyle w:val="52"/>
                    <w:rPr>
                      <w:color w:val="auto"/>
                    </w:rPr>
                  </w:pPr>
                  <w:r>
                    <w:rPr>
                      <w:color w:val="auto"/>
                    </w:rPr>
                    <w:t>运行时长</w:t>
                  </w:r>
                </w:p>
                <w:p w14:paraId="763D8563">
                  <w:pPr>
                    <w:pStyle w:val="52"/>
                    <w:rPr>
                      <w:color w:val="auto"/>
                    </w:rPr>
                  </w:pPr>
                  <w:r>
                    <w:rPr>
                      <w:color w:val="auto"/>
                    </w:rPr>
                    <w:t>（h）</w:t>
                  </w:r>
                </w:p>
              </w:tc>
              <w:tc>
                <w:tcPr>
                  <w:tcW w:w="1175" w:type="dxa"/>
                  <w:tcBorders>
                    <w:tl2br w:val="nil"/>
                    <w:tr2bl w:val="nil"/>
                  </w:tcBorders>
                  <w:vAlign w:val="center"/>
                </w:tcPr>
                <w:p w14:paraId="0639BD35">
                  <w:pPr>
                    <w:pStyle w:val="52"/>
                    <w:rPr>
                      <w:color w:val="auto"/>
                    </w:rPr>
                  </w:pPr>
                  <w:r>
                    <w:rPr>
                      <w:color w:val="auto"/>
                    </w:rPr>
                    <w:t>实测核算</w:t>
                  </w:r>
                </w:p>
                <w:p w14:paraId="4D30292D">
                  <w:pPr>
                    <w:pStyle w:val="52"/>
                    <w:rPr>
                      <w:color w:val="auto"/>
                    </w:rPr>
                  </w:pPr>
                  <w:r>
                    <w:rPr>
                      <w:color w:val="auto"/>
                    </w:rPr>
                    <w:t>排放总量</w:t>
                  </w:r>
                </w:p>
                <w:p w14:paraId="17595BCD">
                  <w:pPr>
                    <w:pStyle w:val="52"/>
                    <w:rPr>
                      <w:color w:val="auto"/>
                    </w:rPr>
                  </w:pPr>
                  <w:r>
                    <w:rPr>
                      <w:color w:val="auto"/>
                    </w:rPr>
                    <w:t>（t/a）</w:t>
                  </w:r>
                </w:p>
              </w:tc>
              <w:tc>
                <w:tcPr>
                  <w:tcW w:w="1425" w:type="dxa"/>
                  <w:tcBorders>
                    <w:tl2br w:val="nil"/>
                    <w:tr2bl w:val="nil"/>
                  </w:tcBorders>
                  <w:vAlign w:val="center"/>
                </w:tcPr>
                <w:p w14:paraId="696E30E6">
                  <w:pPr>
                    <w:pStyle w:val="52"/>
                    <w:rPr>
                      <w:color w:val="auto"/>
                    </w:rPr>
                  </w:pPr>
                  <w:r>
                    <w:rPr>
                      <w:rFonts w:hint="eastAsia"/>
                      <w:color w:val="auto"/>
                    </w:rPr>
                    <w:t>满负荷折算</w:t>
                  </w:r>
                  <w:r>
                    <w:rPr>
                      <w:color w:val="auto"/>
                    </w:rPr>
                    <w:t>排放总量</w:t>
                  </w:r>
                </w:p>
                <w:p w14:paraId="27F32B3B">
                  <w:pPr>
                    <w:pStyle w:val="52"/>
                    <w:rPr>
                      <w:color w:val="auto"/>
                    </w:rPr>
                  </w:pPr>
                  <w:r>
                    <w:rPr>
                      <w:color w:val="auto"/>
                    </w:rPr>
                    <w:t>（t/a）</w:t>
                  </w:r>
                </w:p>
              </w:tc>
              <w:tc>
                <w:tcPr>
                  <w:tcW w:w="1037" w:type="dxa"/>
                  <w:tcBorders>
                    <w:tl2br w:val="nil"/>
                    <w:tr2bl w:val="nil"/>
                  </w:tcBorders>
                  <w:vAlign w:val="center"/>
                </w:tcPr>
                <w:p w14:paraId="088F2CE5">
                  <w:pPr>
                    <w:pStyle w:val="52"/>
                    <w:rPr>
                      <w:color w:val="auto"/>
                    </w:rPr>
                  </w:pPr>
                  <w:r>
                    <w:rPr>
                      <w:color w:val="auto"/>
                    </w:rPr>
                    <w:t>环评批</w:t>
                  </w:r>
                </w:p>
                <w:p w14:paraId="01E87673">
                  <w:pPr>
                    <w:pStyle w:val="52"/>
                    <w:rPr>
                      <w:color w:val="auto"/>
                    </w:rPr>
                  </w:pPr>
                  <w:r>
                    <w:rPr>
                      <w:color w:val="auto"/>
                    </w:rPr>
                    <w:t>复总量</w:t>
                  </w:r>
                </w:p>
                <w:p w14:paraId="7A68C0BE">
                  <w:pPr>
                    <w:pStyle w:val="52"/>
                    <w:rPr>
                      <w:color w:val="auto"/>
                    </w:rPr>
                  </w:pPr>
                  <w:r>
                    <w:rPr>
                      <w:color w:val="auto"/>
                    </w:rPr>
                    <w:t>（t/a）</w:t>
                  </w:r>
                </w:p>
              </w:tc>
              <w:tc>
                <w:tcPr>
                  <w:tcW w:w="724" w:type="dxa"/>
                  <w:tcBorders>
                    <w:tl2br w:val="nil"/>
                    <w:tr2bl w:val="nil"/>
                  </w:tcBorders>
                  <w:vAlign w:val="center"/>
                </w:tcPr>
                <w:p w14:paraId="2D203937">
                  <w:pPr>
                    <w:pStyle w:val="52"/>
                    <w:rPr>
                      <w:color w:val="auto"/>
                    </w:rPr>
                  </w:pPr>
                  <w:r>
                    <w:rPr>
                      <w:color w:val="auto"/>
                    </w:rPr>
                    <w:t>是否</w:t>
                  </w:r>
                </w:p>
                <w:p w14:paraId="129455E0">
                  <w:pPr>
                    <w:pStyle w:val="52"/>
                    <w:rPr>
                      <w:color w:val="auto"/>
                    </w:rPr>
                  </w:pPr>
                  <w:r>
                    <w:rPr>
                      <w:color w:val="auto"/>
                    </w:rPr>
                    <w:t>达标</w:t>
                  </w:r>
                </w:p>
              </w:tc>
            </w:tr>
            <w:tr w14:paraId="12CA2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2" w:type="dxa"/>
                  <w:tcBorders>
                    <w:tl2br w:val="nil"/>
                    <w:tr2bl w:val="nil"/>
                  </w:tcBorders>
                  <w:vAlign w:val="center"/>
                </w:tcPr>
                <w:p w14:paraId="7D95BF27">
                  <w:pPr>
                    <w:pStyle w:val="54"/>
                    <w:rPr>
                      <w:color w:val="auto"/>
                    </w:rPr>
                  </w:pPr>
                  <w:r>
                    <w:rPr>
                      <w:color w:val="auto"/>
                    </w:rPr>
                    <w:t>DA001</w:t>
                  </w:r>
                </w:p>
              </w:tc>
              <w:tc>
                <w:tcPr>
                  <w:tcW w:w="975" w:type="dxa"/>
                  <w:tcBorders>
                    <w:tl2br w:val="nil"/>
                    <w:tr2bl w:val="nil"/>
                  </w:tcBorders>
                  <w:vAlign w:val="center"/>
                </w:tcPr>
                <w:p w14:paraId="38FF59C9">
                  <w:pPr>
                    <w:pStyle w:val="54"/>
                    <w:rPr>
                      <w:color w:val="auto"/>
                    </w:rPr>
                  </w:pPr>
                  <w:r>
                    <w:rPr>
                      <w:rFonts w:hint="eastAsia"/>
                      <w:color w:val="auto"/>
                    </w:rPr>
                    <w:t>颗粒物</w:t>
                  </w:r>
                </w:p>
              </w:tc>
              <w:tc>
                <w:tcPr>
                  <w:tcW w:w="1062" w:type="dxa"/>
                  <w:tcBorders>
                    <w:tl2br w:val="nil"/>
                    <w:tr2bl w:val="nil"/>
                  </w:tcBorders>
                  <w:vAlign w:val="center"/>
                </w:tcPr>
                <w:p w14:paraId="0630E9A8">
                  <w:pPr>
                    <w:pStyle w:val="54"/>
                    <w:rPr>
                      <w:color w:val="auto"/>
                    </w:rPr>
                  </w:pPr>
                  <w:r>
                    <w:rPr>
                      <w:rFonts w:hint="eastAsia"/>
                      <w:color w:val="auto"/>
                    </w:rPr>
                    <w:t>0.0080</w:t>
                  </w:r>
                </w:p>
              </w:tc>
              <w:tc>
                <w:tcPr>
                  <w:tcW w:w="1063" w:type="dxa"/>
                  <w:tcBorders>
                    <w:tl2br w:val="nil"/>
                    <w:tr2bl w:val="nil"/>
                  </w:tcBorders>
                  <w:vAlign w:val="center"/>
                </w:tcPr>
                <w:p w14:paraId="55EC0124">
                  <w:pPr>
                    <w:pStyle w:val="54"/>
                    <w:rPr>
                      <w:color w:val="auto"/>
                    </w:rPr>
                  </w:pPr>
                  <w:r>
                    <w:rPr>
                      <w:rFonts w:hint="eastAsia"/>
                      <w:color w:val="auto"/>
                    </w:rPr>
                    <w:t>7200</w:t>
                  </w:r>
                </w:p>
              </w:tc>
              <w:tc>
                <w:tcPr>
                  <w:tcW w:w="1175" w:type="dxa"/>
                  <w:tcBorders>
                    <w:tl2br w:val="nil"/>
                    <w:tr2bl w:val="nil"/>
                  </w:tcBorders>
                  <w:vAlign w:val="center"/>
                </w:tcPr>
                <w:p w14:paraId="2ECE25E8">
                  <w:pPr>
                    <w:pStyle w:val="54"/>
                    <w:rPr>
                      <w:color w:val="auto"/>
                    </w:rPr>
                  </w:pPr>
                  <w:r>
                    <w:rPr>
                      <w:rFonts w:hint="eastAsia"/>
                      <w:color w:val="auto"/>
                    </w:rPr>
                    <w:t>0.0573</w:t>
                  </w:r>
                </w:p>
              </w:tc>
              <w:tc>
                <w:tcPr>
                  <w:tcW w:w="1425" w:type="dxa"/>
                  <w:tcBorders>
                    <w:tl2br w:val="nil"/>
                    <w:tr2bl w:val="nil"/>
                  </w:tcBorders>
                  <w:vAlign w:val="center"/>
                </w:tcPr>
                <w:p w14:paraId="175BACE2">
                  <w:pPr>
                    <w:pStyle w:val="54"/>
                    <w:rPr>
                      <w:color w:val="auto"/>
                    </w:rPr>
                  </w:pPr>
                  <w:r>
                    <w:rPr>
                      <w:rFonts w:hint="eastAsia"/>
                      <w:color w:val="auto"/>
                    </w:rPr>
                    <w:t>0.1146</w:t>
                  </w:r>
                </w:p>
              </w:tc>
              <w:tc>
                <w:tcPr>
                  <w:tcW w:w="1037" w:type="dxa"/>
                  <w:tcBorders>
                    <w:tl2br w:val="nil"/>
                    <w:tr2bl w:val="nil"/>
                  </w:tcBorders>
                  <w:vAlign w:val="center"/>
                </w:tcPr>
                <w:p w14:paraId="008AAF54">
                  <w:pPr>
                    <w:pStyle w:val="54"/>
                    <w:rPr>
                      <w:color w:val="auto"/>
                    </w:rPr>
                  </w:pPr>
                  <w:r>
                    <w:rPr>
                      <w:rFonts w:hint="eastAsia"/>
                      <w:color w:val="auto"/>
                    </w:rPr>
                    <w:t>0.568</w:t>
                  </w:r>
                </w:p>
              </w:tc>
              <w:tc>
                <w:tcPr>
                  <w:tcW w:w="724" w:type="dxa"/>
                  <w:tcBorders>
                    <w:tl2br w:val="nil"/>
                    <w:tr2bl w:val="nil"/>
                  </w:tcBorders>
                  <w:vAlign w:val="center"/>
                </w:tcPr>
                <w:p w14:paraId="460C85B1">
                  <w:pPr>
                    <w:pStyle w:val="54"/>
                    <w:rPr>
                      <w:color w:val="auto"/>
                    </w:rPr>
                  </w:pPr>
                  <w:r>
                    <w:rPr>
                      <w:color w:val="auto"/>
                    </w:rPr>
                    <w:t>达标</w:t>
                  </w:r>
                </w:p>
              </w:tc>
            </w:tr>
          </w:tbl>
          <w:p w14:paraId="3D756CF5">
            <w:pPr>
              <w:pStyle w:val="50"/>
              <w:ind w:firstLine="482"/>
              <w:rPr>
                <w:b/>
                <w:bCs/>
                <w:color w:val="auto"/>
              </w:rPr>
            </w:pPr>
            <w:r>
              <w:rPr>
                <w:rFonts w:hint="eastAsia"/>
                <w:b/>
                <w:bCs/>
                <w:color w:val="auto"/>
              </w:rPr>
              <w:t>②</w:t>
            </w:r>
            <w:r>
              <w:rPr>
                <w:b/>
                <w:bCs/>
                <w:color w:val="auto"/>
              </w:rPr>
              <w:t>废水</w:t>
            </w:r>
          </w:p>
          <w:p w14:paraId="0AD93403">
            <w:pPr>
              <w:pStyle w:val="50"/>
              <w:ind w:firstLine="480"/>
              <w:rPr>
                <w:color w:val="auto"/>
              </w:rPr>
            </w:pPr>
            <w:r>
              <w:rPr>
                <w:color w:val="auto"/>
              </w:rPr>
              <w:t>现有项目废水污染物排放情况见</w:t>
            </w:r>
            <w:r>
              <w:rPr>
                <w:color w:val="auto"/>
              </w:rPr>
              <w:fldChar w:fldCharType="begin"/>
            </w:r>
            <w:r>
              <w:rPr>
                <w:color w:val="auto"/>
              </w:rPr>
              <w:instrText xml:space="preserve"> REF _Ref10721 \h </w:instrText>
            </w:r>
            <w:r>
              <w:rPr>
                <w:color w:val="auto"/>
              </w:rPr>
              <w:fldChar w:fldCharType="separate"/>
            </w:r>
            <w:r>
              <w:rPr>
                <w:color w:val="auto"/>
              </w:rPr>
              <w:t>表2- 24</w:t>
            </w:r>
            <w:r>
              <w:rPr>
                <w:color w:val="auto"/>
              </w:rPr>
              <w:fldChar w:fldCharType="end"/>
            </w:r>
            <w:r>
              <w:rPr>
                <w:color w:val="auto"/>
              </w:rPr>
              <w:t>。</w:t>
            </w:r>
          </w:p>
          <w:p w14:paraId="7A617B1B">
            <w:pPr>
              <w:pStyle w:val="7"/>
              <w:rPr>
                <w:color w:val="auto"/>
              </w:rPr>
            </w:pPr>
            <w:bookmarkStart w:id="69" w:name="_Ref10721"/>
            <w:r>
              <w:rPr>
                <w:color w:val="auto"/>
              </w:rPr>
              <w:t xml:space="preserve">表2- </w:t>
            </w:r>
            <w:r>
              <w:rPr>
                <w:color w:val="auto"/>
              </w:rPr>
              <w:fldChar w:fldCharType="begin"/>
            </w:r>
            <w:r>
              <w:rPr>
                <w:color w:val="auto"/>
              </w:rPr>
              <w:instrText xml:space="preserve"> SEQ 表2- \* ARABIC </w:instrText>
            </w:r>
            <w:r>
              <w:rPr>
                <w:color w:val="auto"/>
              </w:rPr>
              <w:fldChar w:fldCharType="separate"/>
            </w:r>
            <w:r>
              <w:rPr>
                <w:color w:val="auto"/>
              </w:rPr>
              <w:t>24</w:t>
            </w:r>
            <w:r>
              <w:rPr>
                <w:color w:val="auto"/>
              </w:rPr>
              <w:fldChar w:fldCharType="end"/>
            </w:r>
            <w:bookmarkEnd w:id="69"/>
            <w:r>
              <w:rPr>
                <w:color w:val="auto"/>
              </w:rPr>
              <w:t xml:space="preserve"> 现有项目废水污染物排放情况表</w:t>
            </w:r>
          </w:p>
          <w:tbl>
            <w:tblPr>
              <w:tblStyle w:val="1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2"/>
              <w:gridCol w:w="1363"/>
              <w:gridCol w:w="1825"/>
              <w:gridCol w:w="1700"/>
              <w:gridCol w:w="1750"/>
              <w:gridCol w:w="1060"/>
            </w:tblGrid>
            <w:tr w14:paraId="5D991A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732" w:type="dxa"/>
                  <w:tcBorders>
                    <w:tl2br w:val="nil"/>
                    <w:tr2bl w:val="nil"/>
                  </w:tcBorders>
                  <w:vAlign w:val="center"/>
                </w:tcPr>
                <w:p w14:paraId="70B330F0">
                  <w:pPr>
                    <w:pStyle w:val="52"/>
                    <w:rPr>
                      <w:color w:val="auto"/>
                    </w:rPr>
                  </w:pPr>
                  <w:r>
                    <w:rPr>
                      <w:color w:val="auto"/>
                    </w:rPr>
                    <w:t>种类</w:t>
                  </w:r>
                </w:p>
              </w:tc>
              <w:tc>
                <w:tcPr>
                  <w:tcW w:w="1363" w:type="dxa"/>
                  <w:tcBorders>
                    <w:tl2br w:val="nil"/>
                    <w:tr2bl w:val="nil"/>
                  </w:tcBorders>
                  <w:vAlign w:val="center"/>
                </w:tcPr>
                <w:p w14:paraId="1CCA6EF1">
                  <w:pPr>
                    <w:pStyle w:val="52"/>
                    <w:rPr>
                      <w:color w:val="auto"/>
                    </w:rPr>
                  </w:pPr>
                  <w:r>
                    <w:rPr>
                      <w:color w:val="auto"/>
                    </w:rPr>
                    <w:t>污染物名称</w:t>
                  </w:r>
                </w:p>
              </w:tc>
              <w:tc>
                <w:tcPr>
                  <w:tcW w:w="1825" w:type="dxa"/>
                  <w:tcBorders>
                    <w:tl2br w:val="nil"/>
                    <w:tr2bl w:val="nil"/>
                  </w:tcBorders>
                  <w:vAlign w:val="center"/>
                </w:tcPr>
                <w:p w14:paraId="3F99E3FB">
                  <w:pPr>
                    <w:pStyle w:val="52"/>
                    <w:rPr>
                      <w:color w:val="auto"/>
                    </w:rPr>
                  </w:pPr>
                  <w:r>
                    <w:rPr>
                      <w:color w:val="auto"/>
                    </w:rPr>
                    <w:t>排放浓度（mg/L）</w:t>
                  </w:r>
                </w:p>
              </w:tc>
              <w:tc>
                <w:tcPr>
                  <w:tcW w:w="1700" w:type="dxa"/>
                  <w:tcBorders>
                    <w:tl2br w:val="nil"/>
                    <w:tr2bl w:val="nil"/>
                  </w:tcBorders>
                  <w:vAlign w:val="center"/>
                </w:tcPr>
                <w:p w14:paraId="3AD1ED62">
                  <w:pPr>
                    <w:pStyle w:val="52"/>
                    <w:rPr>
                      <w:color w:val="auto"/>
                    </w:rPr>
                  </w:pPr>
                  <w:r>
                    <w:rPr>
                      <w:color w:val="auto"/>
                    </w:rPr>
                    <w:t>排放总量（t/a）</w:t>
                  </w:r>
                </w:p>
              </w:tc>
              <w:tc>
                <w:tcPr>
                  <w:tcW w:w="1750" w:type="dxa"/>
                  <w:tcBorders>
                    <w:tl2br w:val="nil"/>
                    <w:tr2bl w:val="nil"/>
                  </w:tcBorders>
                  <w:vAlign w:val="center"/>
                </w:tcPr>
                <w:p w14:paraId="294EBC33">
                  <w:pPr>
                    <w:pStyle w:val="52"/>
                    <w:rPr>
                      <w:color w:val="auto"/>
                    </w:rPr>
                  </w:pPr>
                  <w:r>
                    <w:rPr>
                      <w:color w:val="auto"/>
                    </w:rPr>
                    <w:t>批复排放量（t/a）</w:t>
                  </w:r>
                </w:p>
              </w:tc>
              <w:tc>
                <w:tcPr>
                  <w:tcW w:w="1060" w:type="dxa"/>
                  <w:tcBorders>
                    <w:tl2br w:val="nil"/>
                    <w:tr2bl w:val="nil"/>
                  </w:tcBorders>
                  <w:vAlign w:val="center"/>
                </w:tcPr>
                <w:p w14:paraId="3D5734BC">
                  <w:pPr>
                    <w:pStyle w:val="52"/>
                    <w:rPr>
                      <w:color w:val="auto"/>
                    </w:rPr>
                  </w:pPr>
                  <w:r>
                    <w:rPr>
                      <w:color w:val="auto"/>
                    </w:rPr>
                    <w:t>是否达标</w:t>
                  </w:r>
                </w:p>
              </w:tc>
            </w:tr>
            <w:tr w14:paraId="4EAC56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2" w:type="dxa"/>
                  <w:vMerge w:val="restart"/>
                  <w:tcBorders>
                    <w:tl2br w:val="nil"/>
                    <w:tr2bl w:val="nil"/>
                  </w:tcBorders>
                  <w:vAlign w:val="center"/>
                </w:tcPr>
                <w:p w14:paraId="3BE83EC9">
                  <w:pPr>
                    <w:pStyle w:val="54"/>
                    <w:rPr>
                      <w:color w:val="auto"/>
                    </w:rPr>
                  </w:pPr>
                  <w:r>
                    <w:rPr>
                      <w:color w:val="auto"/>
                    </w:rPr>
                    <w:t>W1生活污水排放口</w:t>
                  </w:r>
                </w:p>
              </w:tc>
              <w:tc>
                <w:tcPr>
                  <w:tcW w:w="1363" w:type="dxa"/>
                  <w:tcBorders>
                    <w:tl2br w:val="nil"/>
                    <w:tr2bl w:val="nil"/>
                  </w:tcBorders>
                  <w:vAlign w:val="center"/>
                </w:tcPr>
                <w:p w14:paraId="683D10AA">
                  <w:pPr>
                    <w:pStyle w:val="54"/>
                    <w:rPr>
                      <w:color w:val="auto"/>
                    </w:rPr>
                  </w:pPr>
                  <w:r>
                    <w:rPr>
                      <w:rFonts w:hint="eastAsia"/>
                      <w:color w:val="auto"/>
                    </w:rPr>
                    <w:t>废</w:t>
                  </w:r>
                  <w:r>
                    <w:rPr>
                      <w:color w:val="auto"/>
                    </w:rPr>
                    <w:t>水量</w:t>
                  </w:r>
                </w:p>
              </w:tc>
              <w:tc>
                <w:tcPr>
                  <w:tcW w:w="1825" w:type="dxa"/>
                  <w:tcBorders>
                    <w:tl2br w:val="nil"/>
                    <w:tr2bl w:val="nil"/>
                  </w:tcBorders>
                  <w:vAlign w:val="center"/>
                </w:tcPr>
                <w:p w14:paraId="530236E6">
                  <w:pPr>
                    <w:pStyle w:val="54"/>
                    <w:rPr>
                      <w:color w:val="auto"/>
                    </w:rPr>
                  </w:pPr>
                  <w:r>
                    <w:rPr>
                      <w:color w:val="auto"/>
                    </w:rPr>
                    <w:t>/</w:t>
                  </w:r>
                </w:p>
              </w:tc>
              <w:tc>
                <w:tcPr>
                  <w:tcW w:w="1700" w:type="dxa"/>
                  <w:tcBorders>
                    <w:tl2br w:val="nil"/>
                    <w:tr2bl w:val="nil"/>
                  </w:tcBorders>
                  <w:shd w:val="clear" w:color="auto" w:fill="auto"/>
                  <w:vAlign w:val="center"/>
                </w:tcPr>
                <w:p w14:paraId="1EECB407">
                  <w:pPr>
                    <w:pStyle w:val="54"/>
                    <w:rPr>
                      <w:color w:val="auto"/>
                    </w:rPr>
                  </w:pPr>
                  <w:r>
                    <w:rPr>
                      <w:rFonts w:hint="eastAsia"/>
                      <w:color w:val="auto"/>
                    </w:rPr>
                    <w:t>302.4</w:t>
                  </w:r>
                </w:p>
              </w:tc>
              <w:tc>
                <w:tcPr>
                  <w:tcW w:w="1750" w:type="dxa"/>
                  <w:tcBorders>
                    <w:tl2br w:val="nil"/>
                    <w:tr2bl w:val="nil"/>
                  </w:tcBorders>
                  <w:vAlign w:val="center"/>
                </w:tcPr>
                <w:p w14:paraId="5B77EA32">
                  <w:pPr>
                    <w:pStyle w:val="54"/>
                    <w:rPr>
                      <w:color w:val="auto"/>
                    </w:rPr>
                  </w:pPr>
                  <w:r>
                    <w:rPr>
                      <w:rFonts w:hint="eastAsia"/>
                      <w:color w:val="auto"/>
                    </w:rPr>
                    <w:t>432</w:t>
                  </w:r>
                </w:p>
              </w:tc>
              <w:tc>
                <w:tcPr>
                  <w:tcW w:w="1060" w:type="dxa"/>
                  <w:tcBorders>
                    <w:tl2br w:val="nil"/>
                    <w:tr2bl w:val="nil"/>
                  </w:tcBorders>
                  <w:vAlign w:val="center"/>
                </w:tcPr>
                <w:p w14:paraId="39C0D792">
                  <w:pPr>
                    <w:pStyle w:val="54"/>
                    <w:rPr>
                      <w:color w:val="auto"/>
                    </w:rPr>
                  </w:pPr>
                  <w:r>
                    <w:rPr>
                      <w:color w:val="auto"/>
                    </w:rPr>
                    <w:t>达标</w:t>
                  </w:r>
                </w:p>
              </w:tc>
            </w:tr>
            <w:tr w14:paraId="3912A5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2" w:type="dxa"/>
                  <w:vMerge w:val="continue"/>
                  <w:tcBorders>
                    <w:tl2br w:val="nil"/>
                    <w:tr2bl w:val="nil"/>
                  </w:tcBorders>
                  <w:vAlign w:val="center"/>
                </w:tcPr>
                <w:p w14:paraId="0871E98F">
                  <w:pPr>
                    <w:pStyle w:val="54"/>
                    <w:rPr>
                      <w:color w:val="auto"/>
                    </w:rPr>
                  </w:pPr>
                </w:p>
              </w:tc>
              <w:tc>
                <w:tcPr>
                  <w:tcW w:w="1363" w:type="dxa"/>
                  <w:tcBorders>
                    <w:tl2br w:val="nil"/>
                    <w:tr2bl w:val="nil"/>
                  </w:tcBorders>
                  <w:vAlign w:val="center"/>
                </w:tcPr>
                <w:p w14:paraId="3FCC2163">
                  <w:pPr>
                    <w:pStyle w:val="54"/>
                    <w:rPr>
                      <w:color w:val="auto"/>
                    </w:rPr>
                  </w:pPr>
                  <w:r>
                    <w:rPr>
                      <w:color w:val="auto"/>
                    </w:rPr>
                    <w:t>COD</w:t>
                  </w:r>
                </w:p>
              </w:tc>
              <w:tc>
                <w:tcPr>
                  <w:tcW w:w="1825" w:type="dxa"/>
                  <w:tcBorders>
                    <w:tl2br w:val="nil"/>
                    <w:tr2bl w:val="nil"/>
                  </w:tcBorders>
                  <w:vAlign w:val="center"/>
                </w:tcPr>
                <w:p w14:paraId="787E89BA">
                  <w:pPr>
                    <w:pStyle w:val="54"/>
                    <w:rPr>
                      <w:color w:val="auto"/>
                    </w:rPr>
                  </w:pPr>
                  <w:r>
                    <w:rPr>
                      <w:rFonts w:hint="eastAsia"/>
                      <w:color w:val="auto"/>
                    </w:rPr>
                    <w:t>0.1204</w:t>
                  </w:r>
                </w:p>
              </w:tc>
              <w:tc>
                <w:tcPr>
                  <w:tcW w:w="1700" w:type="dxa"/>
                  <w:tcBorders>
                    <w:tl2br w:val="nil"/>
                    <w:tr2bl w:val="nil"/>
                  </w:tcBorders>
                  <w:vAlign w:val="center"/>
                </w:tcPr>
                <w:p w14:paraId="64C08772">
                  <w:pPr>
                    <w:pStyle w:val="54"/>
                    <w:rPr>
                      <w:color w:val="auto"/>
                    </w:rPr>
                  </w:pPr>
                  <w:r>
                    <w:rPr>
                      <w:rFonts w:hint="eastAsia"/>
                      <w:color w:val="auto"/>
                    </w:rPr>
                    <w:t>0.0617</w:t>
                  </w:r>
                </w:p>
              </w:tc>
              <w:tc>
                <w:tcPr>
                  <w:tcW w:w="1750" w:type="dxa"/>
                  <w:tcBorders>
                    <w:tl2br w:val="nil"/>
                    <w:tr2bl w:val="nil"/>
                  </w:tcBorders>
                  <w:vAlign w:val="center"/>
                </w:tcPr>
                <w:p w14:paraId="548A1F00">
                  <w:pPr>
                    <w:pStyle w:val="54"/>
                    <w:rPr>
                      <w:color w:val="auto"/>
                    </w:rPr>
                  </w:pPr>
                  <w:r>
                    <w:rPr>
                      <w:rFonts w:hint="eastAsia"/>
                      <w:color w:val="auto"/>
                    </w:rPr>
                    <w:t>0.1204</w:t>
                  </w:r>
                </w:p>
              </w:tc>
              <w:tc>
                <w:tcPr>
                  <w:tcW w:w="1060" w:type="dxa"/>
                  <w:tcBorders>
                    <w:tl2br w:val="nil"/>
                    <w:tr2bl w:val="nil"/>
                  </w:tcBorders>
                  <w:vAlign w:val="center"/>
                </w:tcPr>
                <w:p w14:paraId="5A95CA3C">
                  <w:pPr>
                    <w:pStyle w:val="54"/>
                    <w:rPr>
                      <w:color w:val="auto"/>
                    </w:rPr>
                  </w:pPr>
                  <w:r>
                    <w:rPr>
                      <w:color w:val="auto"/>
                    </w:rPr>
                    <w:t>达标</w:t>
                  </w:r>
                </w:p>
              </w:tc>
            </w:tr>
            <w:tr w14:paraId="42DB5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2" w:type="dxa"/>
                  <w:vMerge w:val="continue"/>
                  <w:tcBorders>
                    <w:tl2br w:val="nil"/>
                    <w:tr2bl w:val="nil"/>
                  </w:tcBorders>
                  <w:vAlign w:val="center"/>
                </w:tcPr>
                <w:p w14:paraId="06BDBFA1">
                  <w:pPr>
                    <w:pStyle w:val="54"/>
                    <w:rPr>
                      <w:color w:val="auto"/>
                    </w:rPr>
                  </w:pPr>
                </w:p>
              </w:tc>
              <w:tc>
                <w:tcPr>
                  <w:tcW w:w="1363" w:type="dxa"/>
                  <w:tcBorders>
                    <w:tl2br w:val="nil"/>
                    <w:tr2bl w:val="nil"/>
                  </w:tcBorders>
                  <w:vAlign w:val="center"/>
                </w:tcPr>
                <w:p w14:paraId="3857EF5E">
                  <w:pPr>
                    <w:pStyle w:val="54"/>
                    <w:rPr>
                      <w:color w:val="auto"/>
                    </w:rPr>
                  </w:pPr>
                  <w:r>
                    <w:rPr>
                      <w:color w:val="auto"/>
                    </w:rPr>
                    <w:t>SS</w:t>
                  </w:r>
                </w:p>
              </w:tc>
              <w:tc>
                <w:tcPr>
                  <w:tcW w:w="1825" w:type="dxa"/>
                  <w:tcBorders>
                    <w:tl2br w:val="nil"/>
                    <w:tr2bl w:val="nil"/>
                  </w:tcBorders>
                  <w:vAlign w:val="center"/>
                </w:tcPr>
                <w:p w14:paraId="3E652977">
                  <w:pPr>
                    <w:pStyle w:val="54"/>
                    <w:rPr>
                      <w:color w:val="auto"/>
                    </w:rPr>
                  </w:pPr>
                  <w:r>
                    <w:rPr>
                      <w:rFonts w:hint="eastAsia"/>
                      <w:color w:val="auto"/>
                    </w:rPr>
                    <w:t>0.0688</w:t>
                  </w:r>
                </w:p>
              </w:tc>
              <w:tc>
                <w:tcPr>
                  <w:tcW w:w="1700" w:type="dxa"/>
                  <w:tcBorders>
                    <w:tl2br w:val="nil"/>
                    <w:tr2bl w:val="nil"/>
                  </w:tcBorders>
                  <w:vAlign w:val="center"/>
                </w:tcPr>
                <w:p w14:paraId="7E3FA135">
                  <w:pPr>
                    <w:pStyle w:val="54"/>
                    <w:rPr>
                      <w:color w:val="auto"/>
                    </w:rPr>
                  </w:pPr>
                  <w:r>
                    <w:rPr>
                      <w:rFonts w:hint="eastAsia"/>
                      <w:color w:val="auto"/>
                    </w:rPr>
                    <w:t>0.0165</w:t>
                  </w:r>
                </w:p>
              </w:tc>
              <w:tc>
                <w:tcPr>
                  <w:tcW w:w="1750" w:type="dxa"/>
                  <w:tcBorders>
                    <w:tl2br w:val="nil"/>
                    <w:tr2bl w:val="nil"/>
                  </w:tcBorders>
                  <w:vAlign w:val="center"/>
                </w:tcPr>
                <w:p w14:paraId="424B66A6">
                  <w:pPr>
                    <w:pStyle w:val="54"/>
                    <w:rPr>
                      <w:color w:val="auto"/>
                    </w:rPr>
                  </w:pPr>
                  <w:r>
                    <w:rPr>
                      <w:rFonts w:hint="eastAsia"/>
                      <w:color w:val="auto"/>
                    </w:rPr>
                    <w:t>0.0688</w:t>
                  </w:r>
                </w:p>
              </w:tc>
              <w:tc>
                <w:tcPr>
                  <w:tcW w:w="1060" w:type="dxa"/>
                  <w:tcBorders>
                    <w:tl2br w:val="nil"/>
                    <w:tr2bl w:val="nil"/>
                  </w:tcBorders>
                  <w:vAlign w:val="center"/>
                </w:tcPr>
                <w:p w14:paraId="4BA21A15">
                  <w:pPr>
                    <w:pStyle w:val="54"/>
                    <w:rPr>
                      <w:color w:val="auto"/>
                    </w:rPr>
                  </w:pPr>
                  <w:r>
                    <w:rPr>
                      <w:color w:val="auto"/>
                    </w:rPr>
                    <w:t>达标</w:t>
                  </w:r>
                </w:p>
              </w:tc>
            </w:tr>
            <w:tr w14:paraId="5E648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2" w:type="dxa"/>
                  <w:vMerge w:val="continue"/>
                  <w:tcBorders>
                    <w:tl2br w:val="nil"/>
                    <w:tr2bl w:val="nil"/>
                  </w:tcBorders>
                  <w:vAlign w:val="center"/>
                </w:tcPr>
                <w:p w14:paraId="04602C12">
                  <w:pPr>
                    <w:pStyle w:val="54"/>
                    <w:rPr>
                      <w:color w:val="auto"/>
                    </w:rPr>
                  </w:pPr>
                </w:p>
              </w:tc>
              <w:tc>
                <w:tcPr>
                  <w:tcW w:w="1363" w:type="dxa"/>
                  <w:tcBorders>
                    <w:tl2br w:val="nil"/>
                    <w:tr2bl w:val="nil"/>
                  </w:tcBorders>
                  <w:vAlign w:val="center"/>
                </w:tcPr>
                <w:p w14:paraId="5B0DF8DE">
                  <w:pPr>
                    <w:pStyle w:val="54"/>
                    <w:rPr>
                      <w:color w:val="auto"/>
                    </w:rPr>
                  </w:pPr>
                  <w:r>
                    <w:rPr>
                      <w:rFonts w:hint="eastAsia"/>
                      <w:color w:val="auto"/>
                    </w:rPr>
                    <w:t>氨氮</w:t>
                  </w:r>
                </w:p>
              </w:tc>
              <w:tc>
                <w:tcPr>
                  <w:tcW w:w="1825" w:type="dxa"/>
                  <w:tcBorders>
                    <w:tl2br w:val="nil"/>
                    <w:tr2bl w:val="nil"/>
                  </w:tcBorders>
                  <w:vAlign w:val="center"/>
                </w:tcPr>
                <w:p w14:paraId="163C2D97">
                  <w:pPr>
                    <w:pStyle w:val="54"/>
                    <w:rPr>
                      <w:color w:val="auto"/>
                    </w:rPr>
                  </w:pPr>
                  <w:r>
                    <w:rPr>
                      <w:rFonts w:hint="eastAsia"/>
                      <w:color w:val="auto"/>
                    </w:rPr>
                    <w:t>0.0129</w:t>
                  </w:r>
                </w:p>
              </w:tc>
              <w:tc>
                <w:tcPr>
                  <w:tcW w:w="1700" w:type="dxa"/>
                  <w:tcBorders>
                    <w:tl2br w:val="nil"/>
                    <w:tr2bl w:val="nil"/>
                  </w:tcBorders>
                  <w:vAlign w:val="center"/>
                </w:tcPr>
                <w:p w14:paraId="616A10FD">
                  <w:pPr>
                    <w:pStyle w:val="54"/>
                    <w:rPr>
                      <w:color w:val="auto"/>
                    </w:rPr>
                  </w:pPr>
                  <w:r>
                    <w:rPr>
                      <w:rFonts w:hint="eastAsia"/>
                      <w:color w:val="auto"/>
                    </w:rPr>
                    <w:t>0.0074</w:t>
                  </w:r>
                </w:p>
              </w:tc>
              <w:tc>
                <w:tcPr>
                  <w:tcW w:w="1750" w:type="dxa"/>
                  <w:tcBorders>
                    <w:tl2br w:val="nil"/>
                    <w:tr2bl w:val="nil"/>
                  </w:tcBorders>
                  <w:vAlign w:val="center"/>
                </w:tcPr>
                <w:p w14:paraId="5B603AA6">
                  <w:pPr>
                    <w:pStyle w:val="54"/>
                    <w:rPr>
                      <w:color w:val="auto"/>
                    </w:rPr>
                  </w:pPr>
                  <w:r>
                    <w:rPr>
                      <w:rFonts w:hint="eastAsia"/>
                      <w:color w:val="auto"/>
                    </w:rPr>
                    <w:t>0.0129</w:t>
                  </w:r>
                </w:p>
              </w:tc>
              <w:tc>
                <w:tcPr>
                  <w:tcW w:w="1060" w:type="dxa"/>
                  <w:tcBorders>
                    <w:tl2br w:val="nil"/>
                    <w:tr2bl w:val="nil"/>
                  </w:tcBorders>
                  <w:vAlign w:val="center"/>
                </w:tcPr>
                <w:p w14:paraId="639A8E60">
                  <w:pPr>
                    <w:pStyle w:val="54"/>
                    <w:rPr>
                      <w:color w:val="auto"/>
                    </w:rPr>
                  </w:pPr>
                  <w:r>
                    <w:rPr>
                      <w:color w:val="auto"/>
                    </w:rPr>
                    <w:t>达标</w:t>
                  </w:r>
                </w:p>
              </w:tc>
            </w:tr>
            <w:tr w14:paraId="1A32A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2" w:type="dxa"/>
                  <w:vMerge w:val="continue"/>
                  <w:tcBorders>
                    <w:tl2br w:val="nil"/>
                    <w:tr2bl w:val="nil"/>
                  </w:tcBorders>
                  <w:vAlign w:val="center"/>
                </w:tcPr>
                <w:p w14:paraId="1D96AE61">
                  <w:pPr>
                    <w:pStyle w:val="54"/>
                    <w:rPr>
                      <w:color w:val="auto"/>
                    </w:rPr>
                  </w:pPr>
                </w:p>
              </w:tc>
              <w:tc>
                <w:tcPr>
                  <w:tcW w:w="1363" w:type="dxa"/>
                  <w:tcBorders>
                    <w:tl2br w:val="nil"/>
                    <w:tr2bl w:val="nil"/>
                  </w:tcBorders>
                  <w:vAlign w:val="center"/>
                </w:tcPr>
                <w:p w14:paraId="08311602">
                  <w:pPr>
                    <w:pStyle w:val="54"/>
                    <w:rPr>
                      <w:color w:val="auto"/>
                    </w:rPr>
                  </w:pPr>
                  <w:r>
                    <w:rPr>
                      <w:color w:val="auto"/>
                    </w:rPr>
                    <w:t>TP</w:t>
                  </w:r>
                </w:p>
              </w:tc>
              <w:tc>
                <w:tcPr>
                  <w:tcW w:w="1825" w:type="dxa"/>
                  <w:tcBorders>
                    <w:tl2br w:val="nil"/>
                    <w:tr2bl w:val="nil"/>
                  </w:tcBorders>
                  <w:vAlign w:val="center"/>
                </w:tcPr>
                <w:p w14:paraId="5DFC665B">
                  <w:pPr>
                    <w:pStyle w:val="54"/>
                    <w:rPr>
                      <w:color w:val="auto"/>
                    </w:rPr>
                  </w:pPr>
                  <w:r>
                    <w:rPr>
                      <w:rFonts w:hint="eastAsia"/>
                      <w:color w:val="auto"/>
                    </w:rPr>
                    <w:t>0.0172</w:t>
                  </w:r>
                </w:p>
              </w:tc>
              <w:tc>
                <w:tcPr>
                  <w:tcW w:w="1700" w:type="dxa"/>
                  <w:tcBorders>
                    <w:tl2br w:val="nil"/>
                    <w:tr2bl w:val="nil"/>
                  </w:tcBorders>
                  <w:vAlign w:val="center"/>
                </w:tcPr>
                <w:p w14:paraId="674BF4F6">
                  <w:pPr>
                    <w:pStyle w:val="54"/>
                    <w:rPr>
                      <w:color w:val="auto"/>
                    </w:rPr>
                  </w:pPr>
                  <w:r>
                    <w:rPr>
                      <w:rFonts w:hint="eastAsia"/>
                      <w:color w:val="auto"/>
                    </w:rPr>
                    <w:t>0.0106</w:t>
                  </w:r>
                </w:p>
              </w:tc>
              <w:tc>
                <w:tcPr>
                  <w:tcW w:w="1750" w:type="dxa"/>
                  <w:tcBorders>
                    <w:tl2br w:val="nil"/>
                    <w:tr2bl w:val="nil"/>
                  </w:tcBorders>
                  <w:vAlign w:val="center"/>
                </w:tcPr>
                <w:p w14:paraId="10018A5A">
                  <w:pPr>
                    <w:pStyle w:val="54"/>
                    <w:rPr>
                      <w:color w:val="auto"/>
                    </w:rPr>
                  </w:pPr>
                  <w:r>
                    <w:rPr>
                      <w:rFonts w:hint="eastAsia"/>
                      <w:color w:val="auto"/>
                    </w:rPr>
                    <w:t>0.0172</w:t>
                  </w:r>
                </w:p>
              </w:tc>
              <w:tc>
                <w:tcPr>
                  <w:tcW w:w="1060" w:type="dxa"/>
                  <w:tcBorders>
                    <w:tl2br w:val="nil"/>
                    <w:tr2bl w:val="nil"/>
                  </w:tcBorders>
                  <w:vAlign w:val="center"/>
                </w:tcPr>
                <w:p w14:paraId="2B830741">
                  <w:pPr>
                    <w:pStyle w:val="54"/>
                    <w:rPr>
                      <w:color w:val="auto"/>
                    </w:rPr>
                  </w:pPr>
                  <w:r>
                    <w:rPr>
                      <w:color w:val="auto"/>
                    </w:rPr>
                    <w:t>达标</w:t>
                  </w:r>
                </w:p>
              </w:tc>
            </w:tr>
            <w:tr w14:paraId="1AB4E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2" w:type="dxa"/>
                  <w:vMerge w:val="continue"/>
                  <w:tcBorders>
                    <w:tl2br w:val="nil"/>
                    <w:tr2bl w:val="nil"/>
                  </w:tcBorders>
                  <w:vAlign w:val="center"/>
                </w:tcPr>
                <w:p w14:paraId="6D5E6276">
                  <w:pPr>
                    <w:pStyle w:val="54"/>
                    <w:rPr>
                      <w:color w:val="auto"/>
                    </w:rPr>
                  </w:pPr>
                </w:p>
              </w:tc>
              <w:tc>
                <w:tcPr>
                  <w:tcW w:w="1363" w:type="dxa"/>
                  <w:tcBorders>
                    <w:tl2br w:val="nil"/>
                    <w:tr2bl w:val="nil"/>
                  </w:tcBorders>
                  <w:vAlign w:val="center"/>
                </w:tcPr>
                <w:p w14:paraId="5ACF3DDB">
                  <w:pPr>
                    <w:pStyle w:val="54"/>
                    <w:rPr>
                      <w:color w:val="auto"/>
                    </w:rPr>
                  </w:pPr>
                  <w:r>
                    <w:rPr>
                      <w:rFonts w:hint="eastAsia"/>
                      <w:color w:val="auto"/>
                    </w:rPr>
                    <w:t>TN</w:t>
                  </w:r>
                </w:p>
              </w:tc>
              <w:tc>
                <w:tcPr>
                  <w:tcW w:w="1825" w:type="dxa"/>
                  <w:tcBorders>
                    <w:tl2br w:val="nil"/>
                    <w:tr2bl w:val="nil"/>
                  </w:tcBorders>
                  <w:vAlign w:val="center"/>
                </w:tcPr>
                <w:p w14:paraId="2CF9BA92">
                  <w:pPr>
                    <w:pStyle w:val="54"/>
                    <w:rPr>
                      <w:color w:val="auto"/>
                    </w:rPr>
                  </w:pPr>
                  <w:r>
                    <w:rPr>
                      <w:rFonts w:hint="eastAsia"/>
                      <w:color w:val="auto"/>
                    </w:rPr>
                    <w:t>0.0013</w:t>
                  </w:r>
                </w:p>
              </w:tc>
              <w:tc>
                <w:tcPr>
                  <w:tcW w:w="1700" w:type="dxa"/>
                  <w:tcBorders>
                    <w:tl2br w:val="nil"/>
                    <w:tr2bl w:val="nil"/>
                  </w:tcBorders>
                  <w:vAlign w:val="center"/>
                </w:tcPr>
                <w:p w14:paraId="50974EB8">
                  <w:pPr>
                    <w:pStyle w:val="54"/>
                    <w:rPr>
                      <w:color w:val="auto"/>
                    </w:rPr>
                  </w:pPr>
                  <w:r>
                    <w:rPr>
                      <w:rFonts w:hint="eastAsia"/>
                      <w:color w:val="auto"/>
                    </w:rPr>
                    <w:t>0.0006</w:t>
                  </w:r>
                </w:p>
              </w:tc>
              <w:tc>
                <w:tcPr>
                  <w:tcW w:w="1750" w:type="dxa"/>
                  <w:tcBorders>
                    <w:tl2br w:val="nil"/>
                    <w:tr2bl w:val="nil"/>
                  </w:tcBorders>
                  <w:vAlign w:val="center"/>
                </w:tcPr>
                <w:p w14:paraId="0A445AD9">
                  <w:pPr>
                    <w:pStyle w:val="54"/>
                    <w:rPr>
                      <w:color w:val="auto"/>
                    </w:rPr>
                  </w:pPr>
                  <w:r>
                    <w:rPr>
                      <w:rFonts w:hint="eastAsia"/>
                      <w:color w:val="auto"/>
                    </w:rPr>
                    <w:t>0.0013</w:t>
                  </w:r>
                </w:p>
              </w:tc>
              <w:tc>
                <w:tcPr>
                  <w:tcW w:w="1060" w:type="dxa"/>
                  <w:tcBorders>
                    <w:tl2br w:val="nil"/>
                    <w:tr2bl w:val="nil"/>
                  </w:tcBorders>
                  <w:vAlign w:val="center"/>
                </w:tcPr>
                <w:p w14:paraId="68CEDE09">
                  <w:pPr>
                    <w:pStyle w:val="54"/>
                    <w:rPr>
                      <w:color w:val="auto"/>
                    </w:rPr>
                  </w:pPr>
                  <w:r>
                    <w:rPr>
                      <w:color w:val="auto"/>
                    </w:rPr>
                    <w:t>达标</w:t>
                  </w:r>
                </w:p>
              </w:tc>
            </w:tr>
            <w:tr w14:paraId="58427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2" w:type="dxa"/>
                  <w:vMerge w:val="continue"/>
                  <w:tcBorders>
                    <w:tl2br w:val="nil"/>
                    <w:tr2bl w:val="nil"/>
                  </w:tcBorders>
                  <w:vAlign w:val="center"/>
                </w:tcPr>
                <w:p w14:paraId="26B2B1B4">
                  <w:pPr>
                    <w:pStyle w:val="54"/>
                    <w:rPr>
                      <w:color w:val="auto"/>
                    </w:rPr>
                  </w:pPr>
                </w:p>
              </w:tc>
              <w:tc>
                <w:tcPr>
                  <w:tcW w:w="1363" w:type="dxa"/>
                  <w:tcBorders>
                    <w:tl2br w:val="nil"/>
                    <w:tr2bl w:val="nil"/>
                  </w:tcBorders>
                  <w:vAlign w:val="center"/>
                </w:tcPr>
                <w:p w14:paraId="131105EA">
                  <w:pPr>
                    <w:pStyle w:val="54"/>
                    <w:rPr>
                      <w:color w:val="auto"/>
                    </w:rPr>
                  </w:pPr>
                  <w:r>
                    <w:rPr>
                      <w:rFonts w:hint="eastAsia"/>
                      <w:color w:val="auto"/>
                    </w:rPr>
                    <w:t>动植物油</w:t>
                  </w:r>
                </w:p>
              </w:tc>
              <w:tc>
                <w:tcPr>
                  <w:tcW w:w="1825" w:type="dxa"/>
                  <w:tcBorders>
                    <w:tl2br w:val="nil"/>
                    <w:tr2bl w:val="nil"/>
                  </w:tcBorders>
                  <w:vAlign w:val="center"/>
                </w:tcPr>
                <w:p w14:paraId="3B87DE83">
                  <w:pPr>
                    <w:pStyle w:val="54"/>
                    <w:rPr>
                      <w:color w:val="auto"/>
                    </w:rPr>
                  </w:pPr>
                  <w:r>
                    <w:rPr>
                      <w:rFonts w:hint="eastAsia"/>
                      <w:color w:val="auto"/>
                    </w:rPr>
                    <w:t>0.0043</w:t>
                  </w:r>
                </w:p>
              </w:tc>
              <w:tc>
                <w:tcPr>
                  <w:tcW w:w="1700" w:type="dxa"/>
                  <w:tcBorders>
                    <w:tl2br w:val="nil"/>
                    <w:tr2bl w:val="nil"/>
                  </w:tcBorders>
                  <w:vAlign w:val="center"/>
                </w:tcPr>
                <w:p w14:paraId="46E9D3B6">
                  <w:pPr>
                    <w:pStyle w:val="54"/>
                    <w:rPr>
                      <w:color w:val="auto"/>
                    </w:rPr>
                  </w:pPr>
                  <w:r>
                    <w:rPr>
                      <w:rFonts w:hint="eastAsia"/>
                      <w:color w:val="auto"/>
                    </w:rPr>
                    <w:t>0.0041</w:t>
                  </w:r>
                </w:p>
              </w:tc>
              <w:tc>
                <w:tcPr>
                  <w:tcW w:w="1750" w:type="dxa"/>
                  <w:tcBorders>
                    <w:tl2br w:val="nil"/>
                    <w:tr2bl w:val="nil"/>
                  </w:tcBorders>
                  <w:vAlign w:val="center"/>
                </w:tcPr>
                <w:p w14:paraId="435DDFB6">
                  <w:pPr>
                    <w:pStyle w:val="54"/>
                    <w:rPr>
                      <w:color w:val="auto"/>
                    </w:rPr>
                  </w:pPr>
                  <w:r>
                    <w:rPr>
                      <w:rFonts w:hint="eastAsia"/>
                      <w:color w:val="auto"/>
                    </w:rPr>
                    <w:t>0.0043</w:t>
                  </w:r>
                </w:p>
              </w:tc>
              <w:tc>
                <w:tcPr>
                  <w:tcW w:w="1060" w:type="dxa"/>
                  <w:tcBorders>
                    <w:tl2br w:val="nil"/>
                    <w:tr2bl w:val="nil"/>
                  </w:tcBorders>
                  <w:vAlign w:val="center"/>
                </w:tcPr>
                <w:p w14:paraId="225081AD">
                  <w:pPr>
                    <w:pStyle w:val="54"/>
                    <w:rPr>
                      <w:color w:val="auto"/>
                    </w:rPr>
                  </w:pPr>
                  <w:r>
                    <w:rPr>
                      <w:color w:val="auto"/>
                    </w:rPr>
                    <w:t>达标</w:t>
                  </w:r>
                </w:p>
              </w:tc>
            </w:tr>
            <w:tr w14:paraId="5A200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30" w:type="dxa"/>
                  <w:gridSpan w:val="6"/>
                  <w:tcBorders>
                    <w:tl2br w:val="nil"/>
                    <w:tr2bl w:val="nil"/>
                  </w:tcBorders>
                  <w:vAlign w:val="center"/>
                </w:tcPr>
                <w:p w14:paraId="2325B84D">
                  <w:pPr>
                    <w:pStyle w:val="54"/>
                    <w:jc w:val="both"/>
                    <w:rPr>
                      <w:color w:val="auto"/>
                    </w:rPr>
                  </w:pPr>
                  <w:r>
                    <w:rPr>
                      <w:rFonts w:hint="eastAsia"/>
                      <w:color w:val="auto"/>
                    </w:rPr>
                    <w:t>注：项目进入环境量：废水量302.4t/a、</w:t>
                  </w:r>
                  <w:r>
                    <w:rPr>
                      <w:color w:val="auto"/>
                    </w:rPr>
                    <w:t>COD</w:t>
                  </w:r>
                  <w:r>
                    <w:rPr>
                      <w:rFonts w:hint="eastAsia"/>
                      <w:color w:val="auto"/>
                    </w:rPr>
                    <w:t>0.0151t/a、</w:t>
                  </w:r>
                  <w:r>
                    <w:rPr>
                      <w:color w:val="auto"/>
                    </w:rPr>
                    <w:t>SS</w:t>
                  </w:r>
                  <w:r>
                    <w:rPr>
                      <w:rFonts w:hint="eastAsia"/>
                      <w:color w:val="auto"/>
                    </w:rPr>
                    <w:t>0.0030t/a、氨氮0.0015t/a、TP0.0002t/a、TN0.0045t/a、动植物油0.0003t/a。</w:t>
                  </w:r>
                </w:p>
              </w:tc>
            </w:tr>
          </w:tbl>
          <w:p w14:paraId="651D58CD">
            <w:pPr>
              <w:pStyle w:val="50"/>
              <w:ind w:firstLine="482"/>
              <w:rPr>
                <w:b/>
                <w:bCs/>
                <w:color w:val="auto"/>
              </w:rPr>
            </w:pPr>
            <w:r>
              <w:rPr>
                <w:rFonts w:hint="eastAsia"/>
                <w:b/>
                <w:bCs/>
                <w:color w:val="auto"/>
              </w:rPr>
              <w:t>③</w:t>
            </w:r>
            <w:r>
              <w:rPr>
                <w:b/>
                <w:bCs/>
                <w:color w:val="auto"/>
              </w:rPr>
              <w:t>固废</w:t>
            </w:r>
          </w:p>
          <w:p w14:paraId="1C36ACE7">
            <w:pPr>
              <w:pStyle w:val="50"/>
              <w:ind w:firstLine="480"/>
              <w:rPr>
                <w:color w:val="auto"/>
              </w:rPr>
            </w:pPr>
            <w:r>
              <w:rPr>
                <w:color w:val="auto"/>
              </w:rPr>
              <w:t>现有项目所有固废均合理处置，实现零排放。</w:t>
            </w:r>
          </w:p>
          <w:p w14:paraId="753EDBE6">
            <w:pPr>
              <w:pStyle w:val="50"/>
              <w:ind w:firstLine="482"/>
              <w:rPr>
                <w:b/>
                <w:bCs/>
                <w:color w:val="auto"/>
              </w:rPr>
            </w:pPr>
            <w:r>
              <w:rPr>
                <w:rFonts w:hint="eastAsia"/>
                <w:b/>
                <w:bCs/>
                <w:color w:val="auto"/>
              </w:rPr>
              <w:t>（3）现有工程存在的环保问题及解决方案</w:t>
            </w:r>
          </w:p>
          <w:p w14:paraId="0C2260F0">
            <w:pPr>
              <w:pStyle w:val="50"/>
              <w:ind w:firstLine="480"/>
              <w:rPr>
                <w:b/>
                <w:bCs/>
                <w:color w:val="auto"/>
              </w:rPr>
            </w:pPr>
            <w:r>
              <w:rPr>
                <w:rFonts w:hint="eastAsia"/>
                <w:color w:val="auto"/>
              </w:rPr>
              <w:t>经现场调查，现有项目生产期间各环保治理设施运行正常，污染物达标排放，到目前为止现有项目无环境污染纠纷和污染事故发生。现有项目已于2025年6月停产，年产16000吨无氧铜杆项目所有生产设备待本次扩建项目获得环评批复后，进行拆除并搬迁至宿迁市泗阳县王集镇发展大道东路8号厂区内进行生产。企业将按照《企业拆除活动污染防治技术规定（试行）》（环境保护部公告2017年第78号）中相关要求制定拆除活动污染防治方案，组织实施拆除活动。</w:t>
            </w:r>
          </w:p>
          <w:p w14:paraId="13331DB2">
            <w:pPr>
              <w:pStyle w:val="50"/>
              <w:ind w:firstLine="482"/>
              <w:rPr>
                <w:b/>
                <w:bCs/>
                <w:color w:val="auto"/>
              </w:rPr>
            </w:pPr>
          </w:p>
          <w:p w14:paraId="09AA3CAF">
            <w:pPr>
              <w:pStyle w:val="50"/>
              <w:ind w:firstLine="480"/>
              <w:rPr>
                <w:color w:val="auto"/>
              </w:rPr>
            </w:pPr>
          </w:p>
          <w:p w14:paraId="450E7EE8">
            <w:pPr>
              <w:pStyle w:val="50"/>
              <w:ind w:firstLine="480"/>
              <w:rPr>
                <w:color w:val="auto"/>
              </w:rPr>
            </w:pPr>
          </w:p>
          <w:p w14:paraId="49762D82">
            <w:pPr>
              <w:pStyle w:val="50"/>
              <w:ind w:firstLine="480"/>
              <w:rPr>
                <w:color w:val="auto"/>
              </w:rPr>
            </w:pPr>
          </w:p>
          <w:p w14:paraId="1CE35DFF">
            <w:pPr>
              <w:pStyle w:val="50"/>
              <w:ind w:firstLine="480"/>
              <w:rPr>
                <w:color w:val="auto"/>
              </w:rPr>
            </w:pPr>
          </w:p>
          <w:p w14:paraId="2B2BE857">
            <w:pPr>
              <w:pStyle w:val="50"/>
              <w:ind w:firstLine="480"/>
              <w:rPr>
                <w:color w:val="auto"/>
              </w:rPr>
            </w:pPr>
          </w:p>
          <w:p w14:paraId="5C7530A0">
            <w:pPr>
              <w:pStyle w:val="50"/>
              <w:ind w:firstLine="480"/>
              <w:rPr>
                <w:color w:val="auto"/>
              </w:rPr>
            </w:pPr>
          </w:p>
          <w:p w14:paraId="45659AAA">
            <w:pPr>
              <w:pStyle w:val="50"/>
              <w:ind w:firstLine="480"/>
              <w:rPr>
                <w:color w:val="auto"/>
              </w:rPr>
            </w:pPr>
          </w:p>
          <w:p w14:paraId="3E90189B">
            <w:pPr>
              <w:pStyle w:val="50"/>
              <w:ind w:firstLine="480"/>
              <w:rPr>
                <w:color w:val="auto"/>
              </w:rPr>
            </w:pPr>
          </w:p>
          <w:p w14:paraId="6D0977EE">
            <w:pPr>
              <w:pStyle w:val="50"/>
              <w:ind w:firstLine="480"/>
              <w:rPr>
                <w:color w:val="auto"/>
              </w:rPr>
            </w:pPr>
          </w:p>
          <w:p w14:paraId="471A6BB8">
            <w:pPr>
              <w:pStyle w:val="50"/>
              <w:ind w:firstLine="480"/>
              <w:rPr>
                <w:color w:val="auto"/>
              </w:rPr>
            </w:pPr>
          </w:p>
          <w:p w14:paraId="4D909961">
            <w:pPr>
              <w:pStyle w:val="50"/>
              <w:ind w:firstLine="480"/>
              <w:rPr>
                <w:color w:val="auto"/>
              </w:rPr>
            </w:pPr>
          </w:p>
          <w:p w14:paraId="74D74FAB">
            <w:pPr>
              <w:pStyle w:val="50"/>
              <w:ind w:firstLine="480"/>
              <w:rPr>
                <w:color w:val="auto"/>
              </w:rPr>
            </w:pPr>
          </w:p>
          <w:p w14:paraId="4086B018">
            <w:pPr>
              <w:pStyle w:val="50"/>
              <w:ind w:firstLine="480"/>
              <w:rPr>
                <w:color w:val="auto"/>
              </w:rPr>
            </w:pPr>
          </w:p>
          <w:p w14:paraId="075D65CD">
            <w:pPr>
              <w:pStyle w:val="50"/>
              <w:ind w:firstLine="480"/>
              <w:rPr>
                <w:color w:val="auto"/>
              </w:rPr>
            </w:pPr>
          </w:p>
          <w:p w14:paraId="1960507E">
            <w:pPr>
              <w:pStyle w:val="50"/>
              <w:ind w:firstLine="480"/>
              <w:rPr>
                <w:color w:val="auto"/>
              </w:rPr>
            </w:pPr>
          </w:p>
          <w:p w14:paraId="645486E6">
            <w:pPr>
              <w:pStyle w:val="50"/>
              <w:ind w:firstLine="480"/>
              <w:rPr>
                <w:color w:val="auto"/>
              </w:rPr>
            </w:pPr>
          </w:p>
          <w:p w14:paraId="4B0623C8">
            <w:pPr>
              <w:pStyle w:val="50"/>
              <w:ind w:firstLine="480"/>
              <w:rPr>
                <w:color w:val="auto"/>
              </w:rPr>
            </w:pPr>
          </w:p>
        </w:tc>
      </w:tr>
    </w:tbl>
    <w:p w14:paraId="5F9994C2">
      <w:pPr>
        <w:pStyle w:val="50"/>
        <w:ind w:firstLine="480"/>
        <w:rPr>
          <w:color w:val="auto"/>
        </w:rPr>
      </w:pPr>
    </w:p>
    <w:p w14:paraId="5F62DB77">
      <w:pPr>
        <w:pStyle w:val="50"/>
        <w:ind w:firstLine="480"/>
        <w:rPr>
          <w:color w:val="auto"/>
        </w:rPr>
        <w:sectPr>
          <w:pgSz w:w="11906" w:h="16838"/>
          <w:pgMar w:top="1701" w:right="1417" w:bottom="1701" w:left="1417" w:header="851" w:footer="851" w:gutter="0"/>
          <w:cols w:space="720" w:num="1"/>
          <w:docGrid w:linePitch="312" w:charSpace="0"/>
        </w:sectPr>
      </w:pPr>
    </w:p>
    <w:p w14:paraId="717176C6">
      <w:pPr>
        <w:pStyle w:val="2"/>
        <w:spacing w:line="240" w:lineRule="auto"/>
        <w:rPr>
          <w:color w:val="auto"/>
        </w:rPr>
      </w:pPr>
      <w:bookmarkStart w:id="70" w:name="_Toc16146"/>
      <w:r>
        <w:rPr>
          <w:color w:val="auto"/>
        </w:rPr>
        <w:t>三、区域环境质量现状、环境保护目标及评价标准</w:t>
      </w:r>
      <w:bookmarkEnd w:id="39"/>
      <w:bookmarkEnd w:id="70"/>
    </w:p>
    <w:tbl>
      <w:tblPr>
        <w:tblStyle w:val="17"/>
        <w:tblW w:w="952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65"/>
        <w:gridCol w:w="8659"/>
      </w:tblGrid>
      <w:tr w14:paraId="7AC773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605" w:hRule="atLeast"/>
          <w:jc w:val="center"/>
        </w:trPr>
        <w:tc>
          <w:tcPr>
            <w:tcW w:w="865" w:type="dxa"/>
            <w:vAlign w:val="center"/>
          </w:tcPr>
          <w:p w14:paraId="5D77F089">
            <w:pPr>
              <w:jc w:val="center"/>
              <w:rPr>
                <w:rFonts w:eastAsiaTheme="minorEastAsia"/>
                <w:color w:val="auto"/>
                <w:sz w:val="24"/>
              </w:rPr>
            </w:pPr>
            <w:r>
              <w:rPr>
                <w:rFonts w:eastAsiaTheme="minorEastAsia"/>
                <w:color w:val="auto"/>
                <w:sz w:val="24"/>
              </w:rPr>
              <w:t>区域</w:t>
            </w:r>
          </w:p>
          <w:p w14:paraId="07532DD3">
            <w:pPr>
              <w:jc w:val="center"/>
              <w:rPr>
                <w:rFonts w:eastAsiaTheme="minorEastAsia"/>
                <w:color w:val="auto"/>
                <w:sz w:val="24"/>
              </w:rPr>
            </w:pPr>
            <w:r>
              <w:rPr>
                <w:rFonts w:eastAsiaTheme="minorEastAsia"/>
                <w:color w:val="auto"/>
                <w:sz w:val="24"/>
              </w:rPr>
              <w:t>环境</w:t>
            </w:r>
          </w:p>
          <w:p w14:paraId="3A4079C1">
            <w:pPr>
              <w:jc w:val="center"/>
              <w:rPr>
                <w:rFonts w:eastAsiaTheme="minorEastAsia"/>
                <w:color w:val="auto"/>
                <w:sz w:val="24"/>
              </w:rPr>
            </w:pPr>
            <w:r>
              <w:rPr>
                <w:rFonts w:eastAsiaTheme="minorEastAsia"/>
                <w:color w:val="auto"/>
                <w:sz w:val="24"/>
              </w:rPr>
              <w:t>质量</w:t>
            </w:r>
          </w:p>
          <w:p w14:paraId="3046508E">
            <w:pPr>
              <w:jc w:val="center"/>
              <w:rPr>
                <w:color w:val="auto"/>
              </w:rPr>
            </w:pPr>
            <w:r>
              <w:rPr>
                <w:rFonts w:eastAsiaTheme="minorEastAsia"/>
                <w:color w:val="auto"/>
                <w:sz w:val="24"/>
              </w:rPr>
              <w:t>现状</w:t>
            </w:r>
          </w:p>
        </w:tc>
        <w:tc>
          <w:tcPr>
            <w:tcW w:w="8659" w:type="dxa"/>
            <w:vAlign w:val="center"/>
          </w:tcPr>
          <w:p w14:paraId="656EE4A6">
            <w:pPr>
              <w:pStyle w:val="50"/>
              <w:ind w:firstLine="482"/>
              <w:rPr>
                <w:b/>
                <w:bCs/>
                <w:color w:val="auto"/>
              </w:rPr>
            </w:pPr>
            <w:r>
              <w:rPr>
                <w:b/>
                <w:bCs/>
                <w:color w:val="auto"/>
              </w:rPr>
              <w:t>1、大气环境质量</w:t>
            </w:r>
          </w:p>
          <w:p w14:paraId="2339E9DA">
            <w:pPr>
              <w:pStyle w:val="50"/>
              <w:ind w:firstLine="480"/>
              <w:rPr>
                <w:color w:val="auto"/>
              </w:rPr>
            </w:pPr>
            <w:r>
              <w:rPr>
                <w:color w:val="auto"/>
              </w:rPr>
              <w:t>根据《宿迁市2024年度生态环境状况公报》可知，2024年全市环境空气优良天数达296天，优良天数比例为80.9%；空气中PM</w:t>
            </w:r>
            <w:r>
              <w:rPr>
                <w:color w:val="auto"/>
                <w:vertAlign w:val="subscript"/>
              </w:rPr>
              <w:t>2.5</w:t>
            </w:r>
            <w:r>
              <w:rPr>
                <w:color w:val="auto"/>
              </w:rPr>
              <w:t>、PM</w:t>
            </w:r>
            <w:r>
              <w:rPr>
                <w:color w:val="auto"/>
                <w:vertAlign w:val="subscript"/>
              </w:rPr>
              <w:t>10</w:t>
            </w:r>
            <w:r>
              <w:rPr>
                <w:color w:val="auto"/>
              </w:rPr>
              <w:t>、NO</w:t>
            </w:r>
            <w:r>
              <w:rPr>
                <w:color w:val="auto"/>
                <w:vertAlign w:val="subscript"/>
              </w:rPr>
              <w:t>2</w:t>
            </w:r>
            <w:r>
              <w:rPr>
                <w:color w:val="auto"/>
              </w:rPr>
              <w:t>、SO</w:t>
            </w:r>
            <w:r>
              <w:rPr>
                <w:color w:val="auto"/>
                <w:vertAlign w:val="subscript"/>
              </w:rPr>
              <w:t>2</w:t>
            </w:r>
            <w:r>
              <w:rPr>
                <w:color w:val="auto"/>
              </w:rPr>
              <w:t>、O</w:t>
            </w:r>
            <w:r>
              <w:rPr>
                <w:color w:val="auto"/>
                <w:vertAlign w:val="subscript"/>
              </w:rPr>
              <w:t>3</w:t>
            </w:r>
            <w:r>
              <w:rPr>
                <w:color w:val="auto"/>
              </w:rPr>
              <w:t>浓度均同比下降，CO指标持平，浓度均值分别为38.7μg/m</w:t>
            </w:r>
            <w:r>
              <w:rPr>
                <w:color w:val="auto"/>
                <w:vertAlign w:val="superscript"/>
              </w:rPr>
              <w:t>3</w:t>
            </w:r>
            <w:r>
              <w:rPr>
                <w:color w:val="auto"/>
              </w:rPr>
              <w:t>、57μg/m</w:t>
            </w:r>
            <w:r>
              <w:rPr>
                <w:color w:val="auto"/>
                <w:vertAlign w:val="superscript"/>
              </w:rPr>
              <w:t>3</w:t>
            </w:r>
            <w:r>
              <w:rPr>
                <w:color w:val="auto"/>
              </w:rPr>
              <w:t>、21μg/m</w:t>
            </w:r>
            <w:r>
              <w:rPr>
                <w:color w:val="auto"/>
                <w:vertAlign w:val="superscript"/>
              </w:rPr>
              <w:t>3</w:t>
            </w:r>
            <w:r>
              <w:rPr>
                <w:color w:val="auto"/>
              </w:rPr>
              <w:t>、5μg/m</w:t>
            </w:r>
            <w:r>
              <w:rPr>
                <w:color w:val="auto"/>
                <w:vertAlign w:val="superscript"/>
              </w:rPr>
              <w:t>3</w:t>
            </w:r>
            <w:r>
              <w:rPr>
                <w:color w:val="auto"/>
              </w:rPr>
              <w:t>、160μg/m</w:t>
            </w:r>
            <w:r>
              <w:rPr>
                <w:color w:val="auto"/>
                <w:vertAlign w:val="superscript"/>
              </w:rPr>
              <w:t>3</w:t>
            </w:r>
            <w:r>
              <w:rPr>
                <w:color w:val="auto"/>
              </w:rPr>
              <w:t>、1.0mg/m</w:t>
            </w:r>
            <w:r>
              <w:rPr>
                <w:color w:val="auto"/>
                <w:vertAlign w:val="superscript"/>
              </w:rPr>
              <w:t>3</w:t>
            </w:r>
            <w:r>
              <w:rPr>
                <w:color w:val="auto"/>
              </w:rPr>
              <w:t>，除CO同比持平外，其余同比分别下降2.8%、9.5%、16.0%、37.5%、5.3%；其中，O</w:t>
            </w:r>
            <w:r>
              <w:rPr>
                <w:color w:val="auto"/>
                <w:vertAlign w:val="subscript"/>
              </w:rPr>
              <w:t>3</w:t>
            </w:r>
            <w:r>
              <w:rPr>
                <w:color w:val="auto"/>
              </w:rPr>
              <w:t>作为首要污染物的超标天数为33天，占全年超标天数比例达47.1%，已成为影响全市环境空气质量达标的主要指标。泗阳空气质量优良天数为309，全年占比为84.4%。</w:t>
            </w:r>
          </w:p>
          <w:p w14:paraId="02CD5123">
            <w:pPr>
              <w:pStyle w:val="50"/>
              <w:ind w:firstLine="480"/>
              <w:rPr>
                <w:color w:val="auto"/>
              </w:rPr>
            </w:pPr>
            <w:r>
              <w:rPr>
                <w:color w:val="auto"/>
              </w:rPr>
              <w:t>结合宿迁市实际，宿迁市</w:t>
            </w:r>
            <w:r>
              <w:rPr>
                <w:rFonts w:hint="eastAsia"/>
                <w:color w:val="auto"/>
              </w:rPr>
              <w:t>坚持PM</w:t>
            </w:r>
            <w:r>
              <w:rPr>
                <w:rFonts w:hint="eastAsia"/>
                <w:color w:val="auto"/>
                <w:vertAlign w:val="subscript"/>
              </w:rPr>
              <w:t>2.5</w:t>
            </w:r>
            <w:r>
              <w:rPr>
                <w:rFonts w:hint="eastAsia"/>
                <w:color w:val="auto"/>
              </w:rPr>
              <w:t>和</w:t>
            </w:r>
            <w:r>
              <w:rPr>
                <w:color w:val="auto"/>
              </w:rPr>
              <w:t>O</w:t>
            </w:r>
            <w:r>
              <w:rPr>
                <w:color w:val="auto"/>
                <w:vertAlign w:val="subscript"/>
              </w:rPr>
              <w:t>3</w:t>
            </w:r>
            <w:r>
              <w:rPr>
                <w:rFonts w:hint="eastAsia"/>
                <w:color w:val="auto"/>
              </w:rPr>
              <w:t>协同治理，在全省率先印发空气质量持续改善行动计划实施方案，综合多方力量，健全“三驾马车”三方会商新机制。制定39项治气攻坚举措，实施1043项治气工程项目，完成7400辆“国三”及以下柴油货车淘汰任务。持续推进全市重点企业“一企一策”深度优化减排，强化扬尘源、餐饮油烟、秸秆禁烧、烟花爆竹禁燃禁放等工作力度，持续压降内源污染排放</w:t>
            </w:r>
            <w:r>
              <w:rPr>
                <w:color w:val="auto"/>
              </w:rPr>
              <w:t>。随着大气污染防治方案的实施，环境空气质量将会有所好转。</w:t>
            </w:r>
          </w:p>
          <w:p w14:paraId="32B4332E">
            <w:pPr>
              <w:pStyle w:val="50"/>
              <w:ind w:firstLine="482"/>
              <w:rPr>
                <w:b/>
                <w:bCs/>
                <w:color w:val="auto"/>
              </w:rPr>
            </w:pPr>
            <w:r>
              <w:rPr>
                <w:b/>
                <w:bCs/>
                <w:color w:val="auto"/>
              </w:rPr>
              <w:t>2、地表水环境质量</w:t>
            </w:r>
          </w:p>
          <w:p w14:paraId="18CD3F23">
            <w:pPr>
              <w:pStyle w:val="50"/>
              <w:ind w:firstLine="480"/>
              <w:rPr>
                <w:color w:val="auto"/>
              </w:rPr>
            </w:pPr>
            <w:r>
              <w:rPr>
                <w:color w:val="auto"/>
              </w:rPr>
              <w:t>本</w:t>
            </w:r>
            <w:r>
              <w:rPr>
                <w:rFonts w:hint="eastAsia"/>
                <w:color w:val="auto"/>
              </w:rPr>
              <w:t>扩建</w:t>
            </w:r>
            <w:r>
              <w:rPr>
                <w:color w:val="auto"/>
              </w:rPr>
              <w:t>项目仅</w:t>
            </w:r>
            <w:r>
              <w:rPr>
                <w:rFonts w:hint="eastAsia"/>
                <w:color w:val="auto"/>
              </w:rPr>
              <w:t>新增</w:t>
            </w:r>
            <w:r>
              <w:rPr>
                <w:color w:val="auto"/>
              </w:rPr>
              <w:t>外排职工生活污水，职工生活污水经厂区内</w:t>
            </w:r>
            <w:r>
              <w:rPr>
                <w:rFonts w:hint="eastAsia"/>
                <w:color w:val="auto"/>
              </w:rPr>
              <w:t>现有化粪池</w:t>
            </w:r>
            <w:r>
              <w:rPr>
                <w:color w:val="auto"/>
              </w:rPr>
              <w:t>预处理达标后接管至</w:t>
            </w:r>
            <w:r>
              <w:rPr>
                <w:rFonts w:hint="eastAsia"/>
                <w:color w:val="auto"/>
              </w:rPr>
              <w:t>王集镇污水处理厂</w:t>
            </w:r>
            <w:r>
              <w:rPr>
                <w:color w:val="auto"/>
              </w:rPr>
              <w:t>集中处理，</w:t>
            </w:r>
            <w:r>
              <w:rPr>
                <w:rFonts w:hint="eastAsia"/>
                <w:color w:val="auto"/>
              </w:rPr>
              <w:t>尾水流经小刘河最终排入六塘河</w:t>
            </w:r>
            <w:r>
              <w:rPr>
                <w:color w:val="auto"/>
              </w:rPr>
              <w:t>。根据《宿迁市2024年度生态环境状况公报》，全市10个县级以上集中式饮用水水源地水质优Ⅲ比例为100%。全市15个国考断面水质达标率为100%，优Ⅲ水体比例为86.7%，无劣Ⅴ类水体。全市35个省考断面水质达标率为100%，优Ⅲ水体比例100%，无劣Ⅴ类水体。表明该区域地表水环境质量较好。</w:t>
            </w:r>
          </w:p>
          <w:p w14:paraId="6B8EA4EF">
            <w:pPr>
              <w:pStyle w:val="50"/>
              <w:ind w:firstLine="482"/>
              <w:rPr>
                <w:b/>
                <w:bCs/>
                <w:color w:val="auto"/>
              </w:rPr>
            </w:pPr>
            <w:r>
              <w:rPr>
                <w:b/>
                <w:bCs/>
                <w:color w:val="auto"/>
              </w:rPr>
              <w:t>3、声环境质量</w:t>
            </w:r>
          </w:p>
          <w:p w14:paraId="551D2450">
            <w:pPr>
              <w:pStyle w:val="50"/>
              <w:ind w:firstLine="480"/>
              <w:rPr>
                <w:color w:val="auto"/>
              </w:rPr>
            </w:pPr>
            <w:r>
              <w:rPr>
                <w:rFonts w:hint="eastAsia"/>
                <w:color w:val="auto"/>
              </w:rPr>
              <w:t>根据《宿迁市2024年度生态环境状况公报》</w:t>
            </w:r>
            <w:r>
              <w:rPr>
                <w:color w:val="auto"/>
              </w:rPr>
              <w:t>可知，</w:t>
            </w:r>
            <w:r>
              <w:rPr>
                <w:rFonts w:hint="eastAsia"/>
                <w:color w:val="auto"/>
              </w:rPr>
              <w:t>2024年宿迁市声环境质量总体较好。宿迁市功能区声环境昼间测次达标率98.4%，夜间测次达标率94.9%。市区功能区声环境昼间测次达标率96.3%，夜间测次达标率88.1%。区域环境噪声昼间平均等效声级54.3分贝，处于二级（较好）水平。道路交通声环境昼间平均等效声级63.7分贝，处于一级（好）水平</w:t>
            </w:r>
            <w:r>
              <w:rPr>
                <w:color w:val="auto"/>
              </w:rPr>
              <w:t>。根据《建设项目环境影响报告表编制技术指南（污染影响类）（试行）》，本项目厂界外周边50米范围内没有声环境敏感目标，无需进行调查。</w:t>
            </w:r>
          </w:p>
          <w:p w14:paraId="5FB6A676">
            <w:pPr>
              <w:pStyle w:val="50"/>
              <w:ind w:firstLine="480"/>
              <w:rPr>
                <w:color w:val="auto"/>
              </w:rPr>
            </w:pPr>
            <w:r>
              <w:rPr>
                <w:color w:val="auto"/>
              </w:rPr>
              <w:t>本</w:t>
            </w:r>
            <w:r>
              <w:rPr>
                <w:rFonts w:hint="eastAsia"/>
                <w:color w:val="auto"/>
              </w:rPr>
              <w:t>扩建</w:t>
            </w:r>
            <w:r>
              <w:rPr>
                <w:color w:val="auto"/>
              </w:rPr>
              <w:t>项目运营过程中会产生一定的废气、废水、噪声等污染物，采取相应的污染防治措施后，各类污染物均能达标排放，对周围环境影响较小，不会降低当地环境质量功能。</w:t>
            </w:r>
          </w:p>
          <w:p w14:paraId="1043C97F">
            <w:pPr>
              <w:pStyle w:val="50"/>
              <w:ind w:firstLine="482"/>
              <w:rPr>
                <w:b/>
                <w:bCs/>
                <w:color w:val="auto"/>
              </w:rPr>
            </w:pPr>
            <w:r>
              <w:rPr>
                <w:b/>
                <w:bCs/>
                <w:color w:val="auto"/>
              </w:rPr>
              <w:t>4、生态环境质量</w:t>
            </w:r>
          </w:p>
          <w:p w14:paraId="09345E27">
            <w:pPr>
              <w:pStyle w:val="50"/>
              <w:ind w:firstLine="480"/>
              <w:rPr>
                <w:color w:val="auto"/>
              </w:rPr>
            </w:pPr>
            <w:r>
              <w:rPr>
                <w:color w:val="auto"/>
              </w:rPr>
              <w:t>本</w:t>
            </w:r>
            <w:r>
              <w:rPr>
                <w:rFonts w:hint="eastAsia"/>
                <w:color w:val="auto"/>
              </w:rPr>
              <w:t>扩建</w:t>
            </w:r>
            <w:r>
              <w:rPr>
                <w:color w:val="auto"/>
              </w:rPr>
              <w:t>项目选址不属于园区外建设项目新增用地，且用地范围内不含生态环境保护目标，无需开展生态环境现状调查。</w:t>
            </w:r>
          </w:p>
          <w:p w14:paraId="2F72DEF7">
            <w:pPr>
              <w:pStyle w:val="50"/>
              <w:ind w:firstLine="482"/>
              <w:rPr>
                <w:b/>
                <w:bCs/>
                <w:color w:val="auto"/>
              </w:rPr>
            </w:pPr>
            <w:r>
              <w:rPr>
                <w:b/>
                <w:bCs/>
                <w:color w:val="auto"/>
              </w:rPr>
              <w:t>5、电磁辐射</w:t>
            </w:r>
          </w:p>
          <w:p w14:paraId="168D5A72">
            <w:pPr>
              <w:pStyle w:val="50"/>
              <w:ind w:firstLine="480"/>
              <w:rPr>
                <w:color w:val="auto"/>
              </w:rPr>
            </w:pPr>
            <w:r>
              <w:rPr>
                <w:color w:val="auto"/>
              </w:rPr>
              <w:t>本</w:t>
            </w:r>
            <w:r>
              <w:rPr>
                <w:rFonts w:hint="eastAsia"/>
                <w:color w:val="auto"/>
              </w:rPr>
              <w:t>扩建</w:t>
            </w:r>
            <w:r>
              <w:rPr>
                <w:color w:val="auto"/>
              </w:rPr>
              <w:t>项目不涉及电磁辐射。</w:t>
            </w:r>
          </w:p>
          <w:p w14:paraId="43D625B8">
            <w:pPr>
              <w:pStyle w:val="50"/>
              <w:ind w:firstLine="482"/>
              <w:rPr>
                <w:b/>
                <w:bCs/>
                <w:color w:val="auto"/>
              </w:rPr>
            </w:pPr>
            <w:r>
              <w:rPr>
                <w:b/>
                <w:bCs/>
                <w:color w:val="auto"/>
              </w:rPr>
              <w:t>6、地下水、土壤环境</w:t>
            </w:r>
          </w:p>
          <w:p w14:paraId="02536772">
            <w:pPr>
              <w:pStyle w:val="50"/>
              <w:ind w:firstLine="480"/>
              <w:rPr>
                <w:color w:val="auto"/>
              </w:rPr>
            </w:pPr>
            <w:r>
              <w:rPr>
                <w:color w:val="auto"/>
              </w:rPr>
              <w:t>本</w:t>
            </w:r>
            <w:r>
              <w:rPr>
                <w:rFonts w:hint="eastAsia"/>
                <w:color w:val="auto"/>
              </w:rPr>
              <w:t>扩建</w:t>
            </w:r>
            <w:r>
              <w:rPr>
                <w:color w:val="auto"/>
              </w:rPr>
              <w:t>项目厂区做好地面硬化，并按照分区防控要求落实分区防渗等措施，正常运行时不存在土壤和地下水环境污染途径，可不开展地下水和土壤环境现状调查。</w:t>
            </w:r>
          </w:p>
        </w:tc>
      </w:tr>
      <w:tr w14:paraId="5A815D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65" w:type="dxa"/>
            <w:vAlign w:val="center"/>
          </w:tcPr>
          <w:p w14:paraId="63CA08FE">
            <w:pPr>
              <w:jc w:val="center"/>
              <w:rPr>
                <w:rFonts w:eastAsiaTheme="minorEastAsia"/>
                <w:color w:val="auto"/>
                <w:sz w:val="24"/>
              </w:rPr>
            </w:pPr>
            <w:r>
              <w:rPr>
                <w:rFonts w:eastAsiaTheme="minorEastAsia"/>
                <w:color w:val="auto"/>
                <w:sz w:val="24"/>
              </w:rPr>
              <w:t>环境</w:t>
            </w:r>
          </w:p>
          <w:p w14:paraId="3B9C1152">
            <w:pPr>
              <w:jc w:val="center"/>
              <w:rPr>
                <w:rFonts w:eastAsiaTheme="minorEastAsia"/>
                <w:color w:val="auto"/>
                <w:sz w:val="24"/>
              </w:rPr>
            </w:pPr>
            <w:r>
              <w:rPr>
                <w:rFonts w:eastAsiaTheme="minorEastAsia"/>
                <w:color w:val="auto"/>
                <w:sz w:val="24"/>
              </w:rPr>
              <w:t>保护</w:t>
            </w:r>
          </w:p>
          <w:p w14:paraId="53383C5C">
            <w:pPr>
              <w:jc w:val="center"/>
              <w:rPr>
                <w:rFonts w:eastAsiaTheme="minorEastAsia"/>
                <w:color w:val="auto"/>
                <w:sz w:val="24"/>
              </w:rPr>
            </w:pPr>
            <w:r>
              <w:rPr>
                <w:rFonts w:eastAsiaTheme="minorEastAsia"/>
                <w:color w:val="auto"/>
                <w:sz w:val="24"/>
              </w:rPr>
              <w:t>目标</w:t>
            </w:r>
          </w:p>
        </w:tc>
        <w:tc>
          <w:tcPr>
            <w:tcW w:w="8659" w:type="dxa"/>
          </w:tcPr>
          <w:p w14:paraId="39658789">
            <w:pPr>
              <w:pStyle w:val="50"/>
              <w:ind w:firstLine="480"/>
              <w:rPr>
                <w:color w:val="auto"/>
              </w:rPr>
            </w:pPr>
            <w:r>
              <w:rPr>
                <w:color w:val="auto"/>
              </w:rPr>
              <w:t>本</w:t>
            </w:r>
            <w:r>
              <w:rPr>
                <w:rFonts w:hint="eastAsia"/>
                <w:color w:val="auto"/>
              </w:rPr>
              <w:t>扩建</w:t>
            </w:r>
            <w:r>
              <w:rPr>
                <w:color w:val="auto"/>
              </w:rPr>
              <w:t>项目位于</w:t>
            </w:r>
            <w:r>
              <w:rPr>
                <w:rFonts w:hint="eastAsia"/>
                <w:color w:val="auto"/>
              </w:rPr>
              <w:t>宿迁市泗阳县</w:t>
            </w:r>
            <w:r>
              <w:rPr>
                <w:rFonts w:hint="eastAsia" w:eastAsiaTheme="minorEastAsia"/>
                <w:color w:val="auto"/>
              </w:rPr>
              <w:t>王集镇发展大道东路8号</w:t>
            </w:r>
            <w:r>
              <w:rPr>
                <w:color w:val="auto"/>
              </w:rPr>
              <w:t>，项目厂界500m范围内环境保护目标详见</w:t>
            </w:r>
            <w:r>
              <w:rPr>
                <w:color w:val="auto"/>
              </w:rPr>
              <w:fldChar w:fldCharType="begin"/>
            </w:r>
            <w:r>
              <w:rPr>
                <w:color w:val="auto"/>
              </w:rPr>
              <w:instrText xml:space="preserve"> REF _Ref1804 \h </w:instrText>
            </w:r>
            <w:r>
              <w:rPr>
                <w:color w:val="auto"/>
              </w:rPr>
              <w:fldChar w:fldCharType="separate"/>
            </w:r>
            <w:r>
              <w:rPr>
                <w:color w:val="auto"/>
              </w:rPr>
              <w:t>表3- 1</w:t>
            </w:r>
            <w:r>
              <w:rPr>
                <w:color w:val="auto"/>
              </w:rPr>
              <w:fldChar w:fldCharType="end"/>
            </w:r>
            <w:r>
              <w:rPr>
                <w:color w:val="auto"/>
              </w:rPr>
              <w:t>。</w:t>
            </w:r>
          </w:p>
          <w:p w14:paraId="74708194">
            <w:pPr>
              <w:pStyle w:val="7"/>
              <w:rPr>
                <w:color w:val="auto"/>
              </w:rPr>
            </w:pPr>
            <w:bookmarkStart w:id="71" w:name="_Ref1804"/>
            <w:r>
              <w:rPr>
                <w:color w:val="auto"/>
              </w:rPr>
              <w:t xml:space="preserve">表3- </w:t>
            </w:r>
            <w:r>
              <w:rPr>
                <w:color w:val="auto"/>
              </w:rPr>
              <w:fldChar w:fldCharType="begin"/>
            </w:r>
            <w:r>
              <w:rPr>
                <w:color w:val="auto"/>
              </w:rPr>
              <w:instrText xml:space="preserve"> SEQ 表3- \* ARABIC </w:instrText>
            </w:r>
            <w:r>
              <w:rPr>
                <w:color w:val="auto"/>
              </w:rPr>
              <w:fldChar w:fldCharType="separate"/>
            </w:r>
            <w:r>
              <w:rPr>
                <w:color w:val="auto"/>
              </w:rPr>
              <w:t>1</w:t>
            </w:r>
            <w:r>
              <w:rPr>
                <w:color w:val="auto"/>
              </w:rPr>
              <w:fldChar w:fldCharType="end"/>
            </w:r>
            <w:bookmarkEnd w:id="71"/>
            <w:r>
              <w:rPr>
                <w:color w:val="auto"/>
              </w:rPr>
              <w:t xml:space="preserve"> 项目周边环境保护目标一览表</w:t>
            </w:r>
          </w:p>
          <w:tbl>
            <w:tblPr>
              <w:tblStyle w:val="1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6"/>
              <w:gridCol w:w="1061"/>
              <w:gridCol w:w="769"/>
              <w:gridCol w:w="770"/>
              <w:gridCol w:w="499"/>
              <w:gridCol w:w="975"/>
              <w:gridCol w:w="789"/>
              <w:gridCol w:w="2671"/>
            </w:tblGrid>
            <w:tr w14:paraId="5207B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1" w:type="pct"/>
                  <w:vMerge w:val="restart"/>
                  <w:tcBorders>
                    <w:tl2br w:val="nil"/>
                    <w:tr2bl w:val="nil"/>
                  </w:tcBorders>
                  <w:vAlign w:val="center"/>
                </w:tcPr>
                <w:p w14:paraId="2DCADD5D">
                  <w:pPr>
                    <w:pStyle w:val="52"/>
                    <w:rPr>
                      <w:color w:val="auto"/>
                    </w:rPr>
                  </w:pPr>
                  <w:r>
                    <w:rPr>
                      <w:color w:val="auto"/>
                    </w:rPr>
                    <w:t>环境</w:t>
                  </w:r>
                </w:p>
                <w:p w14:paraId="7BD4F1BF">
                  <w:pPr>
                    <w:pStyle w:val="52"/>
                    <w:rPr>
                      <w:color w:val="auto"/>
                    </w:rPr>
                  </w:pPr>
                  <w:r>
                    <w:rPr>
                      <w:color w:val="auto"/>
                    </w:rPr>
                    <w:t>要素</w:t>
                  </w:r>
                </w:p>
              </w:tc>
              <w:tc>
                <w:tcPr>
                  <w:tcW w:w="629" w:type="pct"/>
                  <w:vMerge w:val="restart"/>
                  <w:tcBorders>
                    <w:tl2br w:val="nil"/>
                    <w:tr2bl w:val="nil"/>
                  </w:tcBorders>
                  <w:vAlign w:val="center"/>
                </w:tcPr>
                <w:p w14:paraId="375870C5">
                  <w:pPr>
                    <w:pStyle w:val="52"/>
                    <w:rPr>
                      <w:color w:val="auto"/>
                    </w:rPr>
                  </w:pPr>
                  <w:r>
                    <w:rPr>
                      <w:color w:val="auto"/>
                    </w:rPr>
                    <w:t>环境保护对象名称</w:t>
                  </w:r>
                </w:p>
              </w:tc>
              <w:tc>
                <w:tcPr>
                  <w:tcW w:w="912" w:type="pct"/>
                  <w:gridSpan w:val="2"/>
                  <w:tcBorders>
                    <w:tl2br w:val="nil"/>
                    <w:tr2bl w:val="nil"/>
                  </w:tcBorders>
                  <w:vAlign w:val="center"/>
                </w:tcPr>
                <w:p w14:paraId="78927D85">
                  <w:pPr>
                    <w:pStyle w:val="52"/>
                    <w:rPr>
                      <w:color w:val="auto"/>
                    </w:rPr>
                  </w:pPr>
                  <w:r>
                    <w:rPr>
                      <w:color w:val="auto"/>
                    </w:rPr>
                    <w:t>坐标</w:t>
                  </w:r>
                </w:p>
              </w:tc>
              <w:tc>
                <w:tcPr>
                  <w:tcW w:w="295" w:type="pct"/>
                  <w:vMerge w:val="restart"/>
                  <w:tcBorders>
                    <w:tl2br w:val="nil"/>
                    <w:tr2bl w:val="nil"/>
                  </w:tcBorders>
                  <w:vAlign w:val="center"/>
                </w:tcPr>
                <w:p w14:paraId="7B537A4F">
                  <w:pPr>
                    <w:pStyle w:val="52"/>
                    <w:rPr>
                      <w:color w:val="auto"/>
                    </w:rPr>
                  </w:pPr>
                  <w:r>
                    <w:rPr>
                      <w:color w:val="auto"/>
                    </w:rPr>
                    <w:t>方位</w:t>
                  </w:r>
                </w:p>
              </w:tc>
              <w:tc>
                <w:tcPr>
                  <w:tcW w:w="578" w:type="pct"/>
                  <w:vMerge w:val="restart"/>
                  <w:tcBorders>
                    <w:tl2br w:val="nil"/>
                    <w:tr2bl w:val="nil"/>
                  </w:tcBorders>
                  <w:vAlign w:val="center"/>
                </w:tcPr>
                <w:p w14:paraId="02ED7D06">
                  <w:pPr>
                    <w:pStyle w:val="52"/>
                    <w:rPr>
                      <w:color w:val="auto"/>
                    </w:rPr>
                  </w:pPr>
                  <w:r>
                    <w:rPr>
                      <w:color w:val="auto"/>
                    </w:rPr>
                    <w:t>距离厂界（m）</w:t>
                  </w:r>
                </w:p>
              </w:tc>
              <w:tc>
                <w:tcPr>
                  <w:tcW w:w="467" w:type="pct"/>
                  <w:vMerge w:val="restart"/>
                  <w:tcBorders>
                    <w:tl2br w:val="nil"/>
                    <w:tr2bl w:val="nil"/>
                  </w:tcBorders>
                  <w:vAlign w:val="center"/>
                </w:tcPr>
                <w:p w14:paraId="16AA0847">
                  <w:pPr>
                    <w:pStyle w:val="52"/>
                    <w:rPr>
                      <w:color w:val="auto"/>
                    </w:rPr>
                  </w:pPr>
                  <w:r>
                    <w:rPr>
                      <w:color w:val="auto"/>
                    </w:rPr>
                    <w:t>规模</w:t>
                  </w:r>
                </w:p>
              </w:tc>
              <w:tc>
                <w:tcPr>
                  <w:tcW w:w="1584" w:type="pct"/>
                  <w:vMerge w:val="restart"/>
                  <w:tcBorders>
                    <w:tl2br w:val="nil"/>
                    <w:tr2bl w:val="nil"/>
                  </w:tcBorders>
                  <w:vAlign w:val="center"/>
                </w:tcPr>
                <w:p w14:paraId="6CA3B621">
                  <w:pPr>
                    <w:pStyle w:val="52"/>
                    <w:rPr>
                      <w:color w:val="auto"/>
                    </w:rPr>
                  </w:pPr>
                  <w:r>
                    <w:rPr>
                      <w:color w:val="auto"/>
                    </w:rPr>
                    <w:t>环境功能</w:t>
                  </w:r>
                </w:p>
              </w:tc>
            </w:tr>
            <w:tr w14:paraId="3BD63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1" w:type="pct"/>
                  <w:vMerge w:val="continue"/>
                  <w:tcBorders>
                    <w:tl2br w:val="nil"/>
                    <w:tr2bl w:val="nil"/>
                  </w:tcBorders>
                  <w:vAlign w:val="center"/>
                </w:tcPr>
                <w:p w14:paraId="340D5151">
                  <w:pPr>
                    <w:pStyle w:val="52"/>
                    <w:rPr>
                      <w:color w:val="auto"/>
                    </w:rPr>
                  </w:pPr>
                </w:p>
              </w:tc>
              <w:tc>
                <w:tcPr>
                  <w:tcW w:w="629" w:type="pct"/>
                  <w:vMerge w:val="continue"/>
                  <w:tcBorders>
                    <w:tl2br w:val="nil"/>
                    <w:tr2bl w:val="nil"/>
                  </w:tcBorders>
                  <w:vAlign w:val="center"/>
                </w:tcPr>
                <w:p w14:paraId="08D5CBBD">
                  <w:pPr>
                    <w:pStyle w:val="52"/>
                    <w:rPr>
                      <w:color w:val="auto"/>
                    </w:rPr>
                  </w:pPr>
                </w:p>
              </w:tc>
              <w:tc>
                <w:tcPr>
                  <w:tcW w:w="456" w:type="pct"/>
                  <w:tcBorders>
                    <w:tl2br w:val="nil"/>
                    <w:tr2bl w:val="nil"/>
                  </w:tcBorders>
                  <w:vAlign w:val="center"/>
                </w:tcPr>
                <w:p w14:paraId="46423663">
                  <w:pPr>
                    <w:pStyle w:val="52"/>
                    <w:rPr>
                      <w:color w:val="auto"/>
                    </w:rPr>
                  </w:pPr>
                  <w:r>
                    <w:rPr>
                      <w:color w:val="auto"/>
                    </w:rPr>
                    <w:t>经度</w:t>
                  </w:r>
                </w:p>
              </w:tc>
              <w:tc>
                <w:tcPr>
                  <w:tcW w:w="456" w:type="pct"/>
                  <w:tcBorders>
                    <w:tl2br w:val="nil"/>
                    <w:tr2bl w:val="nil"/>
                  </w:tcBorders>
                  <w:vAlign w:val="center"/>
                </w:tcPr>
                <w:p w14:paraId="714382C8">
                  <w:pPr>
                    <w:pStyle w:val="52"/>
                    <w:rPr>
                      <w:color w:val="auto"/>
                    </w:rPr>
                  </w:pPr>
                  <w:r>
                    <w:rPr>
                      <w:color w:val="auto"/>
                    </w:rPr>
                    <w:t>纬度</w:t>
                  </w:r>
                </w:p>
              </w:tc>
              <w:tc>
                <w:tcPr>
                  <w:tcW w:w="295" w:type="pct"/>
                  <w:vMerge w:val="continue"/>
                  <w:tcBorders>
                    <w:tl2br w:val="nil"/>
                    <w:tr2bl w:val="nil"/>
                  </w:tcBorders>
                  <w:vAlign w:val="center"/>
                </w:tcPr>
                <w:p w14:paraId="4D2462E2">
                  <w:pPr>
                    <w:pStyle w:val="52"/>
                    <w:rPr>
                      <w:color w:val="auto"/>
                    </w:rPr>
                  </w:pPr>
                </w:p>
              </w:tc>
              <w:tc>
                <w:tcPr>
                  <w:tcW w:w="578" w:type="pct"/>
                  <w:vMerge w:val="continue"/>
                  <w:tcBorders>
                    <w:tl2br w:val="nil"/>
                    <w:tr2bl w:val="nil"/>
                  </w:tcBorders>
                  <w:vAlign w:val="center"/>
                </w:tcPr>
                <w:p w14:paraId="19BA18AB">
                  <w:pPr>
                    <w:pStyle w:val="52"/>
                    <w:rPr>
                      <w:color w:val="auto"/>
                    </w:rPr>
                  </w:pPr>
                </w:p>
              </w:tc>
              <w:tc>
                <w:tcPr>
                  <w:tcW w:w="467" w:type="pct"/>
                  <w:vMerge w:val="continue"/>
                  <w:tcBorders>
                    <w:tl2br w:val="nil"/>
                    <w:tr2bl w:val="nil"/>
                  </w:tcBorders>
                  <w:vAlign w:val="center"/>
                </w:tcPr>
                <w:p w14:paraId="1C70FFF8">
                  <w:pPr>
                    <w:pStyle w:val="52"/>
                    <w:rPr>
                      <w:color w:val="auto"/>
                    </w:rPr>
                  </w:pPr>
                </w:p>
              </w:tc>
              <w:tc>
                <w:tcPr>
                  <w:tcW w:w="1584" w:type="pct"/>
                  <w:vMerge w:val="continue"/>
                  <w:tcBorders>
                    <w:tl2br w:val="nil"/>
                    <w:tr2bl w:val="nil"/>
                  </w:tcBorders>
                  <w:vAlign w:val="center"/>
                </w:tcPr>
                <w:p w14:paraId="5910B76F">
                  <w:pPr>
                    <w:pStyle w:val="52"/>
                    <w:rPr>
                      <w:color w:val="auto"/>
                    </w:rPr>
                  </w:pPr>
                </w:p>
              </w:tc>
            </w:tr>
            <w:tr w14:paraId="42A1BD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1" w:type="pct"/>
                  <w:vMerge w:val="restart"/>
                  <w:tcBorders>
                    <w:tl2br w:val="nil"/>
                    <w:tr2bl w:val="nil"/>
                  </w:tcBorders>
                  <w:vAlign w:val="center"/>
                </w:tcPr>
                <w:p w14:paraId="7D67C451">
                  <w:pPr>
                    <w:pStyle w:val="54"/>
                    <w:rPr>
                      <w:rFonts w:hint="default" w:ascii="Times New Roman" w:hAnsi="Times New Roman" w:cs="Times New Roman"/>
                      <w:color w:val="auto"/>
                    </w:rPr>
                  </w:pPr>
                  <w:r>
                    <w:rPr>
                      <w:rFonts w:hint="default" w:ascii="Times New Roman" w:hAnsi="Times New Roman" w:cs="Times New Roman"/>
                      <w:color w:val="auto"/>
                    </w:rPr>
                    <w:t>大气</w:t>
                  </w:r>
                </w:p>
                <w:p w14:paraId="364DC918">
                  <w:pPr>
                    <w:pStyle w:val="54"/>
                    <w:rPr>
                      <w:rFonts w:hint="default" w:ascii="Times New Roman" w:hAnsi="Times New Roman" w:cs="Times New Roman"/>
                      <w:color w:val="auto"/>
                    </w:rPr>
                  </w:pPr>
                  <w:r>
                    <w:rPr>
                      <w:rFonts w:hint="default" w:ascii="Times New Roman" w:hAnsi="Times New Roman" w:cs="Times New Roman"/>
                      <w:color w:val="auto"/>
                    </w:rPr>
                    <w:t>环境</w:t>
                  </w:r>
                </w:p>
              </w:tc>
              <w:tc>
                <w:tcPr>
                  <w:tcW w:w="629" w:type="pct"/>
                  <w:tcBorders>
                    <w:tl2br w:val="nil"/>
                    <w:tr2bl w:val="nil"/>
                  </w:tcBorders>
                  <w:vAlign w:val="center"/>
                </w:tcPr>
                <w:p w14:paraId="61329D13">
                  <w:pPr>
                    <w:pStyle w:val="54"/>
                    <w:rPr>
                      <w:rFonts w:hint="default" w:ascii="Times New Roman" w:hAnsi="Times New Roman" w:cs="Times New Roman"/>
                      <w:color w:val="auto"/>
                    </w:rPr>
                  </w:pPr>
                  <w:r>
                    <w:rPr>
                      <w:rFonts w:hint="default" w:ascii="Times New Roman" w:hAnsi="Times New Roman" w:cs="Times New Roman"/>
                      <w:color w:val="auto"/>
                    </w:rPr>
                    <w:t>小圩</w:t>
                  </w:r>
                </w:p>
              </w:tc>
              <w:tc>
                <w:tcPr>
                  <w:tcW w:w="456" w:type="pct"/>
                  <w:tcBorders>
                    <w:tl2br w:val="nil"/>
                    <w:tr2bl w:val="nil"/>
                  </w:tcBorders>
                  <w:vAlign w:val="center"/>
                </w:tcPr>
                <w:p w14:paraId="209E0A12">
                  <w:pPr>
                    <w:pStyle w:val="54"/>
                    <w:rPr>
                      <w:rFonts w:hint="default" w:ascii="Times New Roman" w:hAnsi="Times New Roman" w:cs="Times New Roman"/>
                      <w:color w:val="auto"/>
                    </w:rPr>
                  </w:pPr>
                  <w:r>
                    <w:rPr>
                      <w:rFonts w:hint="default" w:ascii="Times New Roman" w:hAnsi="Times New Roman" w:cs="Times New Roman"/>
                      <w:color w:val="auto"/>
                    </w:rPr>
                    <w:t>118.735962</w:t>
                  </w:r>
                </w:p>
              </w:tc>
              <w:tc>
                <w:tcPr>
                  <w:tcW w:w="456" w:type="pct"/>
                  <w:tcBorders>
                    <w:tl2br w:val="nil"/>
                    <w:tr2bl w:val="nil"/>
                  </w:tcBorders>
                  <w:vAlign w:val="center"/>
                </w:tcPr>
                <w:p w14:paraId="4C4FC2FF">
                  <w:pPr>
                    <w:pStyle w:val="54"/>
                    <w:rPr>
                      <w:rFonts w:hint="default" w:ascii="Times New Roman" w:hAnsi="Times New Roman" w:cs="Times New Roman"/>
                      <w:color w:val="auto"/>
                    </w:rPr>
                  </w:pPr>
                  <w:r>
                    <w:rPr>
                      <w:rFonts w:hint="default" w:ascii="Times New Roman" w:hAnsi="Times New Roman" w:cs="Times New Roman"/>
                      <w:color w:val="auto"/>
                    </w:rPr>
                    <w:t>33.851532</w:t>
                  </w:r>
                </w:p>
              </w:tc>
              <w:tc>
                <w:tcPr>
                  <w:tcW w:w="295" w:type="pct"/>
                  <w:tcBorders>
                    <w:tl2br w:val="nil"/>
                    <w:tr2bl w:val="nil"/>
                  </w:tcBorders>
                  <w:vAlign w:val="center"/>
                </w:tcPr>
                <w:p w14:paraId="44329793">
                  <w:pPr>
                    <w:pStyle w:val="54"/>
                    <w:rPr>
                      <w:rFonts w:hint="default" w:ascii="Times New Roman" w:hAnsi="Times New Roman" w:cs="Times New Roman"/>
                      <w:color w:val="auto"/>
                    </w:rPr>
                  </w:pPr>
                  <w:r>
                    <w:rPr>
                      <w:rFonts w:hint="default" w:ascii="Times New Roman" w:hAnsi="Times New Roman" w:cs="Times New Roman"/>
                      <w:color w:val="auto"/>
                    </w:rPr>
                    <w:t>N</w:t>
                  </w:r>
                </w:p>
              </w:tc>
              <w:tc>
                <w:tcPr>
                  <w:tcW w:w="578" w:type="pct"/>
                  <w:tcBorders>
                    <w:tl2br w:val="nil"/>
                    <w:tr2bl w:val="nil"/>
                  </w:tcBorders>
                  <w:vAlign w:val="center"/>
                </w:tcPr>
                <w:p w14:paraId="35BF6CC3">
                  <w:pPr>
                    <w:pStyle w:val="54"/>
                    <w:rPr>
                      <w:rFonts w:hint="default" w:ascii="Times New Roman" w:hAnsi="Times New Roman" w:cs="Times New Roman"/>
                      <w:color w:val="auto"/>
                    </w:rPr>
                  </w:pPr>
                  <w:r>
                    <w:rPr>
                      <w:rFonts w:hint="default" w:ascii="Times New Roman" w:hAnsi="Times New Roman" w:cs="Times New Roman"/>
                      <w:color w:val="auto"/>
                    </w:rPr>
                    <w:t>485</w:t>
                  </w:r>
                </w:p>
              </w:tc>
              <w:tc>
                <w:tcPr>
                  <w:tcW w:w="467" w:type="pct"/>
                  <w:tcBorders>
                    <w:tl2br w:val="nil"/>
                    <w:tr2bl w:val="nil"/>
                  </w:tcBorders>
                  <w:vAlign w:val="center"/>
                </w:tcPr>
                <w:p w14:paraId="3A07CF17">
                  <w:pPr>
                    <w:pStyle w:val="54"/>
                    <w:rPr>
                      <w:rFonts w:hint="default" w:ascii="Times New Roman" w:hAnsi="Times New Roman" w:eastAsia="宋体" w:cs="Times New Roman"/>
                      <w:color w:val="auto"/>
                      <w:lang w:val="en-US" w:eastAsia="zh-CN"/>
                    </w:rPr>
                  </w:pPr>
                  <w:r>
                    <w:rPr>
                      <w:rFonts w:hint="default" w:ascii="Times New Roman" w:hAnsi="Times New Roman" w:cs="Times New Roman"/>
                      <w:color w:val="auto"/>
                    </w:rPr>
                    <w:t>20</w:t>
                  </w:r>
                  <w:r>
                    <w:rPr>
                      <w:rFonts w:hint="default" w:ascii="Times New Roman" w:hAnsi="Times New Roman" w:cs="Times New Roman"/>
                      <w:color w:val="auto"/>
                      <w:lang w:val="en-US" w:eastAsia="zh-CN"/>
                    </w:rPr>
                    <w:t>人</w:t>
                  </w:r>
                </w:p>
              </w:tc>
              <w:tc>
                <w:tcPr>
                  <w:tcW w:w="1584" w:type="pct"/>
                  <w:vMerge w:val="restart"/>
                  <w:tcBorders>
                    <w:tl2br w:val="nil"/>
                    <w:tr2bl w:val="nil"/>
                  </w:tcBorders>
                  <w:vAlign w:val="center"/>
                </w:tcPr>
                <w:p w14:paraId="561B4BB2">
                  <w:pPr>
                    <w:pStyle w:val="54"/>
                    <w:rPr>
                      <w:rFonts w:hint="default" w:ascii="Times New Roman" w:hAnsi="Times New Roman" w:cs="Times New Roman"/>
                      <w:color w:val="auto"/>
                    </w:rPr>
                  </w:pPr>
                  <w:r>
                    <w:rPr>
                      <w:rFonts w:hint="default" w:ascii="Times New Roman" w:hAnsi="Times New Roman" w:cs="Times New Roman"/>
                      <w:color w:val="auto"/>
                    </w:rPr>
                    <w:t>《环境空气质量标准》</w:t>
                  </w:r>
                </w:p>
                <w:p w14:paraId="62F40091">
                  <w:pPr>
                    <w:pStyle w:val="54"/>
                    <w:rPr>
                      <w:rFonts w:hint="default" w:ascii="Times New Roman" w:hAnsi="Times New Roman" w:cs="Times New Roman"/>
                      <w:color w:val="auto"/>
                    </w:rPr>
                  </w:pPr>
                  <w:r>
                    <w:rPr>
                      <w:rFonts w:hint="default" w:ascii="Times New Roman" w:hAnsi="Times New Roman" w:cs="Times New Roman"/>
                      <w:color w:val="auto"/>
                    </w:rPr>
                    <w:t>（GB 3095-2012）二级标准</w:t>
                  </w:r>
                </w:p>
              </w:tc>
            </w:tr>
            <w:tr w14:paraId="26DE55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1" w:type="pct"/>
                  <w:vMerge w:val="continue"/>
                  <w:tcBorders>
                    <w:tl2br w:val="nil"/>
                    <w:tr2bl w:val="nil"/>
                  </w:tcBorders>
                  <w:vAlign w:val="center"/>
                </w:tcPr>
                <w:p w14:paraId="6384ABC3">
                  <w:pPr>
                    <w:pStyle w:val="54"/>
                    <w:rPr>
                      <w:rFonts w:hint="default" w:ascii="Times New Roman" w:hAnsi="Times New Roman" w:cs="Times New Roman"/>
                      <w:color w:val="auto"/>
                    </w:rPr>
                  </w:pPr>
                </w:p>
              </w:tc>
              <w:tc>
                <w:tcPr>
                  <w:tcW w:w="629" w:type="pct"/>
                  <w:tcBorders>
                    <w:tl2br w:val="nil"/>
                    <w:tr2bl w:val="nil"/>
                  </w:tcBorders>
                  <w:vAlign w:val="center"/>
                </w:tcPr>
                <w:p w14:paraId="34D929B3">
                  <w:pPr>
                    <w:pStyle w:val="54"/>
                    <w:rPr>
                      <w:rFonts w:hint="default" w:ascii="Times New Roman" w:hAnsi="Times New Roman" w:cs="Times New Roman"/>
                      <w:color w:val="auto"/>
                    </w:rPr>
                  </w:pPr>
                  <w:r>
                    <w:rPr>
                      <w:rFonts w:hint="default" w:ascii="Times New Roman" w:hAnsi="Times New Roman" w:cs="Times New Roman"/>
                      <w:color w:val="auto"/>
                    </w:rPr>
                    <w:t>赵庄</w:t>
                  </w:r>
                </w:p>
              </w:tc>
              <w:tc>
                <w:tcPr>
                  <w:tcW w:w="456" w:type="pct"/>
                  <w:tcBorders>
                    <w:tl2br w:val="nil"/>
                    <w:tr2bl w:val="nil"/>
                  </w:tcBorders>
                  <w:vAlign w:val="center"/>
                </w:tcPr>
                <w:p w14:paraId="6CD770BD">
                  <w:pPr>
                    <w:pStyle w:val="54"/>
                    <w:rPr>
                      <w:rFonts w:hint="default" w:ascii="Times New Roman" w:hAnsi="Times New Roman" w:cs="Times New Roman"/>
                      <w:color w:val="auto"/>
                    </w:rPr>
                  </w:pPr>
                  <w:r>
                    <w:rPr>
                      <w:rFonts w:hint="default" w:ascii="Times New Roman" w:hAnsi="Times New Roman" w:cs="Times New Roman"/>
                      <w:color w:val="auto"/>
                    </w:rPr>
                    <w:t>118.732510</w:t>
                  </w:r>
                </w:p>
              </w:tc>
              <w:tc>
                <w:tcPr>
                  <w:tcW w:w="456" w:type="pct"/>
                  <w:tcBorders>
                    <w:tl2br w:val="nil"/>
                    <w:tr2bl w:val="nil"/>
                  </w:tcBorders>
                  <w:vAlign w:val="center"/>
                </w:tcPr>
                <w:p w14:paraId="525F6F25">
                  <w:pPr>
                    <w:pStyle w:val="54"/>
                    <w:rPr>
                      <w:rFonts w:hint="default" w:ascii="Times New Roman" w:hAnsi="Times New Roman" w:cs="Times New Roman"/>
                      <w:color w:val="auto"/>
                    </w:rPr>
                  </w:pPr>
                  <w:r>
                    <w:rPr>
                      <w:rFonts w:hint="default" w:ascii="Times New Roman" w:hAnsi="Times New Roman" w:cs="Times New Roman"/>
                      <w:color w:val="auto"/>
                    </w:rPr>
                    <w:t>33.812029</w:t>
                  </w:r>
                </w:p>
              </w:tc>
              <w:tc>
                <w:tcPr>
                  <w:tcW w:w="295" w:type="pct"/>
                  <w:tcBorders>
                    <w:tl2br w:val="nil"/>
                    <w:tr2bl w:val="nil"/>
                  </w:tcBorders>
                  <w:shd w:val="clear" w:color="auto" w:fill="auto"/>
                  <w:vAlign w:val="center"/>
                </w:tcPr>
                <w:p w14:paraId="2C4E876B">
                  <w:pPr>
                    <w:pStyle w:val="54"/>
                    <w:rPr>
                      <w:rFonts w:hint="default" w:ascii="Times New Roman" w:hAnsi="Times New Roman" w:cs="Times New Roman"/>
                      <w:color w:val="auto"/>
                    </w:rPr>
                  </w:pPr>
                  <w:r>
                    <w:rPr>
                      <w:rFonts w:hint="default" w:ascii="Times New Roman" w:hAnsi="Times New Roman" w:cs="Times New Roman"/>
                      <w:color w:val="auto"/>
                    </w:rPr>
                    <w:t>N</w:t>
                  </w:r>
                </w:p>
              </w:tc>
              <w:tc>
                <w:tcPr>
                  <w:tcW w:w="578" w:type="pct"/>
                  <w:tcBorders>
                    <w:tl2br w:val="nil"/>
                    <w:tr2bl w:val="nil"/>
                  </w:tcBorders>
                  <w:vAlign w:val="center"/>
                </w:tcPr>
                <w:p w14:paraId="1CDBB7AD">
                  <w:pPr>
                    <w:pStyle w:val="54"/>
                    <w:rPr>
                      <w:rFonts w:hint="default" w:ascii="Times New Roman" w:hAnsi="Times New Roman" w:cs="Times New Roman"/>
                      <w:color w:val="auto"/>
                    </w:rPr>
                  </w:pPr>
                  <w:r>
                    <w:rPr>
                      <w:rFonts w:hint="default" w:ascii="Times New Roman" w:hAnsi="Times New Roman" w:cs="Times New Roman"/>
                      <w:color w:val="auto"/>
                    </w:rPr>
                    <w:t>90</w:t>
                  </w:r>
                </w:p>
              </w:tc>
              <w:tc>
                <w:tcPr>
                  <w:tcW w:w="467" w:type="pct"/>
                  <w:tcBorders>
                    <w:tl2br w:val="nil"/>
                    <w:tr2bl w:val="nil"/>
                  </w:tcBorders>
                  <w:vAlign w:val="center"/>
                </w:tcPr>
                <w:p w14:paraId="4D777D95">
                  <w:pPr>
                    <w:pStyle w:val="54"/>
                    <w:rPr>
                      <w:rFonts w:hint="default" w:ascii="Times New Roman" w:hAnsi="Times New Roman" w:eastAsia="宋体" w:cs="Times New Roman"/>
                      <w:color w:val="auto"/>
                      <w:lang w:val="en-US" w:eastAsia="zh-CN"/>
                    </w:rPr>
                  </w:pPr>
                  <w:r>
                    <w:rPr>
                      <w:rFonts w:hint="default" w:ascii="Times New Roman" w:hAnsi="Times New Roman" w:cs="Times New Roman"/>
                      <w:color w:val="auto"/>
                    </w:rPr>
                    <w:t>350</w:t>
                  </w:r>
                  <w:r>
                    <w:rPr>
                      <w:rFonts w:hint="default" w:ascii="Times New Roman" w:hAnsi="Times New Roman" w:cs="Times New Roman"/>
                      <w:color w:val="auto"/>
                      <w:lang w:val="en-US" w:eastAsia="zh-CN"/>
                    </w:rPr>
                    <w:t>人</w:t>
                  </w:r>
                </w:p>
              </w:tc>
              <w:tc>
                <w:tcPr>
                  <w:tcW w:w="1584" w:type="pct"/>
                  <w:vMerge w:val="continue"/>
                  <w:tcBorders>
                    <w:tl2br w:val="nil"/>
                    <w:tr2bl w:val="nil"/>
                  </w:tcBorders>
                  <w:vAlign w:val="center"/>
                </w:tcPr>
                <w:p w14:paraId="11552590">
                  <w:pPr>
                    <w:pStyle w:val="54"/>
                    <w:rPr>
                      <w:rFonts w:hint="default" w:ascii="Times New Roman" w:hAnsi="Times New Roman" w:cs="Times New Roman"/>
                      <w:color w:val="auto"/>
                    </w:rPr>
                  </w:pPr>
                </w:p>
              </w:tc>
            </w:tr>
            <w:tr w14:paraId="0F72F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1" w:type="pct"/>
                  <w:vMerge w:val="continue"/>
                  <w:tcBorders>
                    <w:tl2br w:val="nil"/>
                    <w:tr2bl w:val="nil"/>
                  </w:tcBorders>
                  <w:vAlign w:val="center"/>
                </w:tcPr>
                <w:p w14:paraId="53258E87">
                  <w:pPr>
                    <w:pStyle w:val="54"/>
                    <w:rPr>
                      <w:rFonts w:hint="default" w:ascii="Times New Roman" w:hAnsi="Times New Roman" w:cs="Times New Roman"/>
                      <w:color w:val="auto"/>
                    </w:rPr>
                  </w:pPr>
                </w:p>
              </w:tc>
              <w:tc>
                <w:tcPr>
                  <w:tcW w:w="629" w:type="pct"/>
                  <w:tcBorders>
                    <w:tl2br w:val="nil"/>
                    <w:tr2bl w:val="nil"/>
                  </w:tcBorders>
                  <w:vAlign w:val="center"/>
                </w:tcPr>
                <w:p w14:paraId="248EF94E">
                  <w:pPr>
                    <w:pStyle w:val="54"/>
                    <w:rPr>
                      <w:rFonts w:hint="default" w:ascii="Times New Roman" w:hAnsi="Times New Roman" w:cs="Times New Roman"/>
                      <w:color w:val="auto"/>
                    </w:rPr>
                  </w:pPr>
                  <w:r>
                    <w:rPr>
                      <w:rFonts w:hint="default" w:ascii="Times New Roman" w:hAnsi="Times New Roman" w:cs="Times New Roman"/>
                      <w:color w:val="auto"/>
                    </w:rPr>
                    <w:t>南窑</w:t>
                  </w:r>
                </w:p>
              </w:tc>
              <w:tc>
                <w:tcPr>
                  <w:tcW w:w="456" w:type="pct"/>
                  <w:tcBorders>
                    <w:tl2br w:val="nil"/>
                    <w:tr2bl w:val="nil"/>
                  </w:tcBorders>
                  <w:vAlign w:val="center"/>
                </w:tcPr>
                <w:p w14:paraId="2CC96FBD">
                  <w:pPr>
                    <w:pStyle w:val="54"/>
                    <w:rPr>
                      <w:rFonts w:hint="default" w:ascii="Times New Roman" w:hAnsi="Times New Roman" w:cs="Times New Roman"/>
                      <w:color w:val="auto"/>
                    </w:rPr>
                  </w:pPr>
                  <w:r>
                    <w:rPr>
                      <w:rFonts w:hint="default" w:ascii="Times New Roman" w:hAnsi="Times New Roman" w:cs="Times New Roman"/>
                      <w:color w:val="auto"/>
                    </w:rPr>
                    <w:t>118.748431</w:t>
                  </w:r>
                </w:p>
              </w:tc>
              <w:tc>
                <w:tcPr>
                  <w:tcW w:w="456" w:type="pct"/>
                  <w:tcBorders>
                    <w:tl2br w:val="nil"/>
                    <w:tr2bl w:val="nil"/>
                  </w:tcBorders>
                  <w:vAlign w:val="center"/>
                </w:tcPr>
                <w:p w14:paraId="3AB1A41A">
                  <w:pPr>
                    <w:pStyle w:val="54"/>
                    <w:rPr>
                      <w:rFonts w:hint="default" w:ascii="Times New Roman" w:hAnsi="Times New Roman" w:cs="Times New Roman"/>
                      <w:color w:val="auto"/>
                    </w:rPr>
                  </w:pPr>
                  <w:r>
                    <w:rPr>
                      <w:rFonts w:hint="default" w:ascii="Times New Roman" w:hAnsi="Times New Roman" w:cs="Times New Roman"/>
                      <w:color w:val="auto"/>
                    </w:rPr>
                    <w:t>33.849212</w:t>
                  </w:r>
                </w:p>
              </w:tc>
              <w:tc>
                <w:tcPr>
                  <w:tcW w:w="295" w:type="pct"/>
                  <w:tcBorders>
                    <w:tl2br w:val="nil"/>
                    <w:tr2bl w:val="nil"/>
                  </w:tcBorders>
                  <w:vAlign w:val="center"/>
                </w:tcPr>
                <w:p w14:paraId="693E62A1">
                  <w:pPr>
                    <w:pStyle w:val="54"/>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NE</w:t>
                  </w:r>
                </w:p>
              </w:tc>
              <w:tc>
                <w:tcPr>
                  <w:tcW w:w="578" w:type="pct"/>
                  <w:tcBorders>
                    <w:tl2br w:val="nil"/>
                    <w:tr2bl w:val="nil"/>
                  </w:tcBorders>
                  <w:vAlign w:val="center"/>
                </w:tcPr>
                <w:p w14:paraId="7BE2C4CB">
                  <w:pPr>
                    <w:pStyle w:val="54"/>
                    <w:rPr>
                      <w:rFonts w:hint="default" w:ascii="Times New Roman" w:hAnsi="Times New Roman" w:cs="Times New Roman"/>
                      <w:color w:val="auto"/>
                    </w:rPr>
                  </w:pPr>
                  <w:r>
                    <w:rPr>
                      <w:rFonts w:hint="default" w:ascii="Times New Roman" w:hAnsi="Times New Roman" w:cs="Times New Roman"/>
                      <w:color w:val="auto"/>
                    </w:rPr>
                    <w:t>465</w:t>
                  </w:r>
                </w:p>
              </w:tc>
              <w:tc>
                <w:tcPr>
                  <w:tcW w:w="467" w:type="pct"/>
                  <w:tcBorders>
                    <w:tl2br w:val="nil"/>
                    <w:tr2bl w:val="nil"/>
                  </w:tcBorders>
                  <w:vAlign w:val="center"/>
                </w:tcPr>
                <w:p w14:paraId="57FF56EE">
                  <w:pPr>
                    <w:pStyle w:val="54"/>
                    <w:rPr>
                      <w:rFonts w:hint="default" w:ascii="Times New Roman" w:hAnsi="Times New Roman" w:eastAsia="宋体" w:cs="Times New Roman"/>
                      <w:color w:val="auto"/>
                      <w:lang w:val="en-US" w:eastAsia="zh-CN"/>
                    </w:rPr>
                  </w:pPr>
                  <w:r>
                    <w:rPr>
                      <w:rFonts w:hint="default" w:ascii="Times New Roman" w:hAnsi="Times New Roman" w:cs="Times New Roman"/>
                      <w:color w:val="auto"/>
                    </w:rPr>
                    <w:t>100</w:t>
                  </w:r>
                  <w:r>
                    <w:rPr>
                      <w:rFonts w:hint="default" w:ascii="Times New Roman" w:hAnsi="Times New Roman" w:cs="Times New Roman"/>
                      <w:color w:val="auto"/>
                      <w:lang w:val="en-US" w:eastAsia="zh-CN"/>
                    </w:rPr>
                    <w:t>人</w:t>
                  </w:r>
                </w:p>
              </w:tc>
              <w:tc>
                <w:tcPr>
                  <w:tcW w:w="1584" w:type="pct"/>
                  <w:vMerge w:val="continue"/>
                  <w:tcBorders>
                    <w:tl2br w:val="nil"/>
                    <w:tr2bl w:val="nil"/>
                  </w:tcBorders>
                  <w:vAlign w:val="center"/>
                </w:tcPr>
                <w:p w14:paraId="7901A4AF">
                  <w:pPr>
                    <w:pStyle w:val="54"/>
                    <w:rPr>
                      <w:rFonts w:hint="default" w:ascii="Times New Roman" w:hAnsi="Times New Roman" w:cs="Times New Roman"/>
                      <w:color w:val="auto"/>
                    </w:rPr>
                  </w:pPr>
                </w:p>
              </w:tc>
            </w:tr>
            <w:tr w14:paraId="2D462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1" w:type="pct"/>
                  <w:vMerge w:val="continue"/>
                  <w:tcBorders>
                    <w:tl2br w:val="nil"/>
                    <w:tr2bl w:val="nil"/>
                  </w:tcBorders>
                  <w:vAlign w:val="center"/>
                </w:tcPr>
                <w:p w14:paraId="27F562E9">
                  <w:pPr>
                    <w:pStyle w:val="54"/>
                    <w:rPr>
                      <w:rFonts w:hint="default" w:ascii="Times New Roman" w:hAnsi="Times New Roman" w:cs="Times New Roman"/>
                      <w:color w:val="auto"/>
                    </w:rPr>
                  </w:pPr>
                </w:p>
              </w:tc>
              <w:tc>
                <w:tcPr>
                  <w:tcW w:w="629" w:type="pct"/>
                  <w:tcBorders>
                    <w:tl2br w:val="nil"/>
                    <w:tr2bl w:val="nil"/>
                  </w:tcBorders>
                  <w:vAlign w:val="center"/>
                </w:tcPr>
                <w:p w14:paraId="09F6CC8A">
                  <w:pPr>
                    <w:pStyle w:val="54"/>
                    <w:rPr>
                      <w:rFonts w:hint="default" w:ascii="Times New Roman" w:hAnsi="Times New Roman" w:cs="Times New Roman"/>
                      <w:color w:val="auto"/>
                    </w:rPr>
                  </w:pPr>
                  <w:r>
                    <w:rPr>
                      <w:rFonts w:hint="default" w:ascii="Times New Roman" w:hAnsi="Times New Roman" w:cs="Times New Roman"/>
                      <w:color w:val="auto"/>
                    </w:rPr>
                    <w:t>王圩</w:t>
                  </w:r>
                </w:p>
              </w:tc>
              <w:tc>
                <w:tcPr>
                  <w:tcW w:w="456" w:type="pct"/>
                  <w:tcBorders>
                    <w:tl2br w:val="nil"/>
                    <w:tr2bl w:val="nil"/>
                  </w:tcBorders>
                  <w:vAlign w:val="center"/>
                </w:tcPr>
                <w:p w14:paraId="40D41C03">
                  <w:pPr>
                    <w:pStyle w:val="54"/>
                    <w:rPr>
                      <w:rFonts w:hint="default" w:ascii="Times New Roman" w:hAnsi="Times New Roman" w:cs="Times New Roman"/>
                      <w:color w:val="auto"/>
                    </w:rPr>
                  </w:pPr>
                  <w:r>
                    <w:rPr>
                      <w:rFonts w:hint="default" w:ascii="Times New Roman" w:hAnsi="Times New Roman" w:cs="Times New Roman"/>
                      <w:color w:val="auto"/>
                    </w:rPr>
                    <w:t>118.738601</w:t>
                  </w:r>
                </w:p>
              </w:tc>
              <w:tc>
                <w:tcPr>
                  <w:tcW w:w="456" w:type="pct"/>
                  <w:tcBorders>
                    <w:tl2br w:val="nil"/>
                    <w:tr2bl w:val="nil"/>
                  </w:tcBorders>
                  <w:vAlign w:val="center"/>
                </w:tcPr>
                <w:p w14:paraId="531B5391">
                  <w:pPr>
                    <w:pStyle w:val="54"/>
                    <w:rPr>
                      <w:rFonts w:hint="default" w:ascii="Times New Roman" w:hAnsi="Times New Roman" w:cs="Times New Roman"/>
                      <w:color w:val="auto"/>
                    </w:rPr>
                  </w:pPr>
                  <w:r>
                    <w:rPr>
                      <w:rFonts w:hint="default" w:ascii="Times New Roman" w:hAnsi="Times New Roman" w:cs="Times New Roman"/>
                      <w:color w:val="auto"/>
                    </w:rPr>
                    <w:t>33.844699</w:t>
                  </w:r>
                </w:p>
              </w:tc>
              <w:tc>
                <w:tcPr>
                  <w:tcW w:w="295" w:type="pct"/>
                  <w:tcBorders>
                    <w:tl2br w:val="nil"/>
                    <w:tr2bl w:val="nil"/>
                  </w:tcBorders>
                  <w:vAlign w:val="center"/>
                </w:tcPr>
                <w:p w14:paraId="23BDB515">
                  <w:pPr>
                    <w:pStyle w:val="54"/>
                    <w:rPr>
                      <w:rFonts w:hint="default" w:ascii="Times New Roman" w:hAnsi="Times New Roman" w:cs="Times New Roman"/>
                      <w:color w:val="auto"/>
                    </w:rPr>
                  </w:pPr>
                  <w:r>
                    <w:rPr>
                      <w:rFonts w:hint="default" w:ascii="Times New Roman" w:hAnsi="Times New Roman" w:cs="Times New Roman"/>
                      <w:color w:val="auto"/>
                    </w:rPr>
                    <w:t>S</w:t>
                  </w:r>
                </w:p>
              </w:tc>
              <w:tc>
                <w:tcPr>
                  <w:tcW w:w="578" w:type="pct"/>
                  <w:tcBorders>
                    <w:tl2br w:val="nil"/>
                    <w:tr2bl w:val="nil"/>
                  </w:tcBorders>
                  <w:vAlign w:val="center"/>
                </w:tcPr>
                <w:p w14:paraId="626553B0">
                  <w:pPr>
                    <w:pStyle w:val="54"/>
                    <w:rPr>
                      <w:rFonts w:hint="default" w:ascii="Times New Roman" w:hAnsi="Times New Roman" w:cs="Times New Roman"/>
                      <w:color w:val="auto"/>
                    </w:rPr>
                  </w:pPr>
                  <w:r>
                    <w:rPr>
                      <w:rFonts w:hint="default" w:ascii="Times New Roman" w:hAnsi="Times New Roman" w:cs="Times New Roman"/>
                      <w:color w:val="auto"/>
                    </w:rPr>
                    <w:t>65</w:t>
                  </w:r>
                </w:p>
              </w:tc>
              <w:tc>
                <w:tcPr>
                  <w:tcW w:w="467" w:type="pct"/>
                  <w:tcBorders>
                    <w:tl2br w:val="nil"/>
                    <w:tr2bl w:val="nil"/>
                  </w:tcBorders>
                  <w:vAlign w:val="center"/>
                </w:tcPr>
                <w:p w14:paraId="6A0FB03F">
                  <w:pPr>
                    <w:pStyle w:val="54"/>
                    <w:rPr>
                      <w:rFonts w:hint="default" w:ascii="Times New Roman" w:hAnsi="Times New Roman" w:eastAsia="宋体" w:cs="Times New Roman"/>
                      <w:color w:val="auto"/>
                      <w:lang w:val="en-US" w:eastAsia="zh-CN"/>
                    </w:rPr>
                  </w:pPr>
                  <w:r>
                    <w:rPr>
                      <w:rFonts w:hint="default" w:ascii="Times New Roman" w:hAnsi="Times New Roman" w:cs="Times New Roman"/>
                      <w:color w:val="auto"/>
                    </w:rPr>
                    <w:t>350</w:t>
                  </w:r>
                  <w:r>
                    <w:rPr>
                      <w:rFonts w:hint="default" w:ascii="Times New Roman" w:hAnsi="Times New Roman" w:cs="Times New Roman"/>
                      <w:color w:val="auto"/>
                      <w:lang w:val="en-US" w:eastAsia="zh-CN"/>
                    </w:rPr>
                    <w:t>人</w:t>
                  </w:r>
                </w:p>
              </w:tc>
              <w:tc>
                <w:tcPr>
                  <w:tcW w:w="1584" w:type="pct"/>
                  <w:vMerge w:val="continue"/>
                  <w:tcBorders>
                    <w:tl2br w:val="nil"/>
                    <w:tr2bl w:val="nil"/>
                  </w:tcBorders>
                  <w:vAlign w:val="center"/>
                </w:tcPr>
                <w:p w14:paraId="187203D5">
                  <w:pPr>
                    <w:pStyle w:val="54"/>
                    <w:rPr>
                      <w:rFonts w:hint="default" w:ascii="Times New Roman" w:hAnsi="Times New Roman" w:cs="Times New Roman"/>
                      <w:color w:val="auto"/>
                    </w:rPr>
                  </w:pPr>
                </w:p>
              </w:tc>
            </w:tr>
            <w:tr w14:paraId="32406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1" w:type="pct"/>
                  <w:tcBorders>
                    <w:tl2br w:val="nil"/>
                    <w:tr2bl w:val="nil"/>
                  </w:tcBorders>
                  <w:vAlign w:val="center"/>
                </w:tcPr>
                <w:p w14:paraId="654F1621">
                  <w:pPr>
                    <w:pStyle w:val="54"/>
                    <w:rPr>
                      <w:rFonts w:hint="default" w:ascii="Times New Roman" w:hAnsi="Times New Roman" w:cs="Times New Roman"/>
                      <w:color w:val="auto"/>
                    </w:rPr>
                  </w:pPr>
                  <w:r>
                    <w:rPr>
                      <w:rFonts w:hint="default" w:ascii="Times New Roman" w:hAnsi="Times New Roman" w:cs="Times New Roman"/>
                      <w:color w:val="auto"/>
                    </w:rPr>
                    <w:t>声环境</w:t>
                  </w:r>
                </w:p>
              </w:tc>
              <w:tc>
                <w:tcPr>
                  <w:tcW w:w="2884" w:type="pct"/>
                  <w:gridSpan w:val="6"/>
                  <w:tcBorders>
                    <w:tl2br w:val="nil"/>
                    <w:tr2bl w:val="nil"/>
                  </w:tcBorders>
                  <w:vAlign w:val="center"/>
                </w:tcPr>
                <w:p w14:paraId="19D9E47E">
                  <w:pPr>
                    <w:pStyle w:val="54"/>
                    <w:rPr>
                      <w:rFonts w:hint="default" w:ascii="Times New Roman" w:hAnsi="Times New Roman" w:cs="Times New Roman"/>
                      <w:color w:val="auto"/>
                    </w:rPr>
                  </w:pPr>
                  <w:r>
                    <w:rPr>
                      <w:rFonts w:hint="default" w:ascii="Times New Roman" w:hAnsi="Times New Roman" w:cs="Times New Roman"/>
                      <w:color w:val="auto"/>
                    </w:rPr>
                    <w:t>厂界外50米范围内无声环境保护目标</w:t>
                  </w:r>
                </w:p>
              </w:tc>
              <w:tc>
                <w:tcPr>
                  <w:tcW w:w="1584" w:type="pct"/>
                  <w:tcBorders>
                    <w:tl2br w:val="nil"/>
                    <w:tr2bl w:val="nil"/>
                  </w:tcBorders>
                  <w:vAlign w:val="center"/>
                </w:tcPr>
                <w:p w14:paraId="3C3D2C3A">
                  <w:pPr>
                    <w:pStyle w:val="54"/>
                    <w:rPr>
                      <w:rFonts w:hint="default" w:ascii="Times New Roman" w:hAnsi="Times New Roman" w:cs="Times New Roman"/>
                      <w:color w:val="auto"/>
                    </w:rPr>
                  </w:pPr>
                  <w:r>
                    <w:rPr>
                      <w:rFonts w:hint="default" w:ascii="Times New Roman" w:hAnsi="Times New Roman" w:cs="Times New Roman"/>
                      <w:color w:val="auto"/>
                    </w:rPr>
                    <w:t>《声环境质量标准》</w:t>
                  </w:r>
                </w:p>
                <w:p w14:paraId="53DEBEE4">
                  <w:pPr>
                    <w:pStyle w:val="54"/>
                    <w:rPr>
                      <w:rFonts w:hint="default" w:ascii="Times New Roman" w:hAnsi="Times New Roman" w:cs="Times New Roman"/>
                      <w:color w:val="auto"/>
                    </w:rPr>
                  </w:pPr>
                  <w:r>
                    <w:rPr>
                      <w:rFonts w:hint="default" w:ascii="Times New Roman" w:hAnsi="Times New Roman" w:cs="Times New Roman"/>
                      <w:color w:val="auto"/>
                    </w:rPr>
                    <w:t>（GB 3096-2008）3类标准</w:t>
                  </w:r>
                </w:p>
              </w:tc>
            </w:tr>
            <w:tr w14:paraId="1F01D8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1" w:type="pct"/>
                  <w:tcBorders>
                    <w:tl2br w:val="nil"/>
                    <w:tr2bl w:val="nil"/>
                  </w:tcBorders>
                  <w:vAlign w:val="center"/>
                </w:tcPr>
                <w:p w14:paraId="531D2E94">
                  <w:pPr>
                    <w:pStyle w:val="54"/>
                    <w:rPr>
                      <w:rFonts w:hint="default" w:ascii="Times New Roman" w:hAnsi="Times New Roman" w:cs="Times New Roman"/>
                      <w:color w:val="auto"/>
                    </w:rPr>
                  </w:pPr>
                  <w:r>
                    <w:rPr>
                      <w:rFonts w:hint="default" w:ascii="Times New Roman" w:hAnsi="Times New Roman" w:cs="Times New Roman"/>
                      <w:color w:val="auto"/>
                    </w:rPr>
                    <w:t>地表水环境</w:t>
                  </w:r>
                </w:p>
              </w:tc>
              <w:tc>
                <w:tcPr>
                  <w:tcW w:w="629" w:type="pct"/>
                  <w:tcBorders>
                    <w:tl2br w:val="nil"/>
                    <w:tr2bl w:val="nil"/>
                  </w:tcBorders>
                  <w:vAlign w:val="center"/>
                </w:tcPr>
                <w:p w14:paraId="2096A286">
                  <w:pPr>
                    <w:pStyle w:val="54"/>
                    <w:rPr>
                      <w:rFonts w:hint="default" w:ascii="Times New Roman" w:hAnsi="Times New Roman" w:cs="Times New Roman"/>
                      <w:color w:val="auto"/>
                    </w:rPr>
                  </w:pPr>
                  <w:r>
                    <w:rPr>
                      <w:rFonts w:hint="default" w:ascii="Times New Roman" w:hAnsi="Times New Roman" w:cs="Times New Roman"/>
                      <w:color w:val="auto"/>
                    </w:rPr>
                    <w:t>六塘河</w:t>
                  </w:r>
                </w:p>
              </w:tc>
              <w:tc>
                <w:tcPr>
                  <w:tcW w:w="456" w:type="pct"/>
                  <w:tcBorders>
                    <w:tl2br w:val="nil"/>
                    <w:tr2bl w:val="nil"/>
                  </w:tcBorders>
                  <w:vAlign w:val="center"/>
                </w:tcPr>
                <w:p w14:paraId="2E77C185">
                  <w:pPr>
                    <w:pStyle w:val="54"/>
                    <w:rPr>
                      <w:rFonts w:hint="default" w:ascii="Times New Roman" w:hAnsi="Times New Roman" w:cs="Times New Roman"/>
                      <w:color w:val="auto"/>
                    </w:rPr>
                  </w:pPr>
                  <w:r>
                    <w:rPr>
                      <w:rFonts w:hint="default" w:ascii="Times New Roman" w:hAnsi="Times New Roman" w:cs="Times New Roman"/>
                      <w:color w:val="auto"/>
                    </w:rPr>
                    <w:t>118.767838</w:t>
                  </w:r>
                </w:p>
              </w:tc>
              <w:tc>
                <w:tcPr>
                  <w:tcW w:w="456" w:type="pct"/>
                  <w:tcBorders>
                    <w:tl2br w:val="nil"/>
                    <w:tr2bl w:val="nil"/>
                  </w:tcBorders>
                  <w:vAlign w:val="center"/>
                </w:tcPr>
                <w:p w14:paraId="5A0E6803">
                  <w:pPr>
                    <w:pStyle w:val="54"/>
                    <w:rPr>
                      <w:rFonts w:hint="default" w:ascii="Times New Roman" w:hAnsi="Times New Roman" w:cs="Times New Roman"/>
                      <w:color w:val="auto"/>
                    </w:rPr>
                  </w:pPr>
                  <w:r>
                    <w:rPr>
                      <w:rFonts w:hint="default" w:ascii="Times New Roman" w:hAnsi="Times New Roman" w:cs="Times New Roman"/>
                      <w:color w:val="auto"/>
                    </w:rPr>
                    <w:t>33.818080</w:t>
                  </w:r>
                </w:p>
              </w:tc>
              <w:tc>
                <w:tcPr>
                  <w:tcW w:w="295" w:type="pct"/>
                  <w:tcBorders>
                    <w:tl2br w:val="nil"/>
                    <w:tr2bl w:val="nil"/>
                  </w:tcBorders>
                  <w:vAlign w:val="center"/>
                </w:tcPr>
                <w:p w14:paraId="2160BA68">
                  <w:pPr>
                    <w:pStyle w:val="54"/>
                    <w:rPr>
                      <w:rFonts w:hint="default" w:ascii="Times New Roman" w:hAnsi="Times New Roman" w:cs="Times New Roman"/>
                      <w:color w:val="auto"/>
                      <w:lang w:val="en-US"/>
                    </w:rPr>
                  </w:pPr>
                  <w:r>
                    <w:rPr>
                      <w:rFonts w:hint="default" w:ascii="Times New Roman" w:hAnsi="Times New Roman" w:cs="Times New Roman"/>
                      <w:color w:val="auto"/>
                      <w:lang w:val="en-US" w:eastAsia="zh-CN"/>
                    </w:rPr>
                    <w:t>SE</w:t>
                  </w:r>
                </w:p>
              </w:tc>
              <w:tc>
                <w:tcPr>
                  <w:tcW w:w="578" w:type="pct"/>
                  <w:tcBorders>
                    <w:tl2br w:val="nil"/>
                    <w:tr2bl w:val="nil"/>
                  </w:tcBorders>
                  <w:vAlign w:val="center"/>
                </w:tcPr>
                <w:p w14:paraId="03C1A063">
                  <w:pPr>
                    <w:pStyle w:val="54"/>
                    <w:rPr>
                      <w:rFonts w:hint="default" w:ascii="Times New Roman" w:hAnsi="Times New Roman" w:cs="Times New Roman"/>
                      <w:color w:val="auto"/>
                    </w:rPr>
                  </w:pPr>
                  <w:r>
                    <w:rPr>
                      <w:rFonts w:hint="default" w:ascii="Times New Roman" w:hAnsi="Times New Roman" w:cs="Times New Roman"/>
                      <w:color w:val="auto"/>
                    </w:rPr>
                    <w:t>3800</w:t>
                  </w:r>
                </w:p>
              </w:tc>
              <w:tc>
                <w:tcPr>
                  <w:tcW w:w="467" w:type="pct"/>
                  <w:tcBorders>
                    <w:tl2br w:val="nil"/>
                    <w:tr2bl w:val="nil"/>
                  </w:tcBorders>
                  <w:vAlign w:val="center"/>
                </w:tcPr>
                <w:p w14:paraId="1E38E436">
                  <w:pPr>
                    <w:pStyle w:val="54"/>
                    <w:rPr>
                      <w:rFonts w:hint="default" w:ascii="Times New Roman" w:hAnsi="Times New Roman" w:cs="Times New Roman"/>
                      <w:color w:val="auto"/>
                    </w:rPr>
                  </w:pPr>
                  <w:r>
                    <w:rPr>
                      <w:rFonts w:hint="default" w:ascii="Times New Roman" w:hAnsi="Times New Roman" w:cs="Times New Roman"/>
                      <w:color w:val="auto"/>
                    </w:rPr>
                    <w:t>中河</w:t>
                  </w:r>
                </w:p>
              </w:tc>
              <w:tc>
                <w:tcPr>
                  <w:tcW w:w="1584" w:type="pct"/>
                  <w:tcBorders>
                    <w:tl2br w:val="nil"/>
                    <w:tr2bl w:val="nil"/>
                  </w:tcBorders>
                  <w:shd w:val="clear" w:color="auto" w:fill="auto"/>
                  <w:vAlign w:val="center"/>
                </w:tcPr>
                <w:p w14:paraId="209FD5B4">
                  <w:pPr>
                    <w:pStyle w:val="54"/>
                    <w:rPr>
                      <w:rFonts w:hint="default" w:ascii="Times New Roman" w:hAnsi="Times New Roman" w:cs="Times New Roman"/>
                      <w:color w:val="auto"/>
                    </w:rPr>
                  </w:pPr>
                  <w:r>
                    <w:rPr>
                      <w:rFonts w:hint="default" w:ascii="Times New Roman" w:hAnsi="Times New Roman" w:cs="Times New Roman"/>
                      <w:color w:val="auto"/>
                    </w:rPr>
                    <w:t>《地表水环境质量标准》</w:t>
                  </w:r>
                </w:p>
                <w:p w14:paraId="4D1CD8B5">
                  <w:pPr>
                    <w:pStyle w:val="54"/>
                    <w:rPr>
                      <w:rFonts w:hint="default" w:ascii="Times New Roman" w:hAnsi="Times New Roman" w:cs="Times New Roman"/>
                      <w:color w:val="auto"/>
                    </w:rPr>
                  </w:pPr>
                  <w:r>
                    <w:rPr>
                      <w:rFonts w:hint="default" w:ascii="Times New Roman" w:hAnsi="Times New Roman" w:cs="Times New Roman"/>
                      <w:color w:val="auto"/>
                    </w:rPr>
                    <w:t>（GB 3838-2002）</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 3 \* ROMAN </w:instrText>
                  </w:r>
                  <w:r>
                    <w:rPr>
                      <w:rFonts w:hint="default" w:ascii="Times New Roman" w:hAnsi="Times New Roman" w:cs="Times New Roman"/>
                      <w:color w:val="auto"/>
                    </w:rPr>
                    <w:fldChar w:fldCharType="separate"/>
                  </w:r>
                  <w:r>
                    <w:rPr>
                      <w:rFonts w:hint="default" w:ascii="Times New Roman" w:hAnsi="Times New Roman" w:cs="Times New Roman"/>
                      <w:color w:val="auto"/>
                    </w:rPr>
                    <w:t>III</w:t>
                  </w:r>
                  <w:r>
                    <w:rPr>
                      <w:rFonts w:hint="default" w:ascii="Times New Roman" w:hAnsi="Times New Roman" w:cs="Times New Roman"/>
                      <w:color w:val="auto"/>
                    </w:rPr>
                    <w:fldChar w:fldCharType="end"/>
                  </w:r>
                  <w:r>
                    <w:rPr>
                      <w:rFonts w:hint="default" w:ascii="Times New Roman" w:hAnsi="Times New Roman" w:cs="Times New Roman"/>
                      <w:color w:val="auto"/>
                    </w:rPr>
                    <w:t>类标准</w:t>
                  </w:r>
                </w:p>
              </w:tc>
            </w:tr>
            <w:tr w14:paraId="49028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jc w:val="center"/>
              </w:trPr>
              <w:tc>
                <w:tcPr>
                  <w:tcW w:w="531" w:type="pct"/>
                  <w:tcBorders>
                    <w:tl2br w:val="nil"/>
                    <w:tr2bl w:val="nil"/>
                  </w:tcBorders>
                  <w:vAlign w:val="center"/>
                </w:tcPr>
                <w:p w14:paraId="0ABFF215">
                  <w:pPr>
                    <w:pStyle w:val="54"/>
                    <w:rPr>
                      <w:rFonts w:hint="default" w:ascii="Times New Roman" w:hAnsi="Times New Roman" w:cs="Times New Roman"/>
                      <w:color w:val="auto"/>
                    </w:rPr>
                  </w:pPr>
                  <w:r>
                    <w:rPr>
                      <w:rFonts w:hint="default" w:ascii="Times New Roman" w:hAnsi="Times New Roman" w:cs="Times New Roman"/>
                      <w:color w:val="auto"/>
                    </w:rPr>
                    <w:t>地下水环境</w:t>
                  </w:r>
                </w:p>
              </w:tc>
              <w:tc>
                <w:tcPr>
                  <w:tcW w:w="4468" w:type="pct"/>
                  <w:gridSpan w:val="7"/>
                  <w:tcBorders>
                    <w:tl2br w:val="nil"/>
                    <w:tr2bl w:val="nil"/>
                  </w:tcBorders>
                  <w:vAlign w:val="center"/>
                </w:tcPr>
                <w:p w14:paraId="71B2D81A">
                  <w:pPr>
                    <w:pStyle w:val="54"/>
                    <w:rPr>
                      <w:rFonts w:hint="default" w:ascii="Times New Roman" w:hAnsi="Times New Roman" w:cs="Times New Roman"/>
                      <w:color w:val="auto"/>
                    </w:rPr>
                  </w:pPr>
                  <w:r>
                    <w:rPr>
                      <w:rFonts w:hint="default" w:ascii="Times New Roman" w:hAnsi="Times New Roman" w:cs="Times New Roman"/>
                      <w:color w:val="auto"/>
                    </w:rPr>
                    <w:t>厂界外500米范围内无地下水集中式饮用水水源和热水、矿泉水、温泉等特殊地下水资源</w:t>
                  </w:r>
                </w:p>
              </w:tc>
            </w:tr>
            <w:tr w14:paraId="4A5EB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1" w:type="pct"/>
                  <w:tcBorders>
                    <w:tl2br w:val="nil"/>
                    <w:tr2bl w:val="nil"/>
                  </w:tcBorders>
                  <w:vAlign w:val="center"/>
                </w:tcPr>
                <w:p w14:paraId="6715E6F4">
                  <w:pPr>
                    <w:pStyle w:val="54"/>
                    <w:rPr>
                      <w:rFonts w:hint="default" w:ascii="Times New Roman" w:hAnsi="Times New Roman" w:cs="Times New Roman"/>
                      <w:color w:val="auto"/>
                    </w:rPr>
                  </w:pPr>
                  <w:r>
                    <w:rPr>
                      <w:rFonts w:hint="default" w:ascii="Times New Roman" w:hAnsi="Times New Roman" w:cs="Times New Roman"/>
                      <w:color w:val="auto"/>
                    </w:rPr>
                    <w:t>生态</w:t>
                  </w:r>
                </w:p>
              </w:tc>
              <w:tc>
                <w:tcPr>
                  <w:tcW w:w="4468" w:type="pct"/>
                  <w:gridSpan w:val="7"/>
                  <w:tcBorders>
                    <w:tl2br w:val="nil"/>
                    <w:tr2bl w:val="nil"/>
                  </w:tcBorders>
                  <w:vAlign w:val="center"/>
                </w:tcPr>
                <w:p w14:paraId="77EACAA7">
                  <w:pPr>
                    <w:pStyle w:val="54"/>
                    <w:rPr>
                      <w:rFonts w:hint="default" w:ascii="Times New Roman" w:hAnsi="Times New Roman" w:cs="Times New Roman"/>
                      <w:color w:val="auto"/>
                    </w:rPr>
                  </w:pPr>
                  <w:r>
                    <w:rPr>
                      <w:rFonts w:hint="default" w:ascii="Times New Roman" w:hAnsi="Times New Roman" w:cs="Times New Roman"/>
                      <w:color w:val="auto"/>
                    </w:rPr>
                    <w:t>项目不在江苏省生态空间管控区域范围内</w:t>
                  </w:r>
                </w:p>
              </w:tc>
            </w:tr>
          </w:tbl>
          <w:p w14:paraId="4C33B6F0">
            <w:pPr>
              <w:tabs>
                <w:tab w:val="left" w:pos="2040"/>
              </w:tabs>
              <w:rPr>
                <w:color w:val="auto"/>
              </w:rPr>
            </w:pPr>
          </w:p>
        </w:tc>
      </w:tr>
      <w:tr w14:paraId="6BD76A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65" w:type="dxa"/>
            <w:tcMar>
              <w:left w:w="28" w:type="dxa"/>
              <w:right w:w="28" w:type="dxa"/>
            </w:tcMar>
            <w:vAlign w:val="center"/>
          </w:tcPr>
          <w:p w14:paraId="68BA18EB">
            <w:pPr>
              <w:jc w:val="center"/>
              <w:rPr>
                <w:rFonts w:eastAsiaTheme="minorEastAsia"/>
                <w:color w:val="auto"/>
                <w:sz w:val="24"/>
              </w:rPr>
            </w:pPr>
            <w:r>
              <w:rPr>
                <w:rFonts w:eastAsiaTheme="minorEastAsia"/>
                <w:color w:val="auto"/>
                <w:sz w:val="24"/>
              </w:rPr>
              <w:t>污染</w:t>
            </w:r>
          </w:p>
          <w:p w14:paraId="2A6D08D6">
            <w:pPr>
              <w:jc w:val="center"/>
              <w:rPr>
                <w:rFonts w:eastAsiaTheme="minorEastAsia"/>
                <w:color w:val="auto"/>
                <w:sz w:val="24"/>
              </w:rPr>
            </w:pPr>
            <w:r>
              <w:rPr>
                <w:rFonts w:eastAsiaTheme="minorEastAsia"/>
                <w:color w:val="auto"/>
                <w:sz w:val="24"/>
              </w:rPr>
              <w:t>物排</w:t>
            </w:r>
          </w:p>
          <w:p w14:paraId="3B8362C8">
            <w:pPr>
              <w:jc w:val="center"/>
              <w:rPr>
                <w:rFonts w:eastAsiaTheme="minorEastAsia"/>
                <w:color w:val="auto"/>
                <w:sz w:val="24"/>
              </w:rPr>
            </w:pPr>
            <w:r>
              <w:rPr>
                <w:rFonts w:eastAsiaTheme="minorEastAsia"/>
                <w:color w:val="auto"/>
                <w:sz w:val="24"/>
              </w:rPr>
              <w:t>放控</w:t>
            </w:r>
          </w:p>
          <w:p w14:paraId="4340A73E">
            <w:pPr>
              <w:jc w:val="center"/>
              <w:rPr>
                <w:rFonts w:eastAsiaTheme="minorEastAsia"/>
                <w:color w:val="auto"/>
                <w:sz w:val="24"/>
              </w:rPr>
            </w:pPr>
            <w:r>
              <w:rPr>
                <w:rFonts w:eastAsiaTheme="minorEastAsia"/>
                <w:color w:val="auto"/>
                <w:sz w:val="24"/>
              </w:rPr>
              <w:t>制标</w:t>
            </w:r>
          </w:p>
          <w:p w14:paraId="02DE7D1B">
            <w:pPr>
              <w:jc w:val="center"/>
              <w:rPr>
                <w:rFonts w:eastAsiaTheme="minorEastAsia"/>
                <w:color w:val="auto"/>
                <w:sz w:val="24"/>
              </w:rPr>
            </w:pPr>
            <w:r>
              <w:rPr>
                <w:rFonts w:eastAsiaTheme="minorEastAsia"/>
                <w:color w:val="auto"/>
                <w:sz w:val="24"/>
              </w:rPr>
              <w:t>准</w:t>
            </w:r>
          </w:p>
        </w:tc>
        <w:tc>
          <w:tcPr>
            <w:tcW w:w="8659" w:type="dxa"/>
            <w:vAlign w:val="center"/>
          </w:tcPr>
          <w:p w14:paraId="56D85861">
            <w:pPr>
              <w:pStyle w:val="50"/>
              <w:ind w:firstLine="482"/>
              <w:rPr>
                <w:b/>
                <w:bCs/>
                <w:color w:val="auto"/>
              </w:rPr>
            </w:pPr>
            <w:r>
              <w:rPr>
                <w:b/>
                <w:bCs/>
                <w:color w:val="auto"/>
              </w:rPr>
              <w:t>1、大气污染物排放标准</w:t>
            </w:r>
          </w:p>
          <w:p w14:paraId="2B23E206">
            <w:pPr>
              <w:pStyle w:val="50"/>
              <w:ind w:firstLine="480"/>
              <w:rPr>
                <w:color w:val="auto"/>
              </w:rPr>
            </w:pPr>
            <w:r>
              <w:rPr>
                <w:rFonts w:hint="eastAsia"/>
                <w:color w:val="auto"/>
              </w:rPr>
              <w:t>本扩建项目营运期产生</w:t>
            </w:r>
            <w:r>
              <w:rPr>
                <w:color w:val="auto"/>
              </w:rPr>
              <w:t>金属熔化烟尘（颗粒物）</w:t>
            </w:r>
            <w:r>
              <w:rPr>
                <w:rFonts w:hint="eastAsia"/>
                <w:color w:val="auto"/>
              </w:rPr>
              <w:t>、危废贮存废气（NMHC），</w:t>
            </w:r>
            <w:r>
              <w:rPr>
                <w:color w:val="auto"/>
              </w:rPr>
              <w:t>颗粒物有组织排放执行《工业炉窑大气污染物排放标准》（DB</w:t>
            </w:r>
            <w:r>
              <w:rPr>
                <w:rFonts w:hint="eastAsia"/>
                <w:color w:val="auto"/>
              </w:rPr>
              <w:t xml:space="preserve"> </w:t>
            </w:r>
            <w:r>
              <w:rPr>
                <w:color w:val="auto"/>
              </w:rPr>
              <w:t>32/3728-2020）中表1工业炉窑大气污染物相关排放限值要求</w:t>
            </w:r>
            <w:r>
              <w:rPr>
                <w:rFonts w:hint="eastAsia"/>
                <w:color w:val="auto"/>
              </w:rPr>
              <w:t>，NMHC有组织排放执行</w:t>
            </w:r>
            <w:r>
              <w:rPr>
                <w:color w:val="auto"/>
              </w:rPr>
              <w:t>《大气污染物综合排放标准》（DB 32/4041-2021）</w:t>
            </w:r>
            <w:r>
              <w:rPr>
                <w:rFonts w:hint="eastAsia"/>
                <w:color w:val="auto"/>
              </w:rPr>
              <w:t>中表1大气污染物有组织排放限值</w:t>
            </w:r>
            <w:r>
              <w:rPr>
                <w:color w:val="auto"/>
              </w:rPr>
              <w:t>；颗粒物</w:t>
            </w:r>
            <w:r>
              <w:rPr>
                <w:rFonts w:hint="eastAsia"/>
                <w:color w:val="auto"/>
              </w:rPr>
              <w:t>、NMHC</w:t>
            </w:r>
            <w:r>
              <w:rPr>
                <w:color w:val="auto"/>
              </w:rPr>
              <w:t>厂界无组织排放执行《大气污染物综合排放标准》（DB 32/4041-2021）</w:t>
            </w:r>
            <w:r>
              <w:rPr>
                <w:rFonts w:hint="eastAsia"/>
                <w:color w:val="auto"/>
              </w:rPr>
              <w:t>中</w:t>
            </w:r>
            <w:r>
              <w:rPr>
                <w:color w:val="auto"/>
              </w:rPr>
              <w:t>表3单位边界大气污染物排放监控浓度限值</w:t>
            </w:r>
            <w:r>
              <w:rPr>
                <w:rFonts w:hint="eastAsia"/>
                <w:color w:val="auto"/>
              </w:rPr>
              <w:t>；NMHC厂区内</w:t>
            </w:r>
            <w:r>
              <w:rPr>
                <w:color w:val="auto"/>
              </w:rPr>
              <w:t>无组织排放执行《大气污染物综合排放标准》（DB 32/4041-2021）</w:t>
            </w:r>
            <w:r>
              <w:rPr>
                <w:rFonts w:hint="eastAsia"/>
                <w:color w:val="auto"/>
              </w:rPr>
              <w:t>中</w:t>
            </w:r>
            <w:r>
              <w:rPr>
                <w:color w:val="auto"/>
              </w:rPr>
              <w:t>表</w:t>
            </w:r>
            <w:r>
              <w:rPr>
                <w:rFonts w:hint="eastAsia"/>
                <w:color w:val="auto"/>
              </w:rPr>
              <w:t>2厂区内VOCs无组织排放限值</w:t>
            </w:r>
            <w:r>
              <w:rPr>
                <w:color w:val="auto"/>
              </w:rPr>
              <w:t>。具体限值见</w:t>
            </w:r>
            <w:r>
              <w:rPr>
                <w:color w:val="auto"/>
              </w:rPr>
              <w:fldChar w:fldCharType="begin"/>
            </w:r>
            <w:r>
              <w:rPr>
                <w:color w:val="auto"/>
              </w:rPr>
              <w:instrText xml:space="preserve"> REF _Ref23783 \h </w:instrText>
            </w:r>
            <w:r>
              <w:rPr>
                <w:color w:val="auto"/>
              </w:rPr>
              <w:fldChar w:fldCharType="separate"/>
            </w:r>
            <w:r>
              <w:rPr>
                <w:color w:val="auto"/>
              </w:rPr>
              <w:t>表3- 2</w:t>
            </w:r>
            <w:r>
              <w:rPr>
                <w:color w:val="auto"/>
              </w:rPr>
              <w:fldChar w:fldCharType="end"/>
            </w:r>
            <w:r>
              <w:rPr>
                <w:color w:val="auto"/>
              </w:rPr>
              <w:t>。</w:t>
            </w:r>
          </w:p>
          <w:p w14:paraId="6830C2F1">
            <w:pPr>
              <w:pStyle w:val="7"/>
              <w:rPr>
                <w:color w:val="auto"/>
              </w:rPr>
            </w:pPr>
            <w:bookmarkStart w:id="72" w:name="_Ref23783"/>
            <w:r>
              <w:rPr>
                <w:color w:val="auto"/>
              </w:rPr>
              <w:t xml:space="preserve">表3- </w:t>
            </w:r>
            <w:r>
              <w:rPr>
                <w:color w:val="auto"/>
              </w:rPr>
              <w:fldChar w:fldCharType="begin"/>
            </w:r>
            <w:r>
              <w:rPr>
                <w:color w:val="auto"/>
              </w:rPr>
              <w:instrText xml:space="preserve"> SEQ 表3- \* ARABIC </w:instrText>
            </w:r>
            <w:r>
              <w:rPr>
                <w:color w:val="auto"/>
              </w:rPr>
              <w:fldChar w:fldCharType="separate"/>
            </w:r>
            <w:r>
              <w:rPr>
                <w:color w:val="auto"/>
              </w:rPr>
              <w:t>2</w:t>
            </w:r>
            <w:r>
              <w:rPr>
                <w:color w:val="auto"/>
              </w:rPr>
              <w:fldChar w:fldCharType="end"/>
            </w:r>
            <w:bookmarkEnd w:id="72"/>
            <w:r>
              <w:rPr>
                <w:color w:val="auto"/>
              </w:rPr>
              <w:t xml:space="preserve"> 大气污染物排放标准</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895"/>
              <w:gridCol w:w="1625"/>
              <w:gridCol w:w="1100"/>
              <w:gridCol w:w="1100"/>
              <w:gridCol w:w="3017"/>
            </w:tblGrid>
            <w:tr w14:paraId="47C39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 w:hRule="atLeast"/>
                <w:jc w:val="center"/>
              </w:trPr>
              <w:tc>
                <w:tcPr>
                  <w:tcW w:w="696" w:type="dxa"/>
                  <w:vAlign w:val="center"/>
                </w:tcPr>
                <w:p w14:paraId="74886963">
                  <w:pPr>
                    <w:pStyle w:val="52"/>
                    <w:rPr>
                      <w:color w:val="auto"/>
                    </w:rPr>
                  </w:pPr>
                  <w:r>
                    <w:rPr>
                      <w:color w:val="auto"/>
                    </w:rPr>
                    <w:t>排放</w:t>
                  </w:r>
                </w:p>
                <w:p w14:paraId="28059CBE">
                  <w:pPr>
                    <w:pStyle w:val="52"/>
                    <w:rPr>
                      <w:color w:val="auto"/>
                    </w:rPr>
                  </w:pPr>
                  <w:r>
                    <w:rPr>
                      <w:color w:val="auto"/>
                    </w:rPr>
                    <w:t>类型</w:t>
                  </w:r>
                </w:p>
              </w:tc>
              <w:tc>
                <w:tcPr>
                  <w:tcW w:w="895" w:type="dxa"/>
                  <w:vAlign w:val="center"/>
                </w:tcPr>
                <w:p w14:paraId="043928DE">
                  <w:pPr>
                    <w:pStyle w:val="52"/>
                    <w:rPr>
                      <w:color w:val="auto"/>
                    </w:rPr>
                  </w:pPr>
                  <w:r>
                    <w:rPr>
                      <w:color w:val="auto"/>
                    </w:rPr>
                    <w:t>污染物</w:t>
                  </w:r>
                </w:p>
              </w:tc>
              <w:tc>
                <w:tcPr>
                  <w:tcW w:w="1625" w:type="dxa"/>
                  <w:vAlign w:val="center"/>
                </w:tcPr>
                <w:p w14:paraId="4A1F9276">
                  <w:pPr>
                    <w:pStyle w:val="52"/>
                    <w:rPr>
                      <w:color w:val="auto"/>
                    </w:rPr>
                  </w:pPr>
                  <w:r>
                    <w:rPr>
                      <w:color w:val="auto"/>
                    </w:rPr>
                    <w:t>排放限值</w:t>
                  </w:r>
                </w:p>
                <w:p w14:paraId="18DFFFA3">
                  <w:pPr>
                    <w:pStyle w:val="52"/>
                    <w:rPr>
                      <w:color w:val="auto"/>
                    </w:rPr>
                  </w:pPr>
                  <w:r>
                    <w:rPr>
                      <w:color w:val="auto"/>
                    </w:rPr>
                    <w:t>（mg/m</w:t>
                  </w:r>
                  <w:r>
                    <w:rPr>
                      <w:color w:val="auto"/>
                      <w:vertAlign w:val="superscript"/>
                    </w:rPr>
                    <w:t>3</w:t>
                  </w:r>
                  <w:r>
                    <w:rPr>
                      <w:color w:val="auto"/>
                    </w:rPr>
                    <w:t>）</w:t>
                  </w:r>
                </w:p>
              </w:tc>
              <w:tc>
                <w:tcPr>
                  <w:tcW w:w="1100" w:type="dxa"/>
                  <w:vAlign w:val="center"/>
                </w:tcPr>
                <w:p w14:paraId="4068813A">
                  <w:pPr>
                    <w:pStyle w:val="52"/>
                    <w:rPr>
                      <w:color w:val="auto"/>
                    </w:rPr>
                  </w:pPr>
                  <w:r>
                    <w:rPr>
                      <w:color w:val="auto"/>
                    </w:rPr>
                    <w:t>排放效率（kg/h）</w:t>
                  </w:r>
                </w:p>
              </w:tc>
              <w:tc>
                <w:tcPr>
                  <w:tcW w:w="1100" w:type="dxa"/>
                  <w:vAlign w:val="center"/>
                </w:tcPr>
                <w:p w14:paraId="56D8FF8B">
                  <w:pPr>
                    <w:pStyle w:val="52"/>
                    <w:rPr>
                      <w:color w:val="auto"/>
                    </w:rPr>
                  </w:pPr>
                  <w:r>
                    <w:rPr>
                      <w:color w:val="auto"/>
                    </w:rPr>
                    <w:t>监控点</w:t>
                  </w:r>
                </w:p>
              </w:tc>
              <w:tc>
                <w:tcPr>
                  <w:tcW w:w="3017" w:type="dxa"/>
                  <w:vAlign w:val="center"/>
                </w:tcPr>
                <w:p w14:paraId="0BED789F">
                  <w:pPr>
                    <w:pStyle w:val="52"/>
                    <w:rPr>
                      <w:color w:val="auto"/>
                    </w:rPr>
                  </w:pPr>
                  <w:r>
                    <w:rPr>
                      <w:color w:val="auto"/>
                    </w:rPr>
                    <w:t>执行标准</w:t>
                  </w:r>
                </w:p>
              </w:tc>
            </w:tr>
            <w:tr w14:paraId="67B17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6" w:type="dxa"/>
                  <w:vMerge w:val="restart"/>
                  <w:vAlign w:val="center"/>
                </w:tcPr>
                <w:p w14:paraId="3ADA03DE">
                  <w:pPr>
                    <w:pStyle w:val="54"/>
                    <w:rPr>
                      <w:color w:val="auto"/>
                    </w:rPr>
                  </w:pPr>
                  <w:r>
                    <w:rPr>
                      <w:color w:val="auto"/>
                    </w:rPr>
                    <w:t>有组织</w:t>
                  </w:r>
                </w:p>
              </w:tc>
              <w:tc>
                <w:tcPr>
                  <w:tcW w:w="895" w:type="dxa"/>
                  <w:vAlign w:val="center"/>
                </w:tcPr>
                <w:p w14:paraId="51629FAB">
                  <w:pPr>
                    <w:pStyle w:val="54"/>
                    <w:rPr>
                      <w:color w:val="auto"/>
                    </w:rPr>
                  </w:pPr>
                  <w:r>
                    <w:rPr>
                      <w:color w:val="auto"/>
                    </w:rPr>
                    <w:t>颗粒物</w:t>
                  </w:r>
                </w:p>
              </w:tc>
              <w:tc>
                <w:tcPr>
                  <w:tcW w:w="1625" w:type="dxa"/>
                  <w:vAlign w:val="center"/>
                </w:tcPr>
                <w:p w14:paraId="559FC72C">
                  <w:pPr>
                    <w:pStyle w:val="54"/>
                    <w:rPr>
                      <w:color w:val="auto"/>
                    </w:rPr>
                  </w:pPr>
                  <w:r>
                    <w:rPr>
                      <w:color w:val="auto"/>
                    </w:rPr>
                    <w:t>20</w:t>
                  </w:r>
                </w:p>
              </w:tc>
              <w:tc>
                <w:tcPr>
                  <w:tcW w:w="1100" w:type="dxa"/>
                  <w:vAlign w:val="center"/>
                </w:tcPr>
                <w:p w14:paraId="339EC7A2">
                  <w:pPr>
                    <w:pStyle w:val="54"/>
                    <w:rPr>
                      <w:color w:val="auto"/>
                    </w:rPr>
                  </w:pPr>
                  <w:r>
                    <w:rPr>
                      <w:color w:val="auto"/>
                    </w:rPr>
                    <w:t>/</w:t>
                  </w:r>
                </w:p>
              </w:tc>
              <w:tc>
                <w:tcPr>
                  <w:tcW w:w="1100" w:type="dxa"/>
                  <w:vMerge w:val="restart"/>
                  <w:vAlign w:val="center"/>
                </w:tcPr>
                <w:p w14:paraId="05C031CE">
                  <w:pPr>
                    <w:pStyle w:val="54"/>
                    <w:rPr>
                      <w:color w:val="auto"/>
                    </w:rPr>
                  </w:pPr>
                  <w:r>
                    <w:rPr>
                      <w:color w:val="auto"/>
                    </w:rPr>
                    <w:t>车间或生产设施排气筒</w:t>
                  </w:r>
                </w:p>
              </w:tc>
              <w:tc>
                <w:tcPr>
                  <w:tcW w:w="3017" w:type="dxa"/>
                  <w:vAlign w:val="center"/>
                </w:tcPr>
                <w:p w14:paraId="51756C61">
                  <w:pPr>
                    <w:pStyle w:val="54"/>
                    <w:rPr>
                      <w:color w:val="auto"/>
                    </w:rPr>
                  </w:pPr>
                  <w:r>
                    <w:rPr>
                      <w:color w:val="auto"/>
                    </w:rPr>
                    <w:t>《工业炉窑大气污染物排放标准》（DB 32/3728-2020）表1</w:t>
                  </w:r>
                </w:p>
              </w:tc>
            </w:tr>
            <w:tr w14:paraId="646188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6" w:type="dxa"/>
                  <w:vMerge w:val="continue"/>
                  <w:vAlign w:val="center"/>
                </w:tcPr>
                <w:p w14:paraId="6E901FEE">
                  <w:pPr>
                    <w:pStyle w:val="54"/>
                    <w:rPr>
                      <w:color w:val="auto"/>
                    </w:rPr>
                  </w:pPr>
                </w:p>
              </w:tc>
              <w:tc>
                <w:tcPr>
                  <w:tcW w:w="895" w:type="dxa"/>
                  <w:vAlign w:val="center"/>
                </w:tcPr>
                <w:p w14:paraId="0FAECD33">
                  <w:pPr>
                    <w:pStyle w:val="54"/>
                    <w:rPr>
                      <w:color w:val="auto"/>
                    </w:rPr>
                  </w:pPr>
                  <w:r>
                    <w:rPr>
                      <w:rFonts w:hint="eastAsia"/>
                      <w:color w:val="auto"/>
                    </w:rPr>
                    <w:t>NMHC</w:t>
                  </w:r>
                </w:p>
              </w:tc>
              <w:tc>
                <w:tcPr>
                  <w:tcW w:w="1625" w:type="dxa"/>
                  <w:vAlign w:val="center"/>
                </w:tcPr>
                <w:p w14:paraId="21B81212">
                  <w:pPr>
                    <w:pStyle w:val="54"/>
                    <w:rPr>
                      <w:color w:val="auto"/>
                    </w:rPr>
                  </w:pPr>
                  <w:r>
                    <w:rPr>
                      <w:rFonts w:hint="eastAsia"/>
                      <w:color w:val="auto"/>
                    </w:rPr>
                    <w:t>60</w:t>
                  </w:r>
                </w:p>
              </w:tc>
              <w:tc>
                <w:tcPr>
                  <w:tcW w:w="1100" w:type="dxa"/>
                  <w:vAlign w:val="center"/>
                </w:tcPr>
                <w:p w14:paraId="4087E934">
                  <w:pPr>
                    <w:pStyle w:val="54"/>
                    <w:rPr>
                      <w:color w:val="auto"/>
                    </w:rPr>
                  </w:pPr>
                  <w:r>
                    <w:rPr>
                      <w:rFonts w:hint="eastAsia"/>
                      <w:color w:val="auto"/>
                    </w:rPr>
                    <w:t>3</w:t>
                  </w:r>
                </w:p>
              </w:tc>
              <w:tc>
                <w:tcPr>
                  <w:tcW w:w="1100" w:type="dxa"/>
                  <w:vMerge w:val="continue"/>
                  <w:vAlign w:val="center"/>
                </w:tcPr>
                <w:p w14:paraId="16EADE07">
                  <w:pPr>
                    <w:pStyle w:val="54"/>
                    <w:rPr>
                      <w:color w:val="auto"/>
                    </w:rPr>
                  </w:pPr>
                </w:p>
              </w:tc>
              <w:tc>
                <w:tcPr>
                  <w:tcW w:w="3017" w:type="dxa"/>
                  <w:vAlign w:val="center"/>
                </w:tcPr>
                <w:p w14:paraId="747EB7BB">
                  <w:pPr>
                    <w:pStyle w:val="54"/>
                    <w:rPr>
                      <w:color w:val="auto"/>
                    </w:rPr>
                  </w:pPr>
                  <w:r>
                    <w:rPr>
                      <w:color w:val="auto"/>
                    </w:rPr>
                    <w:t>《大气污染物综合排放标准》（DB 32/4041-2021）</w:t>
                  </w:r>
                  <w:r>
                    <w:rPr>
                      <w:rFonts w:hint="eastAsia"/>
                      <w:color w:val="auto"/>
                    </w:rPr>
                    <w:t>表1</w:t>
                  </w:r>
                </w:p>
              </w:tc>
            </w:tr>
            <w:tr w14:paraId="04059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696" w:type="dxa"/>
                  <w:vMerge w:val="restart"/>
                  <w:vAlign w:val="center"/>
                </w:tcPr>
                <w:p w14:paraId="5B4651CE">
                  <w:pPr>
                    <w:pStyle w:val="54"/>
                    <w:rPr>
                      <w:color w:val="auto"/>
                    </w:rPr>
                  </w:pPr>
                  <w:r>
                    <w:rPr>
                      <w:rFonts w:hint="eastAsia"/>
                      <w:color w:val="auto"/>
                    </w:rPr>
                    <w:t>厂界</w:t>
                  </w:r>
                </w:p>
              </w:tc>
              <w:tc>
                <w:tcPr>
                  <w:tcW w:w="895" w:type="dxa"/>
                  <w:vAlign w:val="center"/>
                </w:tcPr>
                <w:p w14:paraId="2172B1CD">
                  <w:pPr>
                    <w:pStyle w:val="54"/>
                    <w:rPr>
                      <w:color w:val="auto"/>
                    </w:rPr>
                  </w:pPr>
                  <w:r>
                    <w:rPr>
                      <w:color w:val="auto"/>
                    </w:rPr>
                    <w:t>颗粒物</w:t>
                  </w:r>
                </w:p>
              </w:tc>
              <w:tc>
                <w:tcPr>
                  <w:tcW w:w="1625" w:type="dxa"/>
                  <w:vAlign w:val="center"/>
                </w:tcPr>
                <w:p w14:paraId="7FA72486">
                  <w:pPr>
                    <w:pStyle w:val="54"/>
                    <w:rPr>
                      <w:color w:val="auto"/>
                    </w:rPr>
                  </w:pPr>
                  <w:r>
                    <w:rPr>
                      <w:color w:val="auto"/>
                    </w:rPr>
                    <w:t>0.5</w:t>
                  </w:r>
                </w:p>
              </w:tc>
              <w:tc>
                <w:tcPr>
                  <w:tcW w:w="1100" w:type="dxa"/>
                  <w:vAlign w:val="center"/>
                </w:tcPr>
                <w:p w14:paraId="10C22496">
                  <w:pPr>
                    <w:pStyle w:val="54"/>
                    <w:rPr>
                      <w:color w:val="auto"/>
                    </w:rPr>
                  </w:pPr>
                  <w:r>
                    <w:rPr>
                      <w:rFonts w:hint="eastAsia"/>
                      <w:color w:val="auto"/>
                    </w:rPr>
                    <w:t>/</w:t>
                  </w:r>
                </w:p>
              </w:tc>
              <w:tc>
                <w:tcPr>
                  <w:tcW w:w="1100" w:type="dxa"/>
                  <w:vMerge w:val="restart"/>
                  <w:vAlign w:val="center"/>
                </w:tcPr>
                <w:p w14:paraId="19ACDB72">
                  <w:pPr>
                    <w:pStyle w:val="54"/>
                    <w:rPr>
                      <w:color w:val="auto"/>
                    </w:rPr>
                  </w:pPr>
                  <w:r>
                    <w:rPr>
                      <w:rFonts w:hint="eastAsia"/>
                      <w:color w:val="auto"/>
                    </w:rPr>
                    <w:t>边界外浓度最高点</w:t>
                  </w:r>
                </w:p>
              </w:tc>
              <w:tc>
                <w:tcPr>
                  <w:tcW w:w="3017" w:type="dxa"/>
                  <w:vMerge w:val="restart"/>
                  <w:vAlign w:val="center"/>
                </w:tcPr>
                <w:p w14:paraId="0AA46591">
                  <w:pPr>
                    <w:pStyle w:val="54"/>
                    <w:rPr>
                      <w:color w:val="auto"/>
                    </w:rPr>
                  </w:pPr>
                  <w:r>
                    <w:rPr>
                      <w:color w:val="auto"/>
                    </w:rPr>
                    <w:t>《大气污染物综合排放标准》（DB 32/4041-2021）表3</w:t>
                  </w:r>
                </w:p>
              </w:tc>
            </w:tr>
            <w:tr w14:paraId="75737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696" w:type="dxa"/>
                  <w:vMerge w:val="continue"/>
                  <w:vAlign w:val="center"/>
                </w:tcPr>
                <w:p w14:paraId="25639249">
                  <w:pPr>
                    <w:pStyle w:val="54"/>
                    <w:rPr>
                      <w:color w:val="auto"/>
                    </w:rPr>
                  </w:pPr>
                </w:p>
              </w:tc>
              <w:tc>
                <w:tcPr>
                  <w:tcW w:w="895" w:type="dxa"/>
                  <w:vAlign w:val="center"/>
                </w:tcPr>
                <w:p w14:paraId="5F3CAA0E">
                  <w:pPr>
                    <w:pStyle w:val="54"/>
                    <w:rPr>
                      <w:color w:val="auto"/>
                    </w:rPr>
                  </w:pPr>
                  <w:r>
                    <w:rPr>
                      <w:rFonts w:hint="eastAsia"/>
                      <w:color w:val="auto"/>
                    </w:rPr>
                    <w:t>NMHC</w:t>
                  </w:r>
                </w:p>
              </w:tc>
              <w:tc>
                <w:tcPr>
                  <w:tcW w:w="1625" w:type="dxa"/>
                  <w:vAlign w:val="center"/>
                </w:tcPr>
                <w:p w14:paraId="414EB096">
                  <w:pPr>
                    <w:pStyle w:val="54"/>
                    <w:rPr>
                      <w:color w:val="auto"/>
                    </w:rPr>
                  </w:pPr>
                  <w:r>
                    <w:rPr>
                      <w:rFonts w:hint="eastAsia"/>
                      <w:color w:val="auto"/>
                    </w:rPr>
                    <w:t>4</w:t>
                  </w:r>
                </w:p>
              </w:tc>
              <w:tc>
                <w:tcPr>
                  <w:tcW w:w="1100" w:type="dxa"/>
                  <w:vAlign w:val="center"/>
                </w:tcPr>
                <w:p w14:paraId="10B14965">
                  <w:pPr>
                    <w:pStyle w:val="54"/>
                    <w:rPr>
                      <w:color w:val="auto"/>
                    </w:rPr>
                  </w:pPr>
                  <w:r>
                    <w:rPr>
                      <w:rFonts w:hint="eastAsia"/>
                      <w:color w:val="auto"/>
                    </w:rPr>
                    <w:t>/</w:t>
                  </w:r>
                </w:p>
              </w:tc>
              <w:tc>
                <w:tcPr>
                  <w:tcW w:w="1100" w:type="dxa"/>
                  <w:vMerge w:val="continue"/>
                  <w:vAlign w:val="center"/>
                </w:tcPr>
                <w:p w14:paraId="422B9625">
                  <w:pPr>
                    <w:pStyle w:val="54"/>
                    <w:rPr>
                      <w:color w:val="auto"/>
                    </w:rPr>
                  </w:pPr>
                </w:p>
              </w:tc>
              <w:tc>
                <w:tcPr>
                  <w:tcW w:w="3017" w:type="dxa"/>
                  <w:vMerge w:val="continue"/>
                  <w:vAlign w:val="center"/>
                </w:tcPr>
                <w:p w14:paraId="28391194">
                  <w:pPr>
                    <w:pStyle w:val="54"/>
                    <w:rPr>
                      <w:color w:val="auto"/>
                    </w:rPr>
                  </w:pPr>
                </w:p>
              </w:tc>
            </w:tr>
            <w:tr w14:paraId="403B4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696" w:type="dxa"/>
                  <w:vMerge w:val="restart"/>
                  <w:vAlign w:val="center"/>
                </w:tcPr>
                <w:p w14:paraId="1872B276">
                  <w:pPr>
                    <w:pStyle w:val="54"/>
                    <w:rPr>
                      <w:color w:val="auto"/>
                    </w:rPr>
                  </w:pPr>
                  <w:r>
                    <w:rPr>
                      <w:rFonts w:hint="eastAsia"/>
                      <w:color w:val="auto"/>
                    </w:rPr>
                    <w:t>厂区内</w:t>
                  </w:r>
                </w:p>
              </w:tc>
              <w:tc>
                <w:tcPr>
                  <w:tcW w:w="895" w:type="dxa"/>
                  <w:vMerge w:val="restart"/>
                  <w:vAlign w:val="center"/>
                </w:tcPr>
                <w:p w14:paraId="159F655D">
                  <w:pPr>
                    <w:pStyle w:val="54"/>
                    <w:rPr>
                      <w:color w:val="auto"/>
                    </w:rPr>
                  </w:pPr>
                  <w:r>
                    <w:rPr>
                      <w:rFonts w:hint="eastAsia"/>
                      <w:color w:val="auto"/>
                    </w:rPr>
                    <w:t>NMHC</w:t>
                  </w:r>
                </w:p>
              </w:tc>
              <w:tc>
                <w:tcPr>
                  <w:tcW w:w="1625" w:type="dxa"/>
                  <w:vAlign w:val="center"/>
                </w:tcPr>
                <w:p w14:paraId="12998FA4">
                  <w:pPr>
                    <w:pStyle w:val="54"/>
                    <w:rPr>
                      <w:color w:val="auto"/>
                    </w:rPr>
                  </w:pPr>
                  <w:r>
                    <w:rPr>
                      <w:rFonts w:hint="eastAsia"/>
                      <w:color w:val="auto"/>
                    </w:rPr>
                    <w:t>6（监控点处1h平均浓度值）</w:t>
                  </w:r>
                </w:p>
              </w:tc>
              <w:tc>
                <w:tcPr>
                  <w:tcW w:w="1100" w:type="dxa"/>
                  <w:vAlign w:val="center"/>
                </w:tcPr>
                <w:p w14:paraId="216C1453">
                  <w:pPr>
                    <w:pStyle w:val="54"/>
                    <w:rPr>
                      <w:color w:val="auto"/>
                    </w:rPr>
                  </w:pPr>
                  <w:r>
                    <w:rPr>
                      <w:rFonts w:hint="eastAsia"/>
                      <w:color w:val="auto"/>
                    </w:rPr>
                    <w:t>/</w:t>
                  </w:r>
                </w:p>
              </w:tc>
              <w:tc>
                <w:tcPr>
                  <w:tcW w:w="1100" w:type="dxa"/>
                  <w:vMerge w:val="restart"/>
                  <w:vAlign w:val="center"/>
                </w:tcPr>
                <w:p w14:paraId="24D30060">
                  <w:pPr>
                    <w:pStyle w:val="54"/>
                    <w:rPr>
                      <w:color w:val="auto"/>
                    </w:rPr>
                  </w:pPr>
                  <w:r>
                    <w:rPr>
                      <w:rFonts w:hint="eastAsia"/>
                      <w:color w:val="auto"/>
                    </w:rPr>
                    <w:t>厂房外设置监控点</w:t>
                  </w:r>
                </w:p>
              </w:tc>
              <w:tc>
                <w:tcPr>
                  <w:tcW w:w="3017" w:type="dxa"/>
                  <w:vMerge w:val="restart"/>
                  <w:vAlign w:val="center"/>
                </w:tcPr>
                <w:p w14:paraId="2C8545DA">
                  <w:pPr>
                    <w:pStyle w:val="54"/>
                    <w:rPr>
                      <w:color w:val="auto"/>
                    </w:rPr>
                  </w:pPr>
                  <w:r>
                    <w:rPr>
                      <w:color w:val="auto"/>
                    </w:rPr>
                    <w:t>《大气污染物综合排放标准》（DB 32/4041-2021）表</w:t>
                  </w:r>
                  <w:r>
                    <w:rPr>
                      <w:rFonts w:hint="eastAsia"/>
                      <w:color w:val="auto"/>
                    </w:rPr>
                    <w:t>2</w:t>
                  </w:r>
                </w:p>
              </w:tc>
            </w:tr>
            <w:tr w14:paraId="4EAED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696" w:type="dxa"/>
                  <w:vMerge w:val="continue"/>
                  <w:vAlign w:val="center"/>
                </w:tcPr>
                <w:p w14:paraId="4FA7DE34">
                  <w:pPr>
                    <w:pStyle w:val="54"/>
                    <w:rPr>
                      <w:color w:val="auto"/>
                    </w:rPr>
                  </w:pPr>
                </w:p>
              </w:tc>
              <w:tc>
                <w:tcPr>
                  <w:tcW w:w="895" w:type="dxa"/>
                  <w:vMerge w:val="continue"/>
                  <w:vAlign w:val="center"/>
                </w:tcPr>
                <w:p w14:paraId="7EBB693A">
                  <w:pPr>
                    <w:pStyle w:val="54"/>
                    <w:rPr>
                      <w:color w:val="auto"/>
                    </w:rPr>
                  </w:pPr>
                </w:p>
              </w:tc>
              <w:tc>
                <w:tcPr>
                  <w:tcW w:w="1625" w:type="dxa"/>
                  <w:vAlign w:val="center"/>
                </w:tcPr>
                <w:p w14:paraId="7AC22C86">
                  <w:pPr>
                    <w:pStyle w:val="54"/>
                    <w:rPr>
                      <w:color w:val="auto"/>
                    </w:rPr>
                  </w:pPr>
                  <w:r>
                    <w:rPr>
                      <w:rFonts w:hint="eastAsia"/>
                      <w:color w:val="auto"/>
                    </w:rPr>
                    <w:t>20（监控点处任意一次浓度值）</w:t>
                  </w:r>
                </w:p>
              </w:tc>
              <w:tc>
                <w:tcPr>
                  <w:tcW w:w="1100" w:type="dxa"/>
                  <w:vAlign w:val="center"/>
                </w:tcPr>
                <w:p w14:paraId="3CF76290">
                  <w:pPr>
                    <w:pStyle w:val="54"/>
                    <w:rPr>
                      <w:color w:val="auto"/>
                    </w:rPr>
                  </w:pPr>
                  <w:r>
                    <w:rPr>
                      <w:rFonts w:hint="eastAsia"/>
                      <w:color w:val="auto"/>
                    </w:rPr>
                    <w:t>/</w:t>
                  </w:r>
                </w:p>
              </w:tc>
              <w:tc>
                <w:tcPr>
                  <w:tcW w:w="1100" w:type="dxa"/>
                  <w:vMerge w:val="continue"/>
                  <w:vAlign w:val="center"/>
                </w:tcPr>
                <w:p w14:paraId="664C927D">
                  <w:pPr>
                    <w:pStyle w:val="54"/>
                    <w:rPr>
                      <w:color w:val="auto"/>
                    </w:rPr>
                  </w:pPr>
                </w:p>
              </w:tc>
              <w:tc>
                <w:tcPr>
                  <w:tcW w:w="3017" w:type="dxa"/>
                  <w:vMerge w:val="continue"/>
                  <w:vAlign w:val="center"/>
                </w:tcPr>
                <w:p w14:paraId="35348BEF">
                  <w:pPr>
                    <w:pStyle w:val="54"/>
                    <w:rPr>
                      <w:color w:val="auto"/>
                    </w:rPr>
                  </w:pPr>
                </w:p>
              </w:tc>
            </w:tr>
          </w:tbl>
          <w:p w14:paraId="724EC604">
            <w:pPr>
              <w:pStyle w:val="50"/>
              <w:ind w:firstLine="482"/>
              <w:rPr>
                <w:b/>
                <w:bCs/>
                <w:color w:val="auto"/>
              </w:rPr>
            </w:pPr>
            <w:r>
              <w:rPr>
                <w:b/>
                <w:bCs/>
                <w:color w:val="auto"/>
              </w:rPr>
              <w:t>2、水污染排放标准</w:t>
            </w:r>
          </w:p>
          <w:p w14:paraId="0B9F74FA">
            <w:pPr>
              <w:pStyle w:val="50"/>
              <w:ind w:firstLine="480"/>
              <w:rPr>
                <w:color w:val="auto"/>
              </w:rPr>
            </w:pPr>
            <w:r>
              <w:rPr>
                <w:color w:val="auto"/>
              </w:rPr>
              <w:t>本</w:t>
            </w:r>
            <w:r>
              <w:rPr>
                <w:rFonts w:hint="eastAsia"/>
                <w:color w:val="auto"/>
              </w:rPr>
              <w:t>扩建</w:t>
            </w:r>
            <w:r>
              <w:rPr>
                <w:color w:val="auto"/>
              </w:rPr>
              <w:t>项目仅外排职工生活污水，生活污水经</w:t>
            </w:r>
            <w:r>
              <w:rPr>
                <w:rFonts w:hint="eastAsia"/>
                <w:color w:val="auto"/>
              </w:rPr>
              <w:t>厂区内</w:t>
            </w:r>
            <w:r>
              <w:rPr>
                <w:rFonts w:hint="eastAsia"/>
                <w:color w:val="auto"/>
                <w:lang w:val="en-US" w:eastAsia="zh-CN"/>
              </w:rPr>
              <w:t>现有</w:t>
            </w:r>
            <w:r>
              <w:rPr>
                <w:rFonts w:hint="eastAsia"/>
                <w:color w:val="auto"/>
              </w:rPr>
              <w:t>化粪池</w:t>
            </w:r>
            <w:r>
              <w:rPr>
                <w:color w:val="auto"/>
              </w:rPr>
              <w:t>预处理达标后接管至</w:t>
            </w:r>
            <w:r>
              <w:rPr>
                <w:rFonts w:hint="eastAsia"/>
                <w:color w:val="auto"/>
              </w:rPr>
              <w:t>王集镇污水处理厂</w:t>
            </w:r>
            <w:r>
              <w:rPr>
                <w:color w:val="auto"/>
              </w:rPr>
              <w:t>集中处理，尾水</w:t>
            </w:r>
            <w:r>
              <w:rPr>
                <w:rFonts w:hint="eastAsia"/>
                <w:color w:val="auto"/>
              </w:rPr>
              <w:t>经</w:t>
            </w:r>
            <w:r>
              <w:rPr>
                <w:color w:val="auto"/>
              </w:rPr>
              <w:t>小刘河</w:t>
            </w:r>
            <w:r>
              <w:rPr>
                <w:rFonts w:hint="eastAsia"/>
                <w:color w:val="auto"/>
              </w:rPr>
              <w:t>排入六塘河</w:t>
            </w:r>
            <w:r>
              <w:rPr>
                <w:color w:val="auto"/>
              </w:rPr>
              <w:t>。王集镇污水处理厂尾水排放执行《城镇污水处理厂污染物排放标准》（GB 18918-2002）中一级A标准，具体见</w:t>
            </w:r>
            <w:r>
              <w:rPr>
                <w:color w:val="auto"/>
              </w:rPr>
              <w:fldChar w:fldCharType="begin"/>
            </w:r>
            <w:r>
              <w:rPr>
                <w:color w:val="auto"/>
              </w:rPr>
              <w:instrText xml:space="preserve"> REF _Ref6506 \h </w:instrText>
            </w:r>
            <w:r>
              <w:rPr>
                <w:color w:val="auto"/>
              </w:rPr>
              <w:fldChar w:fldCharType="separate"/>
            </w:r>
            <w:r>
              <w:rPr>
                <w:color w:val="auto"/>
              </w:rPr>
              <w:t>表3- 3</w:t>
            </w:r>
            <w:r>
              <w:rPr>
                <w:color w:val="auto"/>
              </w:rPr>
              <w:fldChar w:fldCharType="end"/>
            </w:r>
            <w:r>
              <w:rPr>
                <w:color w:val="auto"/>
              </w:rPr>
              <w:t>。</w:t>
            </w:r>
          </w:p>
          <w:p w14:paraId="77516BA5">
            <w:pPr>
              <w:pStyle w:val="7"/>
              <w:rPr>
                <w:color w:val="auto"/>
              </w:rPr>
            </w:pPr>
            <w:bookmarkStart w:id="73" w:name="_Ref6506"/>
            <w:r>
              <w:rPr>
                <w:color w:val="auto"/>
              </w:rPr>
              <w:t xml:space="preserve">表3- </w:t>
            </w:r>
            <w:r>
              <w:rPr>
                <w:color w:val="auto"/>
              </w:rPr>
              <w:fldChar w:fldCharType="begin"/>
            </w:r>
            <w:r>
              <w:rPr>
                <w:color w:val="auto"/>
              </w:rPr>
              <w:instrText xml:space="preserve"> SEQ 表3- \* ARABIC </w:instrText>
            </w:r>
            <w:r>
              <w:rPr>
                <w:color w:val="auto"/>
              </w:rPr>
              <w:fldChar w:fldCharType="separate"/>
            </w:r>
            <w:r>
              <w:rPr>
                <w:color w:val="auto"/>
              </w:rPr>
              <w:t>3</w:t>
            </w:r>
            <w:r>
              <w:rPr>
                <w:color w:val="auto"/>
              </w:rPr>
              <w:fldChar w:fldCharType="end"/>
            </w:r>
            <w:bookmarkEnd w:id="73"/>
            <w:r>
              <w:rPr>
                <w:color w:val="auto"/>
              </w:rPr>
              <w:t xml:space="preserve"> 废水污染物接管标准和污水处理厂尾水排放标准（单位：mg/L）</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78"/>
              <w:gridCol w:w="847"/>
              <w:gridCol w:w="847"/>
              <w:gridCol w:w="847"/>
              <w:gridCol w:w="847"/>
              <w:gridCol w:w="847"/>
              <w:gridCol w:w="848"/>
              <w:gridCol w:w="1172"/>
            </w:tblGrid>
            <w:tr w14:paraId="2B5357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292" w:type="pct"/>
                  <w:vAlign w:val="center"/>
                </w:tcPr>
                <w:p w14:paraId="7742A23D">
                  <w:pPr>
                    <w:pStyle w:val="52"/>
                    <w:rPr>
                      <w:color w:val="auto"/>
                    </w:rPr>
                  </w:pPr>
                  <w:r>
                    <w:rPr>
                      <w:color w:val="auto"/>
                    </w:rPr>
                    <w:t>指标名称</w:t>
                  </w:r>
                </w:p>
              </w:tc>
              <w:tc>
                <w:tcPr>
                  <w:tcW w:w="502" w:type="pct"/>
                  <w:vAlign w:val="center"/>
                </w:tcPr>
                <w:p w14:paraId="36BD2175">
                  <w:pPr>
                    <w:pStyle w:val="52"/>
                    <w:rPr>
                      <w:color w:val="auto"/>
                    </w:rPr>
                  </w:pPr>
                  <w:r>
                    <w:rPr>
                      <w:color w:val="auto"/>
                    </w:rPr>
                    <w:t>pH</w:t>
                  </w:r>
                </w:p>
              </w:tc>
              <w:tc>
                <w:tcPr>
                  <w:tcW w:w="502" w:type="pct"/>
                  <w:vAlign w:val="center"/>
                </w:tcPr>
                <w:p w14:paraId="131AB947">
                  <w:pPr>
                    <w:pStyle w:val="52"/>
                    <w:rPr>
                      <w:color w:val="auto"/>
                    </w:rPr>
                  </w:pPr>
                  <w:r>
                    <w:rPr>
                      <w:color w:val="auto"/>
                    </w:rPr>
                    <w:t>COD</w:t>
                  </w:r>
                </w:p>
              </w:tc>
              <w:tc>
                <w:tcPr>
                  <w:tcW w:w="502" w:type="pct"/>
                  <w:vAlign w:val="center"/>
                </w:tcPr>
                <w:p w14:paraId="111AA09C">
                  <w:pPr>
                    <w:pStyle w:val="52"/>
                    <w:rPr>
                      <w:color w:val="auto"/>
                    </w:rPr>
                  </w:pPr>
                  <w:r>
                    <w:rPr>
                      <w:color w:val="auto"/>
                    </w:rPr>
                    <w:t>SS</w:t>
                  </w:r>
                </w:p>
              </w:tc>
              <w:tc>
                <w:tcPr>
                  <w:tcW w:w="502" w:type="pct"/>
                  <w:vAlign w:val="center"/>
                </w:tcPr>
                <w:p w14:paraId="0E766B46">
                  <w:pPr>
                    <w:pStyle w:val="52"/>
                    <w:rPr>
                      <w:color w:val="auto"/>
                    </w:rPr>
                  </w:pPr>
                  <w:r>
                    <w:rPr>
                      <w:color w:val="auto"/>
                    </w:rPr>
                    <w:t>氨氮</w:t>
                  </w:r>
                </w:p>
              </w:tc>
              <w:tc>
                <w:tcPr>
                  <w:tcW w:w="502" w:type="pct"/>
                  <w:vAlign w:val="center"/>
                </w:tcPr>
                <w:p w14:paraId="76ECBAD7">
                  <w:pPr>
                    <w:pStyle w:val="52"/>
                    <w:rPr>
                      <w:color w:val="auto"/>
                    </w:rPr>
                  </w:pPr>
                  <w:r>
                    <w:rPr>
                      <w:color w:val="auto"/>
                    </w:rPr>
                    <w:t>TN</w:t>
                  </w:r>
                </w:p>
              </w:tc>
              <w:tc>
                <w:tcPr>
                  <w:tcW w:w="503" w:type="pct"/>
                  <w:vAlign w:val="center"/>
                </w:tcPr>
                <w:p w14:paraId="58C10A8E">
                  <w:pPr>
                    <w:pStyle w:val="52"/>
                    <w:rPr>
                      <w:color w:val="auto"/>
                    </w:rPr>
                  </w:pPr>
                  <w:r>
                    <w:rPr>
                      <w:color w:val="auto"/>
                    </w:rPr>
                    <w:t>TP</w:t>
                  </w:r>
                </w:p>
              </w:tc>
              <w:tc>
                <w:tcPr>
                  <w:tcW w:w="693" w:type="pct"/>
                  <w:vAlign w:val="center"/>
                </w:tcPr>
                <w:p w14:paraId="6D6D91D3">
                  <w:pPr>
                    <w:pStyle w:val="52"/>
                    <w:rPr>
                      <w:color w:val="auto"/>
                    </w:rPr>
                  </w:pPr>
                  <w:r>
                    <w:rPr>
                      <w:rFonts w:hint="eastAsia"/>
                      <w:color w:val="auto"/>
                    </w:rPr>
                    <w:t>动植物油</w:t>
                  </w:r>
                </w:p>
              </w:tc>
            </w:tr>
            <w:tr w14:paraId="0DEE58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292" w:type="pct"/>
                  <w:vAlign w:val="center"/>
                </w:tcPr>
                <w:p w14:paraId="2BD4CDF7">
                  <w:pPr>
                    <w:pStyle w:val="54"/>
                    <w:rPr>
                      <w:color w:val="auto"/>
                    </w:rPr>
                  </w:pPr>
                  <w:r>
                    <w:rPr>
                      <w:color w:val="auto"/>
                    </w:rPr>
                    <w:t>接管标准</w:t>
                  </w:r>
                </w:p>
              </w:tc>
              <w:tc>
                <w:tcPr>
                  <w:tcW w:w="502" w:type="pct"/>
                  <w:vAlign w:val="center"/>
                </w:tcPr>
                <w:p w14:paraId="64E9176E">
                  <w:pPr>
                    <w:pStyle w:val="54"/>
                    <w:rPr>
                      <w:color w:val="auto"/>
                    </w:rPr>
                  </w:pPr>
                  <w:r>
                    <w:rPr>
                      <w:color w:val="auto"/>
                    </w:rPr>
                    <w:t>6~9</w:t>
                  </w:r>
                </w:p>
              </w:tc>
              <w:tc>
                <w:tcPr>
                  <w:tcW w:w="502" w:type="pct"/>
                  <w:shd w:val="clear" w:color="auto" w:fill="auto"/>
                  <w:vAlign w:val="center"/>
                </w:tcPr>
                <w:p w14:paraId="7269A93C">
                  <w:pPr>
                    <w:pStyle w:val="54"/>
                    <w:rPr>
                      <w:color w:val="auto"/>
                    </w:rPr>
                  </w:pPr>
                  <w:r>
                    <w:rPr>
                      <w:color w:val="auto"/>
                    </w:rPr>
                    <w:t>374</w:t>
                  </w:r>
                </w:p>
              </w:tc>
              <w:tc>
                <w:tcPr>
                  <w:tcW w:w="502" w:type="pct"/>
                  <w:shd w:val="clear" w:color="auto" w:fill="auto"/>
                  <w:vAlign w:val="center"/>
                </w:tcPr>
                <w:p w14:paraId="4DF4B079">
                  <w:pPr>
                    <w:pStyle w:val="54"/>
                    <w:rPr>
                      <w:color w:val="auto"/>
                    </w:rPr>
                  </w:pPr>
                  <w:r>
                    <w:rPr>
                      <w:color w:val="auto"/>
                    </w:rPr>
                    <w:t>246</w:t>
                  </w:r>
                </w:p>
              </w:tc>
              <w:tc>
                <w:tcPr>
                  <w:tcW w:w="502" w:type="pct"/>
                  <w:shd w:val="clear" w:color="auto" w:fill="auto"/>
                  <w:vAlign w:val="center"/>
                </w:tcPr>
                <w:p w14:paraId="2DB40D6A">
                  <w:pPr>
                    <w:pStyle w:val="54"/>
                    <w:rPr>
                      <w:color w:val="auto"/>
                    </w:rPr>
                  </w:pPr>
                  <w:r>
                    <w:rPr>
                      <w:color w:val="auto"/>
                    </w:rPr>
                    <w:t>30</w:t>
                  </w:r>
                </w:p>
              </w:tc>
              <w:tc>
                <w:tcPr>
                  <w:tcW w:w="502" w:type="pct"/>
                  <w:shd w:val="clear" w:color="auto" w:fill="auto"/>
                  <w:vAlign w:val="center"/>
                </w:tcPr>
                <w:p w14:paraId="0C24810A">
                  <w:pPr>
                    <w:pStyle w:val="54"/>
                    <w:rPr>
                      <w:color w:val="auto"/>
                    </w:rPr>
                  </w:pPr>
                  <w:r>
                    <w:rPr>
                      <w:rFonts w:hint="eastAsia"/>
                      <w:color w:val="auto"/>
                    </w:rPr>
                    <w:t>/</w:t>
                  </w:r>
                </w:p>
              </w:tc>
              <w:tc>
                <w:tcPr>
                  <w:tcW w:w="503" w:type="pct"/>
                  <w:shd w:val="clear" w:color="auto" w:fill="auto"/>
                  <w:vAlign w:val="center"/>
                </w:tcPr>
                <w:p w14:paraId="5EC82BC9">
                  <w:pPr>
                    <w:pStyle w:val="54"/>
                    <w:rPr>
                      <w:color w:val="auto"/>
                    </w:rPr>
                  </w:pPr>
                  <w:r>
                    <w:rPr>
                      <w:color w:val="auto"/>
                    </w:rPr>
                    <w:t>3.7</w:t>
                  </w:r>
                </w:p>
              </w:tc>
              <w:tc>
                <w:tcPr>
                  <w:tcW w:w="693" w:type="pct"/>
                  <w:shd w:val="clear" w:color="auto" w:fill="auto"/>
                  <w:vAlign w:val="center"/>
                </w:tcPr>
                <w:p w14:paraId="0209B54A">
                  <w:pPr>
                    <w:pStyle w:val="54"/>
                    <w:rPr>
                      <w:color w:val="auto"/>
                    </w:rPr>
                  </w:pPr>
                  <w:r>
                    <w:rPr>
                      <w:rFonts w:hint="eastAsia"/>
                      <w:color w:val="auto"/>
                    </w:rPr>
                    <w:t>/</w:t>
                  </w:r>
                </w:p>
              </w:tc>
            </w:tr>
            <w:tr w14:paraId="3FC82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292" w:type="pct"/>
                  <w:vAlign w:val="center"/>
                </w:tcPr>
                <w:p w14:paraId="35A3593F">
                  <w:pPr>
                    <w:pStyle w:val="54"/>
                    <w:rPr>
                      <w:color w:val="auto"/>
                    </w:rPr>
                  </w:pPr>
                  <w:r>
                    <w:rPr>
                      <w:color w:val="auto"/>
                    </w:rPr>
                    <w:t>污水</w:t>
                  </w:r>
                  <w:r>
                    <w:rPr>
                      <w:rFonts w:hint="eastAsia"/>
                      <w:color w:val="auto"/>
                    </w:rPr>
                    <w:t>处理</w:t>
                  </w:r>
                  <w:r>
                    <w:rPr>
                      <w:color w:val="auto"/>
                    </w:rPr>
                    <w:t>厂排放标准</w:t>
                  </w:r>
                </w:p>
              </w:tc>
              <w:tc>
                <w:tcPr>
                  <w:tcW w:w="502" w:type="pct"/>
                  <w:vAlign w:val="center"/>
                </w:tcPr>
                <w:p w14:paraId="2E4364E3">
                  <w:pPr>
                    <w:pStyle w:val="54"/>
                    <w:rPr>
                      <w:color w:val="auto"/>
                    </w:rPr>
                  </w:pPr>
                  <w:r>
                    <w:rPr>
                      <w:color w:val="auto"/>
                    </w:rPr>
                    <w:t>6~9</w:t>
                  </w:r>
                </w:p>
              </w:tc>
              <w:tc>
                <w:tcPr>
                  <w:tcW w:w="502" w:type="pct"/>
                  <w:shd w:val="clear" w:color="auto" w:fill="auto"/>
                  <w:vAlign w:val="center"/>
                </w:tcPr>
                <w:p w14:paraId="4B1F4473">
                  <w:pPr>
                    <w:pStyle w:val="54"/>
                    <w:rPr>
                      <w:color w:val="auto"/>
                    </w:rPr>
                  </w:pPr>
                  <w:r>
                    <w:rPr>
                      <w:color w:val="auto"/>
                    </w:rPr>
                    <w:t>50</w:t>
                  </w:r>
                </w:p>
              </w:tc>
              <w:tc>
                <w:tcPr>
                  <w:tcW w:w="502" w:type="pct"/>
                  <w:shd w:val="clear" w:color="auto" w:fill="auto"/>
                  <w:vAlign w:val="center"/>
                </w:tcPr>
                <w:p w14:paraId="06787C80">
                  <w:pPr>
                    <w:pStyle w:val="54"/>
                    <w:rPr>
                      <w:color w:val="auto"/>
                    </w:rPr>
                  </w:pPr>
                  <w:r>
                    <w:rPr>
                      <w:color w:val="auto"/>
                    </w:rPr>
                    <w:t>10</w:t>
                  </w:r>
                </w:p>
              </w:tc>
              <w:tc>
                <w:tcPr>
                  <w:tcW w:w="502" w:type="pct"/>
                  <w:shd w:val="clear" w:color="auto" w:fill="auto"/>
                  <w:vAlign w:val="center"/>
                </w:tcPr>
                <w:p w14:paraId="78E6A356">
                  <w:pPr>
                    <w:pStyle w:val="54"/>
                    <w:rPr>
                      <w:color w:val="auto"/>
                    </w:rPr>
                  </w:pPr>
                  <w:r>
                    <w:rPr>
                      <w:color w:val="auto"/>
                    </w:rPr>
                    <w:t>5（8）</w:t>
                  </w:r>
                </w:p>
              </w:tc>
              <w:tc>
                <w:tcPr>
                  <w:tcW w:w="502" w:type="pct"/>
                  <w:shd w:val="clear" w:color="auto" w:fill="auto"/>
                  <w:vAlign w:val="center"/>
                </w:tcPr>
                <w:p w14:paraId="39A76CDB">
                  <w:pPr>
                    <w:pStyle w:val="54"/>
                    <w:rPr>
                      <w:color w:val="auto"/>
                    </w:rPr>
                  </w:pPr>
                  <w:r>
                    <w:rPr>
                      <w:color w:val="auto"/>
                    </w:rPr>
                    <w:t>15</w:t>
                  </w:r>
                </w:p>
              </w:tc>
              <w:tc>
                <w:tcPr>
                  <w:tcW w:w="503" w:type="pct"/>
                  <w:shd w:val="clear" w:color="auto" w:fill="auto"/>
                  <w:vAlign w:val="center"/>
                </w:tcPr>
                <w:p w14:paraId="0558BADA">
                  <w:pPr>
                    <w:pStyle w:val="54"/>
                    <w:rPr>
                      <w:color w:val="auto"/>
                    </w:rPr>
                  </w:pPr>
                  <w:r>
                    <w:rPr>
                      <w:color w:val="auto"/>
                    </w:rPr>
                    <w:t>0.5</w:t>
                  </w:r>
                </w:p>
              </w:tc>
              <w:tc>
                <w:tcPr>
                  <w:tcW w:w="693" w:type="pct"/>
                  <w:shd w:val="clear" w:color="auto" w:fill="auto"/>
                  <w:vAlign w:val="center"/>
                </w:tcPr>
                <w:p w14:paraId="486019E1">
                  <w:pPr>
                    <w:pStyle w:val="54"/>
                    <w:rPr>
                      <w:color w:val="auto"/>
                    </w:rPr>
                  </w:pPr>
                  <w:r>
                    <w:rPr>
                      <w:rFonts w:hint="eastAsia"/>
                      <w:color w:val="auto"/>
                    </w:rPr>
                    <w:t>1</w:t>
                  </w:r>
                </w:p>
              </w:tc>
            </w:tr>
            <w:tr w14:paraId="07F2F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5000" w:type="pct"/>
                  <w:gridSpan w:val="8"/>
                  <w:vAlign w:val="center"/>
                </w:tcPr>
                <w:p w14:paraId="62C7CBC8">
                  <w:pPr>
                    <w:pStyle w:val="54"/>
                    <w:jc w:val="both"/>
                    <w:rPr>
                      <w:color w:val="auto"/>
                    </w:rPr>
                  </w:pPr>
                  <w:r>
                    <w:rPr>
                      <w:color w:val="auto"/>
                    </w:rPr>
                    <w:t>注：*括号外数值为水温&gt;12°C时的控制指标，括号内数值为水温≤12°C时的控制指标。</w:t>
                  </w:r>
                </w:p>
              </w:tc>
            </w:tr>
          </w:tbl>
          <w:p w14:paraId="58044A02">
            <w:pPr>
              <w:pStyle w:val="50"/>
              <w:ind w:firstLine="482"/>
              <w:rPr>
                <w:b/>
                <w:bCs/>
                <w:color w:val="auto"/>
              </w:rPr>
            </w:pPr>
            <w:r>
              <w:rPr>
                <w:b/>
                <w:bCs/>
                <w:color w:val="auto"/>
              </w:rPr>
              <w:t>3、噪声排放标准</w:t>
            </w:r>
          </w:p>
          <w:p w14:paraId="04C4E163">
            <w:pPr>
              <w:pStyle w:val="50"/>
              <w:ind w:firstLine="480"/>
              <w:rPr>
                <w:color w:val="auto"/>
              </w:rPr>
            </w:pPr>
            <w:r>
              <w:rPr>
                <w:rFonts w:hint="eastAsia"/>
                <w:color w:val="auto"/>
              </w:rPr>
              <w:t>本扩建项目</w:t>
            </w:r>
            <w:r>
              <w:rPr>
                <w:color w:val="auto"/>
              </w:rPr>
              <w:t>营运期厂界噪声执行《工业企业厂界环境噪声排放标准》（GB</w:t>
            </w:r>
            <w:r>
              <w:rPr>
                <w:rFonts w:hint="eastAsia"/>
                <w:color w:val="auto"/>
              </w:rPr>
              <w:t xml:space="preserve"> </w:t>
            </w:r>
            <w:r>
              <w:rPr>
                <w:color w:val="auto"/>
              </w:rPr>
              <w:t>12348-2008）3类排放标准。具体限值见下</w:t>
            </w:r>
            <w:r>
              <w:rPr>
                <w:color w:val="auto"/>
              </w:rPr>
              <w:fldChar w:fldCharType="begin"/>
            </w:r>
            <w:r>
              <w:rPr>
                <w:color w:val="auto"/>
              </w:rPr>
              <w:instrText xml:space="preserve"> REF _Ref9768 \h </w:instrText>
            </w:r>
            <w:r>
              <w:rPr>
                <w:color w:val="auto"/>
              </w:rPr>
              <w:fldChar w:fldCharType="separate"/>
            </w:r>
            <w:r>
              <w:rPr>
                <w:color w:val="auto"/>
              </w:rPr>
              <w:t>表3- 4</w:t>
            </w:r>
            <w:r>
              <w:rPr>
                <w:color w:val="auto"/>
              </w:rPr>
              <w:fldChar w:fldCharType="end"/>
            </w:r>
            <w:r>
              <w:rPr>
                <w:color w:val="auto"/>
              </w:rPr>
              <w:t>。</w:t>
            </w:r>
          </w:p>
          <w:p w14:paraId="65F7798C">
            <w:pPr>
              <w:pStyle w:val="7"/>
              <w:rPr>
                <w:color w:val="auto"/>
                <w:kern w:val="0"/>
                <w:szCs w:val="21"/>
              </w:rPr>
            </w:pPr>
            <w:bookmarkStart w:id="74" w:name="_Ref9768"/>
            <w:bookmarkStart w:id="75" w:name="_Ref6630"/>
            <w:r>
              <w:rPr>
                <w:color w:val="auto"/>
              </w:rPr>
              <w:t xml:space="preserve">表3- </w:t>
            </w:r>
            <w:r>
              <w:rPr>
                <w:color w:val="auto"/>
              </w:rPr>
              <w:fldChar w:fldCharType="begin"/>
            </w:r>
            <w:r>
              <w:rPr>
                <w:color w:val="auto"/>
              </w:rPr>
              <w:instrText xml:space="preserve"> SEQ 表3- \* ARABIC </w:instrText>
            </w:r>
            <w:r>
              <w:rPr>
                <w:color w:val="auto"/>
              </w:rPr>
              <w:fldChar w:fldCharType="separate"/>
            </w:r>
            <w:r>
              <w:rPr>
                <w:color w:val="auto"/>
              </w:rPr>
              <w:t>4</w:t>
            </w:r>
            <w:r>
              <w:rPr>
                <w:color w:val="auto"/>
              </w:rPr>
              <w:fldChar w:fldCharType="end"/>
            </w:r>
            <w:bookmarkEnd w:id="74"/>
            <w:bookmarkEnd w:id="75"/>
            <w:r>
              <w:rPr>
                <w:color w:val="auto"/>
              </w:rPr>
              <w:t xml:space="preserve"> </w:t>
            </w:r>
            <w:r>
              <w:rPr>
                <w:rFonts w:hint="eastAsia"/>
                <w:color w:val="auto"/>
              </w:rPr>
              <w:t>项目营运期厂界环境</w:t>
            </w:r>
            <w:r>
              <w:rPr>
                <w:color w:val="auto"/>
                <w:kern w:val="0"/>
                <w:szCs w:val="21"/>
              </w:rPr>
              <w:t>噪声排放限值</w:t>
            </w:r>
          </w:p>
          <w:tbl>
            <w:tblPr>
              <w:tblStyle w:val="4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073"/>
              <w:gridCol w:w="1680"/>
              <w:gridCol w:w="1680"/>
            </w:tblGrid>
            <w:tr w14:paraId="2123C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3007" w:type="pct"/>
                  <w:tcBorders>
                    <w:tl2br w:val="nil"/>
                    <w:tr2bl w:val="nil"/>
                  </w:tcBorders>
                  <w:vAlign w:val="center"/>
                </w:tcPr>
                <w:p w14:paraId="62DCC878">
                  <w:pPr>
                    <w:pStyle w:val="52"/>
                    <w:rPr>
                      <w:color w:val="auto"/>
                    </w:rPr>
                  </w:pPr>
                  <w:r>
                    <w:rPr>
                      <w:color w:val="auto"/>
                    </w:rPr>
                    <w:t>标准来源</w:t>
                  </w:r>
                </w:p>
              </w:tc>
              <w:tc>
                <w:tcPr>
                  <w:tcW w:w="996" w:type="pct"/>
                  <w:tcBorders>
                    <w:tl2br w:val="nil"/>
                    <w:tr2bl w:val="nil"/>
                  </w:tcBorders>
                  <w:vAlign w:val="center"/>
                </w:tcPr>
                <w:p w14:paraId="62D3D4D0">
                  <w:pPr>
                    <w:pStyle w:val="52"/>
                    <w:rPr>
                      <w:color w:val="auto"/>
                    </w:rPr>
                  </w:pPr>
                  <w:r>
                    <w:rPr>
                      <w:color w:val="auto"/>
                    </w:rPr>
                    <w:t>昼间</w:t>
                  </w:r>
                  <w:r>
                    <w:rPr>
                      <w:rFonts w:hint="eastAsia"/>
                      <w:color w:val="auto"/>
                    </w:rPr>
                    <w:t>（</w:t>
                  </w:r>
                  <w:r>
                    <w:rPr>
                      <w:color w:val="auto"/>
                    </w:rPr>
                    <w:t>dB(A)</w:t>
                  </w:r>
                  <w:r>
                    <w:rPr>
                      <w:rFonts w:hint="eastAsia"/>
                      <w:color w:val="auto"/>
                    </w:rPr>
                    <w:t>）</w:t>
                  </w:r>
                </w:p>
              </w:tc>
              <w:tc>
                <w:tcPr>
                  <w:tcW w:w="996" w:type="pct"/>
                  <w:tcBorders>
                    <w:tl2br w:val="nil"/>
                    <w:tr2bl w:val="nil"/>
                  </w:tcBorders>
                  <w:vAlign w:val="center"/>
                </w:tcPr>
                <w:p w14:paraId="78D48FAE">
                  <w:pPr>
                    <w:pStyle w:val="52"/>
                    <w:rPr>
                      <w:color w:val="auto"/>
                    </w:rPr>
                  </w:pPr>
                  <w:r>
                    <w:rPr>
                      <w:color w:val="auto"/>
                    </w:rPr>
                    <w:t>夜间</w:t>
                  </w:r>
                  <w:r>
                    <w:rPr>
                      <w:rFonts w:hint="eastAsia"/>
                      <w:color w:val="auto"/>
                    </w:rPr>
                    <w:t>（</w:t>
                  </w:r>
                  <w:r>
                    <w:rPr>
                      <w:color w:val="auto"/>
                    </w:rPr>
                    <w:t>dB(A)</w:t>
                  </w:r>
                  <w:r>
                    <w:rPr>
                      <w:rFonts w:hint="eastAsia"/>
                      <w:color w:val="auto"/>
                    </w:rPr>
                    <w:t>）</w:t>
                  </w:r>
                </w:p>
              </w:tc>
            </w:tr>
            <w:tr w14:paraId="7F7CB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3007" w:type="pct"/>
                  <w:tcBorders>
                    <w:tl2br w:val="nil"/>
                    <w:tr2bl w:val="nil"/>
                  </w:tcBorders>
                  <w:vAlign w:val="center"/>
                </w:tcPr>
                <w:p w14:paraId="6C4B1048">
                  <w:pPr>
                    <w:pStyle w:val="54"/>
                    <w:rPr>
                      <w:color w:val="auto"/>
                    </w:rPr>
                  </w:pPr>
                  <w:r>
                    <w:rPr>
                      <w:color w:val="auto"/>
                    </w:rPr>
                    <w:t>《工业企业厂界环境噪声排放标准》（GB</w:t>
                  </w:r>
                  <w:r>
                    <w:rPr>
                      <w:rFonts w:hint="eastAsia"/>
                      <w:color w:val="auto"/>
                    </w:rPr>
                    <w:t xml:space="preserve"> </w:t>
                  </w:r>
                  <w:r>
                    <w:rPr>
                      <w:color w:val="auto"/>
                    </w:rPr>
                    <w:t>12348-2008）3类排放标准</w:t>
                  </w:r>
                </w:p>
              </w:tc>
              <w:tc>
                <w:tcPr>
                  <w:tcW w:w="996" w:type="pct"/>
                  <w:tcBorders>
                    <w:tl2br w:val="nil"/>
                    <w:tr2bl w:val="nil"/>
                  </w:tcBorders>
                  <w:vAlign w:val="center"/>
                </w:tcPr>
                <w:p w14:paraId="3AC533E4">
                  <w:pPr>
                    <w:pStyle w:val="54"/>
                    <w:rPr>
                      <w:color w:val="auto"/>
                    </w:rPr>
                  </w:pPr>
                  <w:r>
                    <w:rPr>
                      <w:color w:val="auto"/>
                    </w:rPr>
                    <w:t>65</w:t>
                  </w:r>
                </w:p>
              </w:tc>
              <w:tc>
                <w:tcPr>
                  <w:tcW w:w="996" w:type="pct"/>
                  <w:tcBorders>
                    <w:tl2br w:val="nil"/>
                    <w:tr2bl w:val="nil"/>
                  </w:tcBorders>
                  <w:vAlign w:val="center"/>
                </w:tcPr>
                <w:p w14:paraId="4DC1D09D">
                  <w:pPr>
                    <w:pStyle w:val="54"/>
                    <w:rPr>
                      <w:color w:val="auto"/>
                    </w:rPr>
                  </w:pPr>
                  <w:r>
                    <w:rPr>
                      <w:color w:val="auto"/>
                    </w:rPr>
                    <w:t>55</w:t>
                  </w:r>
                </w:p>
              </w:tc>
            </w:tr>
          </w:tbl>
          <w:p w14:paraId="34F55A35">
            <w:pPr>
              <w:pStyle w:val="50"/>
              <w:ind w:firstLine="482"/>
              <w:rPr>
                <w:b/>
                <w:bCs/>
                <w:color w:val="auto"/>
              </w:rPr>
            </w:pPr>
            <w:r>
              <w:rPr>
                <w:b/>
                <w:bCs/>
                <w:color w:val="auto"/>
              </w:rPr>
              <w:t>4、固废标准</w:t>
            </w:r>
          </w:p>
          <w:p w14:paraId="2F3F6A37">
            <w:pPr>
              <w:pStyle w:val="50"/>
              <w:ind w:firstLine="480"/>
              <w:rPr>
                <w:color w:val="auto"/>
              </w:rPr>
            </w:pPr>
            <w:r>
              <w:rPr>
                <w:color w:val="auto"/>
              </w:rPr>
              <w:t>本</w:t>
            </w:r>
            <w:r>
              <w:rPr>
                <w:rFonts w:hint="eastAsia"/>
                <w:color w:val="auto"/>
              </w:rPr>
              <w:t>扩建</w:t>
            </w:r>
            <w:r>
              <w:rPr>
                <w:color w:val="auto"/>
              </w:rPr>
              <w:t>项目一般固废贮存、处置执行《一般工业固体废物贮存和填埋污染控制标准》（GB18599-2020）的相关要求；危险废物贮存、处置执行《危险废物贮存污染控制标准》（GB18597-2023）等文件要求进行危废的暂存和处理。</w:t>
            </w:r>
          </w:p>
        </w:tc>
      </w:tr>
      <w:tr w14:paraId="58B7E9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65" w:type="dxa"/>
            <w:tcMar>
              <w:left w:w="28" w:type="dxa"/>
              <w:right w:w="28" w:type="dxa"/>
            </w:tcMar>
            <w:vAlign w:val="center"/>
          </w:tcPr>
          <w:p w14:paraId="3D1C3128">
            <w:pPr>
              <w:jc w:val="center"/>
              <w:rPr>
                <w:rFonts w:eastAsiaTheme="minorEastAsia"/>
                <w:color w:val="auto"/>
                <w:sz w:val="24"/>
              </w:rPr>
            </w:pPr>
            <w:r>
              <w:rPr>
                <w:rFonts w:eastAsiaTheme="minorEastAsia"/>
                <w:color w:val="auto"/>
                <w:sz w:val="24"/>
              </w:rPr>
              <w:t>总量</w:t>
            </w:r>
          </w:p>
          <w:p w14:paraId="30165A5F">
            <w:pPr>
              <w:jc w:val="center"/>
              <w:rPr>
                <w:rFonts w:eastAsiaTheme="minorEastAsia"/>
                <w:color w:val="auto"/>
                <w:sz w:val="24"/>
              </w:rPr>
            </w:pPr>
            <w:r>
              <w:rPr>
                <w:rFonts w:eastAsiaTheme="minorEastAsia"/>
                <w:color w:val="auto"/>
                <w:sz w:val="24"/>
              </w:rPr>
              <w:t>控制</w:t>
            </w:r>
          </w:p>
          <w:p w14:paraId="6F3811B8">
            <w:pPr>
              <w:jc w:val="center"/>
              <w:rPr>
                <w:color w:val="auto"/>
                <w:sz w:val="24"/>
                <w:szCs w:val="24"/>
              </w:rPr>
            </w:pPr>
            <w:r>
              <w:rPr>
                <w:rFonts w:eastAsiaTheme="minorEastAsia"/>
                <w:color w:val="auto"/>
                <w:sz w:val="24"/>
              </w:rPr>
              <w:t>指标</w:t>
            </w:r>
          </w:p>
        </w:tc>
        <w:tc>
          <w:tcPr>
            <w:tcW w:w="8659" w:type="dxa"/>
            <w:vAlign w:val="center"/>
          </w:tcPr>
          <w:p w14:paraId="1D15BAB4">
            <w:pPr>
              <w:pStyle w:val="50"/>
              <w:ind w:firstLine="480"/>
              <w:rPr>
                <w:color w:val="auto"/>
              </w:rPr>
            </w:pPr>
            <w:r>
              <w:rPr>
                <w:color w:val="auto"/>
              </w:rPr>
              <w:t>本</w:t>
            </w:r>
            <w:r>
              <w:rPr>
                <w:rFonts w:hint="eastAsia"/>
                <w:color w:val="auto"/>
              </w:rPr>
              <w:t>扩建</w:t>
            </w:r>
            <w:r>
              <w:rPr>
                <w:color w:val="auto"/>
              </w:rPr>
              <w:t>项目运营后污染物排放总量控制指标见</w:t>
            </w:r>
            <w:r>
              <w:rPr>
                <w:color w:val="auto"/>
              </w:rPr>
              <w:fldChar w:fldCharType="begin"/>
            </w:r>
            <w:r>
              <w:rPr>
                <w:color w:val="auto"/>
              </w:rPr>
              <w:instrText xml:space="preserve"> REF _Ref28671 \h </w:instrText>
            </w:r>
            <w:r>
              <w:rPr>
                <w:color w:val="auto"/>
              </w:rPr>
              <w:fldChar w:fldCharType="separate"/>
            </w:r>
            <w:r>
              <w:rPr>
                <w:color w:val="auto"/>
              </w:rPr>
              <w:t>表3- 5</w:t>
            </w:r>
            <w:r>
              <w:rPr>
                <w:color w:val="auto"/>
              </w:rPr>
              <w:fldChar w:fldCharType="end"/>
            </w:r>
            <w:r>
              <w:rPr>
                <w:color w:val="auto"/>
              </w:rPr>
              <w:t>。</w:t>
            </w:r>
          </w:p>
          <w:p w14:paraId="097E464F">
            <w:pPr>
              <w:pStyle w:val="7"/>
              <w:rPr>
                <w:color w:val="auto"/>
                <w:kern w:val="0"/>
                <w:lang w:bidi="ar"/>
              </w:rPr>
            </w:pPr>
            <w:bookmarkStart w:id="76" w:name="_Ref28671"/>
            <w:r>
              <w:rPr>
                <w:color w:val="auto"/>
              </w:rPr>
              <w:t xml:space="preserve">表3- </w:t>
            </w:r>
            <w:r>
              <w:rPr>
                <w:color w:val="auto"/>
              </w:rPr>
              <w:fldChar w:fldCharType="begin"/>
            </w:r>
            <w:r>
              <w:rPr>
                <w:color w:val="auto"/>
              </w:rPr>
              <w:instrText xml:space="preserve"> SEQ 表3- \* ARABIC </w:instrText>
            </w:r>
            <w:r>
              <w:rPr>
                <w:color w:val="auto"/>
              </w:rPr>
              <w:fldChar w:fldCharType="separate"/>
            </w:r>
            <w:r>
              <w:rPr>
                <w:color w:val="auto"/>
              </w:rPr>
              <w:t>5</w:t>
            </w:r>
            <w:r>
              <w:rPr>
                <w:color w:val="auto"/>
              </w:rPr>
              <w:fldChar w:fldCharType="end"/>
            </w:r>
            <w:bookmarkEnd w:id="76"/>
            <w:r>
              <w:rPr>
                <w:color w:val="auto"/>
              </w:rPr>
              <w:t xml:space="preserve"> </w:t>
            </w:r>
            <w:r>
              <w:rPr>
                <w:rFonts w:hint="eastAsia"/>
                <w:color w:val="auto"/>
              </w:rPr>
              <w:t>本扩建</w:t>
            </w:r>
            <w:r>
              <w:rPr>
                <w:color w:val="auto"/>
                <w:kern w:val="0"/>
                <w:lang w:bidi="ar"/>
              </w:rPr>
              <w:t>项目污染物排放总量控制指标（单位：t/a）</w:t>
            </w:r>
          </w:p>
          <w:tbl>
            <w:tblPr>
              <w:tblStyle w:val="1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549"/>
              <w:gridCol w:w="756"/>
              <w:gridCol w:w="1105"/>
              <w:gridCol w:w="1504"/>
              <w:gridCol w:w="1504"/>
              <w:gridCol w:w="1504"/>
              <w:gridCol w:w="1506"/>
            </w:tblGrid>
            <w:tr w14:paraId="2DCC3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25" w:type="pct"/>
                  <w:shd w:val="clear" w:color="auto" w:fill="auto"/>
                  <w:vAlign w:val="center"/>
                </w:tcPr>
                <w:p w14:paraId="1E04D628">
                  <w:pPr>
                    <w:pStyle w:val="52"/>
                    <w:rPr>
                      <w:color w:val="auto"/>
                    </w:rPr>
                  </w:pPr>
                  <w:r>
                    <w:rPr>
                      <w:color w:val="auto"/>
                    </w:rPr>
                    <w:t>种类</w:t>
                  </w:r>
                </w:p>
              </w:tc>
              <w:tc>
                <w:tcPr>
                  <w:tcW w:w="1104" w:type="pct"/>
                  <w:gridSpan w:val="2"/>
                  <w:shd w:val="clear" w:color="auto" w:fill="auto"/>
                  <w:vAlign w:val="center"/>
                </w:tcPr>
                <w:p w14:paraId="47E9DCFC">
                  <w:pPr>
                    <w:pStyle w:val="52"/>
                    <w:rPr>
                      <w:color w:val="auto"/>
                    </w:rPr>
                  </w:pPr>
                  <w:r>
                    <w:rPr>
                      <w:color w:val="auto"/>
                    </w:rPr>
                    <w:t>污染物名称</w:t>
                  </w:r>
                </w:p>
              </w:tc>
              <w:tc>
                <w:tcPr>
                  <w:tcW w:w="892" w:type="pct"/>
                  <w:shd w:val="clear" w:color="auto" w:fill="auto"/>
                  <w:vAlign w:val="center"/>
                </w:tcPr>
                <w:p w14:paraId="10EA72C4">
                  <w:pPr>
                    <w:pStyle w:val="52"/>
                    <w:rPr>
                      <w:color w:val="auto"/>
                    </w:rPr>
                  </w:pPr>
                  <w:r>
                    <w:rPr>
                      <w:color w:val="auto"/>
                    </w:rPr>
                    <w:t>本项目产生量（t/a）</w:t>
                  </w:r>
                </w:p>
              </w:tc>
              <w:tc>
                <w:tcPr>
                  <w:tcW w:w="892" w:type="pct"/>
                  <w:shd w:val="clear" w:color="auto" w:fill="auto"/>
                  <w:vAlign w:val="center"/>
                </w:tcPr>
                <w:p w14:paraId="2E3ECFCF">
                  <w:pPr>
                    <w:pStyle w:val="52"/>
                    <w:rPr>
                      <w:color w:val="auto"/>
                    </w:rPr>
                  </w:pPr>
                  <w:r>
                    <w:rPr>
                      <w:color w:val="auto"/>
                    </w:rPr>
                    <w:t>本项目削减量（t/a）</w:t>
                  </w:r>
                </w:p>
              </w:tc>
              <w:tc>
                <w:tcPr>
                  <w:tcW w:w="892" w:type="pct"/>
                  <w:shd w:val="clear" w:color="auto" w:fill="auto"/>
                  <w:vAlign w:val="center"/>
                </w:tcPr>
                <w:p w14:paraId="1CF81FDA">
                  <w:pPr>
                    <w:pStyle w:val="52"/>
                    <w:rPr>
                      <w:color w:val="auto"/>
                    </w:rPr>
                  </w:pPr>
                  <w:r>
                    <w:rPr>
                      <w:color w:val="auto"/>
                    </w:rPr>
                    <w:t>接管量</w:t>
                  </w:r>
                </w:p>
                <w:p w14:paraId="58EF3073">
                  <w:pPr>
                    <w:pStyle w:val="52"/>
                    <w:rPr>
                      <w:color w:val="auto"/>
                    </w:rPr>
                  </w:pPr>
                  <w:r>
                    <w:rPr>
                      <w:color w:val="auto"/>
                    </w:rPr>
                    <w:t>（t/a）</w:t>
                  </w:r>
                </w:p>
              </w:tc>
              <w:tc>
                <w:tcPr>
                  <w:tcW w:w="893" w:type="pct"/>
                  <w:shd w:val="clear" w:color="auto" w:fill="auto"/>
                  <w:vAlign w:val="center"/>
                </w:tcPr>
                <w:p w14:paraId="75BA5DF9">
                  <w:pPr>
                    <w:pStyle w:val="52"/>
                    <w:rPr>
                      <w:color w:val="auto"/>
                    </w:rPr>
                  </w:pPr>
                  <w:r>
                    <w:rPr>
                      <w:color w:val="auto"/>
                    </w:rPr>
                    <w:t>进入环境量</w:t>
                  </w:r>
                </w:p>
                <w:p w14:paraId="2283D06A">
                  <w:pPr>
                    <w:pStyle w:val="52"/>
                    <w:rPr>
                      <w:color w:val="auto"/>
                    </w:rPr>
                  </w:pPr>
                  <w:r>
                    <w:rPr>
                      <w:color w:val="auto"/>
                    </w:rPr>
                    <w:t>（t/a）</w:t>
                  </w:r>
                </w:p>
              </w:tc>
            </w:tr>
            <w:tr w14:paraId="689C3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23" w:hRule="atLeast"/>
                <w:jc w:val="center"/>
              </w:trPr>
              <w:tc>
                <w:tcPr>
                  <w:tcW w:w="325" w:type="pct"/>
                  <w:vMerge w:val="restart"/>
                  <w:shd w:val="clear" w:color="auto" w:fill="auto"/>
                  <w:vAlign w:val="center"/>
                </w:tcPr>
                <w:p w14:paraId="60CD8C48">
                  <w:pPr>
                    <w:pStyle w:val="54"/>
                    <w:bidi w:val="0"/>
                    <w:rPr>
                      <w:color w:val="auto"/>
                    </w:rPr>
                  </w:pPr>
                  <w:r>
                    <w:rPr>
                      <w:color w:val="auto"/>
                    </w:rPr>
                    <w:t>废气</w:t>
                  </w:r>
                </w:p>
              </w:tc>
              <w:tc>
                <w:tcPr>
                  <w:tcW w:w="448" w:type="pct"/>
                  <w:vMerge w:val="restart"/>
                  <w:shd w:val="clear" w:color="auto" w:fill="auto"/>
                  <w:vAlign w:val="center"/>
                </w:tcPr>
                <w:p w14:paraId="14DDA016">
                  <w:pPr>
                    <w:pStyle w:val="54"/>
                    <w:bidi w:val="0"/>
                    <w:rPr>
                      <w:color w:val="auto"/>
                    </w:rPr>
                  </w:pPr>
                  <w:r>
                    <w:rPr>
                      <w:color w:val="auto"/>
                    </w:rPr>
                    <w:t>有组织</w:t>
                  </w:r>
                </w:p>
              </w:tc>
              <w:tc>
                <w:tcPr>
                  <w:tcW w:w="655" w:type="pct"/>
                  <w:shd w:val="clear" w:color="auto" w:fill="auto"/>
                  <w:vAlign w:val="center"/>
                </w:tcPr>
                <w:p w14:paraId="75FF8883">
                  <w:pPr>
                    <w:pStyle w:val="54"/>
                    <w:bidi w:val="0"/>
                    <w:rPr>
                      <w:color w:val="auto"/>
                    </w:rPr>
                  </w:pPr>
                  <w:r>
                    <w:rPr>
                      <w:rFonts w:hint="eastAsia"/>
                      <w:color w:val="auto"/>
                    </w:rPr>
                    <w:t>颗粒物</w:t>
                  </w:r>
                </w:p>
              </w:tc>
              <w:tc>
                <w:tcPr>
                  <w:tcW w:w="892" w:type="pct"/>
                  <w:shd w:val="clear" w:color="auto" w:fill="auto"/>
                  <w:vAlign w:val="center"/>
                </w:tcPr>
                <w:p w14:paraId="766D9BBA">
                  <w:pPr>
                    <w:pStyle w:val="54"/>
                    <w:bidi w:val="0"/>
                    <w:rPr>
                      <w:color w:val="auto"/>
                    </w:rPr>
                  </w:pPr>
                  <w:r>
                    <w:rPr>
                      <w:color w:val="auto"/>
                    </w:rPr>
                    <w:t xml:space="preserve">11.368 </w:t>
                  </w:r>
                </w:p>
              </w:tc>
              <w:tc>
                <w:tcPr>
                  <w:tcW w:w="892" w:type="pct"/>
                  <w:shd w:val="clear" w:color="auto" w:fill="auto"/>
                  <w:vAlign w:val="center"/>
                </w:tcPr>
                <w:p w14:paraId="6BE28130">
                  <w:pPr>
                    <w:pStyle w:val="54"/>
                    <w:bidi w:val="0"/>
                    <w:rPr>
                      <w:color w:val="auto"/>
                    </w:rPr>
                  </w:pPr>
                  <w:r>
                    <w:rPr>
                      <w:color w:val="auto"/>
                    </w:rPr>
                    <w:t xml:space="preserve">10.231 </w:t>
                  </w:r>
                </w:p>
              </w:tc>
              <w:tc>
                <w:tcPr>
                  <w:tcW w:w="892" w:type="pct"/>
                  <w:shd w:val="clear" w:color="auto" w:fill="auto"/>
                  <w:vAlign w:val="center"/>
                </w:tcPr>
                <w:p w14:paraId="6A835706">
                  <w:pPr>
                    <w:pStyle w:val="54"/>
                    <w:bidi w:val="0"/>
                    <w:rPr>
                      <w:color w:val="auto"/>
                    </w:rPr>
                  </w:pPr>
                  <w:r>
                    <w:rPr>
                      <w:color w:val="auto"/>
                    </w:rPr>
                    <w:t>/</w:t>
                  </w:r>
                </w:p>
              </w:tc>
              <w:tc>
                <w:tcPr>
                  <w:tcW w:w="893" w:type="pct"/>
                  <w:shd w:val="clear" w:color="auto" w:fill="auto"/>
                  <w:vAlign w:val="center"/>
                </w:tcPr>
                <w:p w14:paraId="69915AFD">
                  <w:pPr>
                    <w:pStyle w:val="54"/>
                    <w:bidi w:val="0"/>
                    <w:rPr>
                      <w:color w:val="auto"/>
                    </w:rPr>
                  </w:pPr>
                  <w:r>
                    <w:rPr>
                      <w:color w:val="auto"/>
                    </w:rPr>
                    <w:t xml:space="preserve">1.137 </w:t>
                  </w:r>
                </w:p>
              </w:tc>
            </w:tr>
            <w:tr w14:paraId="167FD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25" w:type="pct"/>
                  <w:vMerge w:val="continue"/>
                  <w:shd w:val="clear" w:color="auto" w:fill="auto"/>
                  <w:vAlign w:val="center"/>
                </w:tcPr>
                <w:p w14:paraId="457E31A1">
                  <w:pPr>
                    <w:pStyle w:val="54"/>
                    <w:bidi w:val="0"/>
                    <w:rPr>
                      <w:color w:val="auto"/>
                    </w:rPr>
                  </w:pPr>
                </w:p>
              </w:tc>
              <w:tc>
                <w:tcPr>
                  <w:tcW w:w="448" w:type="pct"/>
                  <w:vMerge w:val="continue"/>
                  <w:shd w:val="clear" w:color="auto" w:fill="auto"/>
                  <w:vAlign w:val="center"/>
                </w:tcPr>
                <w:p w14:paraId="2DFAD5D6">
                  <w:pPr>
                    <w:pStyle w:val="54"/>
                    <w:bidi w:val="0"/>
                    <w:rPr>
                      <w:color w:val="auto"/>
                    </w:rPr>
                  </w:pPr>
                </w:p>
              </w:tc>
              <w:tc>
                <w:tcPr>
                  <w:tcW w:w="655" w:type="pct"/>
                  <w:shd w:val="clear" w:color="auto" w:fill="auto"/>
                  <w:vAlign w:val="center"/>
                </w:tcPr>
                <w:p w14:paraId="2F04D6C9">
                  <w:pPr>
                    <w:pStyle w:val="54"/>
                    <w:bidi w:val="0"/>
                    <w:rPr>
                      <w:color w:val="auto"/>
                    </w:rPr>
                  </w:pPr>
                  <w:r>
                    <w:rPr>
                      <w:rFonts w:hint="eastAsia"/>
                      <w:color w:val="auto"/>
                    </w:rPr>
                    <w:t>NMHC</w:t>
                  </w:r>
                </w:p>
              </w:tc>
              <w:tc>
                <w:tcPr>
                  <w:tcW w:w="892" w:type="pct"/>
                  <w:shd w:val="clear" w:color="auto" w:fill="auto"/>
                  <w:vAlign w:val="center"/>
                </w:tcPr>
                <w:p w14:paraId="06412A62">
                  <w:pPr>
                    <w:pStyle w:val="54"/>
                    <w:bidi w:val="0"/>
                    <w:rPr>
                      <w:color w:val="auto"/>
                    </w:rPr>
                  </w:pPr>
                  <w:r>
                    <w:rPr>
                      <w:rFonts w:hint="default"/>
                      <w:color w:val="auto"/>
                      <w:lang w:val="en-US" w:eastAsia="zh-CN"/>
                    </w:rPr>
                    <w:t xml:space="preserve">0.0022 </w:t>
                  </w:r>
                </w:p>
              </w:tc>
              <w:tc>
                <w:tcPr>
                  <w:tcW w:w="892" w:type="pct"/>
                  <w:shd w:val="clear" w:color="auto" w:fill="auto"/>
                  <w:vAlign w:val="center"/>
                </w:tcPr>
                <w:p w14:paraId="3463A6E3">
                  <w:pPr>
                    <w:pStyle w:val="54"/>
                    <w:bidi w:val="0"/>
                    <w:rPr>
                      <w:rFonts w:hint="default"/>
                      <w:color w:val="auto"/>
                      <w:lang w:val="en-US"/>
                    </w:rPr>
                  </w:pPr>
                  <w:r>
                    <w:rPr>
                      <w:rFonts w:hint="eastAsia"/>
                      <w:color w:val="auto"/>
                      <w:lang w:val="en-US" w:eastAsia="zh-CN"/>
                    </w:rPr>
                    <w:t xml:space="preserve">0.0020 </w:t>
                  </w:r>
                </w:p>
              </w:tc>
              <w:tc>
                <w:tcPr>
                  <w:tcW w:w="892" w:type="pct"/>
                  <w:shd w:val="clear" w:color="auto" w:fill="auto"/>
                  <w:vAlign w:val="center"/>
                </w:tcPr>
                <w:p w14:paraId="5ECE226D">
                  <w:pPr>
                    <w:pStyle w:val="54"/>
                    <w:bidi w:val="0"/>
                    <w:rPr>
                      <w:color w:val="auto"/>
                    </w:rPr>
                  </w:pPr>
                  <w:r>
                    <w:rPr>
                      <w:rFonts w:hint="eastAsia"/>
                      <w:color w:val="auto"/>
                    </w:rPr>
                    <w:t>/</w:t>
                  </w:r>
                </w:p>
              </w:tc>
              <w:tc>
                <w:tcPr>
                  <w:tcW w:w="893" w:type="pct"/>
                  <w:shd w:val="clear" w:color="auto" w:fill="auto"/>
                  <w:vAlign w:val="center"/>
                </w:tcPr>
                <w:p w14:paraId="74CFE74C">
                  <w:pPr>
                    <w:pStyle w:val="54"/>
                    <w:bidi w:val="0"/>
                    <w:rPr>
                      <w:rFonts w:hint="default"/>
                      <w:color w:val="auto"/>
                      <w:lang w:val="en-US" w:eastAsia="zh-CN"/>
                    </w:rPr>
                  </w:pPr>
                  <w:r>
                    <w:rPr>
                      <w:rFonts w:hint="default"/>
                      <w:color w:val="auto"/>
                      <w:lang w:val="en-US" w:eastAsia="zh-CN"/>
                    </w:rPr>
                    <w:t xml:space="preserve">0.0002 </w:t>
                  </w:r>
                </w:p>
              </w:tc>
            </w:tr>
            <w:tr w14:paraId="6BD5F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13" w:hRule="atLeast"/>
                <w:jc w:val="center"/>
              </w:trPr>
              <w:tc>
                <w:tcPr>
                  <w:tcW w:w="325" w:type="pct"/>
                  <w:vMerge w:val="continue"/>
                  <w:shd w:val="clear" w:color="auto" w:fill="auto"/>
                  <w:vAlign w:val="center"/>
                </w:tcPr>
                <w:p w14:paraId="2E79CF79">
                  <w:pPr>
                    <w:pStyle w:val="54"/>
                    <w:rPr>
                      <w:color w:val="auto"/>
                    </w:rPr>
                  </w:pPr>
                </w:p>
              </w:tc>
              <w:tc>
                <w:tcPr>
                  <w:tcW w:w="448" w:type="pct"/>
                  <w:vMerge w:val="restart"/>
                  <w:shd w:val="clear" w:color="auto" w:fill="auto"/>
                  <w:vAlign w:val="center"/>
                </w:tcPr>
                <w:p w14:paraId="420BC81B">
                  <w:pPr>
                    <w:pStyle w:val="54"/>
                    <w:bidi w:val="0"/>
                    <w:rPr>
                      <w:color w:val="auto"/>
                    </w:rPr>
                  </w:pPr>
                  <w:r>
                    <w:rPr>
                      <w:color w:val="auto"/>
                    </w:rPr>
                    <w:t>无组织</w:t>
                  </w:r>
                </w:p>
              </w:tc>
              <w:tc>
                <w:tcPr>
                  <w:tcW w:w="655" w:type="pct"/>
                  <w:shd w:val="clear" w:color="auto" w:fill="auto"/>
                  <w:vAlign w:val="center"/>
                </w:tcPr>
                <w:p w14:paraId="68967912">
                  <w:pPr>
                    <w:pStyle w:val="54"/>
                    <w:bidi w:val="0"/>
                    <w:rPr>
                      <w:color w:val="auto"/>
                    </w:rPr>
                  </w:pPr>
                  <w:r>
                    <w:rPr>
                      <w:rFonts w:hint="eastAsia"/>
                      <w:color w:val="auto"/>
                    </w:rPr>
                    <w:t>颗粒物</w:t>
                  </w:r>
                </w:p>
              </w:tc>
              <w:tc>
                <w:tcPr>
                  <w:tcW w:w="892" w:type="pct"/>
                  <w:shd w:val="clear" w:color="auto" w:fill="auto"/>
                  <w:vAlign w:val="center"/>
                </w:tcPr>
                <w:p w14:paraId="38381313">
                  <w:pPr>
                    <w:pStyle w:val="54"/>
                    <w:bidi w:val="0"/>
                    <w:rPr>
                      <w:color w:val="auto"/>
                    </w:rPr>
                  </w:pPr>
                  <w:r>
                    <w:rPr>
                      <w:rFonts w:hint="default"/>
                      <w:color w:val="auto"/>
                      <w:lang w:val="en-US" w:eastAsia="zh-CN"/>
                    </w:rPr>
                    <w:t xml:space="preserve">1.263 </w:t>
                  </w:r>
                </w:p>
              </w:tc>
              <w:tc>
                <w:tcPr>
                  <w:tcW w:w="892" w:type="pct"/>
                  <w:shd w:val="clear" w:color="auto" w:fill="auto"/>
                  <w:vAlign w:val="center"/>
                </w:tcPr>
                <w:p w14:paraId="52FAF61C">
                  <w:pPr>
                    <w:pStyle w:val="54"/>
                    <w:bidi w:val="0"/>
                    <w:rPr>
                      <w:color w:val="auto"/>
                    </w:rPr>
                  </w:pPr>
                  <w:r>
                    <w:rPr>
                      <w:color w:val="auto"/>
                    </w:rPr>
                    <w:t>/</w:t>
                  </w:r>
                </w:p>
              </w:tc>
              <w:tc>
                <w:tcPr>
                  <w:tcW w:w="892" w:type="pct"/>
                  <w:shd w:val="clear" w:color="auto" w:fill="auto"/>
                  <w:vAlign w:val="center"/>
                </w:tcPr>
                <w:p w14:paraId="18F0B2AF">
                  <w:pPr>
                    <w:pStyle w:val="54"/>
                    <w:bidi w:val="0"/>
                    <w:rPr>
                      <w:color w:val="auto"/>
                    </w:rPr>
                  </w:pPr>
                  <w:r>
                    <w:rPr>
                      <w:color w:val="auto"/>
                    </w:rPr>
                    <w:t>/</w:t>
                  </w:r>
                </w:p>
              </w:tc>
              <w:tc>
                <w:tcPr>
                  <w:tcW w:w="893" w:type="pct"/>
                  <w:shd w:val="clear" w:color="auto" w:fill="auto"/>
                  <w:vAlign w:val="center"/>
                </w:tcPr>
                <w:p w14:paraId="4EEC684F">
                  <w:pPr>
                    <w:pStyle w:val="54"/>
                    <w:bidi w:val="0"/>
                    <w:rPr>
                      <w:color w:val="auto"/>
                    </w:rPr>
                  </w:pPr>
                  <w:r>
                    <w:rPr>
                      <w:rFonts w:hint="default"/>
                      <w:color w:val="auto"/>
                      <w:lang w:val="en-US" w:eastAsia="zh-CN"/>
                    </w:rPr>
                    <w:t xml:space="preserve">1.263 </w:t>
                  </w:r>
                </w:p>
              </w:tc>
            </w:tr>
            <w:tr w14:paraId="1D18E9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13" w:hRule="atLeast"/>
                <w:jc w:val="center"/>
              </w:trPr>
              <w:tc>
                <w:tcPr>
                  <w:tcW w:w="325" w:type="pct"/>
                  <w:vMerge w:val="continue"/>
                  <w:shd w:val="clear" w:color="auto" w:fill="auto"/>
                  <w:vAlign w:val="center"/>
                </w:tcPr>
                <w:p w14:paraId="098763EB">
                  <w:pPr>
                    <w:pStyle w:val="54"/>
                    <w:rPr>
                      <w:color w:val="auto"/>
                    </w:rPr>
                  </w:pPr>
                </w:p>
              </w:tc>
              <w:tc>
                <w:tcPr>
                  <w:tcW w:w="448" w:type="pct"/>
                  <w:vMerge w:val="continue"/>
                  <w:shd w:val="clear" w:color="auto" w:fill="auto"/>
                  <w:vAlign w:val="center"/>
                </w:tcPr>
                <w:p w14:paraId="0C9168AD">
                  <w:pPr>
                    <w:pStyle w:val="54"/>
                    <w:bidi w:val="0"/>
                    <w:rPr>
                      <w:color w:val="auto"/>
                    </w:rPr>
                  </w:pPr>
                </w:p>
              </w:tc>
              <w:tc>
                <w:tcPr>
                  <w:tcW w:w="655" w:type="pct"/>
                  <w:shd w:val="clear" w:color="auto" w:fill="auto"/>
                  <w:vAlign w:val="center"/>
                </w:tcPr>
                <w:p w14:paraId="5A290BE6">
                  <w:pPr>
                    <w:pStyle w:val="54"/>
                    <w:bidi w:val="0"/>
                    <w:rPr>
                      <w:color w:val="auto"/>
                    </w:rPr>
                  </w:pPr>
                  <w:r>
                    <w:rPr>
                      <w:rFonts w:hint="eastAsia"/>
                      <w:color w:val="auto"/>
                    </w:rPr>
                    <w:t>NMHC</w:t>
                  </w:r>
                </w:p>
              </w:tc>
              <w:tc>
                <w:tcPr>
                  <w:tcW w:w="892" w:type="pct"/>
                  <w:shd w:val="clear" w:color="auto" w:fill="auto"/>
                  <w:vAlign w:val="center"/>
                </w:tcPr>
                <w:p w14:paraId="3D5C3E03">
                  <w:pPr>
                    <w:pStyle w:val="54"/>
                    <w:bidi w:val="0"/>
                    <w:rPr>
                      <w:color w:val="auto"/>
                    </w:rPr>
                  </w:pPr>
                  <w:r>
                    <w:rPr>
                      <w:rFonts w:hint="default"/>
                      <w:color w:val="auto"/>
                      <w:lang w:val="en-US" w:eastAsia="zh-CN"/>
                    </w:rPr>
                    <w:t xml:space="preserve">0.00011 </w:t>
                  </w:r>
                </w:p>
              </w:tc>
              <w:tc>
                <w:tcPr>
                  <w:tcW w:w="892" w:type="pct"/>
                  <w:shd w:val="clear" w:color="auto" w:fill="auto"/>
                  <w:vAlign w:val="center"/>
                </w:tcPr>
                <w:p w14:paraId="52EABA1A">
                  <w:pPr>
                    <w:pStyle w:val="54"/>
                    <w:bidi w:val="0"/>
                    <w:rPr>
                      <w:color w:val="auto"/>
                    </w:rPr>
                  </w:pPr>
                  <w:r>
                    <w:rPr>
                      <w:rFonts w:hint="eastAsia"/>
                      <w:color w:val="auto"/>
                    </w:rPr>
                    <w:t>/</w:t>
                  </w:r>
                </w:p>
              </w:tc>
              <w:tc>
                <w:tcPr>
                  <w:tcW w:w="892" w:type="pct"/>
                  <w:shd w:val="clear" w:color="auto" w:fill="auto"/>
                  <w:vAlign w:val="center"/>
                </w:tcPr>
                <w:p w14:paraId="49EFB79E">
                  <w:pPr>
                    <w:pStyle w:val="54"/>
                    <w:bidi w:val="0"/>
                    <w:rPr>
                      <w:color w:val="auto"/>
                    </w:rPr>
                  </w:pPr>
                  <w:r>
                    <w:rPr>
                      <w:rFonts w:hint="eastAsia"/>
                      <w:color w:val="auto"/>
                    </w:rPr>
                    <w:t>/</w:t>
                  </w:r>
                </w:p>
              </w:tc>
              <w:tc>
                <w:tcPr>
                  <w:tcW w:w="893" w:type="pct"/>
                  <w:shd w:val="clear" w:color="auto" w:fill="auto"/>
                  <w:vAlign w:val="center"/>
                </w:tcPr>
                <w:p w14:paraId="47E11E9D">
                  <w:pPr>
                    <w:pStyle w:val="54"/>
                    <w:bidi w:val="0"/>
                    <w:rPr>
                      <w:color w:val="auto"/>
                    </w:rPr>
                  </w:pPr>
                  <w:r>
                    <w:rPr>
                      <w:rFonts w:hint="default"/>
                      <w:color w:val="auto"/>
                      <w:lang w:val="en-US" w:eastAsia="zh-CN"/>
                    </w:rPr>
                    <w:t xml:space="preserve">0.00011 </w:t>
                  </w:r>
                </w:p>
              </w:tc>
            </w:tr>
            <w:tr w14:paraId="6C736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25" w:type="pct"/>
                  <w:vMerge w:val="restart"/>
                  <w:shd w:val="clear" w:color="auto" w:fill="auto"/>
                  <w:vAlign w:val="center"/>
                </w:tcPr>
                <w:p w14:paraId="0CF3A74E">
                  <w:pPr>
                    <w:pStyle w:val="54"/>
                    <w:rPr>
                      <w:color w:val="auto"/>
                    </w:rPr>
                  </w:pPr>
                  <w:r>
                    <w:rPr>
                      <w:color w:val="auto"/>
                    </w:rPr>
                    <w:t>废水</w:t>
                  </w:r>
                </w:p>
              </w:tc>
              <w:tc>
                <w:tcPr>
                  <w:tcW w:w="1104" w:type="pct"/>
                  <w:gridSpan w:val="2"/>
                  <w:shd w:val="clear" w:color="auto" w:fill="auto"/>
                  <w:vAlign w:val="center"/>
                </w:tcPr>
                <w:p w14:paraId="6F23F28B">
                  <w:pPr>
                    <w:pStyle w:val="54"/>
                    <w:rPr>
                      <w:color w:val="auto"/>
                    </w:rPr>
                  </w:pPr>
                  <w:r>
                    <w:rPr>
                      <w:rFonts w:hint="eastAsia"/>
                      <w:color w:val="auto"/>
                    </w:rPr>
                    <w:t>废水量</w:t>
                  </w:r>
                </w:p>
              </w:tc>
              <w:tc>
                <w:tcPr>
                  <w:tcW w:w="892" w:type="pct"/>
                  <w:shd w:val="clear" w:color="auto" w:fill="auto"/>
                  <w:vAlign w:val="center"/>
                </w:tcPr>
                <w:p w14:paraId="1EED6F7C">
                  <w:pPr>
                    <w:pStyle w:val="54"/>
                    <w:rPr>
                      <w:color w:val="auto"/>
                    </w:rPr>
                  </w:pPr>
                  <w:r>
                    <w:rPr>
                      <w:rFonts w:hint="eastAsia"/>
                      <w:color w:val="auto"/>
                    </w:rPr>
                    <w:t xml:space="preserve">2160 </w:t>
                  </w:r>
                </w:p>
              </w:tc>
              <w:tc>
                <w:tcPr>
                  <w:tcW w:w="892" w:type="pct"/>
                  <w:shd w:val="clear" w:color="auto" w:fill="auto"/>
                  <w:vAlign w:val="center"/>
                </w:tcPr>
                <w:p w14:paraId="4B28A066">
                  <w:pPr>
                    <w:pStyle w:val="54"/>
                    <w:rPr>
                      <w:color w:val="auto"/>
                    </w:rPr>
                  </w:pPr>
                  <w:r>
                    <w:rPr>
                      <w:rFonts w:hint="eastAsia"/>
                      <w:color w:val="auto"/>
                    </w:rPr>
                    <w:t>/</w:t>
                  </w:r>
                </w:p>
              </w:tc>
              <w:tc>
                <w:tcPr>
                  <w:tcW w:w="892" w:type="pct"/>
                  <w:shd w:val="clear" w:color="auto" w:fill="auto"/>
                  <w:vAlign w:val="center"/>
                </w:tcPr>
                <w:p w14:paraId="35046936">
                  <w:pPr>
                    <w:pStyle w:val="54"/>
                    <w:rPr>
                      <w:color w:val="auto"/>
                    </w:rPr>
                  </w:pPr>
                  <w:r>
                    <w:rPr>
                      <w:rFonts w:hint="eastAsia"/>
                      <w:color w:val="auto"/>
                    </w:rPr>
                    <w:t xml:space="preserve">2160 </w:t>
                  </w:r>
                </w:p>
              </w:tc>
              <w:tc>
                <w:tcPr>
                  <w:tcW w:w="893" w:type="pct"/>
                  <w:shd w:val="clear" w:color="auto" w:fill="auto"/>
                  <w:vAlign w:val="center"/>
                </w:tcPr>
                <w:p w14:paraId="5EA95963">
                  <w:pPr>
                    <w:pStyle w:val="54"/>
                    <w:rPr>
                      <w:color w:val="auto"/>
                    </w:rPr>
                  </w:pPr>
                  <w:r>
                    <w:rPr>
                      <w:rFonts w:hint="eastAsia"/>
                      <w:color w:val="auto"/>
                    </w:rPr>
                    <w:t xml:space="preserve">2160 </w:t>
                  </w:r>
                </w:p>
              </w:tc>
            </w:tr>
            <w:tr w14:paraId="40EC2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55" w:hRule="atLeast"/>
                <w:jc w:val="center"/>
              </w:trPr>
              <w:tc>
                <w:tcPr>
                  <w:tcW w:w="325" w:type="pct"/>
                  <w:vMerge w:val="continue"/>
                  <w:shd w:val="clear" w:color="auto" w:fill="auto"/>
                  <w:vAlign w:val="center"/>
                </w:tcPr>
                <w:p w14:paraId="42CF780A">
                  <w:pPr>
                    <w:pStyle w:val="54"/>
                    <w:rPr>
                      <w:color w:val="auto"/>
                    </w:rPr>
                  </w:pPr>
                </w:p>
              </w:tc>
              <w:tc>
                <w:tcPr>
                  <w:tcW w:w="1104" w:type="pct"/>
                  <w:gridSpan w:val="2"/>
                  <w:shd w:val="clear" w:color="auto" w:fill="auto"/>
                  <w:vAlign w:val="center"/>
                </w:tcPr>
                <w:p w14:paraId="4C54D8A3">
                  <w:pPr>
                    <w:pStyle w:val="54"/>
                    <w:rPr>
                      <w:color w:val="auto"/>
                    </w:rPr>
                  </w:pPr>
                  <w:r>
                    <w:rPr>
                      <w:color w:val="auto"/>
                    </w:rPr>
                    <w:t>COD</w:t>
                  </w:r>
                </w:p>
              </w:tc>
              <w:tc>
                <w:tcPr>
                  <w:tcW w:w="892" w:type="pct"/>
                  <w:shd w:val="clear" w:color="auto" w:fill="auto"/>
                  <w:vAlign w:val="center"/>
                </w:tcPr>
                <w:p w14:paraId="20F39433">
                  <w:pPr>
                    <w:pStyle w:val="54"/>
                    <w:rPr>
                      <w:color w:val="auto"/>
                    </w:rPr>
                  </w:pPr>
                  <w:r>
                    <w:rPr>
                      <w:color w:val="auto"/>
                    </w:rPr>
                    <w:t xml:space="preserve">0.8640 </w:t>
                  </w:r>
                </w:p>
              </w:tc>
              <w:tc>
                <w:tcPr>
                  <w:tcW w:w="892" w:type="pct"/>
                  <w:shd w:val="clear" w:color="auto" w:fill="auto"/>
                  <w:vAlign w:val="center"/>
                </w:tcPr>
                <w:p w14:paraId="737E3757">
                  <w:pPr>
                    <w:pStyle w:val="54"/>
                    <w:rPr>
                      <w:color w:val="auto"/>
                    </w:rPr>
                  </w:pPr>
                  <w:r>
                    <w:rPr>
                      <w:color w:val="auto"/>
                    </w:rPr>
                    <w:t xml:space="preserve">0.2160 </w:t>
                  </w:r>
                </w:p>
              </w:tc>
              <w:tc>
                <w:tcPr>
                  <w:tcW w:w="892" w:type="pct"/>
                  <w:shd w:val="clear" w:color="auto" w:fill="auto"/>
                  <w:vAlign w:val="center"/>
                </w:tcPr>
                <w:p w14:paraId="3CDFAFFA">
                  <w:pPr>
                    <w:pStyle w:val="54"/>
                    <w:rPr>
                      <w:color w:val="auto"/>
                    </w:rPr>
                  </w:pPr>
                  <w:r>
                    <w:rPr>
                      <w:color w:val="auto"/>
                    </w:rPr>
                    <w:t xml:space="preserve">0.6480 </w:t>
                  </w:r>
                </w:p>
              </w:tc>
              <w:tc>
                <w:tcPr>
                  <w:tcW w:w="893" w:type="pct"/>
                  <w:shd w:val="clear" w:color="auto" w:fill="auto"/>
                  <w:vAlign w:val="center"/>
                </w:tcPr>
                <w:p w14:paraId="45B4D518">
                  <w:pPr>
                    <w:pStyle w:val="54"/>
                    <w:rPr>
                      <w:color w:val="auto"/>
                    </w:rPr>
                  </w:pPr>
                  <w:r>
                    <w:rPr>
                      <w:color w:val="auto"/>
                    </w:rPr>
                    <w:t xml:space="preserve">0.1080 </w:t>
                  </w:r>
                </w:p>
              </w:tc>
            </w:tr>
            <w:tr w14:paraId="681C6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25" w:type="pct"/>
                  <w:vMerge w:val="continue"/>
                  <w:shd w:val="clear" w:color="auto" w:fill="auto"/>
                  <w:vAlign w:val="center"/>
                </w:tcPr>
                <w:p w14:paraId="0C772E8B">
                  <w:pPr>
                    <w:pStyle w:val="54"/>
                    <w:rPr>
                      <w:color w:val="auto"/>
                    </w:rPr>
                  </w:pPr>
                </w:p>
              </w:tc>
              <w:tc>
                <w:tcPr>
                  <w:tcW w:w="1104" w:type="pct"/>
                  <w:gridSpan w:val="2"/>
                  <w:shd w:val="clear" w:color="auto" w:fill="auto"/>
                  <w:vAlign w:val="center"/>
                </w:tcPr>
                <w:p w14:paraId="414C7DA7">
                  <w:pPr>
                    <w:pStyle w:val="54"/>
                    <w:rPr>
                      <w:color w:val="auto"/>
                    </w:rPr>
                  </w:pPr>
                  <w:r>
                    <w:rPr>
                      <w:color w:val="auto"/>
                    </w:rPr>
                    <w:t>SS</w:t>
                  </w:r>
                </w:p>
              </w:tc>
              <w:tc>
                <w:tcPr>
                  <w:tcW w:w="892" w:type="pct"/>
                  <w:shd w:val="clear" w:color="auto" w:fill="auto"/>
                  <w:vAlign w:val="center"/>
                </w:tcPr>
                <w:p w14:paraId="46D24762">
                  <w:pPr>
                    <w:pStyle w:val="54"/>
                    <w:rPr>
                      <w:color w:val="auto"/>
                    </w:rPr>
                  </w:pPr>
                  <w:r>
                    <w:rPr>
                      <w:color w:val="auto"/>
                    </w:rPr>
                    <w:t xml:space="preserve">0.5400 </w:t>
                  </w:r>
                </w:p>
              </w:tc>
              <w:tc>
                <w:tcPr>
                  <w:tcW w:w="892" w:type="pct"/>
                  <w:shd w:val="clear" w:color="auto" w:fill="auto"/>
                  <w:vAlign w:val="center"/>
                </w:tcPr>
                <w:p w14:paraId="70344B29">
                  <w:pPr>
                    <w:pStyle w:val="54"/>
                    <w:rPr>
                      <w:color w:val="auto"/>
                    </w:rPr>
                  </w:pPr>
                  <w:r>
                    <w:rPr>
                      <w:color w:val="auto"/>
                    </w:rPr>
                    <w:t xml:space="preserve">0.2160 </w:t>
                  </w:r>
                </w:p>
              </w:tc>
              <w:tc>
                <w:tcPr>
                  <w:tcW w:w="892" w:type="pct"/>
                  <w:shd w:val="clear" w:color="auto" w:fill="auto"/>
                  <w:vAlign w:val="center"/>
                </w:tcPr>
                <w:p w14:paraId="6E34BF15">
                  <w:pPr>
                    <w:pStyle w:val="54"/>
                    <w:rPr>
                      <w:color w:val="auto"/>
                    </w:rPr>
                  </w:pPr>
                  <w:r>
                    <w:rPr>
                      <w:color w:val="auto"/>
                    </w:rPr>
                    <w:t xml:space="preserve">0.3240 </w:t>
                  </w:r>
                </w:p>
              </w:tc>
              <w:tc>
                <w:tcPr>
                  <w:tcW w:w="893" w:type="pct"/>
                  <w:shd w:val="clear" w:color="auto" w:fill="auto"/>
                  <w:vAlign w:val="center"/>
                </w:tcPr>
                <w:p w14:paraId="6609970B">
                  <w:pPr>
                    <w:pStyle w:val="54"/>
                    <w:rPr>
                      <w:color w:val="auto"/>
                    </w:rPr>
                  </w:pPr>
                  <w:r>
                    <w:rPr>
                      <w:color w:val="auto"/>
                    </w:rPr>
                    <w:t xml:space="preserve">0.0216 </w:t>
                  </w:r>
                </w:p>
              </w:tc>
            </w:tr>
            <w:tr w14:paraId="5C9E7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25" w:type="pct"/>
                  <w:vMerge w:val="continue"/>
                  <w:shd w:val="clear" w:color="auto" w:fill="auto"/>
                  <w:vAlign w:val="center"/>
                </w:tcPr>
                <w:p w14:paraId="7D4E6747">
                  <w:pPr>
                    <w:pStyle w:val="54"/>
                    <w:rPr>
                      <w:color w:val="auto"/>
                    </w:rPr>
                  </w:pPr>
                </w:p>
              </w:tc>
              <w:tc>
                <w:tcPr>
                  <w:tcW w:w="1104" w:type="pct"/>
                  <w:gridSpan w:val="2"/>
                  <w:shd w:val="clear" w:color="auto" w:fill="auto"/>
                  <w:vAlign w:val="center"/>
                </w:tcPr>
                <w:p w14:paraId="7D9EF5ED">
                  <w:pPr>
                    <w:pStyle w:val="54"/>
                    <w:rPr>
                      <w:color w:val="auto"/>
                    </w:rPr>
                  </w:pPr>
                  <w:r>
                    <w:rPr>
                      <w:rFonts w:hint="eastAsia"/>
                      <w:color w:val="auto"/>
                    </w:rPr>
                    <w:t>氨氮</w:t>
                  </w:r>
                </w:p>
              </w:tc>
              <w:tc>
                <w:tcPr>
                  <w:tcW w:w="892" w:type="pct"/>
                  <w:shd w:val="clear" w:color="auto" w:fill="auto"/>
                  <w:vAlign w:val="center"/>
                </w:tcPr>
                <w:p w14:paraId="5557BB2B">
                  <w:pPr>
                    <w:pStyle w:val="54"/>
                    <w:rPr>
                      <w:color w:val="auto"/>
                    </w:rPr>
                  </w:pPr>
                  <w:r>
                    <w:rPr>
                      <w:color w:val="auto"/>
                    </w:rPr>
                    <w:t xml:space="preserve">0.0648 </w:t>
                  </w:r>
                </w:p>
              </w:tc>
              <w:tc>
                <w:tcPr>
                  <w:tcW w:w="892" w:type="pct"/>
                  <w:shd w:val="clear" w:color="auto" w:fill="auto"/>
                  <w:vAlign w:val="center"/>
                </w:tcPr>
                <w:p w14:paraId="71F0FC98">
                  <w:pPr>
                    <w:pStyle w:val="54"/>
                    <w:rPr>
                      <w:color w:val="auto"/>
                    </w:rPr>
                  </w:pPr>
                  <w:r>
                    <w:rPr>
                      <w:color w:val="auto"/>
                    </w:rPr>
                    <w:t xml:space="preserve">0 </w:t>
                  </w:r>
                </w:p>
              </w:tc>
              <w:tc>
                <w:tcPr>
                  <w:tcW w:w="892" w:type="pct"/>
                  <w:shd w:val="clear" w:color="auto" w:fill="auto"/>
                  <w:vAlign w:val="center"/>
                </w:tcPr>
                <w:p w14:paraId="1A0021D2">
                  <w:pPr>
                    <w:pStyle w:val="54"/>
                    <w:rPr>
                      <w:color w:val="auto"/>
                    </w:rPr>
                  </w:pPr>
                  <w:r>
                    <w:rPr>
                      <w:color w:val="auto"/>
                    </w:rPr>
                    <w:t xml:space="preserve">0.0648 </w:t>
                  </w:r>
                </w:p>
              </w:tc>
              <w:tc>
                <w:tcPr>
                  <w:tcW w:w="893" w:type="pct"/>
                  <w:shd w:val="clear" w:color="auto" w:fill="auto"/>
                  <w:vAlign w:val="center"/>
                </w:tcPr>
                <w:p w14:paraId="601252C1">
                  <w:pPr>
                    <w:pStyle w:val="54"/>
                    <w:rPr>
                      <w:color w:val="auto"/>
                    </w:rPr>
                  </w:pPr>
                  <w:r>
                    <w:rPr>
                      <w:color w:val="auto"/>
                    </w:rPr>
                    <w:t xml:space="preserve">0.0108 </w:t>
                  </w:r>
                </w:p>
              </w:tc>
            </w:tr>
            <w:tr w14:paraId="1B577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25" w:type="pct"/>
                  <w:vMerge w:val="continue"/>
                  <w:shd w:val="clear" w:color="auto" w:fill="auto"/>
                  <w:vAlign w:val="center"/>
                </w:tcPr>
                <w:p w14:paraId="4E4B8EF1">
                  <w:pPr>
                    <w:pStyle w:val="54"/>
                    <w:rPr>
                      <w:color w:val="auto"/>
                    </w:rPr>
                  </w:pPr>
                </w:p>
              </w:tc>
              <w:tc>
                <w:tcPr>
                  <w:tcW w:w="1104" w:type="pct"/>
                  <w:gridSpan w:val="2"/>
                  <w:shd w:val="clear" w:color="auto" w:fill="auto"/>
                  <w:vAlign w:val="center"/>
                </w:tcPr>
                <w:p w14:paraId="2220686A">
                  <w:pPr>
                    <w:pStyle w:val="54"/>
                    <w:rPr>
                      <w:color w:val="auto"/>
                    </w:rPr>
                  </w:pPr>
                  <w:r>
                    <w:rPr>
                      <w:color w:val="auto"/>
                    </w:rPr>
                    <w:t>TP</w:t>
                  </w:r>
                </w:p>
              </w:tc>
              <w:tc>
                <w:tcPr>
                  <w:tcW w:w="892" w:type="pct"/>
                  <w:shd w:val="clear" w:color="auto" w:fill="auto"/>
                  <w:vAlign w:val="center"/>
                </w:tcPr>
                <w:p w14:paraId="235D8AFD">
                  <w:pPr>
                    <w:pStyle w:val="54"/>
                    <w:rPr>
                      <w:color w:val="auto"/>
                    </w:rPr>
                  </w:pPr>
                  <w:r>
                    <w:rPr>
                      <w:color w:val="auto"/>
                    </w:rPr>
                    <w:t xml:space="preserve">0.0076 </w:t>
                  </w:r>
                </w:p>
              </w:tc>
              <w:tc>
                <w:tcPr>
                  <w:tcW w:w="892" w:type="pct"/>
                  <w:shd w:val="clear" w:color="auto" w:fill="auto"/>
                  <w:vAlign w:val="center"/>
                </w:tcPr>
                <w:p w14:paraId="0E2B59C4">
                  <w:pPr>
                    <w:pStyle w:val="54"/>
                    <w:rPr>
                      <w:color w:val="auto"/>
                    </w:rPr>
                  </w:pPr>
                  <w:r>
                    <w:rPr>
                      <w:color w:val="auto"/>
                    </w:rPr>
                    <w:t xml:space="preserve">0 </w:t>
                  </w:r>
                </w:p>
              </w:tc>
              <w:tc>
                <w:tcPr>
                  <w:tcW w:w="892" w:type="pct"/>
                  <w:shd w:val="clear" w:color="auto" w:fill="auto"/>
                  <w:vAlign w:val="center"/>
                </w:tcPr>
                <w:p w14:paraId="6D6FBC16">
                  <w:pPr>
                    <w:pStyle w:val="54"/>
                    <w:rPr>
                      <w:color w:val="auto"/>
                    </w:rPr>
                  </w:pPr>
                  <w:r>
                    <w:rPr>
                      <w:color w:val="auto"/>
                    </w:rPr>
                    <w:t xml:space="preserve">0.0076 </w:t>
                  </w:r>
                </w:p>
              </w:tc>
              <w:tc>
                <w:tcPr>
                  <w:tcW w:w="893" w:type="pct"/>
                  <w:shd w:val="clear" w:color="auto" w:fill="auto"/>
                  <w:vAlign w:val="center"/>
                </w:tcPr>
                <w:p w14:paraId="5D83F7AC">
                  <w:pPr>
                    <w:pStyle w:val="54"/>
                    <w:rPr>
                      <w:color w:val="auto"/>
                    </w:rPr>
                  </w:pPr>
                  <w:r>
                    <w:rPr>
                      <w:color w:val="auto"/>
                    </w:rPr>
                    <w:t xml:space="preserve">0.0011 </w:t>
                  </w:r>
                </w:p>
              </w:tc>
            </w:tr>
            <w:tr w14:paraId="1897E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25" w:type="pct"/>
                  <w:vMerge w:val="continue"/>
                  <w:shd w:val="clear" w:color="auto" w:fill="auto"/>
                  <w:vAlign w:val="center"/>
                </w:tcPr>
                <w:p w14:paraId="5EF3AD41">
                  <w:pPr>
                    <w:pStyle w:val="54"/>
                    <w:rPr>
                      <w:color w:val="auto"/>
                    </w:rPr>
                  </w:pPr>
                </w:p>
              </w:tc>
              <w:tc>
                <w:tcPr>
                  <w:tcW w:w="1104" w:type="pct"/>
                  <w:gridSpan w:val="2"/>
                  <w:shd w:val="clear" w:color="auto" w:fill="auto"/>
                  <w:vAlign w:val="center"/>
                </w:tcPr>
                <w:p w14:paraId="0B71DDE2">
                  <w:pPr>
                    <w:pStyle w:val="54"/>
                    <w:rPr>
                      <w:color w:val="auto"/>
                    </w:rPr>
                  </w:pPr>
                  <w:r>
                    <w:rPr>
                      <w:color w:val="auto"/>
                    </w:rPr>
                    <w:t>TN</w:t>
                  </w:r>
                </w:p>
              </w:tc>
              <w:tc>
                <w:tcPr>
                  <w:tcW w:w="892" w:type="pct"/>
                  <w:shd w:val="clear" w:color="auto" w:fill="auto"/>
                  <w:vAlign w:val="center"/>
                </w:tcPr>
                <w:p w14:paraId="7162CCF3">
                  <w:pPr>
                    <w:pStyle w:val="54"/>
                    <w:rPr>
                      <w:color w:val="auto"/>
                    </w:rPr>
                  </w:pPr>
                  <w:r>
                    <w:rPr>
                      <w:color w:val="auto"/>
                    </w:rPr>
                    <w:t xml:space="preserve">0.0864 </w:t>
                  </w:r>
                </w:p>
              </w:tc>
              <w:tc>
                <w:tcPr>
                  <w:tcW w:w="892" w:type="pct"/>
                  <w:shd w:val="clear" w:color="auto" w:fill="auto"/>
                  <w:vAlign w:val="center"/>
                </w:tcPr>
                <w:p w14:paraId="50AAC8D8">
                  <w:pPr>
                    <w:pStyle w:val="54"/>
                    <w:rPr>
                      <w:color w:val="auto"/>
                    </w:rPr>
                  </w:pPr>
                  <w:r>
                    <w:rPr>
                      <w:color w:val="auto"/>
                    </w:rPr>
                    <w:t xml:space="preserve">0 </w:t>
                  </w:r>
                </w:p>
              </w:tc>
              <w:tc>
                <w:tcPr>
                  <w:tcW w:w="892" w:type="pct"/>
                  <w:shd w:val="clear" w:color="auto" w:fill="auto"/>
                  <w:vAlign w:val="center"/>
                </w:tcPr>
                <w:p w14:paraId="24B2624E">
                  <w:pPr>
                    <w:pStyle w:val="54"/>
                    <w:rPr>
                      <w:color w:val="auto"/>
                    </w:rPr>
                  </w:pPr>
                  <w:r>
                    <w:rPr>
                      <w:color w:val="auto"/>
                    </w:rPr>
                    <w:t xml:space="preserve">0.0864 </w:t>
                  </w:r>
                </w:p>
              </w:tc>
              <w:tc>
                <w:tcPr>
                  <w:tcW w:w="893" w:type="pct"/>
                  <w:shd w:val="clear" w:color="auto" w:fill="auto"/>
                  <w:vAlign w:val="center"/>
                </w:tcPr>
                <w:p w14:paraId="3224EDCF">
                  <w:pPr>
                    <w:pStyle w:val="54"/>
                    <w:rPr>
                      <w:color w:val="auto"/>
                    </w:rPr>
                  </w:pPr>
                  <w:r>
                    <w:rPr>
                      <w:color w:val="auto"/>
                    </w:rPr>
                    <w:t xml:space="preserve">0.0324 </w:t>
                  </w:r>
                </w:p>
              </w:tc>
            </w:tr>
            <w:tr w14:paraId="0DAAD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25" w:type="pct"/>
                  <w:vMerge w:val="continue"/>
                  <w:shd w:val="clear" w:color="auto" w:fill="auto"/>
                  <w:vAlign w:val="center"/>
                </w:tcPr>
                <w:p w14:paraId="66254F81">
                  <w:pPr>
                    <w:pStyle w:val="54"/>
                    <w:rPr>
                      <w:color w:val="auto"/>
                    </w:rPr>
                  </w:pPr>
                </w:p>
              </w:tc>
              <w:tc>
                <w:tcPr>
                  <w:tcW w:w="1104" w:type="pct"/>
                  <w:gridSpan w:val="2"/>
                  <w:shd w:val="clear" w:color="auto" w:fill="auto"/>
                  <w:vAlign w:val="center"/>
                </w:tcPr>
                <w:p w14:paraId="242F506F">
                  <w:pPr>
                    <w:pStyle w:val="54"/>
                    <w:rPr>
                      <w:color w:val="auto"/>
                    </w:rPr>
                  </w:pPr>
                  <w:r>
                    <w:rPr>
                      <w:rFonts w:hint="eastAsia"/>
                      <w:color w:val="auto"/>
                    </w:rPr>
                    <w:t>动植物油</w:t>
                  </w:r>
                </w:p>
              </w:tc>
              <w:tc>
                <w:tcPr>
                  <w:tcW w:w="892" w:type="pct"/>
                  <w:shd w:val="clear" w:color="auto" w:fill="auto"/>
                  <w:vAlign w:val="center"/>
                </w:tcPr>
                <w:p w14:paraId="47BBC0C1">
                  <w:pPr>
                    <w:pStyle w:val="54"/>
                    <w:rPr>
                      <w:color w:val="auto"/>
                    </w:rPr>
                  </w:pPr>
                  <w:r>
                    <w:rPr>
                      <w:color w:val="auto"/>
                    </w:rPr>
                    <w:t xml:space="preserve">0.1080 </w:t>
                  </w:r>
                </w:p>
              </w:tc>
              <w:tc>
                <w:tcPr>
                  <w:tcW w:w="892" w:type="pct"/>
                  <w:shd w:val="clear" w:color="auto" w:fill="auto"/>
                  <w:vAlign w:val="center"/>
                </w:tcPr>
                <w:p w14:paraId="39F417D0">
                  <w:pPr>
                    <w:pStyle w:val="54"/>
                    <w:rPr>
                      <w:color w:val="auto"/>
                    </w:rPr>
                  </w:pPr>
                  <w:r>
                    <w:rPr>
                      <w:color w:val="auto"/>
                    </w:rPr>
                    <w:t xml:space="preserve">0 </w:t>
                  </w:r>
                </w:p>
              </w:tc>
              <w:tc>
                <w:tcPr>
                  <w:tcW w:w="892" w:type="pct"/>
                  <w:shd w:val="clear" w:color="auto" w:fill="auto"/>
                  <w:vAlign w:val="center"/>
                </w:tcPr>
                <w:p w14:paraId="6A9F2386">
                  <w:pPr>
                    <w:pStyle w:val="54"/>
                    <w:rPr>
                      <w:color w:val="auto"/>
                    </w:rPr>
                  </w:pPr>
                  <w:r>
                    <w:rPr>
                      <w:color w:val="auto"/>
                    </w:rPr>
                    <w:t xml:space="preserve">0.1080 </w:t>
                  </w:r>
                </w:p>
              </w:tc>
              <w:tc>
                <w:tcPr>
                  <w:tcW w:w="893" w:type="pct"/>
                  <w:shd w:val="clear" w:color="auto" w:fill="auto"/>
                  <w:vAlign w:val="center"/>
                </w:tcPr>
                <w:p w14:paraId="2781DB6D">
                  <w:pPr>
                    <w:pStyle w:val="54"/>
                    <w:rPr>
                      <w:color w:val="auto"/>
                    </w:rPr>
                  </w:pPr>
                  <w:r>
                    <w:rPr>
                      <w:color w:val="auto"/>
                    </w:rPr>
                    <w:t xml:space="preserve">0.0022 </w:t>
                  </w:r>
                </w:p>
              </w:tc>
            </w:tr>
            <w:tr w14:paraId="40BD0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25" w:type="pct"/>
                  <w:vMerge w:val="restart"/>
                  <w:shd w:val="clear" w:color="auto" w:fill="auto"/>
                  <w:vAlign w:val="center"/>
                </w:tcPr>
                <w:p w14:paraId="3D15D0C8">
                  <w:pPr>
                    <w:pStyle w:val="54"/>
                    <w:rPr>
                      <w:color w:val="auto"/>
                    </w:rPr>
                  </w:pPr>
                  <w:r>
                    <w:rPr>
                      <w:color w:val="auto"/>
                    </w:rPr>
                    <w:t>固废</w:t>
                  </w:r>
                </w:p>
              </w:tc>
              <w:tc>
                <w:tcPr>
                  <w:tcW w:w="448" w:type="pct"/>
                  <w:vMerge w:val="restart"/>
                  <w:shd w:val="clear" w:color="auto" w:fill="auto"/>
                  <w:vAlign w:val="center"/>
                </w:tcPr>
                <w:p w14:paraId="06928F8B">
                  <w:pPr>
                    <w:pStyle w:val="54"/>
                    <w:rPr>
                      <w:color w:val="auto"/>
                    </w:rPr>
                  </w:pPr>
                  <w:r>
                    <w:rPr>
                      <w:color w:val="auto"/>
                    </w:rPr>
                    <w:t>一般</w:t>
                  </w:r>
                </w:p>
                <w:p w14:paraId="5EDF1A69">
                  <w:pPr>
                    <w:pStyle w:val="54"/>
                    <w:rPr>
                      <w:color w:val="auto"/>
                    </w:rPr>
                  </w:pPr>
                  <w:r>
                    <w:rPr>
                      <w:color w:val="auto"/>
                    </w:rPr>
                    <w:t>固废</w:t>
                  </w:r>
                </w:p>
              </w:tc>
              <w:tc>
                <w:tcPr>
                  <w:tcW w:w="655" w:type="pct"/>
                  <w:shd w:val="clear" w:color="auto" w:fill="auto"/>
                  <w:vAlign w:val="center"/>
                </w:tcPr>
                <w:p w14:paraId="7AA78D6F">
                  <w:pPr>
                    <w:pStyle w:val="54"/>
                    <w:rPr>
                      <w:color w:val="auto"/>
                    </w:rPr>
                  </w:pPr>
                  <w:r>
                    <w:rPr>
                      <w:rFonts w:hint="eastAsia"/>
                      <w:color w:val="auto"/>
                    </w:rPr>
                    <w:t>炉渣</w:t>
                  </w:r>
                </w:p>
              </w:tc>
              <w:tc>
                <w:tcPr>
                  <w:tcW w:w="892" w:type="pct"/>
                  <w:shd w:val="clear" w:color="auto" w:fill="auto"/>
                  <w:vAlign w:val="center"/>
                </w:tcPr>
                <w:p w14:paraId="5E865150">
                  <w:pPr>
                    <w:pStyle w:val="54"/>
                    <w:bidi w:val="0"/>
                    <w:rPr>
                      <w:color w:val="auto"/>
                    </w:rPr>
                  </w:pPr>
                  <w:r>
                    <w:rPr>
                      <w:rFonts w:hint="default"/>
                      <w:color w:val="auto"/>
                      <w:lang w:val="en-US" w:eastAsia="zh-CN"/>
                    </w:rPr>
                    <w:t>13</w:t>
                  </w:r>
                </w:p>
              </w:tc>
              <w:tc>
                <w:tcPr>
                  <w:tcW w:w="892" w:type="pct"/>
                  <w:shd w:val="clear" w:color="auto" w:fill="auto"/>
                  <w:vAlign w:val="center"/>
                </w:tcPr>
                <w:p w14:paraId="70814F45">
                  <w:pPr>
                    <w:pStyle w:val="54"/>
                    <w:bidi w:val="0"/>
                    <w:rPr>
                      <w:color w:val="auto"/>
                    </w:rPr>
                  </w:pPr>
                  <w:r>
                    <w:rPr>
                      <w:rFonts w:hint="default"/>
                      <w:color w:val="auto"/>
                      <w:lang w:val="en-US" w:eastAsia="zh-CN"/>
                    </w:rPr>
                    <w:t>13</w:t>
                  </w:r>
                </w:p>
              </w:tc>
              <w:tc>
                <w:tcPr>
                  <w:tcW w:w="892" w:type="pct"/>
                  <w:shd w:val="clear" w:color="auto" w:fill="auto"/>
                  <w:vAlign w:val="center"/>
                </w:tcPr>
                <w:p w14:paraId="1DA419C5">
                  <w:pPr>
                    <w:pStyle w:val="54"/>
                    <w:rPr>
                      <w:color w:val="auto"/>
                    </w:rPr>
                  </w:pPr>
                  <w:r>
                    <w:rPr>
                      <w:rFonts w:hint="eastAsia"/>
                      <w:color w:val="auto"/>
                    </w:rPr>
                    <w:t>/</w:t>
                  </w:r>
                </w:p>
              </w:tc>
              <w:tc>
                <w:tcPr>
                  <w:tcW w:w="893" w:type="pct"/>
                  <w:shd w:val="clear" w:color="auto" w:fill="auto"/>
                  <w:vAlign w:val="center"/>
                </w:tcPr>
                <w:p w14:paraId="7B84D5D5">
                  <w:pPr>
                    <w:pStyle w:val="54"/>
                    <w:rPr>
                      <w:color w:val="auto"/>
                    </w:rPr>
                  </w:pPr>
                  <w:r>
                    <w:rPr>
                      <w:rFonts w:hint="eastAsia"/>
                      <w:color w:val="auto"/>
                    </w:rPr>
                    <w:t>/</w:t>
                  </w:r>
                </w:p>
              </w:tc>
            </w:tr>
            <w:tr w14:paraId="60121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25" w:type="pct"/>
                  <w:vMerge w:val="continue"/>
                  <w:shd w:val="clear" w:color="auto" w:fill="auto"/>
                  <w:vAlign w:val="center"/>
                </w:tcPr>
                <w:p w14:paraId="025477B1">
                  <w:pPr>
                    <w:pStyle w:val="54"/>
                    <w:rPr>
                      <w:color w:val="auto"/>
                    </w:rPr>
                  </w:pPr>
                </w:p>
              </w:tc>
              <w:tc>
                <w:tcPr>
                  <w:tcW w:w="448" w:type="pct"/>
                  <w:vMerge w:val="continue"/>
                  <w:shd w:val="clear" w:color="auto" w:fill="auto"/>
                  <w:vAlign w:val="center"/>
                </w:tcPr>
                <w:p w14:paraId="320931DF">
                  <w:pPr>
                    <w:pStyle w:val="54"/>
                    <w:rPr>
                      <w:color w:val="auto"/>
                    </w:rPr>
                  </w:pPr>
                </w:p>
              </w:tc>
              <w:tc>
                <w:tcPr>
                  <w:tcW w:w="655" w:type="pct"/>
                  <w:shd w:val="clear" w:color="auto" w:fill="auto"/>
                  <w:vAlign w:val="center"/>
                </w:tcPr>
                <w:p w14:paraId="0DC1BB76">
                  <w:pPr>
                    <w:pStyle w:val="54"/>
                    <w:rPr>
                      <w:color w:val="auto"/>
                    </w:rPr>
                  </w:pPr>
                  <w:r>
                    <w:rPr>
                      <w:rFonts w:hint="eastAsia"/>
                      <w:color w:val="auto"/>
                    </w:rPr>
                    <w:t>除尘灰</w:t>
                  </w:r>
                </w:p>
              </w:tc>
              <w:tc>
                <w:tcPr>
                  <w:tcW w:w="892" w:type="pct"/>
                  <w:shd w:val="clear" w:color="auto" w:fill="auto"/>
                  <w:vAlign w:val="center"/>
                </w:tcPr>
                <w:p w14:paraId="7186ED67">
                  <w:pPr>
                    <w:pStyle w:val="54"/>
                    <w:bidi w:val="0"/>
                    <w:rPr>
                      <w:color w:val="auto"/>
                    </w:rPr>
                  </w:pPr>
                  <w:r>
                    <w:rPr>
                      <w:rFonts w:hint="default"/>
                      <w:color w:val="auto"/>
                      <w:lang w:val="en-US" w:eastAsia="zh-CN"/>
                    </w:rPr>
                    <w:t xml:space="preserve">10.23 </w:t>
                  </w:r>
                </w:p>
              </w:tc>
              <w:tc>
                <w:tcPr>
                  <w:tcW w:w="892" w:type="pct"/>
                  <w:shd w:val="clear" w:color="auto" w:fill="auto"/>
                  <w:vAlign w:val="center"/>
                </w:tcPr>
                <w:p w14:paraId="2E5C5CD5">
                  <w:pPr>
                    <w:pStyle w:val="54"/>
                    <w:bidi w:val="0"/>
                    <w:rPr>
                      <w:color w:val="auto"/>
                    </w:rPr>
                  </w:pPr>
                  <w:r>
                    <w:rPr>
                      <w:rFonts w:hint="default"/>
                      <w:color w:val="auto"/>
                      <w:lang w:val="en-US" w:eastAsia="zh-CN"/>
                    </w:rPr>
                    <w:t xml:space="preserve">10.23 </w:t>
                  </w:r>
                </w:p>
              </w:tc>
              <w:tc>
                <w:tcPr>
                  <w:tcW w:w="892" w:type="pct"/>
                  <w:shd w:val="clear" w:color="auto" w:fill="auto"/>
                  <w:vAlign w:val="center"/>
                </w:tcPr>
                <w:p w14:paraId="484E5ECC">
                  <w:pPr>
                    <w:pStyle w:val="54"/>
                    <w:rPr>
                      <w:color w:val="auto"/>
                    </w:rPr>
                  </w:pPr>
                  <w:r>
                    <w:rPr>
                      <w:rFonts w:hint="eastAsia"/>
                      <w:color w:val="auto"/>
                    </w:rPr>
                    <w:t>/</w:t>
                  </w:r>
                </w:p>
              </w:tc>
              <w:tc>
                <w:tcPr>
                  <w:tcW w:w="893" w:type="pct"/>
                  <w:shd w:val="clear" w:color="auto" w:fill="auto"/>
                  <w:vAlign w:val="center"/>
                </w:tcPr>
                <w:p w14:paraId="132ABAEB">
                  <w:pPr>
                    <w:pStyle w:val="54"/>
                    <w:rPr>
                      <w:color w:val="auto"/>
                    </w:rPr>
                  </w:pPr>
                  <w:r>
                    <w:rPr>
                      <w:rFonts w:hint="eastAsia"/>
                      <w:color w:val="auto"/>
                    </w:rPr>
                    <w:t>/</w:t>
                  </w:r>
                </w:p>
              </w:tc>
            </w:tr>
            <w:tr w14:paraId="50C32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80" w:hRule="atLeast"/>
                <w:jc w:val="center"/>
              </w:trPr>
              <w:tc>
                <w:tcPr>
                  <w:tcW w:w="325" w:type="pct"/>
                  <w:vMerge w:val="continue"/>
                  <w:shd w:val="clear" w:color="auto" w:fill="auto"/>
                  <w:vAlign w:val="center"/>
                </w:tcPr>
                <w:p w14:paraId="7C19A023">
                  <w:pPr>
                    <w:pStyle w:val="54"/>
                    <w:rPr>
                      <w:color w:val="auto"/>
                    </w:rPr>
                  </w:pPr>
                </w:p>
              </w:tc>
              <w:tc>
                <w:tcPr>
                  <w:tcW w:w="448" w:type="pct"/>
                  <w:vMerge w:val="continue"/>
                  <w:shd w:val="clear" w:color="auto" w:fill="auto"/>
                  <w:vAlign w:val="center"/>
                </w:tcPr>
                <w:p w14:paraId="5D69EC54">
                  <w:pPr>
                    <w:pStyle w:val="54"/>
                    <w:rPr>
                      <w:color w:val="auto"/>
                    </w:rPr>
                  </w:pPr>
                </w:p>
              </w:tc>
              <w:tc>
                <w:tcPr>
                  <w:tcW w:w="655" w:type="pct"/>
                  <w:shd w:val="clear" w:color="auto" w:fill="auto"/>
                  <w:vAlign w:val="center"/>
                </w:tcPr>
                <w:p w14:paraId="6C26890B">
                  <w:pPr>
                    <w:pStyle w:val="54"/>
                    <w:rPr>
                      <w:color w:val="auto"/>
                    </w:rPr>
                  </w:pPr>
                  <w:r>
                    <w:rPr>
                      <w:rFonts w:hint="eastAsia"/>
                      <w:color w:val="auto"/>
                    </w:rPr>
                    <w:t>废布袋</w:t>
                  </w:r>
                </w:p>
              </w:tc>
              <w:tc>
                <w:tcPr>
                  <w:tcW w:w="892" w:type="pct"/>
                  <w:shd w:val="clear" w:color="auto" w:fill="auto"/>
                  <w:vAlign w:val="center"/>
                </w:tcPr>
                <w:p w14:paraId="34CD75D0">
                  <w:pPr>
                    <w:pStyle w:val="54"/>
                    <w:bidi w:val="0"/>
                    <w:rPr>
                      <w:color w:val="auto"/>
                    </w:rPr>
                  </w:pPr>
                  <w:r>
                    <w:rPr>
                      <w:rFonts w:hint="default"/>
                      <w:color w:val="auto"/>
                      <w:lang w:val="en-US" w:eastAsia="zh-CN"/>
                    </w:rPr>
                    <w:t>0.1</w:t>
                  </w:r>
                </w:p>
              </w:tc>
              <w:tc>
                <w:tcPr>
                  <w:tcW w:w="892" w:type="pct"/>
                  <w:shd w:val="clear" w:color="auto" w:fill="auto"/>
                  <w:vAlign w:val="center"/>
                </w:tcPr>
                <w:p w14:paraId="2E07104A">
                  <w:pPr>
                    <w:pStyle w:val="54"/>
                    <w:bidi w:val="0"/>
                    <w:rPr>
                      <w:color w:val="auto"/>
                    </w:rPr>
                  </w:pPr>
                  <w:r>
                    <w:rPr>
                      <w:rFonts w:hint="default"/>
                      <w:color w:val="auto"/>
                      <w:lang w:val="en-US" w:eastAsia="zh-CN"/>
                    </w:rPr>
                    <w:t>0.1</w:t>
                  </w:r>
                </w:p>
              </w:tc>
              <w:tc>
                <w:tcPr>
                  <w:tcW w:w="892" w:type="pct"/>
                  <w:shd w:val="clear" w:color="auto" w:fill="auto"/>
                  <w:vAlign w:val="center"/>
                </w:tcPr>
                <w:p w14:paraId="37BB28F9">
                  <w:pPr>
                    <w:pStyle w:val="54"/>
                    <w:rPr>
                      <w:color w:val="auto"/>
                    </w:rPr>
                  </w:pPr>
                  <w:r>
                    <w:rPr>
                      <w:rFonts w:hint="eastAsia"/>
                      <w:color w:val="auto"/>
                    </w:rPr>
                    <w:t>/</w:t>
                  </w:r>
                </w:p>
              </w:tc>
              <w:tc>
                <w:tcPr>
                  <w:tcW w:w="893" w:type="pct"/>
                  <w:shd w:val="clear" w:color="auto" w:fill="auto"/>
                  <w:vAlign w:val="center"/>
                </w:tcPr>
                <w:p w14:paraId="2F0A3BDB">
                  <w:pPr>
                    <w:pStyle w:val="54"/>
                    <w:rPr>
                      <w:color w:val="auto"/>
                    </w:rPr>
                  </w:pPr>
                  <w:r>
                    <w:rPr>
                      <w:rFonts w:hint="eastAsia"/>
                      <w:color w:val="auto"/>
                    </w:rPr>
                    <w:t>/</w:t>
                  </w:r>
                </w:p>
              </w:tc>
            </w:tr>
            <w:tr w14:paraId="39986E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25" w:type="pct"/>
                  <w:vMerge w:val="continue"/>
                  <w:shd w:val="clear" w:color="auto" w:fill="auto"/>
                  <w:vAlign w:val="center"/>
                </w:tcPr>
                <w:p w14:paraId="427F6704">
                  <w:pPr>
                    <w:pStyle w:val="54"/>
                    <w:rPr>
                      <w:color w:val="auto"/>
                    </w:rPr>
                  </w:pPr>
                </w:p>
              </w:tc>
              <w:tc>
                <w:tcPr>
                  <w:tcW w:w="448" w:type="pct"/>
                  <w:vMerge w:val="restart"/>
                  <w:shd w:val="clear" w:color="auto" w:fill="auto"/>
                  <w:vAlign w:val="center"/>
                </w:tcPr>
                <w:p w14:paraId="4A19C720">
                  <w:pPr>
                    <w:pStyle w:val="54"/>
                    <w:rPr>
                      <w:color w:val="auto"/>
                    </w:rPr>
                  </w:pPr>
                  <w:r>
                    <w:rPr>
                      <w:color w:val="auto"/>
                    </w:rPr>
                    <w:t>危险</w:t>
                  </w:r>
                </w:p>
                <w:p w14:paraId="73D7730F">
                  <w:pPr>
                    <w:pStyle w:val="54"/>
                    <w:rPr>
                      <w:color w:val="auto"/>
                    </w:rPr>
                  </w:pPr>
                  <w:r>
                    <w:rPr>
                      <w:color w:val="auto"/>
                    </w:rPr>
                    <w:t>废物</w:t>
                  </w:r>
                </w:p>
              </w:tc>
              <w:tc>
                <w:tcPr>
                  <w:tcW w:w="655" w:type="pct"/>
                  <w:shd w:val="clear" w:color="auto" w:fill="auto"/>
                  <w:vAlign w:val="center"/>
                </w:tcPr>
                <w:p w14:paraId="462CC781">
                  <w:pPr>
                    <w:pStyle w:val="54"/>
                    <w:rPr>
                      <w:color w:val="auto"/>
                    </w:rPr>
                  </w:pPr>
                  <w:r>
                    <w:rPr>
                      <w:rFonts w:hint="eastAsia"/>
                      <w:color w:val="auto"/>
                    </w:rPr>
                    <w:t>废液压油</w:t>
                  </w:r>
                </w:p>
              </w:tc>
              <w:tc>
                <w:tcPr>
                  <w:tcW w:w="892" w:type="pct"/>
                  <w:shd w:val="clear" w:color="auto" w:fill="auto"/>
                  <w:vAlign w:val="center"/>
                </w:tcPr>
                <w:p w14:paraId="1D36E9FB">
                  <w:pPr>
                    <w:pStyle w:val="54"/>
                    <w:bidi w:val="0"/>
                    <w:rPr>
                      <w:color w:val="auto"/>
                    </w:rPr>
                  </w:pPr>
                  <w:r>
                    <w:rPr>
                      <w:rFonts w:hint="default"/>
                      <w:color w:val="auto"/>
                      <w:lang w:val="en-US" w:eastAsia="zh-CN"/>
                    </w:rPr>
                    <w:t>0.02</w:t>
                  </w:r>
                </w:p>
              </w:tc>
              <w:tc>
                <w:tcPr>
                  <w:tcW w:w="892" w:type="pct"/>
                  <w:shd w:val="clear" w:color="auto" w:fill="auto"/>
                  <w:vAlign w:val="center"/>
                </w:tcPr>
                <w:p w14:paraId="7EC82398">
                  <w:pPr>
                    <w:pStyle w:val="54"/>
                    <w:bidi w:val="0"/>
                    <w:rPr>
                      <w:color w:val="auto"/>
                    </w:rPr>
                  </w:pPr>
                  <w:r>
                    <w:rPr>
                      <w:rFonts w:hint="default"/>
                      <w:color w:val="auto"/>
                      <w:lang w:val="en-US" w:eastAsia="zh-CN"/>
                    </w:rPr>
                    <w:t>0.02</w:t>
                  </w:r>
                </w:p>
              </w:tc>
              <w:tc>
                <w:tcPr>
                  <w:tcW w:w="892" w:type="pct"/>
                  <w:shd w:val="clear" w:color="auto" w:fill="auto"/>
                  <w:vAlign w:val="center"/>
                </w:tcPr>
                <w:p w14:paraId="4D15C81D">
                  <w:pPr>
                    <w:pStyle w:val="54"/>
                    <w:rPr>
                      <w:color w:val="auto"/>
                    </w:rPr>
                  </w:pPr>
                  <w:r>
                    <w:rPr>
                      <w:rFonts w:hint="eastAsia"/>
                      <w:color w:val="auto"/>
                    </w:rPr>
                    <w:t>/</w:t>
                  </w:r>
                </w:p>
              </w:tc>
              <w:tc>
                <w:tcPr>
                  <w:tcW w:w="893" w:type="pct"/>
                  <w:shd w:val="clear" w:color="auto" w:fill="auto"/>
                  <w:vAlign w:val="center"/>
                </w:tcPr>
                <w:p w14:paraId="56897AF7">
                  <w:pPr>
                    <w:pStyle w:val="54"/>
                    <w:rPr>
                      <w:color w:val="auto"/>
                    </w:rPr>
                  </w:pPr>
                  <w:r>
                    <w:rPr>
                      <w:rFonts w:hint="eastAsia"/>
                      <w:color w:val="auto"/>
                    </w:rPr>
                    <w:t>/</w:t>
                  </w:r>
                </w:p>
              </w:tc>
            </w:tr>
            <w:tr w14:paraId="33374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11" w:hRule="atLeast"/>
                <w:jc w:val="center"/>
              </w:trPr>
              <w:tc>
                <w:tcPr>
                  <w:tcW w:w="325" w:type="pct"/>
                  <w:vMerge w:val="continue"/>
                  <w:shd w:val="clear" w:color="auto" w:fill="auto"/>
                  <w:vAlign w:val="center"/>
                </w:tcPr>
                <w:p w14:paraId="517B50BA">
                  <w:pPr>
                    <w:pStyle w:val="54"/>
                    <w:rPr>
                      <w:color w:val="auto"/>
                    </w:rPr>
                  </w:pPr>
                </w:p>
              </w:tc>
              <w:tc>
                <w:tcPr>
                  <w:tcW w:w="448" w:type="pct"/>
                  <w:vMerge w:val="continue"/>
                  <w:shd w:val="clear" w:color="auto" w:fill="auto"/>
                  <w:vAlign w:val="center"/>
                </w:tcPr>
                <w:p w14:paraId="6DB05CBB">
                  <w:pPr>
                    <w:pStyle w:val="54"/>
                    <w:rPr>
                      <w:color w:val="auto"/>
                    </w:rPr>
                  </w:pPr>
                </w:p>
              </w:tc>
              <w:tc>
                <w:tcPr>
                  <w:tcW w:w="655" w:type="pct"/>
                  <w:shd w:val="clear" w:color="auto" w:fill="auto"/>
                  <w:vAlign w:val="center"/>
                </w:tcPr>
                <w:p w14:paraId="0AD40185">
                  <w:pPr>
                    <w:pStyle w:val="54"/>
                    <w:rPr>
                      <w:color w:val="auto"/>
                    </w:rPr>
                  </w:pPr>
                  <w:r>
                    <w:rPr>
                      <w:rFonts w:hint="eastAsia"/>
                      <w:color w:val="auto"/>
                    </w:rPr>
                    <w:t>废包装桶</w:t>
                  </w:r>
                </w:p>
              </w:tc>
              <w:tc>
                <w:tcPr>
                  <w:tcW w:w="892" w:type="pct"/>
                  <w:shd w:val="clear" w:color="auto" w:fill="auto"/>
                  <w:vAlign w:val="center"/>
                </w:tcPr>
                <w:p w14:paraId="7EB38EFC">
                  <w:pPr>
                    <w:pStyle w:val="54"/>
                    <w:bidi w:val="0"/>
                    <w:rPr>
                      <w:color w:val="auto"/>
                    </w:rPr>
                  </w:pPr>
                  <w:r>
                    <w:rPr>
                      <w:rFonts w:hint="eastAsia"/>
                      <w:color w:val="auto"/>
                      <w:lang w:val="en-US" w:eastAsia="zh-CN"/>
                    </w:rPr>
                    <w:t>0.01</w:t>
                  </w:r>
                </w:p>
              </w:tc>
              <w:tc>
                <w:tcPr>
                  <w:tcW w:w="892" w:type="pct"/>
                  <w:shd w:val="clear" w:color="auto" w:fill="auto"/>
                  <w:vAlign w:val="center"/>
                </w:tcPr>
                <w:p w14:paraId="1E976EF0">
                  <w:pPr>
                    <w:pStyle w:val="54"/>
                    <w:bidi w:val="0"/>
                    <w:rPr>
                      <w:color w:val="auto"/>
                    </w:rPr>
                  </w:pPr>
                  <w:r>
                    <w:rPr>
                      <w:rFonts w:hint="eastAsia"/>
                      <w:color w:val="auto"/>
                      <w:lang w:val="en-US" w:eastAsia="zh-CN"/>
                    </w:rPr>
                    <w:t>0.01</w:t>
                  </w:r>
                </w:p>
              </w:tc>
              <w:tc>
                <w:tcPr>
                  <w:tcW w:w="892" w:type="pct"/>
                  <w:shd w:val="clear" w:color="auto" w:fill="auto"/>
                  <w:vAlign w:val="center"/>
                </w:tcPr>
                <w:p w14:paraId="1BA579A4">
                  <w:pPr>
                    <w:pStyle w:val="54"/>
                    <w:rPr>
                      <w:color w:val="auto"/>
                    </w:rPr>
                  </w:pPr>
                  <w:r>
                    <w:rPr>
                      <w:rFonts w:hint="eastAsia"/>
                      <w:color w:val="auto"/>
                    </w:rPr>
                    <w:t>/</w:t>
                  </w:r>
                </w:p>
              </w:tc>
              <w:tc>
                <w:tcPr>
                  <w:tcW w:w="893" w:type="pct"/>
                  <w:shd w:val="clear" w:color="auto" w:fill="auto"/>
                  <w:vAlign w:val="center"/>
                </w:tcPr>
                <w:p w14:paraId="6A0ECBBC">
                  <w:pPr>
                    <w:pStyle w:val="54"/>
                    <w:rPr>
                      <w:color w:val="auto"/>
                    </w:rPr>
                  </w:pPr>
                  <w:r>
                    <w:rPr>
                      <w:rFonts w:hint="eastAsia"/>
                      <w:color w:val="auto"/>
                    </w:rPr>
                    <w:t>/</w:t>
                  </w:r>
                </w:p>
              </w:tc>
            </w:tr>
            <w:tr w14:paraId="74936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25" w:type="pct"/>
                  <w:vMerge w:val="continue"/>
                  <w:shd w:val="clear" w:color="auto" w:fill="auto"/>
                  <w:vAlign w:val="center"/>
                </w:tcPr>
                <w:p w14:paraId="433E1A0B">
                  <w:pPr>
                    <w:pStyle w:val="54"/>
                    <w:rPr>
                      <w:color w:val="auto"/>
                    </w:rPr>
                  </w:pPr>
                </w:p>
              </w:tc>
              <w:tc>
                <w:tcPr>
                  <w:tcW w:w="1104" w:type="pct"/>
                  <w:gridSpan w:val="2"/>
                  <w:shd w:val="clear" w:color="auto" w:fill="auto"/>
                  <w:vAlign w:val="center"/>
                </w:tcPr>
                <w:p w14:paraId="7E9FB402">
                  <w:pPr>
                    <w:pStyle w:val="54"/>
                    <w:rPr>
                      <w:color w:val="auto"/>
                    </w:rPr>
                  </w:pPr>
                  <w:r>
                    <w:rPr>
                      <w:color w:val="auto"/>
                    </w:rPr>
                    <w:t>生活垃圾</w:t>
                  </w:r>
                </w:p>
              </w:tc>
              <w:tc>
                <w:tcPr>
                  <w:tcW w:w="892" w:type="pct"/>
                  <w:shd w:val="clear" w:color="auto" w:fill="auto"/>
                  <w:vAlign w:val="center"/>
                </w:tcPr>
                <w:p w14:paraId="220B8392">
                  <w:pPr>
                    <w:pStyle w:val="54"/>
                    <w:bidi w:val="0"/>
                    <w:rPr>
                      <w:color w:val="auto"/>
                    </w:rPr>
                  </w:pPr>
                  <w:r>
                    <w:rPr>
                      <w:rFonts w:hint="default"/>
                      <w:color w:val="auto"/>
                      <w:lang w:val="en-US" w:eastAsia="zh-CN"/>
                    </w:rPr>
                    <w:t>4.5</w:t>
                  </w:r>
                </w:p>
              </w:tc>
              <w:tc>
                <w:tcPr>
                  <w:tcW w:w="892" w:type="pct"/>
                  <w:shd w:val="clear" w:color="auto" w:fill="auto"/>
                  <w:vAlign w:val="center"/>
                </w:tcPr>
                <w:p w14:paraId="0A38FC9E">
                  <w:pPr>
                    <w:pStyle w:val="54"/>
                    <w:bidi w:val="0"/>
                    <w:rPr>
                      <w:color w:val="auto"/>
                    </w:rPr>
                  </w:pPr>
                  <w:r>
                    <w:rPr>
                      <w:rFonts w:hint="default"/>
                      <w:color w:val="auto"/>
                      <w:lang w:val="en-US" w:eastAsia="zh-CN"/>
                    </w:rPr>
                    <w:t>4.5</w:t>
                  </w:r>
                </w:p>
              </w:tc>
              <w:tc>
                <w:tcPr>
                  <w:tcW w:w="892" w:type="pct"/>
                  <w:shd w:val="clear" w:color="auto" w:fill="auto"/>
                  <w:vAlign w:val="center"/>
                </w:tcPr>
                <w:p w14:paraId="4C7E5B66">
                  <w:pPr>
                    <w:pStyle w:val="54"/>
                    <w:rPr>
                      <w:color w:val="auto"/>
                    </w:rPr>
                  </w:pPr>
                  <w:r>
                    <w:rPr>
                      <w:color w:val="auto"/>
                    </w:rPr>
                    <w:t>/</w:t>
                  </w:r>
                </w:p>
              </w:tc>
              <w:tc>
                <w:tcPr>
                  <w:tcW w:w="893" w:type="pct"/>
                  <w:shd w:val="clear" w:color="auto" w:fill="auto"/>
                  <w:vAlign w:val="center"/>
                </w:tcPr>
                <w:p w14:paraId="7C1636F5">
                  <w:pPr>
                    <w:pStyle w:val="54"/>
                    <w:rPr>
                      <w:color w:val="auto"/>
                    </w:rPr>
                  </w:pPr>
                  <w:r>
                    <w:rPr>
                      <w:rFonts w:hint="eastAsia"/>
                      <w:color w:val="auto"/>
                    </w:rPr>
                    <w:t>/</w:t>
                  </w:r>
                </w:p>
              </w:tc>
            </w:tr>
          </w:tbl>
          <w:p w14:paraId="7B6A58C5">
            <w:pPr>
              <w:pStyle w:val="50"/>
              <w:ind w:firstLine="480"/>
              <w:rPr>
                <w:color w:val="auto"/>
              </w:rPr>
            </w:pPr>
            <w:r>
              <w:rPr>
                <w:color w:val="auto"/>
              </w:rPr>
              <w:t>本</w:t>
            </w:r>
            <w:r>
              <w:rPr>
                <w:rFonts w:hint="eastAsia"/>
                <w:color w:val="auto"/>
              </w:rPr>
              <w:t>扩建</w:t>
            </w:r>
            <w:r>
              <w:rPr>
                <w:color w:val="auto"/>
              </w:rPr>
              <w:t>项目运营后</w:t>
            </w:r>
            <w:r>
              <w:rPr>
                <w:rFonts w:hint="eastAsia"/>
                <w:color w:val="auto"/>
              </w:rPr>
              <w:t>全厂</w:t>
            </w:r>
            <w:r>
              <w:rPr>
                <w:color w:val="auto"/>
              </w:rPr>
              <w:t>污染物排放总量控制指标见</w:t>
            </w:r>
            <w:r>
              <w:rPr>
                <w:color w:val="auto"/>
              </w:rPr>
              <w:fldChar w:fldCharType="begin"/>
            </w:r>
            <w:r>
              <w:rPr>
                <w:color w:val="auto"/>
              </w:rPr>
              <w:instrText xml:space="preserve"> REF _Ref23033 \h </w:instrText>
            </w:r>
            <w:r>
              <w:rPr>
                <w:color w:val="auto"/>
              </w:rPr>
              <w:fldChar w:fldCharType="separate"/>
            </w:r>
            <w:r>
              <w:rPr>
                <w:color w:val="auto"/>
              </w:rPr>
              <w:t>表3- 6</w:t>
            </w:r>
            <w:r>
              <w:rPr>
                <w:color w:val="auto"/>
              </w:rPr>
              <w:fldChar w:fldCharType="end"/>
            </w:r>
            <w:r>
              <w:rPr>
                <w:color w:val="auto"/>
              </w:rPr>
              <w:t>。</w:t>
            </w:r>
          </w:p>
          <w:p w14:paraId="7DD85A93">
            <w:pPr>
              <w:pStyle w:val="7"/>
              <w:rPr>
                <w:color w:val="auto"/>
                <w:kern w:val="0"/>
                <w:lang w:bidi="ar"/>
              </w:rPr>
            </w:pPr>
            <w:bookmarkStart w:id="77" w:name="_Ref23033"/>
            <w:bookmarkStart w:id="78" w:name="_Ref23023"/>
            <w:r>
              <w:rPr>
                <w:color w:val="auto"/>
              </w:rPr>
              <w:t xml:space="preserve">表3- </w:t>
            </w:r>
            <w:r>
              <w:rPr>
                <w:color w:val="auto"/>
              </w:rPr>
              <w:fldChar w:fldCharType="begin"/>
            </w:r>
            <w:r>
              <w:rPr>
                <w:color w:val="auto"/>
              </w:rPr>
              <w:instrText xml:space="preserve"> SEQ 表3- \* ARABIC </w:instrText>
            </w:r>
            <w:r>
              <w:rPr>
                <w:color w:val="auto"/>
              </w:rPr>
              <w:fldChar w:fldCharType="separate"/>
            </w:r>
            <w:r>
              <w:rPr>
                <w:color w:val="auto"/>
              </w:rPr>
              <w:t>6</w:t>
            </w:r>
            <w:r>
              <w:rPr>
                <w:color w:val="auto"/>
              </w:rPr>
              <w:fldChar w:fldCharType="end"/>
            </w:r>
            <w:bookmarkEnd w:id="77"/>
            <w:r>
              <w:rPr>
                <w:color w:val="auto"/>
              </w:rPr>
              <w:t xml:space="preserve"> </w:t>
            </w:r>
            <w:r>
              <w:rPr>
                <w:color w:val="auto"/>
                <w:kern w:val="0"/>
                <w:lang w:bidi="ar"/>
              </w:rPr>
              <w:t>本</w:t>
            </w:r>
            <w:r>
              <w:rPr>
                <w:rFonts w:hint="eastAsia"/>
                <w:color w:val="auto"/>
                <w:kern w:val="0"/>
                <w:lang w:bidi="ar"/>
              </w:rPr>
              <w:t>扩建</w:t>
            </w:r>
            <w:r>
              <w:rPr>
                <w:color w:val="auto"/>
                <w:kern w:val="0"/>
                <w:lang w:bidi="ar"/>
              </w:rPr>
              <w:t>项目建成后</w:t>
            </w:r>
            <w:r>
              <w:rPr>
                <w:rFonts w:hint="eastAsia"/>
                <w:color w:val="auto"/>
                <w:kern w:val="0"/>
                <w:lang w:bidi="ar"/>
              </w:rPr>
              <w:t>全厂</w:t>
            </w:r>
            <w:r>
              <w:rPr>
                <w:color w:val="auto"/>
                <w:kern w:val="0"/>
                <w:lang w:bidi="ar"/>
              </w:rPr>
              <w:t>污染物排放总量控制指标</w:t>
            </w:r>
            <w:r>
              <w:rPr>
                <w:rFonts w:hint="eastAsia"/>
                <w:color w:val="auto"/>
                <w:kern w:val="0"/>
                <w:lang w:bidi="ar"/>
              </w:rPr>
              <w:t>（</w:t>
            </w:r>
            <w:r>
              <w:rPr>
                <w:color w:val="auto"/>
                <w:kern w:val="0"/>
                <w:lang w:bidi="ar"/>
              </w:rPr>
              <w:t>单位：t/a</w:t>
            </w:r>
            <w:r>
              <w:rPr>
                <w:rFonts w:hint="eastAsia"/>
                <w:color w:val="auto"/>
                <w:kern w:val="0"/>
                <w:lang w:bidi="ar"/>
              </w:rPr>
              <w:t>）</w:t>
            </w:r>
            <w:bookmarkEnd w:id="78"/>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514"/>
              <w:gridCol w:w="573"/>
              <w:gridCol w:w="1111"/>
              <w:gridCol w:w="1039"/>
              <w:gridCol w:w="955"/>
              <w:gridCol w:w="1122"/>
              <w:gridCol w:w="1039"/>
              <w:gridCol w:w="1039"/>
              <w:gridCol w:w="1041"/>
            </w:tblGrid>
            <w:tr w14:paraId="5EF7E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1302" w:type="pct"/>
                  <w:gridSpan w:val="3"/>
                  <w:shd w:val="clear" w:color="auto" w:fill="auto"/>
                  <w:vAlign w:val="center"/>
                </w:tcPr>
                <w:p w14:paraId="407ABE0E">
                  <w:pPr>
                    <w:pStyle w:val="52"/>
                    <w:rPr>
                      <w:color w:val="auto"/>
                    </w:rPr>
                  </w:pPr>
                  <w:r>
                    <w:rPr>
                      <w:color w:val="auto"/>
                    </w:rPr>
                    <w:t>污染物名称</w:t>
                  </w:r>
                </w:p>
              </w:tc>
              <w:tc>
                <w:tcPr>
                  <w:tcW w:w="616" w:type="pct"/>
                  <w:tcBorders>
                    <w:top w:val="single" w:color="000000" w:sz="4" w:space="0"/>
                    <w:right w:val="single" w:color="000000" w:sz="4" w:space="0"/>
                  </w:tcBorders>
                  <w:shd w:val="clear" w:color="auto" w:fill="auto"/>
                  <w:vAlign w:val="center"/>
                </w:tcPr>
                <w:p w14:paraId="47C21139">
                  <w:pPr>
                    <w:pStyle w:val="52"/>
                    <w:rPr>
                      <w:color w:val="auto"/>
                    </w:rPr>
                  </w:pPr>
                  <w:r>
                    <w:rPr>
                      <w:rFonts w:hint="eastAsia"/>
                      <w:color w:val="auto"/>
                    </w:rPr>
                    <w:t>现有项目</w:t>
                  </w:r>
                </w:p>
                <w:p w14:paraId="2CC803E2">
                  <w:pPr>
                    <w:pStyle w:val="52"/>
                    <w:rPr>
                      <w:color w:val="auto"/>
                    </w:rPr>
                  </w:pPr>
                  <w:r>
                    <w:rPr>
                      <w:rFonts w:hint="eastAsia"/>
                      <w:color w:val="auto"/>
                    </w:rPr>
                    <w:t>排放量</w:t>
                  </w:r>
                </w:p>
              </w:tc>
              <w:tc>
                <w:tcPr>
                  <w:tcW w:w="566" w:type="pct"/>
                  <w:tcBorders>
                    <w:top w:val="single" w:color="000000" w:sz="4" w:space="0"/>
                    <w:left w:val="single" w:color="000000" w:sz="4" w:space="0"/>
                  </w:tcBorders>
                  <w:shd w:val="clear" w:color="auto" w:fill="auto"/>
                  <w:vAlign w:val="center"/>
                </w:tcPr>
                <w:p w14:paraId="1231BAFA">
                  <w:pPr>
                    <w:pStyle w:val="52"/>
                    <w:rPr>
                      <w:color w:val="auto"/>
                    </w:rPr>
                  </w:pPr>
                  <w:r>
                    <w:rPr>
                      <w:rFonts w:hint="eastAsia"/>
                      <w:color w:val="auto"/>
                    </w:rPr>
                    <w:t>环评</w:t>
                  </w:r>
                </w:p>
                <w:p w14:paraId="285A1591">
                  <w:pPr>
                    <w:pStyle w:val="52"/>
                    <w:rPr>
                      <w:color w:val="auto"/>
                    </w:rPr>
                  </w:pPr>
                  <w:r>
                    <w:rPr>
                      <w:rFonts w:hint="eastAsia"/>
                      <w:color w:val="auto"/>
                    </w:rPr>
                    <w:t>批复量</w:t>
                  </w:r>
                </w:p>
              </w:tc>
              <w:tc>
                <w:tcPr>
                  <w:tcW w:w="665" w:type="pct"/>
                  <w:tcBorders>
                    <w:top w:val="single" w:color="000000" w:sz="4" w:space="0"/>
                    <w:left w:val="single" w:color="000000" w:sz="4" w:space="0"/>
                  </w:tcBorders>
                  <w:shd w:val="clear" w:color="auto" w:fill="auto"/>
                  <w:vAlign w:val="center"/>
                </w:tcPr>
                <w:p w14:paraId="4971C6BA">
                  <w:pPr>
                    <w:pStyle w:val="52"/>
                    <w:rPr>
                      <w:color w:val="auto"/>
                    </w:rPr>
                  </w:pPr>
                  <w:r>
                    <w:rPr>
                      <w:rFonts w:hint="eastAsia"/>
                      <w:color w:val="auto"/>
                    </w:rPr>
                    <w:t>本扩建项目排放量</w:t>
                  </w:r>
                </w:p>
              </w:tc>
              <w:tc>
                <w:tcPr>
                  <w:tcW w:w="616" w:type="pct"/>
                  <w:shd w:val="clear" w:color="auto" w:fill="auto"/>
                  <w:vAlign w:val="center"/>
                </w:tcPr>
                <w:p w14:paraId="6CC6D1E5">
                  <w:pPr>
                    <w:pStyle w:val="52"/>
                    <w:rPr>
                      <w:color w:val="auto"/>
                    </w:rPr>
                  </w:pPr>
                  <w:r>
                    <w:rPr>
                      <w:rFonts w:hint="eastAsia"/>
                      <w:color w:val="auto"/>
                    </w:rPr>
                    <w:t>以新代老削减量</w:t>
                  </w:r>
                </w:p>
              </w:tc>
              <w:tc>
                <w:tcPr>
                  <w:tcW w:w="616" w:type="pct"/>
                  <w:shd w:val="clear" w:color="auto" w:fill="auto"/>
                  <w:vAlign w:val="center"/>
                </w:tcPr>
                <w:p w14:paraId="36B1F111">
                  <w:pPr>
                    <w:pStyle w:val="52"/>
                    <w:rPr>
                      <w:color w:val="auto"/>
                    </w:rPr>
                  </w:pPr>
                  <w:r>
                    <w:rPr>
                      <w:rFonts w:hint="eastAsia"/>
                      <w:color w:val="auto"/>
                    </w:rPr>
                    <w:t>全厂外</w:t>
                  </w:r>
                </w:p>
                <w:p w14:paraId="5C3D8F64">
                  <w:pPr>
                    <w:pStyle w:val="52"/>
                    <w:rPr>
                      <w:color w:val="auto"/>
                    </w:rPr>
                  </w:pPr>
                  <w:r>
                    <w:rPr>
                      <w:rFonts w:hint="eastAsia"/>
                      <w:color w:val="auto"/>
                    </w:rPr>
                    <w:t>排放量</w:t>
                  </w:r>
                </w:p>
              </w:tc>
              <w:tc>
                <w:tcPr>
                  <w:tcW w:w="617" w:type="pct"/>
                  <w:shd w:val="clear" w:color="auto" w:fill="auto"/>
                  <w:vAlign w:val="center"/>
                </w:tcPr>
                <w:p w14:paraId="731B8B54">
                  <w:pPr>
                    <w:pStyle w:val="52"/>
                    <w:rPr>
                      <w:color w:val="auto"/>
                    </w:rPr>
                  </w:pPr>
                  <w:r>
                    <w:rPr>
                      <w:rFonts w:hint="eastAsia"/>
                      <w:color w:val="auto"/>
                    </w:rPr>
                    <w:t>变化量</w:t>
                  </w:r>
                </w:p>
              </w:tc>
            </w:tr>
            <w:tr w14:paraId="7D882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04" w:type="pct"/>
                  <w:vMerge w:val="restart"/>
                  <w:shd w:val="clear" w:color="auto" w:fill="auto"/>
                  <w:vAlign w:val="center"/>
                </w:tcPr>
                <w:p w14:paraId="5E9C89FB">
                  <w:pPr>
                    <w:pStyle w:val="54"/>
                    <w:rPr>
                      <w:color w:val="auto"/>
                    </w:rPr>
                  </w:pPr>
                  <w:r>
                    <w:rPr>
                      <w:color w:val="auto"/>
                    </w:rPr>
                    <w:t>废气</w:t>
                  </w:r>
                </w:p>
              </w:tc>
              <w:tc>
                <w:tcPr>
                  <w:tcW w:w="339" w:type="pct"/>
                  <w:vMerge w:val="restart"/>
                  <w:tcBorders>
                    <w:right w:val="single" w:color="000000" w:sz="4" w:space="0"/>
                  </w:tcBorders>
                  <w:shd w:val="clear" w:color="auto" w:fill="auto"/>
                  <w:vAlign w:val="center"/>
                </w:tcPr>
                <w:p w14:paraId="5B31797A">
                  <w:pPr>
                    <w:pStyle w:val="54"/>
                    <w:rPr>
                      <w:color w:val="auto"/>
                    </w:rPr>
                  </w:pPr>
                  <w:r>
                    <w:rPr>
                      <w:rFonts w:hint="eastAsia"/>
                      <w:color w:val="auto"/>
                    </w:rPr>
                    <w:t>有组织</w:t>
                  </w:r>
                </w:p>
              </w:tc>
              <w:tc>
                <w:tcPr>
                  <w:tcW w:w="658" w:type="pct"/>
                  <w:tcBorders>
                    <w:left w:val="single" w:color="000000" w:sz="4" w:space="0"/>
                  </w:tcBorders>
                  <w:shd w:val="clear" w:color="auto" w:fill="auto"/>
                  <w:vAlign w:val="center"/>
                </w:tcPr>
                <w:p w14:paraId="5E6F1151">
                  <w:pPr>
                    <w:pStyle w:val="54"/>
                    <w:rPr>
                      <w:color w:val="auto"/>
                    </w:rPr>
                  </w:pPr>
                  <w:r>
                    <w:rPr>
                      <w:rFonts w:hint="eastAsia"/>
                      <w:color w:val="auto"/>
                    </w:rPr>
                    <w:t>颗粒物</w:t>
                  </w:r>
                </w:p>
              </w:tc>
              <w:tc>
                <w:tcPr>
                  <w:tcW w:w="616" w:type="pct"/>
                  <w:shd w:val="clear" w:color="auto" w:fill="auto"/>
                  <w:vAlign w:val="center"/>
                </w:tcPr>
                <w:p w14:paraId="09D1EA8C">
                  <w:pPr>
                    <w:pStyle w:val="54"/>
                    <w:rPr>
                      <w:color w:val="auto"/>
                    </w:rPr>
                  </w:pPr>
                  <w:r>
                    <w:rPr>
                      <w:color w:val="auto"/>
                    </w:rPr>
                    <w:t>0.653</w:t>
                  </w:r>
                  <w:r>
                    <w:rPr>
                      <w:rFonts w:hint="eastAsia"/>
                      <w:color w:val="auto"/>
                    </w:rPr>
                    <w:t xml:space="preserve"> </w:t>
                  </w:r>
                </w:p>
              </w:tc>
              <w:tc>
                <w:tcPr>
                  <w:tcW w:w="566" w:type="pct"/>
                  <w:shd w:val="clear" w:color="auto" w:fill="auto"/>
                  <w:vAlign w:val="center"/>
                </w:tcPr>
                <w:p w14:paraId="14DB8973">
                  <w:pPr>
                    <w:pStyle w:val="54"/>
                    <w:rPr>
                      <w:color w:val="auto"/>
                    </w:rPr>
                  </w:pPr>
                  <w:r>
                    <w:rPr>
                      <w:color w:val="auto"/>
                    </w:rPr>
                    <w:t>1.672</w:t>
                  </w:r>
                  <w:r>
                    <w:rPr>
                      <w:rFonts w:hint="eastAsia"/>
                      <w:color w:val="auto"/>
                    </w:rPr>
                    <w:t xml:space="preserve"> </w:t>
                  </w:r>
                </w:p>
              </w:tc>
              <w:tc>
                <w:tcPr>
                  <w:tcW w:w="665" w:type="pct"/>
                  <w:shd w:val="clear" w:color="auto" w:fill="auto"/>
                  <w:vAlign w:val="center"/>
                </w:tcPr>
                <w:p w14:paraId="52A5D12C">
                  <w:pPr>
                    <w:pStyle w:val="54"/>
                    <w:rPr>
                      <w:color w:val="auto"/>
                    </w:rPr>
                  </w:pPr>
                  <w:r>
                    <w:rPr>
                      <w:rFonts w:hint="eastAsia"/>
                      <w:color w:val="auto"/>
                    </w:rPr>
                    <w:t xml:space="preserve">1.137 </w:t>
                  </w:r>
                </w:p>
              </w:tc>
              <w:tc>
                <w:tcPr>
                  <w:tcW w:w="616" w:type="pct"/>
                  <w:shd w:val="clear" w:color="auto" w:fill="auto"/>
                  <w:vAlign w:val="center"/>
                </w:tcPr>
                <w:p w14:paraId="1DD38F37">
                  <w:pPr>
                    <w:pStyle w:val="54"/>
                    <w:rPr>
                      <w:color w:val="auto"/>
                    </w:rPr>
                  </w:pPr>
                  <w:r>
                    <w:rPr>
                      <w:color w:val="auto"/>
                    </w:rPr>
                    <w:t>/</w:t>
                  </w:r>
                </w:p>
              </w:tc>
              <w:tc>
                <w:tcPr>
                  <w:tcW w:w="1039" w:type="dxa"/>
                  <w:shd w:val="clear" w:color="auto" w:fill="auto"/>
                  <w:vAlign w:val="center"/>
                </w:tcPr>
                <w:p w14:paraId="311303F5">
                  <w:pPr>
                    <w:pStyle w:val="54"/>
                    <w:bidi w:val="0"/>
                    <w:rPr>
                      <w:color w:val="auto"/>
                    </w:rPr>
                  </w:pPr>
                  <w:r>
                    <w:rPr>
                      <w:rFonts w:hint="eastAsia"/>
                      <w:color w:val="auto"/>
                      <w:lang w:val="en-US" w:eastAsia="zh-CN"/>
                    </w:rPr>
                    <w:t>2.809</w:t>
                  </w:r>
                </w:p>
              </w:tc>
              <w:tc>
                <w:tcPr>
                  <w:tcW w:w="617" w:type="pct"/>
                  <w:shd w:val="clear" w:color="auto" w:fill="auto"/>
                  <w:vAlign w:val="center"/>
                </w:tcPr>
                <w:p w14:paraId="42312E68">
                  <w:pPr>
                    <w:pStyle w:val="54"/>
                    <w:rPr>
                      <w:color w:val="auto"/>
                    </w:rPr>
                  </w:pPr>
                  <w:r>
                    <w:rPr>
                      <w:rFonts w:hint="eastAsia"/>
                      <w:color w:val="auto"/>
                    </w:rPr>
                    <w:t>+1.137</w:t>
                  </w:r>
                </w:p>
              </w:tc>
            </w:tr>
            <w:tr w14:paraId="6C363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04" w:type="pct"/>
                  <w:vMerge w:val="continue"/>
                  <w:shd w:val="clear" w:color="auto" w:fill="auto"/>
                  <w:vAlign w:val="center"/>
                </w:tcPr>
                <w:p w14:paraId="66459513">
                  <w:pPr>
                    <w:pStyle w:val="54"/>
                    <w:rPr>
                      <w:color w:val="auto"/>
                    </w:rPr>
                  </w:pPr>
                </w:p>
              </w:tc>
              <w:tc>
                <w:tcPr>
                  <w:tcW w:w="339" w:type="pct"/>
                  <w:vMerge w:val="continue"/>
                  <w:tcBorders>
                    <w:right w:val="single" w:color="000000" w:sz="4" w:space="0"/>
                  </w:tcBorders>
                  <w:shd w:val="clear" w:color="auto" w:fill="auto"/>
                  <w:vAlign w:val="center"/>
                </w:tcPr>
                <w:p w14:paraId="7489729E">
                  <w:pPr>
                    <w:pStyle w:val="54"/>
                    <w:rPr>
                      <w:color w:val="auto"/>
                    </w:rPr>
                  </w:pPr>
                </w:p>
              </w:tc>
              <w:tc>
                <w:tcPr>
                  <w:tcW w:w="658" w:type="pct"/>
                  <w:tcBorders>
                    <w:left w:val="single" w:color="000000" w:sz="4" w:space="0"/>
                  </w:tcBorders>
                  <w:shd w:val="clear" w:color="auto" w:fill="auto"/>
                  <w:vAlign w:val="center"/>
                </w:tcPr>
                <w:p w14:paraId="69CC8FD2">
                  <w:pPr>
                    <w:pStyle w:val="54"/>
                    <w:rPr>
                      <w:color w:val="auto"/>
                    </w:rPr>
                  </w:pPr>
                  <w:r>
                    <w:rPr>
                      <w:color w:val="auto"/>
                    </w:rPr>
                    <w:t>SO</w:t>
                  </w:r>
                  <w:r>
                    <w:rPr>
                      <w:color w:val="auto"/>
                      <w:vertAlign w:val="subscript"/>
                    </w:rPr>
                    <w:t>2</w:t>
                  </w:r>
                </w:p>
              </w:tc>
              <w:tc>
                <w:tcPr>
                  <w:tcW w:w="616" w:type="pct"/>
                  <w:shd w:val="clear" w:color="auto" w:fill="auto"/>
                  <w:vAlign w:val="center"/>
                </w:tcPr>
                <w:p w14:paraId="3A36802B">
                  <w:pPr>
                    <w:pStyle w:val="54"/>
                    <w:rPr>
                      <w:color w:val="auto"/>
                    </w:rPr>
                  </w:pPr>
                  <w:r>
                    <w:rPr>
                      <w:color w:val="auto"/>
                    </w:rPr>
                    <w:t>0.352</w:t>
                  </w:r>
                  <w:r>
                    <w:rPr>
                      <w:rFonts w:hint="eastAsia"/>
                      <w:color w:val="auto"/>
                    </w:rPr>
                    <w:t xml:space="preserve"> </w:t>
                  </w:r>
                </w:p>
              </w:tc>
              <w:tc>
                <w:tcPr>
                  <w:tcW w:w="566" w:type="pct"/>
                  <w:shd w:val="clear" w:color="auto" w:fill="auto"/>
                  <w:vAlign w:val="center"/>
                </w:tcPr>
                <w:p w14:paraId="25624D6C">
                  <w:pPr>
                    <w:pStyle w:val="54"/>
                    <w:rPr>
                      <w:color w:val="auto"/>
                    </w:rPr>
                  </w:pPr>
                  <w:r>
                    <w:rPr>
                      <w:color w:val="auto"/>
                    </w:rPr>
                    <w:t>0.403</w:t>
                  </w:r>
                  <w:r>
                    <w:rPr>
                      <w:rFonts w:hint="eastAsia"/>
                      <w:color w:val="auto"/>
                    </w:rPr>
                    <w:t xml:space="preserve"> </w:t>
                  </w:r>
                </w:p>
              </w:tc>
              <w:tc>
                <w:tcPr>
                  <w:tcW w:w="665" w:type="pct"/>
                  <w:shd w:val="clear" w:color="auto" w:fill="auto"/>
                  <w:vAlign w:val="center"/>
                </w:tcPr>
                <w:p w14:paraId="519759AB">
                  <w:pPr>
                    <w:pStyle w:val="54"/>
                    <w:rPr>
                      <w:color w:val="auto"/>
                    </w:rPr>
                  </w:pPr>
                  <w:r>
                    <w:rPr>
                      <w:color w:val="auto"/>
                    </w:rPr>
                    <w:t>/</w:t>
                  </w:r>
                </w:p>
              </w:tc>
              <w:tc>
                <w:tcPr>
                  <w:tcW w:w="616" w:type="pct"/>
                  <w:shd w:val="clear" w:color="auto" w:fill="auto"/>
                  <w:vAlign w:val="center"/>
                </w:tcPr>
                <w:p w14:paraId="776ECBF8">
                  <w:pPr>
                    <w:pStyle w:val="54"/>
                    <w:rPr>
                      <w:color w:val="auto"/>
                    </w:rPr>
                  </w:pPr>
                  <w:r>
                    <w:rPr>
                      <w:color w:val="auto"/>
                    </w:rPr>
                    <w:t>/</w:t>
                  </w:r>
                </w:p>
              </w:tc>
              <w:tc>
                <w:tcPr>
                  <w:tcW w:w="1039" w:type="dxa"/>
                  <w:shd w:val="clear" w:color="auto" w:fill="auto"/>
                  <w:vAlign w:val="center"/>
                </w:tcPr>
                <w:p w14:paraId="18C63BFC">
                  <w:pPr>
                    <w:pStyle w:val="54"/>
                    <w:bidi w:val="0"/>
                    <w:rPr>
                      <w:color w:val="auto"/>
                    </w:rPr>
                  </w:pPr>
                  <w:r>
                    <w:rPr>
                      <w:rFonts w:hint="eastAsia"/>
                      <w:color w:val="auto"/>
                      <w:lang w:val="en-US" w:eastAsia="zh-CN"/>
                    </w:rPr>
                    <w:t>0.403</w:t>
                  </w:r>
                </w:p>
              </w:tc>
              <w:tc>
                <w:tcPr>
                  <w:tcW w:w="617" w:type="pct"/>
                  <w:shd w:val="clear" w:color="auto" w:fill="auto"/>
                  <w:vAlign w:val="center"/>
                </w:tcPr>
                <w:p w14:paraId="353B9FC5">
                  <w:pPr>
                    <w:pStyle w:val="54"/>
                    <w:rPr>
                      <w:color w:val="auto"/>
                    </w:rPr>
                  </w:pPr>
                  <w:r>
                    <w:rPr>
                      <w:color w:val="auto"/>
                    </w:rPr>
                    <w:t>/</w:t>
                  </w:r>
                </w:p>
              </w:tc>
            </w:tr>
            <w:tr w14:paraId="38529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04" w:type="pct"/>
                  <w:vMerge w:val="continue"/>
                  <w:shd w:val="clear" w:color="auto" w:fill="auto"/>
                  <w:vAlign w:val="center"/>
                </w:tcPr>
                <w:p w14:paraId="0AAF62C0">
                  <w:pPr>
                    <w:pStyle w:val="54"/>
                    <w:rPr>
                      <w:color w:val="auto"/>
                    </w:rPr>
                  </w:pPr>
                </w:p>
              </w:tc>
              <w:tc>
                <w:tcPr>
                  <w:tcW w:w="339" w:type="pct"/>
                  <w:vMerge w:val="continue"/>
                  <w:tcBorders>
                    <w:right w:val="single" w:color="000000" w:sz="4" w:space="0"/>
                  </w:tcBorders>
                  <w:shd w:val="clear" w:color="auto" w:fill="auto"/>
                  <w:vAlign w:val="center"/>
                </w:tcPr>
                <w:p w14:paraId="1653ACC2">
                  <w:pPr>
                    <w:pStyle w:val="54"/>
                    <w:rPr>
                      <w:color w:val="auto"/>
                    </w:rPr>
                  </w:pPr>
                </w:p>
              </w:tc>
              <w:tc>
                <w:tcPr>
                  <w:tcW w:w="658" w:type="pct"/>
                  <w:tcBorders>
                    <w:left w:val="single" w:color="000000" w:sz="4" w:space="0"/>
                  </w:tcBorders>
                  <w:shd w:val="clear" w:color="auto" w:fill="auto"/>
                  <w:vAlign w:val="center"/>
                </w:tcPr>
                <w:p w14:paraId="6288DFCF">
                  <w:pPr>
                    <w:pStyle w:val="54"/>
                    <w:rPr>
                      <w:color w:val="auto"/>
                    </w:rPr>
                  </w:pPr>
                  <w:r>
                    <w:rPr>
                      <w:color w:val="auto"/>
                    </w:rPr>
                    <w:t>NOx</w:t>
                  </w:r>
                </w:p>
              </w:tc>
              <w:tc>
                <w:tcPr>
                  <w:tcW w:w="616" w:type="pct"/>
                  <w:shd w:val="clear" w:color="auto" w:fill="auto"/>
                  <w:vAlign w:val="center"/>
                </w:tcPr>
                <w:p w14:paraId="41059CF3">
                  <w:pPr>
                    <w:pStyle w:val="54"/>
                    <w:rPr>
                      <w:color w:val="auto"/>
                    </w:rPr>
                  </w:pPr>
                  <w:r>
                    <w:rPr>
                      <w:color w:val="auto"/>
                    </w:rPr>
                    <w:t>0.352</w:t>
                  </w:r>
                  <w:r>
                    <w:rPr>
                      <w:rFonts w:hint="eastAsia"/>
                      <w:color w:val="auto"/>
                    </w:rPr>
                    <w:t xml:space="preserve"> </w:t>
                  </w:r>
                </w:p>
              </w:tc>
              <w:tc>
                <w:tcPr>
                  <w:tcW w:w="566" w:type="pct"/>
                  <w:shd w:val="clear" w:color="auto" w:fill="auto"/>
                  <w:vAlign w:val="center"/>
                </w:tcPr>
                <w:p w14:paraId="5666872B">
                  <w:pPr>
                    <w:pStyle w:val="54"/>
                    <w:rPr>
                      <w:color w:val="auto"/>
                    </w:rPr>
                  </w:pPr>
                  <w:r>
                    <w:rPr>
                      <w:color w:val="auto"/>
                    </w:rPr>
                    <w:t>0.612</w:t>
                  </w:r>
                  <w:r>
                    <w:rPr>
                      <w:rFonts w:hint="eastAsia"/>
                      <w:color w:val="auto"/>
                    </w:rPr>
                    <w:t xml:space="preserve"> </w:t>
                  </w:r>
                </w:p>
              </w:tc>
              <w:tc>
                <w:tcPr>
                  <w:tcW w:w="665" w:type="pct"/>
                  <w:shd w:val="clear" w:color="auto" w:fill="auto"/>
                  <w:vAlign w:val="center"/>
                </w:tcPr>
                <w:p w14:paraId="187D2749">
                  <w:pPr>
                    <w:pStyle w:val="54"/>
                    <w:rPr>
                      <w:color w:val="auto"/>
                    </w:rPr>
                  </w:pPr>
                  <w:r>
                    <w:rPr>
                      <w:color w:val="auto"/>
                    </w:rPr>
                    <w:t>/</w:t>
                  </w:r>
                </w:p>
              </w:tc>
              <w:tc>
                <w:tcPr>
                  <w:tcW w:w="616" w:type="pct"/>
                  <w:shd w:val="clear" w:color="auto" w:fill="auto"/>
                  <w:vAlign w:val="center"/>
                </w:tcPr>
                <w:p w14:paraId="1AE1F703">
                  <w:pPr>
                    <w:pStyle w:val="54"/>
                    <w:rPr>
                      <w:color w:val="auto"/>
                    </w:rPr>
                  </w:pPr>
                  <w:r>
                    <w:rPr>
                      <w:color w:val="auto"/>
                    </w:rPr>
                    <w:t>/</w:t>
                  </w:r>
                </w:p>
              </w:tc>
              <w:tc>
                <w:tcPr>
                  <w:tcW w:w="1039" w:type="dxa"/>
                  <w:shd w:val="clear" w:color="auto" w:fill="auto"/>
                  <w:vAlign w:val="center"/>
                </w:tcPr>
                <w:p w14:paraId="7EC4B77D">
                  <w:pPr>
                    <w:pStyle w:val="54"/>
                    <w:bidi w:val="0"/>
                    <w:rPr>
                      <w:color w:val="auto"/>
                    </w:rPr>
                  </w:pPr>
                  <w:r>
                    <w:rPr>
                      <w:rFonts w:hint="eastAsia"/>
                      <w:color w:val="auto"/>
                      <w:lang w:val="en-US" w:eastAsia="zh-CN"/>
                    </w:rPr>
                    <w:t>0.612</w:t>
                  </w:r>
                </w:p>
              </w:tc>
              <w:tc>
                <w:tcPr>
                  <w:tcW w:w="617" w:type="pct"/>
                  <w:shd w:val="clear" w:color="auto" w:fill="auto"/>
                  <w:vAlign w:val="center"/>
                </w:tcPr>
                <w:p w14:paraId="35B33199">
                  <w:pPr>
                    <w:pStyle w:val="54"/>
                    <w:rPr>
                      <w:color w:val="auto"/>
                    </w:rPr>
                  </w:pPr>
                  <w:r>
                    <w:rPr>
                      <w:color w:val="auto"/>
                    </w:rPr>
                    <w:t>/</w:t>
                  </w:r>
                </w:p>
              </w:tc>
            </w:tr>
            <w:tr w14:paraId="2CB10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04" w:type="pct"/>
                  <w:vMerge w:val="continue"/>
                  <w:shd w:val="clear" w:color="auto" w:fill="auto"/>
                  <w:vAlign w:val="center"/>
                </w:tcPr>
                <w:p w14:paraId="2649879A">
                  <w:pPr>
                    <w:pStyle w:val="54"/>
                    <w:rPr>
                      <w:color w:val="auto"/>
                    </w:rPr>
                  </w:pPr>
                </w:p>
              </w:tc>
              <w:tc>
                <w:tcPr>
                  <w:tcW w:w="339" w:type="pct"/>
                  <w:vMerge w:val="continue"/>
                  <w:tcBorders>
                    <w:right w:val="single" w:color="000000" w:sz="4" w:space="0"/>
                  </w:tcBorders>
                  <w:shd w:val="clear" w:color="auto" w:fill="auto"/>
                  <w:vAlign w:val="center"/>
                </w:tcPr>
                <w:p w14:paraId="5ACA2E19">
                  <w:pPr>
                    <w:pStyle w:val="54"/>
                    <w:rPr>
                      <w:color w:val="auto"/>
                    </w:rPr>
                  </w:pPr>
                </w:p>
              </w:tc>
              <w:tc>
                <w:tcPr>
                  <w:tcW w:w="658" w:type="pct"/>
                  <w:tcBorders>
                    <w:left w:val="single" w:color="000000" w:sz="4" w:space="0"/>
                  </w:tcBorders>
                  <w:shd w:val="clear" w:color="auto" w:fill="auto"/>
                  <w:vAlign w:val="center"/>
                </w:tcPr>
                <w:p w14:paraId="3C6913A1">
                  <w:pPr>
                    <w:pStyle w:val="54"/>
                    <w:rPr>
                      <w:color w:val="auto"/>
                    </w:rPr>
                  </w:pPr>
                  <w:r>
                    <w:rPr>
                      <w:color w:val="auto"/>
                    </w:rPr>
                    <w:t>NMHC</w:t>
                  </w:r>
                </w:p>
              </w:tc>
              <w:tc>
                <w:tcPr>
                  <w:tcW w:w="616" w:type="pct"/>
                  <w:shd w:val="clear" w:color="auto" w:fill="auto"/>
                  <w:vAlign w:val="center"/>
                </w:tcPr>
                <w:p w14:paraId="078AFDEA">
                  <w:pPr>
                    <w:pStyle w:val="54"/>
                    <w:rPr>
                      <w:color w:val="auto"/>
                    </w:rPr>
                  </w:pPr>
                  <w:r>
                    <w:rPr>
                      <w:color w:val="auto"/>
                    </w:rPr>
                    <w:t>0.089</w:t>
                  </w:r>
                  <w:r>
                    <w:rPr>
                      <w:rFonts w:hint="eastAsia"/>
                      <w:color w:val="auto"/>
                    </w:rPr>
                    <w:t xml:space="preserve"> </w:t>
                  </w:r>
                </w:p>
              </w:tc>
              <w:tc>
                <w:tcPr>
                  <w:tcW w:w="566" w:type="pct"/>
                  <w:shd w:val="clear" w:color="auto" w:fill="auto"/>
                  <w:vAlign w:val="center"/>
                </w:tcPr>
                <w:p w14:paraId="6DA83366">
                  <w:pPr>
                    <w:pStyle w:val="54"/>
                    <w:rPr>
                      <w:color w:val="auto"/>
                    </w:rPr>
                  </w:pPr>
                  <w:r>
                    <w:rPr>
                      <w:color w:val="auto"/>
                    </w:rPr>
                    <w:t>0.119</w:t>
                  </w:r>
                  <w:r>
                    <w:rPr>
                      <w:rFonts w:hint="eastAsia"/>
                      <w:color w:val="auto"/>
                    </w:rPr>
                    <w:t xml:space="preserve"> </w:t>
                  </w:r>
                </w:p>
              </w:tc>
              <w:tc>
                <w:tcPr>
                  <w:tcW w:w="665" w:type="pct"/>
                  <w:shd w:val="clear" w:color="auto" w:fill="auto"/>
                  <w:vAlign w:val="center"/>
                </w:tcPr>
                <w:p w14:paraId="7DE98E9D">
                  <w:pPr>
                    <w:pStyle w:val="54"/>
                    <w:rPr>
                      <w:color w:val="auto"/>
                    </w:rPr>
                  </w:pPr>
                  <w:r>
                    <w:rPr>
                      <w:color w:val="auto"/>
                    </w:rPr>
                    <w:t>0.000</w:t>
                  </w:r>
                  <w:r>
                    <w:rPr>
                      <w:rFonts w:hint="eastAsia"/>
                      <w:color w:val="auto"/>
                      <w:lang w:val="en-US" w:eastAsia="zh-CN"/>
                    </w:rPr>
                    <w:t>2</w:t>
                  </w:r>
                  <w:r>
                    <w:rPr>
                      <w:rFonts w:hint="eastAsia"/>
                      <w:color w:val="auto"/>
                    </w:rPr>
                    <w:t xml:space="preserve"> </w:t>
                  </w:r>
                </w:p>
              </w:tc>
              <w:tc>
                <w:tcPr>
                  <w:tcW w:w="616" w:type="pct"/>
                  <w:shd w:val="clear" w:color="auto" w:fill="auto"/>
                  <w:vAlign w:val="center"/>
                </w:tcPr>
                <w:p w14:paraId="2C46B634">
                  <w:pPr>
                    <w:pStyle w:val="54"/>
                    <w:rPr>
                      <w:color w:val="auto"/>
                    </w:rPr>
                  </w:pPr>
                  <w:r>
                    <w:rPr>
                      <w:color w:val="auto"/>
                    </w:rPr>
                    <w:t>/</w:t>
                  </w:r>
                </w:p>
              </w:tc>
              <w:tc>
                <w:tcPr>
                  <w:tcW w:w="1039" w:type="dxa"/>
                  <w:shd w:val="clear" w:color="auto" w:fill="auto"/>
                  <w:vAlign w:val="center"/>
                </w:tcPr>
                <w:p w14:paraId="791688B3">
                  <w:pPr>
                    <w:pStyle w:val="54"/>
                    <w:bidi w:val="0"/>
                    <w:rPr>
                      <w:color w:val="auto"/>
                    </w:rPr>
                  </w:pPr>
                  <w:r>
                    <w:rPr>
                      <w:rFonts w:hint="eastAsia"/>
                      <w:color w:val="auto"/>
                      <w:lang w:val="en-US" w:eastAsia="zh-CN"/>
                    </w:rPr>
                    <w:t>0.1192</w:t>
                  </w:r>
                </w:p>
              </w:tc>
              <w:tc>
                <w:tcPr>
                  <w:tcW w:w="617" w:type="pct"/>
                  <w:shd w:val="clear" w:color="auto" w:fill="auto"/>
                  <w:vAlign w:val="center"/>
                </w:tcPr>
                <w:p w14:paraId="318CB607">
                  <w:pPr>
                    <w:pStyle w:val="54"/>
                    <w:rPr>
                      <w:rFonts w:hint="eastAsia" w:eastAsia="宋体"/>
                      <w:color w:val="auto"/>
                      <w:lang w:eastAsia="zh-CN"/>
                    </w:rPr>
                  </w:pPr>
                  <w:r>
                    <w:rPr>
                      <w:rFonts w:hint="eastAsia"/>
                      <w:color w:val="auto"/>
                    </w:rPr>
                    <w:t>+0.000</w:t>
                  </w:r>
                  <w:r>
                    <w:rPr>
                      <w:rFonts w:hint="eastAsia"/>
                      <w:color w:val="auto"/>
                      <w:lang w:val="en-US" w:eastAsia="zh-CN"/>
                    </w:rPr>
                    <w:t>2</w:t>
                  </w:r>
                </w:p>
              </w:tc>
            </w:tr>
            <w:tr w14:paraId="5B93DC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04" w:type="pct"/>
                  <w:vMerge w:val="restart"/>
                  <w:shd w:val="clear" w:color="auto" w:fill="auto"/>
                  <w:vAlign w:val="center"/>
                </w:tcPr>
                <w:p w14:paraId="1AC50597">
                  <w:pPr>
                    <w:pStyle w:val="54"/>
                    <w:rPr>
                      <w:color w:val="auto"/>
                    </w:rPr>
                  </w:pPr>
                  <w:r>
                    <w:rPr>
                      <w:color w:val="auto"/>
                    </w:rPr>
                    <w:t>废水</w:t>
                  </w:r>
                </w:p>
              </w:tc>
              <w:tc>
                <w:tcPr>
                  <w:tcW w:w="997" w:type="pct"/>
                  <w:gridSpan w:val="2"/>
                  <w:shd w:val="clear" w:color="auto" w:fill="auto"/>
                  <w:vAlign w:val="center"/>
                </w:tcPr>
                <w:p w14:paraId="5C99208E">
                  <w:pPr>
                    <w:pStyle w:val="54"/>
                    <w:rPr>
                      <w:color w:val="auto"/>
                    </w:rPr>
                  </w:pPr>
                  <w:r>
                    <w:rPr>
                      <w:color w:val="auto"/>
                    </w:rPr>
                    <w:t>废水量</w:t>
                  </w:r>
                </w:p>
              </w:tc>
              <w:tc>
                <w:tcPr>
                  <w:tcW w:w="616" w:type="pct"/>
                  <w:shd w:val="clear" w:color="auto" w:fill="auto"/>
                  <w:vAlign w:val="center"/>
                </w:tcPr>
                <w:p w14:paraId="79DF5FBF">
                  <w:pPr>
                    <w:pStyle w:val="54"/>
                    <w:rPr>
                      <w:color w:val="auto"/>
                    </w:rPr>
                  </w:pPr>
                  <w:r>
                    <w:rPr>
                      <w:color w:val="auto"/>
                    </w:rPr>
                    <w:t>360</w:t>
                  </w:r>
                  <w:r>
                    <w:rPr>
                      <w:rFonts w:hint="eastAsia"/>
                      <w:color w:val="auto"/>
                    </w:rPr>
                    <w:t xml:space="preserve"> </w:t>
                  </w:r>
                </w:p>
              </w:tc>
              <w:tc>
                <w:tcPr>
                  <w:tcW w:w="566" w:type="pct"/>
                  <w:shd w:val="clear" w:color="auto" w:fill="auto"/>
                  <w:vAlign w:val="center"/>
                </w:tcPr>
                <w:p w14:paraId="7964A827">
                  <w:pPr>
                    <w:pStyle w:val="54"/>
                    <w:rPr>
                      <w:color w:val="auto"/>
                    </w:rPr>
                  </w:pPr>
                  <w:r>
                    <w:rPr>
                      <w:color w:val="auto"/>
                    </w:rPr>
                    <w:t>840</w:t>
                  </w:r>
                  <w:r>
                    <w:rPr>
                      <w:rFonts w:hint="eastAsia"/>
                      <w:color w:val="auto"/>
                    </w:rPr>
                    <w:t xml:space="preserve"> </w:t>
                  </w:r>
                </w:p>
              </w:tc>
              <w:tc>
                <w:tcPr>
                  <w:tcW w:w="665" w:type="pct"/>
                  <w:shd w:val="clear" w:color="auto" w:fill="auto"/>
                  <w:vAlign w:val="center"/>
                </w:tcPr>
                <w:p w14:paraId="0F7037F7">
                  <w:pPr>
                    <w:pStyle w:val="54"/>
                    <w:rPr>
                      <w:color w:val="auto"/>
                    </w:rPr>
                  </w:pPr>
                  <w:r>
                    <w:rPr>
                      <w:rFonts w:hint="eastAsia"/>
                      <w:color w:val="auto"/>
                    </w:rPr>
                    <w:t xml:space="preserve">2160 </w:t>
                  </w:r>
                </w:p>
              </w:tc>
              <w:tc>
                <w:tcPr>
                  <w:tcW w:w="616" w:type="pct"/>
                  <w:shd w:val="clear" w:color="auto" w:fill="auto"/>
                  <w:vAlign w:val="center"/>
                </w:tcPr>
                <w:p w14:paraId="0AC08A19">
                  <w:pPr>
                    <w:pStyle w:val="54"/>
                    <w:rPr>
                      <w:color w:val="auto"/>
                    </w:rPr>
                  </w:pPr>
                  <w:r>
                    <w:rPr>
                      <w:color w:val="auto"/>
                    </w:rPr>
                    <w:t>360</w:t>
                  </w:r>
                  <w:r>
                    <w:rPr>
                      <w:rFonts w:hint="eastAsia"/>
                      <w:color w:val="auto"/>
                    </w:rPr>
                    <w:t xml:space="preserve"> </w:t>
                  </w:r>
                </w:p>
              </w:tc>
              <w:tc>
                <w:tcPr>
                  <w:tcW w:w="616" w:type="pct"/>
                  <w:shd w:val="clear" w:color="auto" w:fill="auto"/>
                  <w:vAlign w:val="center"/>
                </w:tcPr>
                <w:p w14:paraId="2637FB57">
                  <w:pPr>
                    <w:pStyle w:val="54"/>
                    <w:rPr>
                      <w:color w:val="auto"/>
                    </w:rPr>
                  </w:pPr>
                  <w:r>
                    <w:rPr>
                      <w:rFonts w:hint="eastAsia"/>
                      <w:color w:val="auto"/>
                    </w:rPr>
                    <w:t xml:space="preserve">2160 </w:t>
                  </w:r>
                </w:p>
              </w:tc>
              <w:tc>
                <w:tcPr>
                  <w:tcW w:w="617" w:type="pct"/>
                  <w:shd w:val="clear" w:color="auto" w:fill="auto"/>
                  <w:vAlign w:val="center"/>
                </w:tcPr>
                <w:p w14:paraId="6C884023">
                  <w:pPr>
                    <w:pStyle w:val="54"/>
                    <w:rPr>
                      <w:color w:val="auto"/>
                    </w:rPr>
                  </w:pPr>
                  <w:r>
                    <w:rPr>
                      <w:rFonts w:hint="eastAsia"/>
                      <w:color w:val="auto"/>
                    </w:rPr>
                    <w:t xml:space="preserve">+1800 </w:t>
                  </w:r>
                </w:p>
              </w:tc>
            </w:tr>
            <w:tr w14:paraId="15A9C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04" w:type="pct"/>
                  <w:vMerge w:val="continue"/>
                  <w:shd w:val="clear" w:color="auto" w:fill="auto"/>
                  <w:vAlign w:val="center"/>
                </w:tcPr>
                <w:p w14:paraId="4E05ACF1">
                  <w:pPr>
                    <w:pStyle w:val="54"/>
                    <w:rPr>
                      <w:color w:val="auto"/>
                    </w:rPr>
                  </w:pPr>
                </w:p>
              </w:tc>
              <w:tc>
                <w:tcPr>
                  <w:tcW w:w="997" w:type="pct"/>
                  <w:gridSpan w:val="2"/>
                  <w:shd w:val="clear" w:color="auto" w:fill="auto"/>
                  <w:vAlign w:val="center"/>
                </w:tcPr>
                <w:p w14:paraId="1890C85B">
                  <w:pPr>
                    <w:pStyle w:val="54"/>
                    <w:rPr>
                      <w:color w:val="auto"/>
                    </w:rPr>
                  </w:pPr>
                  <w:r>
                    <w:rPr>
                      <w:color w:val="auto"/>
                    </w:rPr>
                    <w:t>COD</w:t>
                  </w:r>
                </w:p>
              </w:tc>
              <w:tc>
                <w:tcPr>
                  <w:tcW w:w="616" w:type="pct"/>
                  <w:shd w:val="clear" w:color="auto" w:fill="auto"/>
                  <w:vAlign w:val="center"/>
                </w:tcPr>
                <w:p w14:paraId="739CF4A0">
                  <w:pPr>
                    <w:pStyle w:val="54"/>
                    <w:rPr>
                      <w:color w:val="auto"/>
                    </w:rPr>
                  </w:pPr>
                  <w:r>
                    <w:rPr>
                      <w:color w:val="auto"/>
                    </w:rPr>
                    <w:t>0.0508</w:t>
                  </w:r>
                  <w:r>
                    <w:rPr>
                      <w:rFonts w:hint="eastAsia"/>
                      <w:color w:val="auto"/>
                    </w:rPr>
                    <w:t xml:space="preserve"> </w:t>
                  </w:r>
                </w:p>
              </w:tc>
              <w:tc>
                <w:tcPr>
                  <w:tcW w:w="566" w:type="pct"/>
                  <w:shd w:val="clear" w:color="auto" w:fill="auto"/>
                  <w:vAlign w:val="center"/>
                </w:tcPr>
                <w:p w14:paraId="08D2D8E2">
                  <w:pPr>
                    <w:pStyle w:val="54"/>
                    <w:rPr>
                      <w:color w:val="auto"/>
                    </w:rPr>
                  </w:pPr>
                  <w:r>
                    <w:rPr>
                      <w:color w:val="auto"/>
                    </w:rPr>
                    <w:t xml:space="preserve">0.2100 </w:t>
                  </w:r>
                </w:p>
              </w:tc>
              <w:tc>
                <w:tcPr>
                  <w:tcW w:w="665" w:type="pct"/>
                  <w:shd w:val="clear" w:color="auto" w:fill="auto"/>
                  <w:vAlign w:val="center"/>
                </w:tcPr>
                <w:p w14:paraId="61C13CC2">
                  <w:pPr>
                    <w:pStyle w:val="54"/>
                    <w:rPr>
                      <w:color w:val="auto"/>
                    </w:rPr>
                  </w:pPr>
                  <w:r>
                    <w:rPr>
                      <w:color w:val="auto"/>
                    </w:rPr>
                    <w:t xml:space="preserve">0.6480 </w:t>
                  </w:r>
                </w:p>
              </w:tc>
              <w:tc>
                <w:tcPr>
                  <w:tcW w:w="616" w:type="pct"/>
                  <w:shd w:val="clear" w:color="auto" w:fill="auto"/>
                  <w:vAlign w:val="center"/>
                </w:tcPr>
                <w:p w14:paraId="09354864">
                  <w:pPr>
                    <w:pStyle w:val="54"/>
                    <w:rPr>
                      <w:color w:val="auto"/>
                    </w:rPr>
                  </w:pPr>
                  <w:r>
                    <w:rPr>
                      <w:color w:val="auto"/>
                    </w:rPr>
                    <w:t>0.0508</w:t>
                  </w:r>
                  <w:r>
                    <w:rPr>
                      <w:rFonts w:hint="eastAsia"/>
                      <w:color w:val="auto"/>
                    </w:rPr>
                    <w:t xml:space="preserve"> </w:t>
                  </w:r>
                </w:p>
              </w:tc>
              <w:tc>
                <w:tcPr>
                  <w:tcW w:w="616" w:type="pct"/>
                  <w:shd w:val="clear" w:color="auto" w:fill="auto"/>
                  <w:vAlign w:val="center"/>
                </w:tcPr>
                <w:p w14:paraId="749A8137">
                  <w:pPr>
                    <w:pStyle w:val="54"/>
                    <w:rPr>
                      <w:color w:val="auto"/>
                    </w:rPr>
                  </w:pPr>
                  <w:r>
                    <w:rPr>
                      <w:color w:val="auto"/>
                    </w:rPr>
                    <w:t xml:space="preserve">0.6480 </w:t>
                  </w:r>
                </w:p>
              </w:tc>
              <w:tc>
                <w:tcPr>
                  <w:tcW w:w="617" w:type="pct"/>
                  <w:shd w:val="clear" w:color="auto" w:fill="auto"/>
                  <w:vAlign w:val="center"/>
                </w:tcPr>
                <w:p w14:paraId="277B8664">
                  <w:pPr>
                    <w:pStyle w:val="54"/>
                    <w:rPr>
                      <w:color w:val="auto"/>
                    </w:rPr>
                  </w:pPr>
                  <w:r>
                    <w:rPr>
                      <w:rFonts w:hint="eastAsia"/>
                      <w:color w:val="auto"/>
                    </w:rPr>
                    <w:t xml:space="preserve">+0.8132 </w:t>
                  </w:r>
                </w:p>
              </w:tc>
            </w:tr>
            <w:tr w14:paraId="288A0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04" w:type="pct"/>
                  <w:vMerge w:val="continue"/>
                  <w:shd w:val="clear" w:color="auto" w:fill="auto"/>
                  <w:vAlign w:val="center"/>
                </w:tcPr>
                <w:p w14:paraId="25F39776">
                  <w:pPr>
                    <w:pStyle w:val="54"/>
                    <w:rPr>
                      <w:color w:val="auto"/>
                    </w:rPr>
                  </w:pPr>
                </w:p>
              </w:tc>
              <w:tc>
                <w:tcPr>
                  <w:tcW w:w="997" w:type="pct"/>
                  <w:gridSpan w:val="2"/>
                  <w:shd w:val="clear" w:color="auto" w:fill="auto"/>
                  <w:vAlign w:val="center"/>
                </w:tcPr>
                <w:p w14:paraId="4C70304C">
                  <w:pPr>
                    <w:pStyle w:val="54"/>
                    <w:rPr>
                      <w:color w:val="auto"/>
                    </w:rPr>
                  </w:pPr>
                  <w:r>
                    <w:rPr>
                      <w:color w:val="auto"/>
                    </w:rPr>
                    <w:t>SS</w:t>
                  </w:r>
                </w:p>
              </w:tc>
              <w:tc>
                <w:tcPr>
                  <w:tcW w:w="616" w:type="pct"/>
                  <w:shd w:val="clear" w:color="auto" w:fill="auto"/>
                  <w:vAlign w:val="center"/>
                </w:tcPr>
                <w:p w14:paraId="50265818">
                  <w:pPr>
                    <w:pStyle w:val="54"/>
                    <w:rPr>
                      <w:color w:val="auto"/>
                    </w:rPr>
                  </w:pPr>
                  <w:r>
                    <w:rPr>
                      <w:color w:val="auto"/>
                    </w:rPr>
                    <w:t>0.0107</w:t>
                  </w:r>
                  <w:r>
                    <w:rPr>
                      <w:rFonts w:hint="eastAsia"/>
                      <w:color w:val="auto"/>
                    </w:rPr>
                    <w:t xml:space="preserve"> </w:t>
                  </w:r>
                </w:p>
              </w:tc>
              <w:tc>
                <w:tcPr>
                  <w:tcW w:w="566" w:type="pct"/>
                  <w:shd w:val="clear" w:color="auto" w:fill="auto"/>
                  <w:vAlign w:val="center"/>
                </w:tcPr>
                <w:p w14:paraId="41FEB0EE">
                  <w:pPr>
                    <w:pStyle w:val="54"/>
                    <w:rPr>
                      <w:color w:val="auto"/>
                    </w:rPr>
                  </w:pPr>
                  <w:r>
                    <w:rPr>
                      <w:color w:val="auto"/>
                    </w:rPr>
                    <w:t xml:space="preserve">0.0840 </w:t>
                  </w:r>
                </w:p>
              </w:tc>
              <w:tc>
                <w:tcPr>
                  <w:tcW w:w="665" w:type="pct"/>
                  <w:shd w:val="clear" w:color="auto" w:fill="auto"/>
                  <w:vAlign w:val="center"/>
                </w:tcPr>
                <w:p w14:paraId="54CB2B59">
                  <w:pPr>
                    <w:pStyle w:val="54"/>
                    <w:rPr>
                      <w:color w:val="auto"/>
                    </w:rPr>
                  </w:pPr>
                  <w:r>
                    <w:rPr>
                      <w:color w:val="auto"/>
                    </w:rPr>
                    <w:t xml:space="preserve">0.3240 </w:t>
                  </w:r>
                </w:p>
              </w:tc>
              <w:tc>
                <w:tcPr>
                  <w:tcW w:w="616" w:type="pct"/>
                  <w:shd w:val="clear" w:color="auto" w:fill="auto"/>
                  <w:vAlign w:val="center"/>
                </w:tcPr>
                <w:p w14:paraId="4719A56B">
                  <w:pPr>
                    <w:pStyle w:val="54"/>
                    <w:rPr>
                      <w:color w:val="auto"/>
                    </w:rPr>
                  </w:pPr>
                  <w:r>
                    <w:rPr>
                      <w:color w:val="auto"/>
                    </w:rPr>
                    <w:t>0.0107</w:t>
                  </w:r>
                  <w:r>
                    <w:rPr>
                      <w:rFonts w:hint="eastAsia"/>
                      <w:color w:val="auto"/>
                    </w:rPr>
                    <w:t xml:space="preserve"> </w:t>
                  </w:r>
                </w:p>
              </w:tc>
              <w:tc>
                <w:tcPr>
                  <w:tcW w:w="616" w:type="pct"/>
                  <w:shd w:val="clear" w:color="auto" w:fill="auto"/>
                  <w:vAlign w:val="center"/>
                </w:tcPr>
                <w:p w14:paraId="258D426F">
                  <w:pPr>
                    <w:pStyle w:val="54"/>
                    <w:rPr>
                      <w:color w:val="auto"/>
                    </w:rPr>
                  </w:pPr>
                  <w:r>
                    <w:rPr>
                      <w:color w:val="auto"/>
                    </w:rPr>
                    <w:t xml:space="preserve">0.3240 </w:t>
                  </w:r>
                </w:p>
              </w:tc>
              <w:tc>
                <w:tcPr>
                  <w:tcW w:w="617" w:type="pct"/>
                  <w:shd w:val="clear" w:color="auto" w:fill="auto"/>
                  <w:vAlign w:val="center"/>
                </w:tcPr>
                <w:p w14:paraId="58FB4818">
                  <w:pPr>
                    <w:pStyle w:val="54"/>
                    <w:rPr>
                      <w:color w:val="auto"/>
                    </w:rPr>
                  </w:pPr>
                  <w:r>
                    <w:rPr>
                      <w:rFonts w:hint="eastAsia"/>
                      <w:color w:val="auto"/>
                    </w:rPr>
                    <w:t xml:space="preserve">+0.5293 </w:t>
                  </w:r>
                </w:p>
              </w:tc>
            </w:tr>
            <w:tr w14:paraId="1900A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04" w:type="pct"/>
                  <w:vMerge w:val="continue"/>
                  <w:shd w:val="clear" w:color="auto" w:fill="auto"/>
                  <w:vAlign w:val="center"/>
                </w:tcPr>
                <w:p w14:paraId="44B7E5F0">
                  <w:pPr>
                    <w:pStyle w:val="54"/>
                    <w:rPr>
                      <w:color w:val="auto"/>
                    </w:rPr>
                  </w:pPr>
                </w:p>
              </w:tc>
              <w:tc>
                <w:tcPr>
                  <w:tcW w:w="997" w:type="pct"/>
                  <w:gridSpan w:val="2"/>
                  <w:shd w:val="clear" w:color="auto" w:fill="auto"/>
                  <w:vAlign w:val="center"/>
                </w:tcPr>
                <w:p w14:paraId="5C212814">
                  <w:pPr>
                    <w:pStyle w:val="54"/>
                    <w:rPr>
                      <w:color w:val="auto"/>
                    </w:rPr>
                  </w:pPr>
                  <w:r>
                    <w:rPr>
                      <w:rFonts w:hint="eastAsia"/>
                      <w:color w:val="auto"/>
                    </w:rPr>
                    <w:t>氨氮</w:t>
                  </w:r>
                </w:p>
              </w:tc>
              <w:tc>
                <w:tcPr>
                  <w:tcW w:w="616" w:type="pct"/>
                  <w:shd w:val="clear" w:color="auto" w:fill="auto"/>
                  <w:vAlign w:val="center"/>
                </w:tcPr>
                <w:p w14:paraId="4075E7ED">
                  <w:pPr>
                    <w:pStyle w:val="54"/>
                    <w:rPr>
                      <w:color w:val="auto"/>
                    </w:rPr>
                  </w:pPr>
                  <w:r>
                    <w:rPr>
                      <w:color w:val="auto"/>
                    </w:rPr>
                    <w:t>0.0055</w:t>
                  </w:r>
                  <w:r>
                    <w:rPr>
                      <w:rFonts w:hint="eastAsia"/>
                      <w:color w:val="auto"/>
                    </w:rPr>
                    <w:t xml:space="preserve"> </w:t>
                  </w:r>
                </w:p>
              </w:tc>
              <w:tc>
                <w:tcPr>
                  <w:tcW w:w="566" w:type="pct"/>
                  <w:shd w:val="clear" w:color="auto" w:fill="auto"/>
                  <w:vAlign w:val="center"/>
                </w:tcPr>
                <w:p w14:paraId="39C491AA">
                  <w:pPr>
                    <w:pStyle w:val="54"/>
                    <w:rPr>
                      <w:color w:val="auto"/>
                    </w:rPr>
                  </w:pPr>
                  <w:r>
                    <w:rPr>
                      <w:color w:val="auto"/>
                    </w:rPr>
                    <w:t xml:space="preserve">0.0210 </w:t>
                  </w:r>
                </w:p>
              </w:tc>
              <w:tc>
                <w:tcPr>
                  <w:tcW w:w="665" w:type="pct"/>
                  <w:shd w:val="clear" w:color="auto" w:fill="auto"/>
                  <w:vAlign w:val="center"/>
                </w:tcPr>
                <w:p w14:paraId="11B3402C">
                  <w:pPr>
                    <w:pStyle w:val="54"/>
                    <w:rPr>
                      <w:color w:val="auto"/>
                    </w:rPr>
                  </w:pPr>
                  <w:r>
                    <w:rPr>
                      <w:color w:val="auto"/>
                    </w:rPr>
                    <w:t xml:space="preserve">0.0648 </w:t>
                  </w:r>
                </w:p>
              </w:tc>
              <w:tc>
                <w:tcPr>
                  <w:tcW w:w="616" w:type="pct"/>
                  <w:shd w:val="clear" w:color="auto" w:fill="auto"/>
                  <w:vAlign w:val="center"/>
                </w:tcPr>
                <w:p w14:paraId="193A23F4">
                  <w:pPr>
                    <w:pStyle w:val="54"/>
                    <w:rPr>
                      <w:color w:val="auto"/>
                    </w:rPr>
                  </w:pPr>
                  <w:r>
                    <w:rPr>
                      <w:color w:val="auto"/>
                    </w:rPr>
                    <w:t>0.0055</w:t>
                  </w:r>
                  <w:r>
                    <w:rPr>
                      <w:rFonts w:hint="eastAsia"/>
                      <w:color w:val="auto"/>
                    </w:rPr>
                    <w:t xml:space="preserve"> </w:t>
                  </w:r>
                </w:p>
              </w:tc>
              <w:tc>
                <w:tcPr>
                  <w:tcW w:w="616" w:type="pct"/>
                  <w:shd w:val="clear" w:color="auto" w:fill="auto"/>
                  <w:vAlign w:val="center"/>
                </w:tcPr>
                <w:p w14:paraId="0D3B2848">
                  <w:pPr>
                    <w:pStyle w:val="54"/>
                    <w:rPr>
                      <w:color w:val="auto"/>
                    </w:rPr>
                  </w:pPr>
                  <w:r>
                    <w:rPr>
                      <w:color w:val="auto"/>
                    </w:rPr>
                    <w:t xml:space="preserve">0.0648 </w:t>
                  </w:r>
                </w:p>
              </w:tc>
              <w:tc>
                <w:tcPr>
                  <w:tcW w:w="617" w:type="pct"/>
                  <w:shd w:val="clear" w:color="auto" w:fill="auto"/>
                  <w:vAlign w:val="center"/>
                </w:tcPr>
                <w:p w14:paraId="09B1A253">
                  <w:pPr>
                    <w:pStyle w:val="54"/>
                    <w:rPr>
                      <w:color w:val="auto"/>
                    </w:rPr>
                  </w:pPr>
                  <w:r>
                    <w:rPr>
                      <w:rFonts w:hint="eastAsia"/>
                      <w:color w:val="auto"/>
                    </w:rPr>
                    <w:t xml:space="preserve">+0.0593 </w:t>
                  </w:r>
                </w:p>
              </w:tc>
            </w:tr>
            <w:tr w14:paraId="1BAC13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04" w:type="pct"/>
                  <w:vMerge w:val="continue"/>
                  <w:shd w:val="clear" w:color="auto" w:fill="auto"/>
                  <w:vAlign w:val="center"/>
                </w:tcPr>
                <w:p w14:paraId="5EFE38B1">
                  <w:pPr>
                    <w:pStyle w:val="54"/>
                    <w:rPr>
                      <w:color w:val="auto"/>
                    </w:rPr>
                  </w:pPr>
                </w:p>
              </w:tc>
              <w:tc>
                <w:tcPr>
                  <w:tcW w:w="997" w:type="pct"/>
                  <w:gridSpan w:val="2"/>
                  <w:shd w:val="clear" w:color="auto" w:fill="auto"/>
                  <w:vAlign w:val="center"/>
                </w:tcPr>
                <w:p w14:paraId="55D3ED35">
                  <w:pPr>
                    <w:pStyle w:val="54"/>
                    <w:rPr>
                      <w:color w:val="auto"/>
                    </w:rPr>
                  </w:pPr>
                  <w:r>
                    <w:rPr>
                      <w:color w:val="auto"/>
                    </w:rPr>
                    <w:t>TP</w:t>
                  </w:r>
                </w:p>
              </w:tc>
              <w:tc>
                <w:tcPr>
                  <w:tcW w:w="616" w:type="pct"/>
                  <w:shd w:val="clear" w:color="auto" w:fill="auto"/>
                  <w:vAlign w:val="center"/>
                </w:tcPr>
                <w:p w14:paraId="78D9E84C">
                  <w:pPr>
                    <w:pStyle w:val="54"/>
                    <w:rPr>
                      <w:color w:val="auto"/>
                    </w:rPr>
                  </w:pPr>
                  <w:r>
                    <w:rPr>
                      <w:color w:val="auto"/>
                    </w:rPr>
                    <w:t>0.0006</w:t>
                  </w:r>
                  <w:r>
                    <w:rPr>
                      <w:rFonts w:hint="eastAsia"/>
                      <w:color w:val="auto"/>
                    </w:rPr>
                    <w:t xml:space="preserve"> </w:t>
                  </w:r>
                </w:p>
              </w:tc>
              <w:tc>
                <w:tcPr>
                  <w:tcW w:w="566" w:type="pct"/>
                  <w:shd w:val="clear" w:color="auto" w:fill="auto"/>
                  <w:vAlign w:val="center"/>
                </w:tcPr>
                <w:p w14:paraId="0E78A120">
                  <w:pPr>
                    <w:pStyle w:val="54"/>
                    <w:rPr>
                      <w:color w:val="auto"/>
                    </w:rPr>
                  </w:pPr>
                  <w:r>
                    <w:rPr>
                      <w:color w:val="auto"/>
                    </w:rPr>
                    <w:t xml:space="preserve">0.0025 </w:t>
                  </w:r>
                </w:p>
              </w:tc>
              <w:tc>
                <w:tcPr>
                  <w:tcW w:w="665" w:type="pct"/>
                  <w:shd w:val="clear" w:color="auto" w:fill="auto"/>
                  <w:vAlign w:val="center"/>
                </w:tcPr>
                <w:p w14:paraId="5E95E255">
                  <w:pPr>
                    <w:pStyle w:val="54"/>
                    <w:rPr>
                      <w:color w:val="auto"/>
                    </w:rPr>
                  </w:pPr>
                  <w:r>
                    <w:rPr>
                      <w:color w:val="auto"/>
                    </w:rPr>
                    <w:t xml:space="preserve">0.0076 </w:t>
                  </w:r>
                </w:p>
              </w:tc>
              <w:tc>
                <w:tcPr>
                  <w:tcW w:w="616" w:type="pct"/>
                  <w:shd w:val="clear" w:color="auto" w:fill="auto"/>
                  <w:vAlign w:val="center"/>
                </w:tcPr>
                <w:p w14:paraId="5A50925B">
                  <w:pPr>
                    <w:pStyle w:val="54"/>
                    <w:rPr>
                      <w:color w:val="auto"/>
                    </w:rPr>
                  </w:pPr>
                  <w:r>
                    <w:rPr>
                      <w:color w:val="auto"/>
                    </w:rPr>
                    <w:t>0.0006</w:t>
                  </w:r>
                  <w:r>
                    <w:rPr>
                      <w:rFonts w:hint="eastAsia"/>
                      <w:color w:val="auto"/>
                    </w:rPr>
                    <w:t xml:space="preserve"> </w:t>
                  </w:r>
                </w:p>
              </w:tc>
              <w:tc>
                <w:tcPr>
                  <w:tcW w:w="616" w:type="pct"/>
                  <w:shd w:val="clear" w:color="auto" w:fill="auto"/>
                  <w:vAlign w:val="center"/>
                </w:tcPr>
                <w:p w14:paraId="044B68EF">
                  <w:pPr>
                    <w:pStyle w:val="54"/>
                    <w:rPr>
                      <w:color w:val="auto"/>
                    </w:rPr>
                  </w:pPr>
                  <w:r>
                    <w:rPr>
                      <w:color w:val="auto"/>
                    </w:rPr>
                    <w:t xml:space="preserve">0.0076 </w:t>
                  </w:r>
                </w:p>
              </w:tc>
              <w:tc>
                <w:tcPr>
                  <w:tcW w:w="617" w:type="pct"/>
                  <w:shd w:val="clear" w:color="auto" w:fill="auto"/>
                  <w:vAlign w:val="center"/>
                </w:tcPr>
                <w:p w14:paraId="0333C942">
                  <w:pPr>
                    <w:pStyle w:val="54"/>
                    <w:rPr>
                      <w:color w:val="auto"/>
                    </w:rPr>
                  </w:pPr>
                  <w:r>
                    <w:rPr>
                      <w:rFonts w:hint="eastAsia"/>
                      <w:color w:val="auto"/>
                    </w:rPr>
                    <w:t xml:space="preserve">+0.0070 </w:t>
                  </w:r>
                </w:p>
              </w:tc>
            </w:tr>
            <w:tr w14:paraId="6DC76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04" w:type="pct"/>
                  <w:vMerge w:val="continue"/>
                  <w:shd w:val="clear" w:color="auto" w:fill="auto"/>
                  <w:vAlign w:val="center"/>
                </w:tcPr>
                <w:p w14:paraId="67DDA672">
                  <w:pPr>
                    <w:pStyle w:val="54"/>
                    <w:rPr>
                      <w:color w:val="auto"/>
                    </w:rPr>
                  </w:pPr>
                </w:p>
              </w:tc>
              <w:tc>
                <w:tcPr>
                  <w:tcW w:w="997" w:type="pct"/>
                  <w:gridSpan w:val="2"/>
                  <w:shd w:val="clear" w:color="auto" w:fill="auto"/>
                  <w:vAlign w:val="center"/>
                </w:tcPr>
                <w:p w14:paraId="6D49ACD6">
                  <w:pPr>
                    <w:pStyle w:val="54"/>
                    <w:rPr>
                      <w:color w:val="auto"/>
                    </w:rPr>
                  </w:pPr>
                  <w:r>
                    <w:rPr>
                      <w:color w:val="auto"/>
                    </w:rPr>
                    <w:t>TN</w:t>
                  </w:r>
                </w:p>
              </w:tc>
              <w:tc>
                <w:tcPr>
                  <w:tcW w:w="616" w:type="pct"/>
                  <w:shd w:val="clear" w:color="auto" w:fill="auto"/>
                  <w:vAlign w:val="center"/>
                </w:tcPr>
                <w:p w14:paraId="42E6E7C5">
                  <w:pPr>
                    <w:pStyle w:val="54"/>
                    <w:rPr>
                      <w:color w:val="auto"/>
                    </w:rPr>
                  </w:pPr>
                  <w:r>
                    <w:rPr>
                      <w:color w:val="auto"/>
                    </w:rPr>
                    <w:t>0.0089</w:t>
                  </w:r>
                  <w:r>
                    <w:rPr>
                      <w:rFonts w:hint="eastAsia"/>
                      <w:color w:val="auto"/>
                    </w:rPr>
                    <w:t xml:space="preserve"> </w:t>
                  </w:r>
                </w:p>
              </w:tc>
              <w:tc>
                <w:tcPr>
                  <w:tcW w:w="566" w:type="pct"/>
                  <w:shd w:val="clear" w:color="auto" w:fill="auto"/>
                  <w:vAlign w:val="center"/>
                </w:tcPr>
                <w:p w14:paraId="3A7D20DA">
                  <w:pPr>
                    <w:pStyle w:val="54"/>
                    <w:rPr>
                      <w:color w:val="auto"/>
                    </w:rPr>
                  </w:pPr>
                  <w:r>
                    <w:rPr>
                      <w:color w:val="auto"/>
                    </w:rPr>
                    <w:t xml:space="preserve">0.0336 </w:t>
                  </w:r>
                </w:p>
              </w:tc>
              <w:tc>
                <w:tcPr>
                  <w:tcW w:w="665" w:type="pct"/>
                  <w:shd w:val="clear" w:color="auto" w:fill="auto"/>
                  <w:vAlign w:val="center"/>
                </w:tcPr>
                <w:p w14:paraId="17C3E8BC">
                  <w:pPr>
                    <w:pStyle w:val="54"/>
                    <w:rPr>
                      <w:color w:val="auto"/>
                    </w:rPr>
                  </w:pPr>
                  <w:r>
                    <w:rPr>
                      <w:color w:val="auto"/>
                    </w:rPr>
                    <w:t xml:space="preserve">0.0864 </w:t>
                  </w:r>
                </w:p>
              </w:tc>
              <w:tc>
                <w:tcPr>
                  <w:tcW w:w="616" w:type="pct"/>
                  <w:shd w:val="clear" w:color="auto" w:fill="auto"/>
                  <w:vAlign w:val="center"/>
                </w:tcPr>
                <w:p w14:paraId="0A9CDABB">
                  <w:pPr>
                    <w:pStyle w:val="54"/>
                    <w:rPr>
                      <w:color w:val="auto"/>
                    </w:rPr>
                  </w:pPr>
                  <w:r>
                    <w:rPr>
                      <w:color w:val="auto"/>
                    </w:rPr>
                    <w:t>0.0089</w:t>
                  </w:r>
                  <w:r>
                    <w:rPr>
                      <w:rFonts w:hint="eastAsia"/>
                      <w:color w:val="auto"/>
                    </w:rPr>
                    <w:t xml:space="preserve"> </w:t>
                  </w:r>
                </w:p>
              </w:tc>
              <w:tc>
                <w:tcPr>
                  <w:tcW w:w="616" w:type="pct"/>
                  <w:shd w:val="clear" w:color="auto" w:fill="auto"/>
                  <w:vAlign w:val="center"/>
                </w:tcPr>
                <w:p w14:paraId="71DBAFB5">
                  <w:pPr>
                    <w:pStyle w:val="54"/>
                    <w:rPr>
                      <w:color w:val="auto"/>
                    </w:rPr>
                  </w:pPr>
                  <w:r>
                    <w:rPr>
                      <w:color w:val="auto"/>
                    </w:rPr>
                    <w:t xml:space="preserve">0.0864 </w:t>
                  </w:r>
                </w:p>
              </w:tc>
              <w:tc>
                <w:tcPr>
                  <w:tcW w:w="617" w:type="pct"/>
                  <w:shd w:val="clear" w:color="auto" w:fill="auto"/>
                  <w:vAlign w:val="center"/>
                </w:tcPr>
                <w:p w14:paraId="2D289EC7">
                  <w:pPr>
                    <w:pStyle w:val="54"/>
                    <w:rPr>
                      <w:color w:val="auto"/>
                    </w:rPr>
                  </w:pPr>
                  <w:r>
                    <w:rPr>
                      <w:rFonts w:hint="eastAsia"/>
                      <w:color w:val="auto"/>
                    </w:rPr>
                    <w:t xml:space="preserve">+0.0775 </w:t>
                  </w:r>
                </w:p>
              </w:tc>
            </w:tr>
            <w:tr w14:paraId="1C005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04" w:type="pct"/>
                  <w:vMerge w:val="continue"/>
                  <w:shd w:val="clear" w:color="auto" w:fill="auto"/>
                  <w:vAlign w:val="center"/>
                </w:tcPr>
                <w:p w14:paraId="2514CA84">
                  <w:pPr>
                    <w:pStyle w:val="54"/>
                    <w:rPr>
                      <w:color w:val="auto"/>
                    </w:rPr>
                  </w:pPr>
                </w:p>
              </w:tc>
              <w:tc>
                <w:tcPr>
                  <w:tcW w:w="997" w:type="pct"/>
                  <w:gridSpan w:val="2"/>
                  <w:shd w:val="clear" w:color="auto" w:fill="auto"/>
                  <w:vAlign w:val="center"/>
                </w:tcPr>
                <w:p w14:paraId="2C2A6D6C">
                  <w:pPr>
                    <w:pStyle w:val="54"/>
                    <w:rPr>
                      <w:color w:val="auto"/>
                    </w:rPr>
                  </w:pPr>
                  <w:r>
                    <w:rPr>
                      <w:rFonts w:hint="eastAsia"/>
                      <w:color w:val="auto"/>
                    </w:rPr>
                    <w:t>动植物油</w:t>
                  </w:r>
                </w:p>
              </w:tc>
              <w:tc>
                <w:tcPr>
                  <w:tcW w:w="616" w:type="pct"/>
                  <w:shd w:val="clear" w:color="auto" w:fill="auto"/>
                  <w:vAlign w:val="center"/>
                </w:tcPr>
                <w:p w14:paraId="031FC0D0">
                  <w:pPr>
                    <w:pStyle w:val="54"/>
                    <w:rPr>
                      <w:color w:val="auto"/>
                    </w:rPr>
                  </w:pPr>
                  <w:r>
                    <w:rPr>
                      <w:rFonts w:hint="eastAsia"/>
                      <w:color w:val="auto"/>
                    </w:rPr>
                    <w:t xml:space="preserve">0 </w:t>
                  </w:r>
                </w:p>
              </w:tc>
              <w:tc>
                <w:tcPr>
                  <w:tcW w:w="566" w:type="pct"/>
                  <w:shd w:val="clear" w:color="auto" w:fill="auto"/>
                  <w:vAlign w:val="center"/>
                </w:tcPr>
                <w:p w14:paraId="454F6ECA">
                  <w:pPr>
                    <w:pStyle w:val="54"/>
                    <w:rPr>
                      <w:color w:val="auto"/>
                    </w:rPr>
                  </w:pPr>
                  <w:r>
                    <w:rPr>
                      <w:rFonts w:hint="eastAsia"/>
                      <w:color w:val="auto"/>
                    </w:rPr>
                    <w:t>0</w:t>
                  </w:r>
                </w:p>
              </w:tc>
              <w:tc>
                <w:tcPr>
                  <w:tcW w:w="665" w:type="pct"/>
                  <w:shd w:val="clear" w:color="auto" w:fill="auto"/>
                  <w:vAlign w:val="center"/>
                </w:tcPr>
                <w:p w14:paraId="5C285B8B">
                  <w:pPr>
                    <w:pStyle w:val="54"/>
                    <w:rPr>
                      <w:color w:val="auto"/>
                    </w:rPr>
                  </w:pPr>
                  <w:r>
                    <w:rPr>
                      <w:color w:val="auto"/>
                    </w:rPr>
                    <w:t xml:space="preserve">0.1080 </w:t>
                  </w:r>
                </w:p>
              </w:tc>
              <w:tc>
                <w:tcPr>
                  <w:tcW w:w="616" w:type="pct"/>
                  <w:shd w:val="clear" w:color="auto" w:fill="auto"/>
                  <w:vAlign w:val="center"/>
                </w:tcPr>
                <w:p w14:paraId="3295E943">
                  <w:pPr>
                    <w:pStyle w:val="54"/>
                    <w:rPr>
                      <w:color w:val="auto"/>
                    </w:rPr>
                  </w:pPr>
                  <w:r>
                    <w:rPr>
                      <w:rFonts w:hint="eastAsia"/>
                      <w:color w:val="auto"/>
                    </w:rPr>
                    <w:t>/</w:t>
                  </w:r>
                </w:p>
              </w:tc>
              <w:tc>
                <w:tcPr>
                  <w:tcW w:w="616" w:type="pct"/>
                  <w:shd w:val="clear" w:color="auto" w:fill="auto"/>
                  <w:vAlign w:val="center"/>
                </w:tcPr>
                <w:p w14:paraId="33AD19D0">
                  <w:pPr>
                    <w:pStyle w:val="54"/>
                    <w:rPr>
                      <w:color w:val="auto"/>
                    </w:rPr>
                  </w:pPr>
                  <w:r>
                    <w:rPr>
                      <w:color w:val="auto"/>
                    </w:rPr>
                    <w:t xml:space="preserve">0.1080 </w:t>
                  </w:r>
                </w:p>
              </w:tc>
              <w:tc>
                <w:tcPr>
                  <w:tcW w:w="617" w:type="pct"/>
                  <w:shd w:val="clear" w:color="auto" w:fill="auto"/>
                  <w:vAlign w:val="center"/>
                </w:tcPr>
                <w:p w14:paraId="2142F598">
                  <w:pPr>
                    <w:pStyle w:val="54"/>
                    <w:rPr>
                      <w:color w:val="auto"/>
                    </w:rPr>
                  </w:pPr>
                  <w:r>
                    <w:rPr>
                      <w:rFonts w:hint="eastAsia"/>
                      <w:color w:val="auto"/>
                    </w:rPr>
                    <w:t xml:space="preserve">+0.1080 </w:t>
                  </w:r>
                </w:p>
              </w:tc>
            </w:tr>
            <w:tr w14:paraId="14540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1302" w:type="pct"/>
                  <w:gridSpan w:val="3"/>
                  <w:shd w:val="clear" w:color="auto" w:fill="auto"/>
                  <w:vAlign w:val="center"/>
                </w:tcPr>
                <w:p w14:paraId="5C02C8E9">
                  <w:pPr>
                    <w:pStyle w:val="52"/>
                    <w:rPr>
                      <w:color w:val="auto"/>
                    </w:rPr>
                  </w:pPr>
                  <w:r>
                    <w:rPr>
                      <w:color w:val="auto"/>
                    </w:rPr>
                    <w:t>污染物名称</w:t>
                  </w:r>
                </w:p>
              </w:tc>
              <w:tc>
                <w:tcPr>
                  <w:tcW w:w="616" w:type="pct"/>
                  <w:shd w:val="clear" w:color="auto" w:fill="auto"/>
                  <w:vAlign w:val="center"/>
                </w:tcPr>
                <w:p w14:paraId="0707603D">
                  <w:pPr>
                    <w:pStyle w:val="52"/>
                    <w:rPr>
                      <w:color w:val="auto"/>
                    </w:rPr>
                  </w:pPr>
                  <w:r>
                    <w:rPr>
                      <w:rFonts w:hint="eastAsia"/>
                      <w:color w:val="auto"/>
                    </w:rPr>
                    <w:t>现有项目产生量</w:t>
                  </w:r>
                </w:p>
              </w:tc>
              <w:tc>
                <w:tcPr>
                  <w:tcW w:w="566" w:type="pct"/>
                  <w:shd w:val="clear" w:color="auto" w:fill="auto"/>
                  <w:vAlign w:val="center"/>
                </w:tcPr>
                <w:p w14:paraId="33A56FD4">
                  <w:pPr>
                    <w:pStyle w:val="52"/>
                    <w:rPr>
                      <w:color w:val="auto"/>
                    </w:rPr>
                  </w:pPr>
                  <w:r>
                    <w:rPr>
                      <w:rFonts w:hint="eastAsia"/>
                      <w:color w:val="auto"/>
                    </w:rPr>
                    <w:t>环评</w:t>
                  </w:r>
                </w:p>
                <w:p w14:paraId="5D8AEE80">
                  <w:pPr>
                    <w:pStyle w:val="52"/>
                    <w:rPr>
                      <w:color w:val="auto"/>
                    </w:rPr>
                  </w:pPr>
                  <w:r>
                    <w:rPr>
                      <w:rFonts w:hint="eastAsia"/>
                      <w:color w:val="auto"/>
                    </w:rPr>
                    <w:t>批复量</w:t>
                  </w:r>
                </w:p>
              </w:tc>
              <w:tc>
                <w:tcPr>
                  <w:tcW w:w="665" w:type="pct"/>
                  <w:shd w:val="clear" w:color="auto" w:fill="auto"/>
                  <w:vAlign w:val="center"/>
                </w:tcPr>
                <w:p w14:paraId="02D31A54">
                  <w:pPr>
                    <w:pStyle w:val="52"/>
                    <w:rPr>
                      <w:color w:val="auto"/>
                    </w:rPr>
                  </w:pPr>
                  <w:r>
                    <w:rPr>
                      <w:rFonts w:hint="eastAsia"/>
                      <w:color w:val="auto"/>
                    </w:rPr>
                    <w:t>本扩建项目产生量</w:t>
                  </w:r>
                </w:p>
              </w:tc>
              <w:tc>
                <w:tcPr>
                  <w:tcW w:w="616" w:type="pct"/>
                  <w:shd w:val="clear" w:color="auto" w:fill="auto"/>
                  <w:vAlign w:val="center"/>
                </w:tcPr>
                <w:p w14:paraId="1A371E9A">
                  <w:pPr>
                    <w:pStyle w:val="52"/>
                    <w:rPr>
                      <w:color w:val="auto"/>
                    </w:rPr>
                  </w:pPr>
                  <w:r>
                    <w:rPr>
                      <w:rFonts w:hint="eastAsia"/>
                      <w:color w:val="auto"/>
                    </w:rPr>
                    <w:t>以新带老削减量</w:t>
                  </w:r>
                </w:p>
              </w:tc>
              <w:tc>
                <w:tcPr>
                  <w:tcW w:w="616" w:type="pct"/>
                  <w:shd w:val="clear" w:color="auto" w:fill="auto"/>
                  <w:vAlign w:val="center"/>
                </w:tcPr>
                <w:p w14:paraId="154A50ED">
                  <w:pPr>
                    <w:pStyle w:val="52"/>
                    <w:rPr>
                      <w:color w:val="auto"/>
                    </w:rPr>
                  </w:pPr>
                  <w:r>
                    <w:rPr>
                      <w:rFonts w:hint="eastAsia"/>
                      <w:color w:val="auto"/>
                    </w:rPr>
                    <w:t>全厂</w:t>
                  </w:r>
                </w:p>
                <w:p w14:paraId="45A8DACA">
                  <w:pPr>
                    <w:pStyle w:val="52"/>
                    <w:rPr>
                      <w:color w:val="auto"/>
                    </w:rPr>
                  </w:pPr>
                  <w:r>
                    <w:rPr>
                      <w:rFonts w:hint="eastAsia"/>
                      <w:color w:val="auto"/>
                    </w:rPr>
                    <w:t>产生量</w:t>
                  </w:r>
                </w:p>
              </w:tc>
              <w:tc>
                <w:tcPr>
                  <w:tcW w:w="617" w:type="pct"/>
                  <w:shd w:val="clear" w:color="auto" w:fill="auto"/>
                  <w:vAlign w:val="center"/>
                </w:tcPr>
                <w:p w14:paraId="19D947B5">
                  <w:pPr>
                    <w:pStyle w:val="52"/>
                    <w:rPr>
                      <w:color w:val="auto"/>
                    </w:rPr>
                  </w:pPr>
                  <w:r>
                    <w:rPr>
                      <w:rFonts w:hint="eastAsia"/>
                      <w:color w:val="auto"/>
                    </w:rPr>
                    <w:t>变化量</w:t>
                  </w:r>
                </w:p>
              </w:tc>
            </w:tr>
            <w:tr w14:paraId="5487B6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04" w:type="pct"/>
                  <w:vMerge w:val="restart"/>
                  <w:shd w:val="clear" w:color="auto" w:fill="auto"/>
                  <w:vAlign w:val="center"/>
                </w:tcPr>
                <w:p w14:paraId="2E8E81A8">
                  <w:pPr>
                    <w:pStyle w:val="54"/>
                    <w:bidi w:val="0"/>
                    <w:rPr>
                      <w:color w:val="auto"/>
                    </w:rPr>
                  </w:pPr>
                  <w:r>
                    <w:rPr>
                      <w:rFonts w:hint="eastAsia"/>
                      <w:color w:val="auto"/>
                    </w:rPr>
                    <w:t>固废</w:t>
                  </w:r>
                </w:p>
              </w:tc>
              <w:tc>
                <w:tcPr>
                  <w:tcW w:w="339" w:type="pct"/>
                  <w:vMerge w:val="restart"/>
                  <w:shd w:val="clear" w:color="auto" w:fill="auto"/>
                  <w:vAlign w:val="center"/>
                </w:tcPr>
                <w:p w14:paraId="47D64D71">
                  <w:pPr>
                    <w:pStyle w:val="54"/>
                    <w:bidi w:val="0"/>
                    <w:rPr>
                      <w:color w:val="auto"/>
                    </w:rPr>
                  </w:pPr>
                  <w:r>
                    <w:rPr>
                      <w:rFonts w:hint="eastAsia"/>
                      <w:color w:val="auto"/>
                    </w:rPr>
                    <w:t>一般固废</w:t>
                  </w:r>
                </w:p>
              </w:tc>
              <w:tc>
                <w:tcPr>
                  <w:tcW w:w="658" w:type="pct"/>
                  <w:shd w:val="clear" w:color="auto" w:fill="auto"/>
                  <w:vAlign w:val="center"/>
                </w:tcPr>
                <w:p w14:paraId="5E3A9987">
                  <w:pPr>
                    <w:pStyle w:val="54"/>
                    <w:bidi w:val="0"/>
                    <w:rPr>
                      <w:color w:val="auto"/>
                    </w:rPr>
                  </w:pPr>
                  <w:r>
                    <w:rPr>
                      <w:rFonts w:hint="eastAsia"/>
                      <w:color w:val="auto"/>
                    </w:rPr>
                    <w:t>炭黑</w:t>
                  </w:r>
                </w:p>
              </w:tc>
              <w:tc>
                <w:tcPr>
                  <w:tcW w:w="1039" w:type="dxa"/>
                  <w:shd w:val="clear" w:color="auto" w:fill="auto"/>
                  <w:vAlign w:val="center"/>
                </w:tcPr>
                <w:p w14:paraId="5E41D062">
                  <w:pPr>
                    <w:pStyle w:val="54"/>
                    <w:bidi w:val="0"/>
                    <w:rPr>
                      <w:color w:val="auto"/>
                    </w:rPr>
                  </w:pPr>
                  <w:r>
                    <w:rPr>
                      <w:rFonts w:hint="default"/>
                      <w:color w:val="auto"/>
                      <w:lang w:val="en-US" w:eastAsia="zh-CN"/>
                    </w:rPr>
                    <w:t>20</w:t>
                  </w:r>
                </w:p>
              </w:tc>
              <w:tc>
                <w:tcPr>
                  <w:tcW w:w="566" w:type="pct"/>
                  <w:shd w:val="clear" w:color="auto" w:fill="auto"/>
                  <w:vAlign w:val="center"/>
                </w:tcPr>
                <w:p w14:paraId="69184913">
                  <w:pPr>
                    <w:pStyle w:val="54"/>
                    <w:bidi w:val="0"/>
                    <w:rPr>
                      <w:color w:val="auto"/>
                    </w:rPr>
                  </w:pPr>
                  <w:r>
                    <w:rPr>
                      <w:color w:val="auto"/>
                    </w:rPr>
                    <w:t>/</w:t>
                  </w:r>
                </w:p>
              </w:tc>
              <w:tc>
                <w:tcPr>
                  <w:tcW w:w="665" w:type="pct"/>
                  <w:shd w:val="clear" w:color="auto" w:fill="auto"/>
                  <w:vAlign w:val="center"/>
                </w:tcPr>
                <w:p w14:paraId="0BE06683">
                  <w:pPr>
                    <w:pStyle w:val="54"/>
                    <w:bidi w:val="0"/>
                    <w:rPr>
                      <w:color w:val="auto"/>
                    </w:rPr>
                  </w:pPr>
                  <w:r>
                    <w:rPr>
                      <w:rFonts w:hint="eastAsia"/>
                      <w:color w:val="auto"/>
                    </w:rPr>
                    <w:t>/</w:t>
                  </w:r>
                </w:p>
              </w:tc>
              <w:tc>
                <w:tcPr>
                  <w:tcW w:w="616" w:type="pct"/>
                  <w:shd w:val="clear" w:color="auto" w:fill="auto"/>
                  <w:vAlign w:val="center"/>
                </w:tcPr>
                <w:p w14:paraId="6C9AAC57">
                  <w:pPr>
                    <w:pStyle w:val="54"/>
                    <w:bidi w:val="0"/>
                    <w:rPr>
                      <w:color w:val="auto"/>
                    </w:rPr>
                  </w:pPr>
                  <w:r>
                    <w:rPr>
                      <w:color w:val="auto"/>
                    </w:rPr>
                    <w:t>/</w:t>
                  </w:r>
                </w:p>
              </w:tc>
              <w:tc>
                <w:tcPr>
                  <w:tcW w:w="1039" w:type="dxa"/>
                  <w:shd w:val="clear" w:color="auto" w:fill="auto"/>
                  <w:vAlign w:val="center"/>
                </w:tcPr>
                <w:p w14:paraId="1962672C">
                  <w:pPr>
                    <w:pStyle w:val="54"/>
                    <w:bidi w:val="0"/>
                    <w:rPr>
                      <w:color w:val="auto"/>
                    </w:rPr>
                  </w:pPr>
                  <w:r>
                    <w:rPr>
                      <w:rFonts w:hint="eastAsia"/>
                      <w:color w:val="auto"/>
                      <w:lang w:val="en-US" w:eastAsia="zh-CN"/>
                    </w:rPr>
                    <w:t>20</w:t>
                  </w:r>
                </w:p>
              </w:tc>
              <w:tc>
                <w:tcPr>
                  <w:tcW w:w="617" w:type="pct"/>
                  <w:shd w:val="clear" w:color="auto" w:fill="auto"/>
                  <w:vAlign w:val="center"/>
                </w:tcPr>
                <w:p w14:paraId="63839931">
                  <w:pPr>
                    <w:pStyle w:val="54"/>
                    <w:bidi w:val="0"/>
                    <w:rPr>
                      <w:color w:val="auto"/>
                    </w:rPr>
                  </w:pPr>
                  <w:r>
                    <w:rPr>
                      <w:rFonts w:hint="eastAsia"/>
                      <w:color w:val="auto"/>
                    </w:rPr>
                    <w:t>0</w:t>
                  </w:r>
                </w:p>
              </w:tc>
            </w:tr>
            <w:tr w14:paraId="2ADEC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04" w:type="pct"/>
                  <w:vMerge w:val="continue"/>
                  <w:shd w:val="clear" w:color="auto" w:fill="auto"/>
                  <w:vAlign w:val="center"/>
                </w:tcPr>
                <w:p w14:paraId="294CB917">
                  <w:pPr>
                    <w:pStyle w:val="54"/>
                    <w:bidi w:val="0"/>
                    <w:rPr>
                      <w:color w:val="auto"/>
                    </w:rPr>
                  </w:pPr>
                </w:p>
              </w:tc>
              <w:tc>
                <w:tcPr>
                  <w:tcW w:w="339" w:type="pct"/>
                  <w:vMerge w:val="continue"/>
                  <w:shd w:val="clear" w:color="auto" w:fill="auto"/>
                  <w:vAlign w:val="center"/>
                </w:tcPr>
                <w:p w14:paraId="03F376D7">
                  <w:pPr>
                    <w:pStyle w:val="54"/>
                    <w:bidi w:val="0"/>
                    <w:rPr>
                      <w:color w:val="auto"/>
                    </w:rPr>
                  </w:pPr>
                </w:p>
              </w:tc>
              <w:tc>
                <w:tcPr>
                  <w:tcW w:w="658" w:type="pct"/>
                  <w:shd w:val="clear" w:color="auto" w:fill="auto"/>
                  <w:vAlign w:val="center"/>
                </w:tcPr>
                <w:p w14:paraId="727935DC">
                  <w:pPr>
                    <w:pStyle w:val="54"/>
                    <w:bidi w:val="0"/>
                    <w:rPr>
                      <w:color w:val="auto"/>
                    </w:rPr>
                  </w:pPr>
                  <w:r>
                    <w:rPr>
                      <w:rFonts w:hint="eastAsia"/>
                      <w:color w:val="auto"/>
                    </w:rPr>
                    <w:t>钢带</w:t>
                  </w:r>
                </w:p>
              </w:tc>
              <w:tc>
                <w:tcPr>
                  <w:tcW w:w="1039" w:type="dxa"/>
                  <w:shd w:val="clear" w:color="auto" w:fill="auto"/>
                  <w:vAlign w:val="center"/>
                </w:tcPr>
                <w:p w14:paraId="70BE7A54">
                  <w:pPr>
                    <w:pStyle w:val="54"/>
                    <w:bidi w:val="0"/>
                    <w:rPr>
                      <w:color w:val="auto"/>
                    </w:rPr>
                  </w:pPr>
                  <w:r>
                    <w:rPr>
                      <w:rFonts w:hint="default"/>
                      <w:color w:val="auto"/>
                      <w:lang w:val="en-US" w:eastAsia="zh-CN"/>
                    </w:rPr>
                    <w:t>7</w:t>
                  </w:r>
                </w:p>
              </w:tc>
              <w:tc>
                <w:tcPr>
                  <w:tcW w:w="566" w:type="pct"/>
                  <w:shd w:val="clear" w:color="auto" w:fill="auto"/>
                  <w:vAlign w:val="center"/>
                </w:tcPr>
                <w:p w14:paraId="4F07D9DF">
                  <w:pPr>
                    <w:pStyle w:val="54"/>
                    <w:bidi w:val="0"/>
                    <w:rPr>
                      <w:color w:val="auto"/>
                    </w:rPr>
                  </w:pPr>
                  <w:r>
                    <w:rPr>
                      <w:color w:val="auto"/>
                    </w:rPr>
                    <w:t>/</w:t>
                  </w:r>
                </w:p>
              </w:tc>
              <w:tc>
                <w:tcPr>
                  <w:tcW w:w="665" w:type="pct"/>
                  <w:shd w:val="clear" w:color="auto" w:fill="auto"/>
                  <w:vAlign w:val="center"/>
                </w:tcPr>
                <w:p w14:paraId="51F4584B">
                  <w:pPr>
                    <w:pStyle w:val="54"/>
                    <w:bidi w:val="0"/>
                    <w:rPr>
                      <w:color w:val="auto"/>
                    </w:rPr>
                  </w:pPr>
                  <w:r>
                    <w:rPr>
                      <w:rFonts w:hint="eastAsia"/>
                      <w:color w:val="auto"/>
                    </w:rPr>
                    <w:t>/</w:t>
                  </w:r>
                </w:p>
              </w:tc>
              <w:tc>
                <w:tcPr>
                  <w:tcW w:w="616" w:type="pct"/>
                  <w:shd w:val="clear" w:color="auto" w:fill="auto"/>
                  <w:vAlign w:val="center"/>
                </w:tcPr>
                <w:p w14:paraId="5AE5BD4C">
                  <w:pPr>
                    <w:pStyle w:val="54"/>
                    <w:bidi w:val="0"/>
                    <w:rPr>
                      <w:color w:val="auto"/>
                    </w:rPr>
                  </w:pPr>
                  <w:r>
                    <w:rPr>
                      <w:color w:val="auto"/>
                    </w:rPr>
                    <w:t>/</w:t>
                  </w:r>
                </w:p>
              </w:tc>
              <w:tc>
                <w:tcPr>
                  <w:tcW w:w="1039" w:type="dxa"/>
                  <w:shd w:val="clear" w:color="auto" w:fill="auto"/>
                  <w:vAlign w:val="center"/>
                </w:tcPr>
                <w:p w14:paraId="3E7432E8">
                  <w:pPr>
                    <w:pStyle w:val="54"/>
                    <w:bidi w:val="0"/>
                    <w:rPr>
                      <w:color w:val="auto"/>
                    </w:rPr>
                  </w:pPr>
                  <w:r>
                    <w:rPr>
                      <w:rFonts w:hint="eastAsia"/>
                      <w:color w:val="auto"/>
                      <w:lang w:val="en-US" w:eastAsia="zh-CN"/>
                    </w:rPr>
                    <w:t>7</w:t>
                  </w:r>
                </w:p>
              </w:tc>
              <w:tc>
                <w:tcPr>
                  <w:tcW w:w="617" w:type="pct"/>
                  <w:shd w:val="clear" w:color="auto" w:fill="auto"/>
                  <w:vAlign w:val="center"/>
                </w:tcPr>
                <w:p w14:paraId="2787856F">
                  <w:pPr>
                    <w:pStyle w:val="54"/>
                    <w:bidi w:val="0"/>
                    <w:rPr>
                      <w:color w:val="auto"/>
                    </w:rPr>
                  </w:pPr>
                  <w:r>
                    <w:rPr>
                      <w:rFonts w:hint="eastAsia"/>
                      <w:color w:val="auto"/>
                    </w:rPr>
                    <w:t>0</w:t>
                  </w:r>
                </w:p>
              </w:tc>
            </w:tr>
            <w:tr w14:paraId="50576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04" w:type="pct"/>
                  <w:vMerge w:val="continue"/>
                  <w:shd w:val="clear" w:color="auto" w:fill="auto"/>
                  <w:vAlign w:val="center"/>
                </w:tcPr>
                <w:p w14:paraId="28B68184">
                  <w:pPr>
                    <w:pStyle w:val="54"/>
                    <w:bidi w:val="0"/>
                    <w:rPr>
                      <w:color w:val="auto"/>
                    </w:rPr>
                  </w:pPr>
                </w:p>
              </w:tc>
              <w:tc>
                <w:tcPr>
                  <w:tcW w:w="339" w:type="pct"/>
                  <w:vMerge w:val="continue"/>
                  <w:shd w:val="clear" w:color="auto" w:fill="auto"/>
                  <w:vAlign w:val="center"/>
                </w:tcPr>
                <w:p w14:paraId="32F04D5E">
                  <w:pPr>
                    <w:pStyle w:val="54"/>
                    <w:bidi w:val="0"/>
                    <w:rPr>
                      <w:color w:val="auto"/>
                    </w:rPr>
                  </w:pPr>
                </w:p>
              </w:tc>
              <w:tc>
                <w:tcPr>
                  <w:tcW w:w="658" w:type="pct"/>
                  <w:shd w:val="clear" w:color="auto" w:fill="auto"/>
                  <w:vAlign w:val="center"/>
                </w:tcPr>
                <w:p w14:paraId="247B7D29">
                  <w:pPr>
                    <w:pStyle w:val="54"/>
                    <w:bidi w:val="0"/>
                    <w:rPr>
                      <w:color w:val="auto"/>
                    </w:rPr>
                  </w:pPr>
                  <w:r>
                    <w:rPr>
                      <w:rFonts w:hint="eastAsia"/>
                      <w:color w:val="auto"/>
                    </w:rPr>
                    <w:t>除尘灰</w:t>
                  </w:r>
                </w:p>
              </w:tc>
              <w:tc>
                <w:tcPr>
                  <w:tcW w:w="1039" w:type="dxa"/>
                  <w:shd w:val="clear" w:color="auto" w:fill="auto"/>
                  <w:vAlign w:val="center"/>
                </w:tcPr>
                <w:p w14:paraId="2EAAE6FE">
                  <w:pPr>
                    <w:pStyle w:val="54"/>
                    <w:bidi w:val="0"/>
                    <w:rPr>
                      <w:color w:val="auto"/>
                    </w:rPr>
                  </w:pPr>
                  <w:r>
                    <w:rPr>
                      <w:rFonts w:hint="default"/>
                      <w:color w:val="auto"/>
                      <w:lang w:val="en-US" w:eastAsia="zh-CN"/>
                    </w:rPr>
                    <w:t>6</w:t>
                  </w:r>
                </w:p>
              </w:tc>
              <w:tc>
                <w:tcPr>
                  <w:tcW w:w="566" w:type="pct"/>
                  <w:shd w:val="clear" w:color="auto" w:fill="auto"/>
                  <w:vAlign w:val="center"/>
                </w:tcPr>
                <w:p w14:paraId="4A87861D">
                  <w:pPr>
                    <w:pStyle w:val="54"/>
                    <w:bidi w:val="0"/>
                    <w:rPr>
                      <w:color w:val="auto"/>
                    </w:rPr>
                  </w:pPr>
                  <w:r>
                    <w:rPr>
                      <w:color w:val="auto"/>
                    </w:rPr>
                    <w:t>/</w:t>
                  </w:r>
                </w:p>
              </w:tc>
              <w:tc>
                <w:tcPr>
                  <w:tcW w:w="1122" w:type="dxa"/>
                  <w:shd w:val="clear" w:color="auto" w:fill="auto"/>
                  <w:vAlign w:val="center"/>
                </w:tcPr>
                <w:p w14:paraId="6656A769">
                  <w:pPr>
                    <w:pStyle w:val="54"/>
                    <w:bidi w:val="0"/>
                    <w:rPr>
                      <w:color w:val="auto"/>
                    </w:rPr>
                  </w:pPr>
                  <w:r>
                    <w:rPr>
                      <w:rFonts w:hint="default"/>
                      <w:color w:val="auto"/>
                      <w:lang w:val="en-US" w:eastAsia="zh-CN"/>
                    </w:rPr>
                    <w:t>10.23</w:t>
                  </w:r>
                </w:p>
              </w:tc>
              <w:tc>
                <w:tcPr>
                  <w:tcW w:w="616" w:type="pct"/>
                  <w:shd w:val="clear" w:color="auto" w:fill="auto"/>
                  <w:vAlign w:val="center"/>
                </w:tcPr>
                <w:p w14:paraId="17DAD724">
                  <w:pPr>
                    <w:pStyle w:val="54"/>
                    <w:bidi w:val="0"/>
                    <w:rPr>
                      <w:color w:val="auto"/>
                    </w:rPr>
                  </w:pPr>
                  <w:r>
                    <w:rPr>
                      <w:color w:val="auto"/>
                    </w:rPr>
                    <w:t>/</w:t>
                  </w:r>
                </w:p>
              </w:tc>
              <w:tc>
                <w:tcPr>
                  <w:tcW w:w="1039" w:type="dxa"/>
                  <w:shd w:val="clear" w:color="auto" w:fill="auto"/>
                  <w:vAlign w:val="center"/>
                </w:tcPr>
                <w:p w14:paraId="36583481">
                  <w:pPr>
                    <w:pStyle w:val="54"/>
                    <w:bidi w:val="0"/>
                    <w:rPr>
                      <w:color w:val="auto"/>
                    </w:rPr>
                  </w:pPr>
                  <w:r>
                    <w:rPr>
                      <w:rFonts w:hint="eastAsia"/>
                      <w:color w:val="auto"/>
                      <w:lang w:val="en-US" w:eastAsia="zh-CN"/>
                    </w:rPr>
                    <w:t>16.23</w:t>
                  </w:r>
                </w:p>
              </w:tc>
              <w:tc>
                <w:tcPr>
                  <w:tcW w:w="617" w:type="pct"/>
                  <w:shd w:val="clear" w:color="auto" w:fill="auto"/>
                  <w:vAlign w:val="center"/>
                </w:tcPr>
                <w:p w14:paraId="5FBA6F68">
                  <w:pPr>
                    <w:pStyle w:val="54"/>
                    <w:bidi w:val="0"/>
                    <w:rPr>
                      <w:color w:val="auto"/>
                    </w:rPr>
                  </w:pPr>
                  <w:r>
                    <w:rPr>
                      <w:rFonts w:hint="eastAsia"/>
                      <w:color w:val="auto"/>
                    </w:rPr>
                    <w:t>+10.23</w:t>
                  </w:r>
                </w:p>
              </w:tc>
            </w:tr>
            <w:tr w14:paraId="6DF6D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04" w:type="pct"/>
                  <w:vMerge w:val="continue"/>
                  <w:shd w:val="clear" w:color="auto" w:fill="auto"/>
                  <w:vAlign w:val="center"/>
                </w:tcPr>
                <w:p w14:paraId="4A45915D">
                  <w:pPr>
                    <w:pStyle w:val="54"/>
                    <w:bidi w:val="0"/>
                    <w:rPr>
                      <w:color w:val="auto"/>
                    </w:rPr>
                  </w:pPr>
                </w:p>
              </w:tc>
              <w:tc>
                <w:tcPr>
                  <w:tcW w:w="339" w:type="pct"/>
                  <w:vMerge w:val="continue"/>
                  <w:shd w:val="clear" w:color="auto" w:fill="auto"/>
                  <w:vAlign w:val="center"/>
                </w:tcPr>
                <w:p w14:paraId="23CF9C51">
                  <w:pPr>
                    <w:pStyle w:val="54"/>
                    <w:bidi w:val="0"/>
                    <w:rPr>
                      <w:color w:val="auto"/>
                    </w:rPr>
                  </w:pPr>
                </w:p>
              </w:tc>
              <w:tc>
                <w:tcPr>
                  <w:tcW w:w="658" w:type="pct"/>
                  <w:shd w:val="clear" w:color="auto" w:fill="auto"/>
                  <w:vAlign w:val="center"/>
                </w:tcPr>
                <w:p w14:paraId="37480BEE">
                  <w:pPr>
                    <w:pStyle w:val="54"/>
                    <w:bidi w:val="0"/>
                    <w:rPr>
                      <w:color w:val="auto"/>
                    </w:rPr>
                  </w:pPr>
                  <w:r>
                    <w:rPr>
                      <w:rFonts w:hint="eastAsia"/>
                      <w:color w:val="auto"/>
                    </w:rPr>
                    <w:t>废布袋</w:t>
                  </w:r>
                </w:p>
              </w:tc>
              <w:tc>
                <w:tcPr>
                  <w:tcW w:w="1039" w:type="dxa"/>
                  <w:shd w:val="clear" w:color="auto" w:fill="auto"/>
                  <w:vAlign w:val="center"/>
                </w:tcPr>
                <w:p w14:paraId="49568F27">
                  <w:pPr>
                    <w:pStyle w:val="54"/>
                    <w:bidi w:val="0"/>
                    <w:rPr>
                      <w:color w:val="auto"/>
                    </w:rPr>
                  </w:pPr>
                  <w:r>
                    <w:rPr>
                      <w:rFonts w:hint="default"/>
                      <w:color w:val="auto"/>
                      <w:lang w:val="en-US" w:eastAsia="zh-CN"/>
                    </w:rPr>
                    <w:t>0.7</w:t>
                  </w:r>
                </w:p>
              </w:tc>
              <w:tc>
                <w:tcPr>
                  <w:tcW w:w="566" w:type="pct"/>
                  <w:shd w:val="clear" w:color="auto" w:fill="auto"/>
                  <w:vAlign w:val="center"/>
                </w:tcPr>
                <w:p w14:paraId="44B59371">
                  <w:pPr>
                    <w:pStyle w:val="54"/>
                    <w:bidi w:val="0"/>
                    <w:rPr>
                      <w:color w:val="auto"/>
                    </w:rPr>
                  </w:pPr>
                  <w:r>
                    <w:rPr>
                      <w:rFonts w:hint="eastAsia"/>
                      <w:color w:val="auto"/>
                    </w:rPr>
                    <w:t>/</w:t>
                  </w:r>
                </w:p>
              </w:tc>
              <w:tc>
                <w:tcPr>
                  <w:tcW w:w="1122" w:type="dxa"/>
                  <w:shd w:val="clear" w:color="auto" w:fill="auto"/>
                  <w:vAlign w:val="center"/>
                </w:tcPr>
                <w:p w14:paraId="463708EB">
                  <w:pPr>
                    <w:pStyle w:val="54"/>
                    <w:bidi w:val="0"/>
                    <w:rPr>
                      <w:color w:val="auto"/>
                    </w:rPr>
                  </w:pPr>
                  <w:r>
                    <w:rPr>
                      <w:rFonts w:hint="default"/>
                      <w:color w:val="auto"/>
                      <w:lang w:val="en-US" w:eastAsia="zh-CN"/>
                    </w:rPr>
                    <w:t>0.1</w:t>
                  </w:r>
                </w:p>
              </w:tc>
              <w:tc>
                <w:tcPr>
                  <w:tcW w:w="616" w:type="pct"/>
                  <w:shd w:val="clear" w:color="auto" w:fill="auto"/>
                  <w:vAlign w:val="center"/>
                </w:tcPr>
                <w:p w14:paraId="0F32A879">
                  <w:pPr>
                    <w:pStyle w:val="54"/>
                    <w:bidi w:val="0"/>
                    <w:rPr>
                      <w:color w:val="auto"/>
                    </w:rPr>
                  </w:pPr>
                  <w:r>
                    <w:rPr>
                      <w:rFonts w:hint="eastAsia"/>
                      <w:color w:val="auto"/>
                    </w:rPr>
                    <w:t>/</w:t>
                  </w:r>
                </w:p>
              </w:tc>
              <w:tc>
                <w:tcPr>
                  <w:tcW w:w="1039" w:type="dxa"/>
                  <w:shd w:val="clear" w:color="auto" w:fill="auto"/>
                  <w:vAlign w:val="center"/>
                </w:tcPr>
                <w:p w14:paraId="488385CC">
                  <w:pPr>
                    <w:pStyle w:val="54"/>
                    <w:bidi w:val="0"/>
                    <w:rPr>
                      <w:color w:val="auto"/>
                    </w:rPr>
                  </w:pPr>
                  <w:r>
                    <w:rPr>
                      <w:rFonts w:hint="eastAsia"/>
                      <w:color w:val="auto"/>
                      <w:lang w:val="en-US" w:eastAsia="zh-CN"/>
                    </w:rPr>
                    <w:t>0.8</w:t>
                  </w:r>
                </w:p>
              </w:tc>
              <w:tc>
                <w:tcPr>
                  <w:tcW w:w="617" w:type="pct"/>
                  <w:shd w:val="clear" w:color="auto" w:fill="auto"/>
                  <w:vAlign w:val="center"/>
                </w:tcPr>
                <w:p w14:paraId="1C4DE42C">
                  <w:pPr>
                    <w:pStyle w:val="54"/>
                    <w:bidi w:val="0"/>
                    <w:rPr>
                      <w:rFonts w:hint="default"/>
                      <w:color w:val="auto"/>
                      <w:lang w:val="en-US" w:eastAsia="zh-CN"/>
                    </w:rPr>
                  </w:pPr>
                  <w:r>
                    <w:rPr>
                      <w:rFonts w:hint="eastAsia"/>
                      <w:color w:val="auto"/>
                    </w:rPr>
                    <w:t>+</w:t>
                  </w:r>
                  <w:r>
                    <w:rPr>
                      <w:rFonts w:hint="eastAsia"/>
                      <w:color w:val="auto"/>
                      <w:lang w:val="en-US" w:eastAsia="zh-CN"/>
                    </w:rPr>
                    <w:t>0.1</w:t>
                  </w:r>
                </w:p>
              </w:tc>
            </w:tr>
            <w:tr w14:paraId="24042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04" w:type="pct"/>
                  <w:vMerge w:val="continue"/>
                  <w:shd w:val="clear" w:color="auto" w:fill="auto"/>
                  <w:vAlign w:val="center"/>
                </w:tcPr>
                <w:p w14:paraId="7A1443B8">
                  <w:pPr>
                    <w:pStyle w:val="54"/>
                    <w:bidi w:val="0"/>
                    <w:rPr>
                      <w:color w:val="auto"/>
                    </w:rPr>
                  </w:pPr>
                </w:p>
              </w:tc>
              <w:tc>
                <w:tcPr>
                  <w:tcW w:w="339" w:type="pct"/>
                  <w:vMerge w:val="continue"/>
                  <w:shd w:val="clear" w:color="auto" w:fill="auto"/>
                  <w:vAlign w:val="center"/>
                </w:tcPr>
                <w:p w14:paraId="32979498">
                  <w:pPr>
                    <w:pStyle w:val="54"/>
                    <w:bidi w:val="0"/>
                    <w:rPr>
                      <w:color w:val="auto"/>
                    </w:rPr>
                  </w:pPr>
                </w:p>
              </w:tc>
              <w:tc>
                <w:tcPr>
                  <w:tcW w:w="658" w:type="pct"/>
                  <w:shd w:val="clear" w:color="auto" w:fill="auto"/>
                  <w:vAlign w:val="center"/>
                </w:tcPr>
                <w:p w14:paraId="61B0B886">
                  <w:pPr>
                    <w:pStyle w:val="54"/>
                    <w:bidi w:val="0"/>
                    <w:rPr>
                      <w:color w:val="auto"/>
                    </w:rPr>
                  </w:pPr>
                  <w:r>
                    <w:rPr>
                      <w:rFonts w:hint="eastAsia"/>
                      <w:color w:val="auto"/>
                    </w:rPr>
                    <w:t>炉渣</w:t>
                  </w:r>
                </w:p>
              </w:tc>
              <w:tc>
                <w:tcPr>
                  <w:tcW w:w="1039" w:type="dxa"/>
                  <w:shd w:val="clear" w:color="auto" w:fill="auto"/>
                  <w:vAlign w:val="center"/>
                </w:tcPr>
                <w:p w14:paraId="018C84A4">
                  <w:pPr>
                    <w:pStyle w:val="54"/>
                    <w:bidi w:val="0"/>
                    <w:rPr>
                      <w:color w:val="auto"/>
                    </w:rPr>
                  </w:pPr>
                  <w:r>
                    <w:rPr>
                      <w:rFonts w:hint="default"/>
                      <w:color w:val="auto"/>
                      <w:lang w:val="en-US" w:eastAsia="zh-CN"/>
                    </w:rPr>
                    <w:t>240</w:t>
                  </w:r>
                </w:p>
              </w:tc>
              <w:tc>
                <w:tcPr>
                  <w:tcW w:w="566" w:type="pct"/>
                  <w:shd w:val="clear" w:color="auto" w:fill="auto"/>
                  <w:vAlign w:val="center"/>
                </w:tcPr>
                <w:p w14:paraId="49FB8E43">
                  <w:pPr>
                    <w:pStyle w:val="54"/>
                    <w:bidi w:val="0"/>
                    <w:rPr>
                      <w:color w:val="auto"/>
                    </w:rPr>
                  </w:pPr>
                  <w:r>
                    <w:rPr>
                      <w:rFonts w:hint="eastAsia"/>
                      <w:color w:val="auto"/>
                    </w:rPr>
                    <w:t>/</w:t>
                  </w:r>
                </w:p>
              </w:tc>
              <w:tc>
                <w:tcPr>
                  <w:tcW w:w="1122" w:type="dxa"/>
                  <w:shd w:val="clear" w:color="auto" w:fill="auto"/>
                  <w:vAlign w:val="center"/>
                </w:tcPr>
                <w:p w14:paraId="69D6F84C">
                  <w:pPr>
                    <w:pStyle w:val="54"/>
                    <w:bidi w:val="0"/>
                    <w:rPr>
                      <w:color w:val="auto"/>
                    </w:rPr>
                  </w:pPr>
                  <w:r>
                    <w:rPr>
                      <w:rFonts w:hint="default"/>
                      <w:color w:val="auto"/>
                      <w:lang w:val="en-US" w:eastAsia="zh-CN"/>
                    </w:rPr>
                    <w:t>13</w:t>
                  </w:r>
                </w:p>
              </w:tc>
              <w:tc>
                <w:tcPr>
                  <w:tcW w:w="616" w:type="pct"/>
                  <w:shd w:val="clear" w:color="auto" w:fill="auto"/>
                  <w:vAlign w:val="center"/>
                </w:tcPr>
                <w:p w14:paraId="3651402F">
                  <w:pPr>
                    <w:pStyle w:val="54"/>
                    <w:bidi w:val="0"/>
                    <w:rPr>
                      <w:color w:val="auto"/>
                    </w:rPr>
                  </w:pPr>
                  <w:r>
                    <w:rPr>
                      <w:rFonts w:hint="eastAsia"/>
                      <w:color w:val="auto"/>
                    </w:rPr>
                    <w:t>/</w:t>
                  </w:r>
                </w:p>
              </w:tc>
              <w:tc>
                <w:tcPr>
                  <w:tcW w:w="1039" w:type="dxa"/>
                  <w:shd w:val="clear" w:color="auto" w:fill="auto"/>
                  <w:vAlign w:val="center"/>
                </w:tcPr>
                <w:p w14:paraId="2C5B98C0">
                  <w:pPr>
                    <w:pStyle w:val="54"/>
                    <w:bidi w:val="0"/>
                    <w:rPr>
                      <w:color w:val="auto"/>
                    </w:rPr>
                  </w:pPr>
                  <w:r>
                    <w:rPr>
                      <w:rFonts w:hint="eastAsia"/>
                      <w:color w:val="auto"/>
                      <w:lang w:val="en-US" w:eastAsia="zh-CN"/>
                    </w:rPr>
                    <w:t>253</w:t>
                  </w:r>
                </w:p>
              </w:tc>
              <w:tc>
                <w:tcPr>
                  <w:tcW w:w="617" w:type="pct"/>
                  <w:shd w:val="clear" w:color="auto" w:fill="auto"/>
                  <w:vAlign w:val="center"/>
                </w:tcPr>
                <w:p w14:paraId="10FE8ABB">
                  <w:pPr>
                    <w:pStyle w:val="54"/>
                    <w:bidi w:val="0"/>
                    <w:rPr>
                      <w:rFonts w:hint="default"/>
                      <w:color w:val="auto"/>
                      <w:lang w:val="en-US" w:eastAsia="zh-CN"/>
                    </w:rPr>
                  </w:pPr>
                  <w:r>
                    <w:rPr>
                      <w:rFonts w:hint="eastAsia"/>
                      <w:color w:val="auto"/>
                    </w:rPr>
                    <w:t>+</w:t>
                  </w:r>
                  <w:r>
                    <w:rPr>
                      <w:rFonts w:hint="eastAsia"/>
                      <w:color w:val="auto"/>
                      <w:lang w:val="en-US" w:eastAsia="zh-CN"/>
                    </w:rPr>
                    <w:t>13</w:t>
                  </w:r>
                </w:p>
              </w:tc>
            </w:tr>
            <w:tr w14:paraId="652CA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04" w:type="pct"/>
                  <w:vMerge w:val="continue"/>
                  <w:shd w:val="clear" w:color="auto" w:fill="auto"/>
                  <w:vAlign w:val="center"/>
                </w:tcPr>
                <w:p w14:paraId="4729DB14">
                  <w:pPr>
                    <w:pStyle w:val="54"/>
                    <w:bidi w:val="0"/>
                    <w:rPr>
                      <w:color w:val="auto"/>
                    </w:rPr>
                  </w:pPr>
                </w:p>
              </w:tc>
              <w:tc>
                <w:tcPr>
                  <w:tcW w:w="339" w:type="pct"/>
                  <w:vMerge w:val="restart"/>
                  <w:shd w:val="clear" w:color="auto" w:fill="auto"/>
                  <w:vAlign w:val="center"/>
                </w:tcPr>
                <w:p w14:paraId="4EA462E9">
                  <w:pPr>
                    <w:pStyle w:val="54"/>
                    <w:bidi w:val="0"/>
                    <w:rPr>
                      <w:color w:val="auto"/>
                    </w:rPr>
                  </w:pPr>
                  <w:r>
                    <w:rPr>
                      <w:rFonts w:hint="eastAsia"/>
                      <w:color w:val="auto"/>
                    </w:rPr>
                    <w:t>危险固废</w:t>
                  </w:r>
                </w:p>
              </w:tc>
              <w:tc>
                <w:tcPr>
                  <w:tcW w:w="658" w:type="pct"/>
                  <w:shd w:val="clear" w:color="auto" w:fill="auto"/>
                  <w:vAlign w:val="center"/>
                </w:tcPr>
                <w:p w14:paraId="6029758A">
                  <w:pPr>
                    <w:pStyle w:val="54"/>
                    <w:bidi w:val="0"/>
                    <w:rPr>
                      <w:color w:val="auto"/>
                    </w:rPr>
                  </w:pPr>
                  <w:r>
                    <w:rPr>
                      <w:rFonts w:hint="eastAsia"/>
                      <w:color w:val="auto"/>
                    </w:rPr>
                    <w:t>废乳化液</w:t>
                  </w:r>
                </w:p>
              </w:tc>
              <w:tc>
                <w:tcPr>
                  <w:tcW w:w="1039" w:type="dxa"/>
                  <w:shd w:val="clear" w:color="auto" w:fill="auto"/>
                  <w:vAlign w:val="center"/>
                </w:tcPr>
                <w:p w14:paraId="4278F697">
                  <w:pPr>
                    <w:pStyle w:val="54"/>
                    <w:bidi w:val="0"/>
                    <w:rPr>
                      <w:color w:val="auto"/>
                    </w:rPr>
                  </w:pPr>
                  <w:r>
                    <w:rPr>
                      <w:rFonts w:hint="default"/>
                      <w:color w:val="auto"/>
                      <w:lang w:val="en-US" w:eastAsia="zh-CN"/>
                    </w:rPr>
                    <w:t>1.5</w:t>
                  </w:r>
                </w:p>
              </w:tc>
              <w:tc>
                <w:tcPr>
                  <w:tcW w:w="566" w:type="pct"/>
                  <w:shd w:val="clear" w:color="auto" w:fill="auto"/>
                  <w:vAlign w:val="center"/>
                </w:tcPr>
                <w:p w14:paraId="6B542163">
                  <w:pPr>
                    <w:pStyle w:val="54"/>
                    <w:bidi w:val="0"/>
                    <w:rPr>
                      <w:color w:val="auto"/>
                    </w:rPr>
                  </w:pPr>
                  <w:r>
                    <w:rPr>
                      <w:color w:val="auto"/>
                    </w:rPr>
                    <w:t>/</w:t>
                  </w:r>
                </w:p>
              </w:tc>
              <w:tc>
                <w:tcPr>
                  <w:tcW w:w="1122" w:type="dxa"/>
                  <w:shd w:val="clear" w:color="auto" w:fill="auto"/>
                  <w:vAlign w:val="center"/>
                </w:tcPr>
                <w:p w14:paraId="120C3DE0">
                  <w:pPr>
                    <w:pStyle w:val="54"/>
                    <w:bidi w:val="0"/>
                    <w:rPr>
                      <w:rFonts w:hint="eastAsia"/>
                      <w:color w:val="auto"/>
                      <w:lang w:val="en-US" w:eastAsia="zh-CN"/>
                    </w:rPr>
                  </w:pPr>
                  <w:r>
                    <w:rPr>
                      <w:rFonts w:hint="eastAsia"/>
                      <w:color w:val="auto"/>
                      <w:lang w:val="en-US" w:eastAsia="zh-CN"/>
                    </w:rPr>
                    <w:t>/</w:t>
                  </w:r>
                </w:p>
              </w:tc>
              <w:tc>
                <w:tcPr>
                  <w:tcW w:w="616" w:type="pct"/>
                  <w:shd w:val="clear" w:color="auto" w:fill="auto"/>
                  <w:vAlign w:val="center"/>
                </w:tcPr>
                <w:p w14:paraId="78913CAD">
                  <w:pPr>
                    <w:pStyle w:val="54"/>
                    <w:bidi w:val="0"/>
                    <w:rPr>
                      <w:color w:val="auto"/>
                    </w:rPr>
                  </w:pPr>
                  <w:r>
                    <w:rPr>
                      <w:color w:val="auto"/>
                    </w:rPr>
                    <w:t>/</w:t>
                  </w:r>
                </w:p>
              </w:tc>
              <w:tc>
                <w:tcPr>
                  <w:tcW w:w="1039" w:type="dxa"/>
                  <w:shd w:val="clear" w:color="auto" w:fill="auto"/>
                  <w:vAlign w:val="center"/>
                </w:tcPr>
                <w:p w14:paraId="6241D3D7">
                  <w:pPr>
                    <w:pStyle w:val="54"/>
                    <w:bidi w:val="0"/>
                    <w:rPr>
                      <w:color w:val="auto"/>
                    </w:rPr>
                  </w:pPr>
                  <w:r>
                    <w:rPr>
                      <w:rFonts w:hint="eastAsia"/>
                      <w:color w:val="auto"/>
                      <w:lang w:val="en-US" w:eastAsia="zh-CN"/>
                    </w:rPr>
                    <w:t>1.5</w:t>
                  </w:r>
                </w:p>
              </w:tc>
              <w:tc>
                <w:tcPr>
                  <w:tcW w:w="617" w:type="pct"/>
                  <w:shd w:val="clear" w:color="auto" w:fill="auto"/>
                  <w:vAlign w:val="center"/>
                </w:tcPr>
                <w:p w14:paraId="37F49781">
                  <w:pPr>
                    <w:pStyle w:val="54"/>
                    <w:bidi w:val="0"/>
                    <w:rPr>
                      <w:color w:val="auto"/>
                    </w:rPr>
                  </w:pPr>
                  <w:r>
                    <w:rPr>
                      <w:rFonts w:hint="eastAsia"/>
                      <w:color w:val="auto"/>
                    </w:rPr>
                    <w:t>0</w:t>
                  </w:r>
                </w:p>
              </w:tc>
            </w:tr>
            <w:tr w14:paraId="0464F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04" w:type="pct"/>
                  <w:vMerge w:val="continue"/>
                  <w:shd w:val="clear" w:color="auto" w:fill="auto"/>
                  <w:vAlign w:val="center"/>
                </w:tcPr>
                <w:p w14:paraId="5385C7BC">
                  <w:pPr>
                    <w:pStyle w:val="54"/>
                    <w:bidi w:val="0"/>
                    <w:rPr>
                      <w:color w:val="auto"/>
                    </w:rPr>
                  </w:pPr>
                </w:p>
              </w:tc>
              <w:tc>
                <w:tcPr>
                  <w:tcW w:w="339" w:type="pct"/>
                  <w:vMerge w:val="continue"/>
                  <w:shd w:val="clear" w:color="auto" w:fill="auto"/>
                  <w:vAlign w:val="center"/>
                </w:tcPr>
                <w:p w14:paraId="7F4C8DEF">
                  <w:pPr>
                    <w:pStyle w:val="54"/>
                    <w:bidi w:val="0"/>
                    <w:rPr>
                      <w:color w:val="auto"/>
                    </w:rPr>
                  </w:pPr>
                </w:p>
              </w:tc>
              <w:tc>
                <w:tcPr>
                  <w:tcW w:w="658" w:type="pct"/>
                  <w:shd w:val="clear" w:color="auto" w:fill="auto"/>
                  <w:vAlign w:val="center"/>
                </w:tcPr>
                <w:p w14:paraId="577BAC20">
                  <w:pPr>
                    <w:pStyle w:val="54"/>
                    <w:bidi w:val="0"/>
                    <w:rPr>
                      <w:color w:val="auto"/>
                    </w:rPr>
                  </w:pPr>
                  <w:r>
                    <w:rPr>
                      <w:rFonts w:hint="eastAsia"/>
                      <w:color w:val="auto"/>
                    </w:rPr>
                    <w:t>废清洗液</w:t>
                  </w:r>
                </w:p>
              </w:tc>
              <w:tc>
                <w:tcPr>
                  <w:tcW w:w="1039" w:type="dxa"/>
                  <w:shd w:val="clear" w:color="auto" w:fill="auto"/>
                  <w:vAlign w:val="center"/>
                </w:tcPr>
                <w:p w14:paraId="21887D54">
                  <w:pPr>
                    <w:pStyle w:val="54"/>
                    <w:bidi w:val="0"/>
                    <w:rPr>
                      <w:color w:val="auto"/>
                    </w:rPr>
                  </w:pPr>
                  <w:r>
                    <w:rPr>
                      <w:rFonts w:hint="default"/>
                      <w:color w:val="auto"/>
                      <w:lang w:val="en-US" w:eastAsia="zh-CN"/>
                    </w:rPr>
                    <w:t>2</w:t>
                  </w:r>
                </w:p>
              </w:tc>
              <w:tc>
                <w:tcPr>
                  <w:tcW w:w="566" w:type="pct"/>
                  <w:shd w:val="clear" w:color="auto" w:fill="auto"/>
                  <w:vAlign w:val="center"/>
                </w:tcPr>
                <w:p w14:paraId="7B4B7D8D">
                  <w:pPr>
                    <w:pStyle w:val="54"/>
                    <w:bidi w:val="0"/>
                    <w:rPr>
                      <w:color w:val="auto"/>
                    </w:rPr>
                  </w:pPr>
                  <w:r>
                    <w:rPr>
                      <w:color w:val="auto"/>
                    </w:rPr>
                    <w:t>/</w:t>
                  </w:r>
                </w:p>
              </w:tc>
              <w:tc>
                <w:tcPr>
                  <w:tcW w:w="1122" w:type="dxa"/>
                  <w:shd w:val="clear" w:color="auto" w:fill="auto"/>
                  <w:vAlign w:val="center"/>
                </w:tcPr>
                <w:p w14:paraId="1A53DC2A">
                  <w:pPr>
                    <w:pStyle w:val="54"/>
                    <w:bidi w:val="0"/>
                    <w:rPr>
                      <w:rFonts w:hint="eastAsia"/>
                      <w:color w:val="auto"/>
                      <w:lang w:val="en-US" w:eastAsia="zh-CN"/>
                    </w:rPr>
                  </w:pPr>
                  <w:r>
                    <w:rPr>
                      <w:rFonts w:hint="eastAsia"/>
                      <w:color w:val="auto"/>
                      <w:lang w:val="en-US" w:eastAsia="zh-CN"/>
                    </w:rPr>
                    <w:t>/</w:t>
                  </w:r>
                </w:p>
              </w:tc>
              <w:tc>
                <w:tcPr>
                  <w:tcW w:w="616" w:type="pct"/>
                  <w:shd w:val="clear" w:color="auto" w:fill="auto"/>
                  <w:vAlign w:val="center"/>
                </w:tcPr>
                <w:p w14:paraId="54A17F96">
                  <w:pPr>
                    <w:pStyle w:val="54"/>
                    <w:bidi w:val="0"/>
                    <w:rPr>
                      <w:color w:val="auto"/>
                    </w:rPr>
                  </w:pPr>
                  <w:r>
                    <w:rPr>
                      <w:color w:val="auto"/>
                    </w:rPr>
                    <w:t>/</w:t>
                  </w:r>
                </w:p>
              </w:tc>
              <w:tc>
                <w:tcPr>
                  <w:tcW w:w="1039" w:type="dxa"/>
                  <w:shd w:val="clear" w:color="auto" w:fill="auto"/>
                  <w:vAlign w:val="center"/>
                </w:tcPr>
                <w:p w14:paraId="0B3E7BE5">
                  <w:pPr>
                    <w:pStyle w:val="54"/>
                    <w:bidi w:val="0"/>
                    <w:rPr>
                      <w:color w:val="auto"/>
                    </w:rPr>
                  </w:pPr>
                  <w:r>
                    <w:rPr>
                      <w:rFonts w:hint="eastAsia"/>
                      <w:color w:val="auto"/>
                      <w:lang w:val="en-US" w:eastAsia="zh-CN"/>
                    </w:rPr>
                    <w:t>2</w:t>
                  </w:r>
                </w:p>
              </w:tc>
              <w:tc>
                <w:tcPr>
                  <w:tcW w:w="617" w:type="pct"/>
                  <w:shd w:val="clear" w:color="auto" w:fill="auto"/>
                  <w:vAlign w:val="center"/>
                </w:tcPr>
                <w:p w14:paraId="6AFC7B6B">
                  <w:pPr>
                    <w:pStyle w:val="54"/>
                    <w:bidi w:val="0"/>
                    <w:rPr>
                      <w:color w:val="auto"/>
                    </w:rPr>
                  </w:pPr>
                  <w:r>
                    <w:rPr>
                      <w:rFonts w:hint="eastAsia"/>
                      <w:color w:val="auto"/>
                    </w:rPr>
                    <w:t>0</w:t>
                  </w:r>
                </w:p>
              </w:tc>
            </w:tr>
            <w:tr w14:paraId="02E8E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04" w:type="pct"/>
                  <w:vMerge w:val="continue"/>
                  <w:shd w:val="clear" w:color="auto" w:fill="auto"/>
                  <w:vAlign w:val="center"/>
                </w:tcPr>
                <w:p w14:paraId="6DAC06CA">
                  <w:pPr>
                    <w:pStyle w:val="54"/>
                    <w:bidi w:val="0"/>
                    <w:rPr>
                      <w:color w:val="auto"/>
                    </w:rPr>
                  </w:pPr>
                </w:p>
              </w:tc>
              <w:tc>
                <w:tcPr>
                  <w:tcW w:w="339" w:type="pct"/>
                  <w:vMerge w:val="continue"/>
                  <w:shd w:val="clear" w:color="auto" w:fill="auto"/>
                  <w:vAlign w:val="center"/>
                </w:tcPr>
                <w:p w14:paraId="51834289">
                  <w:pPr>
                    <w:pStyle w:val="54"/>
                    <w:bidi w:val="0"/>
                    <w:rPr>
                      <w:color w:val="auto"/>
                    </w:rPr>
                  </w:pPr>
                </w:p>
              </w:tc>
              <w:tc>
                <w:tcPr>
                  <w:tcW w:w="658" w:type="pct"/>
                  <w:shd w:val="clear" w:color="auto" w:fill="auto"/>
                  <w:vAlign w:val="center"/>
                </w:tcPr>
                <w:p w14:paraId="51A0FADC">
                  <w:pPr>
                    <w:pStyle w:val="54"/>
                    <w:bidi w:val="0"/>
                    <w:rPr>
                      <w:color w:val="auto"/>
                    </w:rPr>
                  </w:pPr>
                  <w:r>
                    <w:rPr>
                      <w:rFonts w:hint="eastAsia"/>
                      <w:color w:val="auto"/>
                    </w:rPr>
                    <w:t>废活性炭</w:t>
                  </w:r>
                </w:p>
              </w:tc>
              <w:tc>
                <w:tcPr>
                  <w:tcW w:w="1039" w:type="dxa"/>
                  <w:shd w:val="clear" w:color="auto" w:fill="auto"/>
                  <w:vAlign w:val="center"/>
                </w:tcPr>
                <w:p w14:paraId="3A9A0A52">
                  <w:pPr>
                    <w:pStyle w:val="54"/>
                    <w:bidi w:val="0"/>
                    <w:rPr>
                      <w:color w:val="auto"/>
                    </w:rPr>
                  </w:pPr>
                  <w:r>
                    <w:rPr>
                      <w:rFonts w:hint="default"/>
                      <w:color w:val="auto"/>
                      <w:lang w:val="en-US" w:eastAsia="zh-CN"/>
                    </w:rPr>
                    <w:t>0.7</w:t>
                  </w:r>
                </w:p>
              </w:tc>
              <w:tc>
                <w:tcPr>
                  <w:tcW w:w="566" w:type="pct"/>
                  <w:shd w:val="clear" w:color="auto" w:fill="auto"/>
                  <w:vAlign w:val="center"/>
                </w:tcPr>
                <w:p w14:paraId="5C92063E">
                  <w:pPr>
                    <w:pStyle w:val="54"/>
                    <w:bidi w:val="0"/>
                    <w:rPr>
                      <w:color w:val="auto"/>
                    </w:rPr>
                  </w:pPr>
                  <w:r>
                    <w:rPr>
                      <w:color w:val="auto"/>
                    </w:rPr>
                    <w:t>/</w:t>
                  </w:r>
                </w:p>
              </w:tc>
              <w:tc>
                <w:tcPr>
                  <w:tcW w:w="1122" w:type="dxa"/>
                  <w:shd w:val="clear" w:color="auto" w:fill="auto"/>
                  <w:vAlign w:val="center"/>
                </w:tcPr>
                <w:p w14:paraId="325F9D09">
                  <w:pPr>
                    <w:pStyle w:val="54"/>
                    <w:bidi w:val="0"/>
                    <w:rPr>
                      <w:rFonts w:hint="eastAsia"/>
                      <w:color w:val="auto"/>
                      <w:lang w:val="en-US" w:eastAsia="zh-CN"/>
                    </w:rPr>
                  </w:pPr>
                  <w:r>
                    <w:rPr>
                      <w:rFonts w:hint="eastAsia"/>
                      <w:color w:val="auto"/>
                      <w:lang w:val="en-US" w:eastAsia="zh-CN"/>
                    </w:rPr>
                    <w:t>/</w:t>
                  </w:r>
                </w:p>
              </w:tc>
              <w:tc>
                <w:tcPr>
                  <w:tcW w:w="616" w:type="pct"/>
                  <w:shd w:val="clear" w:color="auto" w:fill="auto"/>
                  <w:vAlign w:val="center"/>
                </w:tcPr>
                <w:p w14:paraId="00260082">
                  <w:pPr>
                    <w:pStyle w:val="54"/>
                    <w:bidi w:val="0"/>
                    <w:rPr>
                      <w:color w:val="auto"/>
                    </w:rPr>
                  </w:pPr>
                  <w:r>
                    <w:rPr>
                      <w:color w:val="auto"/>
                    </w:rPr>
                    <w:t>/</w:t>
                  </w:r>
                </w:p>
              </w:tc>
              <w:tc>
                <w:tcPr>
                  <w:tcW w:w="1039" w:type="dxa"/>
                  <w:shd w:val="clear" w:color="auto" w:fill="auto"/>
                  <w:vAlign w:val="center"/>
                </w:tcPr>
                <w:p w14:paraId="614C2F14">
                  <w:pPr>
                    <w:pStyle w:val="54"/>
                    <w:bidi w:val="0"/>
                    <w:rPr>
                      <w:color w:val="auto"/>
                    </w:rPr>
                  </w:pPr>
                  <w:r>
                    <w:rPr>
                      <w:rFonts w:hint="eastAsia"/>
                      <w:color w:val="auto"/>
                      <w:lang w:val="en-US" w:eastAsia="zh-CN"/>
                    </w:rPr>
                    <w:t>0.7</w:t>
                  </w:r>
                </w:p>
              </w:tc>
              <w:tc>
                <w:tcPr>
                  <w:tcW w:w="617" w:type="pct"/>
                  <w:shd w:val="clear" w:color="auto" w:fill="auto"/>
                  <w:vAlign w:val="center"/>
                </w:tcPr>
                <w:p w14:paraId="50BD2CFA">
                  <w:pPr>
                    <w:pStyle w:val="54"/>
                    <w:bidi w:val="0"/>
                    <w:rPr>
                      <w:color w:val="auto"/>
                    </w:rPr>
                  </w:pPr>
                  <w:r>
                    <w:rPr>
                      <w:rFonts w:hint="eastAsia"/>
                      <w:color w:val="auto"/>
                    </w:rPr>
                    <w:t>0</w:t>
                  </w:r>
                </w:p>
              </w:tc>
            </w:tr>
            <w:tr w14:paraId="058F1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04" w:type="pct"/>
                  <w:vMerge w:val="continue"/>
                  <w:shd w:val="clear" w:color="auto" w:fill="auto"/>
                  <w:vAlign w:val="center"/>
                </w:tcPr>
                <w:p w14:paraId="3F375187">
                  <w:pPr>
                    <w:pStyle w:val="54"/>
                    <w:bidi w:val="0"/>
                    <w:rPr>
                      <w:color w:val="auto"/>
                    </w:rPr>
                  </w:pPr>
                </w:p>
              </w:tc>
              <w:tc>
                <w:tcPr>
                  <w:tcW w:w="339" w:type="pct"/>
                  <w:vMerge w:val="continue"/>
                  <w:shd w:val="clear" w:color="auto" w:fill="auto"/>
                  <w:vAlign w:val="center"/>
                </w:tcPr>
                <w:p w14:paraId="5EB0E644">
                  <w:pPr>
                    <w:pStyle w:val="54"/>
                    <w:bidi w:val="0"/>
                    <w:rPr>
                      <w:color w:val="auto"/>
                    </w:rPr>
                  </w:pPr>
                </w:p>
              </w:tc>
              <w:tc>
                <w:tcPr>
                  <w:tcW w:w="658" w:type="pct"/>
                  <w:shd w:val="clear" w:color="auto" w:fill="auto"/>
                  <w:vAlign w:val="center"/>
                </w:tcPr>
                <w:p w14:paraId="2EF8EE8E">
                  <w:pPr>
                    <w:pStyle w:val="54"/>
                    <w:bidi w:val="0"/>
                    <w:rPr>
                      <w:color w:val="auto"/>
                    </w:rPr>
                  </w:pPr>
                  <w:r>
                    <w:rPr>
                      <w:rFonts w:hint="eastAsia"/>
                      <w:color w:val="auto"/>
                    </w:rPr>
                    <w:t>废机油</w:t>
                  </w:r>
                </w:p>
              </w:tc>
              <w:tc>
                <w:tcPr>
                  <w:tcW w:w="1039" w:type="dxa"/>
                  <w:shd w:val="clear" w:color="auto" w:fill="auto"/>
                  <w:vAlign w:val="center"/>
                </w:tcPr>
                <w:p w14:paraId="5A2CAD1A">
                  <w:pPr>
                    <w:pStyle w:val="54"/>
                    <w:bidi w:val="0"/>
                    <w:rPr>
                      <w:color w:val="auto"/>
                    </w:rPr>
                  </w:pPr>
                  <w:r>
                    <w:rPr>
                      <w:rFonts w:hint="default"/>
                      <w:color w:val="auto"/>
                      <w:lang w:val="en-US" w:eastAsia="zh-CN"/>
                    </w:rPr>
                    <w:t>0.2</w:t>
                  </w:r>
                </w:p>
              </w:tc>
              <w:tc>
                <w:tcPr>
                  <w:tcW w:w="566" w:type="pct"/>
                  <w:shd w:val="clear" w:color="auto" w:fill="auto"/>
                  <w:vAlign w:val="center"/>
                </w:tcPr>
                <w:p w14:paraId="6E41C53D">
                  <w:pPr>
                    <w:pStyle w:val="54"/>
                    <w:bidi w:val="0"/>
                    <w:rPr>
                      <w:color w:val="auto"/>
                    </w:rPr>
                  </w:pPr>
                  <w:r>
                    <w:rPr>
                      <w:color w:val="auto"/>
                    </w:rPr>
                    <w:t>/</w:t>
                  </w:r>
                </w:p>
              </w:tc>
              <w:tc>
                <w:tcPr>
                  <w:tcW w:w="1122" w:type="dxa"/>
                  <w:shd w:val="clear" w:color="auto" w:fill="auto"/>
                  <w:vAlign w:val="center"/>
                </w:tcPr>
                <w:p w14:paraId="2E551597">
                  <w:pPr>
                    <w:pStyle w:val="54"/>
                    <w:bidi w:val="0"/>
                    <w:rPr>
                      <w:rFonts w:hint="eastAsia"/>
                      <w:color w:val="auto"/>
                      <w:lang w:val="en-US" w:eastAsia="zh-CN"/>
                    </w:rPr>
                  </w:pPr>
                  <w:r>
                    <w:rPr>
                      <w:rFonts w:hint="eastAsia"/>
                      <w:color w:val="auto"/>
                      <w:lang w:val="en-US" w:eastAsia="zh-CN"/>
                    </w:rPr>
                    <w:t>/</w:t>
                  </w:r>
                </w:p>
              </w:tc>
              <w:tc>
                <w:tcPr>
                  <w:tcW w:w="616" w:type="pct"/>
                  <w:shd w:val="clear" w:color="auto" w:fill="auto"/>
                  <w:vAlign w:val="center"/>
                </w:tcPr>
                <w:p w14:paraId="657DB6BB">
                  <w:pPr>
                    <w:pStyle w:val="54"/>
                    <w:bidi w:val="0"/>
                    <w:rPr>
                      <w:color w:val="auto"/>
                    </w:rPr>
                  </w:pPr>
                  <w:r>
                    <w:rPr>
                      <w:color w:val="auto"/>
                    </w:rPr>
                    <w:t>/</w:t>
                  </w:r>
                </w:p>
              </w:tc>
              <w:tc>
                <w:tcPr>
                  <w:tcW w:w="1039" w:type="dxa"/>
                  <w:shd w:val="clear" w:color="auto" w:fill="auto"/>
                  <w:vAlign w:val="center"/>
                </w:tcPr>
                <w:p w14:paraId="46DC8C09">
                  <w:pPr>
                    <w:pStyle w:val="54"/>
                    <w:bidi w:val="0"/>
                    <w:rPr>
                      <w:color w:val="auto"/>
                    </w:rPr>
                  </w:pPr>
                  <w:r>
                    <w:rPr>
                      <w:rFonts w:hint="eastAsia"/>
                      <w:color w:val="auto"/>
                      <w:lang w:val="en-US" w:eastAsia="zh-CN"/>
                    </w:rPr>
                    <w:t>0.2</w:t>
                  </w:r>
                </w:p>
              </w:tc>
              <w:tc>
                <w:tcPr>
                  <w:tcW w:w="617" w:type="pct"/>
                  <w:shd w:val="clear" w:color="auto" w:fill="auto"/>
                  <w:vAlign w:val="center"/>
                </w:tcPr>
                <w:p w14:paraId="7F293DF6">
                  <w:pPr>
                    <w:pStyle w:val="54"/>
                    <w:bidi w:val="0"/>
                    <w:rPr>
                      <w:color w:val="auto"/>
                    </w:rPr>
                  </w:pPr>
                  <w:r>
                    <w:rPr>
                      <w:rFonts w:hint="eastAsia"/>
                      <w:color w:val="auto"/>
                    </w:rPr>
                    <w:t>0</w:t>
                  </w:r>
                </w:p>
              </w:tc>
            </w:tr>
            <w:tr w14:paraId="5FA48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04" w:type="pct"/>
                  <w:vMerge w:val="continue"/>
                  <w:shd w:val="clear" w:color="auto" w:fill="auto"/>
                  <w:vAlign w:val="center"/>
                </w:tcPr>
                <w:p w14:paraId="4D04643E">
                  <w:pPr>
                    <w:pStyle w:val="54"/>
                    <w:bidi w:val="0"/>
                    <w:rPr>
                      <w:color w:val="auto"/>
                    </w:rPr>
                  </w:pPr>
                </w:p>
              </w:tc>
              <w:tc>
                <w:tcPr>
                  <w:tcW w:w="339" w:type="pct"/>
                  <w:vMerge w:val="continue"/>
                  <w:shd w:val="clear" w:color="auto" w:fill="auto"/>
                  <w:vAlign w:val="center"/>
                </w:tcPr>
                <w:p w14:paraId="3498DD7F">
                  <w:pPr>
                    <w:pStyle w:val="54"/>
                    <w:bidi w:val="0"/>
                    <w:rPr>
                      <w:color w:val="auto"/>
                    </w:rPr>
                  </w:pPr>
                </w:p>
              </w:tc>
              <w:tc>
                <w:tcPr>
                  <w:tcW w:w="658" w:type="pct"/>
                  <w:shd w:val="clear" w:color="auto" w:fill="auto"/>
                  <w:vAlign w:val="center"/>
                </w:tcPr>
                <w:p w14:paraId="404A3241">
                  <w:pPr>
                    <w:pStyle w:val="54"/>
                    <w:bidi w:val="0"/>
                    <w:rPr>
                      <w:color w:val="auto"/>
                    </w:rPr>
                  </w:pPr>
                  <w:r>
                    <w:rPr>
                      <w:rFonts w:hint="eastAsia"/>
                      <w:color w:val="auto"/>
                    </w:rPr>
                    <w:t>废液压油</w:t>
                  </w:r>
                </w:p>
              </w:tc>
              <w:tc>
                <w:tcPr>
                  <w:tcW w:w="1039" w:type="dxa"/>
                  <w:shd w:val="clear" w:color="auto" w:fill="auto"/>
                  <w:vAlign w:val="center"/>
                </w:tcPr>
                <w:p w14:paraId="2A36F079">
                  <w:pPr>
                    <w:pStyle w:val="54"/>
                    <w:bidi w:val="0"/>
                    <w:rPr>
                      <w:rFonts w:hint="eastAsia"/>
                      <w:color w:val="auto"/>
                      <w:lang w:val="en-US" w:eastAsia="zh-CN"/>
                    </w:rPr>
                  </w:pPr>
                  <w:r>
                    <w:rPr>
                      <w:rFonts w:hint="eastAsia"/>
                      <w:color w:val="auto"/>
                      <w:lang w:val="en-US" w:eastAsia="zh-CN"/>
                    </w:rPr>
                    <w:t>/</w:t>
                  </w:r>
                </w:p>
              </w:tc>
              <w:tc>
                <w:tcPr>
                  <w:tcW w:w="566" w:type="pct"/>
                  <w:shd w:val="clear" w:color="auto" w:fill="auto"/>
                  <w:vAlign w:val="center"/>
                </w:tcPr>
                <w:p w14:paraId="104F5A5D">
                  <w:pPr>
                    <w:pStyle w:val="54"/>
                    <w:bidi w:val="0"/>
                    <w:rPr>
                      <w:color w:val="auto"/>
                    </w:rPr>
                  </w:pPr>
                  <w:r>
                    <w:rPr>
                      <w:rFonts w:hint="eastAsia"/>
                      <w:color w:val="auto"/>
                    </w:rPr>
                    <w:t>/</w:t>
                  </w:r>
                </w:p>
              </w:tc>
              <w:tc>
                <w:tcPr>
                  <w:tcW w:w="1122" w:type="dxa"/>
                  <w:shd w:val="clear" w:color="auto" w:fill="auto"/>
                  <w:vAlign w:val="center"/>
                </w:tcPr>
                <w:p w14:paraId="28B0B549">
                  <w:pPr>
                    <w:pStyle w:val="54"/>
                    <w:bidi w:val="0"/>
                    <w:rPr>
                      <w:color w:val="auto"/>
                    </w:rPr>
                  </w:pPr>
                  <w:r>
                    <w:rPr>
                      <w:rFonts w:hint="default"/>
                      <w:color w:val="auto"/>
                      <w:lang w:val="en-US" w:eastAsia="zh-CN"/>
                    </w:rPr>
                    <w:t>0.02</w:t>
                  </w:r>
                </w:p>
              </w:tc>
              <w:tc>
                <w:tcPr>
                  <w:tcW w:w="616" w:type="pct"/>
                  <w:shd w:val="clear" w:color="auto" w:fill="auto"/>
                  <w:vAlign w:val="center"/>
                </w:tcPr>
                <w:p w14:paraId="6412B27B">
                  <w:pPr>
                    <w:pStyle w:val="54"/>
                    <w:bidi w:val="0"/>
                    <w:rPr>
                      <w:color w:val="auto"/>
                    </w:rPr>
                  </w:pPr>
                  <w:r>
                    <w:rPr>
                      <w:rFonts w:hint="eastAsia"/>
                      <w:color w:val="auto"/>
                    </w:rPr>
                    <w:t>/</w:t>
                  </w:r>
                </w:p>
              </w:tc>
              <w:tc>
                <w:tcPr>
                  <w:tcW w:w="1039" w:type="dxa"/>
                  <w:shd w:val="clear" w:color="auto" w:fill="auto"/>
                  <w:vAlign w:val="center"/>
                </w:tcPr>
                <w:p w14:paraId="2BF9D96B">
                  <w:pPr>
                    <w:pStyle w:val="54"/>
                    <w:bidi w:val="0"/>
                    <w:rPr>
                      <w:color w:val="auto"/>
                    </w:rPr>
                  </w:pPr>
                  <w:r>
                    <w:rPr>
                      <w:rFonts w:hint="eastAsia"/>
                      <w:color w:val="auto"/>
                      <w:lang w:val="en-US" w:eastAsia="zh-CN"/>
                    </w:rPr>
                    <w:t>0.02</w:t>
                  </w:r>
                </w:p>
              </w:tc>
              <w:tc>
                <w:tcPr>
                  <w:tcW w:w="617" w:type="pct"/>
                  <w:shd w:val="clear" w:color="auto" w:fill="auto"/>
                  <w:vAlign w:val="center"/>
                </w:tcPr>
                <w:p w14:paraId="411D6F2F">
                  <w:pPr>
                    <w:pStyle w:val="54"/>
                    <w:bidi w:val="0"/>
                    <w:rPr>
                      <w:rFonts w:hint="default"/>
                      <w:color w:val="auto"/>
                      <w:lang w:val="en-US" w:eastAsia="zh-CN"/>
                    </w:rPr>
                  </w:pPr>
                  <w:r>
                    <w:rPr>
                      <w:rFonts w:hint="eastAsia"/>
                      <w:color w:val="auto"/>
                    </w:rPr>
                    <w:t>+</w:t>
                  </w:r>
                  <w:r>
                    <w:rPr>
                      <w:rFonts w:hint="eastAsia"/>
                      <w:color w:val="auto"/>
                      <w:lang w:val="en-US" w:eastAsia="zh-CN"/>
                    </w:rPr>
                    <w:t>0.02</w:t>
                  </w:r>
                </w:p>
              </w:tc>
            </w:tr>
            <w:tr w14:paraId="0A4CB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04" w:type="pct"/>
                  <w:vMerge w:val="continue"/>
                  <w:shd w:val="clear" w:color="auto" w:fill="auto"/>
                  <w:vAlign w:val="center"/>
                </w:tcPr>
                <w:p w14:paraId="3AC498A7">
                  <w:pPr>
                    <w:pStyle w:val="54"/>
                    <w:bidi w:val="0"/>
                    <w:rPr>
                      <w:color w:val="auto"/>
                    </w:rPr>
                  </w:pPr>
                </w:p>
              </w:tc>
              <w:tc>
                <w:tcPr>
                  <w:tcW w:w="339" w:type="pct"/>
                  <w:vMerge w:val="continue"/>
                  <w:shd w:val="clear" w:color="auto" w:fill="auto"/>
                  <w:vAlign w:val="center"/>
                </w:tcPr>
                <w:p w14:paraId="7B1C82FC">
                  <w:pPr>
                    <w:pStyle w:val="54"/>
                    <w:bidi w:val="0"/>
                    <w:rPr>
                      <w:color w:val="auto"/>
                    </w:rPr>
                  </w:pPr>
                </w:p>
              </w:tc>
              <w:tc>
                <w:tcPr>
                  <w:tcW w:w="658" w:type="pct"/>
                  <w:shd w:val="clear" w:color="auto" w:fill="auto"/>
                  <w:vAlign w:val="center"/>
                </w:tcPr>
                <w:p w14:paraId="3FF96A6A">
                  <w:pPr>
                    <w:pStyle w:val="54"/>
                    <w:bidi w:val="0"/>
                    <w:rPr>
                      <w:color w:val="auto"/>
                    </w:rPr>
                  </w:pPr>
                  <w:r>
                    <w:rPr>
                      <w:rFonts w:hint="eastAsia"/>
                      <w:color w:val="auto"/>
                    </w:rPr>
                    <w:t>废包装桶</w:t>
                  </w:r>
                </w:p>
              </w:tc>
              <w:tc>
                <w:tcPr>
                  <w:tcW w:w="1039" w:type="dxa"/>
                  <w:shd w:val="clear" w:color="auto" w:fill="auto"/>
                  <w:vAlign w:val="center"/>
                </w:tcPr>
                <w:p w14:paraId="59CA933C">
                  <w:pPr>
                    <w:pStyle w:val="54"/>
                    <w:bidi w:val="0"/>
                    <w:rPr>
                      <w:color w:val="auto"/>
                    </w:rPr>
                  </w:pPr>
                  <w:r>
                    <w:rPr>
                      <w:rFonts w:hint="default"/>
                      <w:color w:val="auto"/>
                      <w:lang w:val="en-US" w:eastAsia="zh-CN"/>
                    </w:rPr>
                    <w:t>0.1</w:t>
                  </w:r>
                </w:p>
              </w:tc>
              <w:tc>
                <w:tcPr>
                  <w:tcW w:w="566" w:type="pct"/>
                  <w:shd w:val="clear" w:color="auto" w:fill="auto"/>
                  <w:vAlign w:val="center"/>
                </w:tcPr>
                <w:p w14:paraId="7A3ACE18">
                  <w:pPr>
                    <w:pStyle w:val="54"/>
                    <w:bidi w:val="0"/>
                    <w:rPr>
                      <w:color w:val="auto"/>
                    </w:rPr>
                  </w:pPr>
                  <w:r>
                    <w:rPr>
                      <w:color w:val="auto"/>
                    </w:rPr>
                    <w:t>/</w:t>
                  </w:r>
                </w:p>
              </w:tc>
              <w:tc>
                <w:tcPr>
                  <w:tcW w:w="1122" w:type="dxa"/>
                  <w:shd w:val="clear" w:color="auto" w:fill="auto"/>
                  <w:vAlign w:val="center"/>
                </w:tcPr>
                <w:p w14:paraId="26D62F44">
                  <w:pPr>
                    <w:pStyle w:val="54"/>
                    <w:bidi w:val="0"/>
                    <w:rPr>
                      <w:color w:val="auto"/>
                    </w:rPr>
                  </w:pPr>
                  <w:r>
                    <w:rPr>
                      <w:rFonts w:hint="default"/>
                      <w:color w:val="auto"/>
                      <w:lang w:val="en-US" w:eastAsia="zh-CN"/>
                    </w:rPr>
                    <w:t>0.01</w:t>
                  </w:r>
                </w:p>
              </w:tc>
              <w:tc>
                <w:tcPr>
                  <w:tcW w:w="616" w:type="pct"/>
                  <w:shd w:val="clear" w:color="auto" w:fill="auto"/>
                  <w:vAlign w:val="center"/>
                </w:tcPr>
                <w:p w14:paraId="64497D61">
                  <w:pPr>
                    <w:pStyle w:val="54"/>
                    <w:bidi w:val="0"/>
                    <w:rPr>
                      <w:color w:val="auto"/>
                    </w:rPr>
                  </w:pPr>
                  <w:r>
                    <w:rPr>
                      <w:color w:val="auto"/>
                    </w:rPr>
                    <w:t>/</w:t>
                  </w:r>
                </w:p>
              </w:tc>
              <w:tc>
                <w:tcPr>
                  <w:tcW w:w="1039" w:type="dxa"/>
                  <w:shd w:val="clear" w:color="auto" w:fill="auto"/>
                  <w:vAlign w:val="center"/>
                </w:tcPr>
                <w:p w14:paraId="7879CC8E">
                  <w:pPr>
                    <w:pStyle w:val="54"/>
                    <w:bidi w:val="0"/>
                    <w:rPr>
                      <w:color w:val="auto"/>
                    </w:rPr>
                  </w:pPr>
                  <w:r>
                    <w:rPr>
                      <w:rFonts w:hint="eastAsia"/>
                      <w:color w:val="auto"/>
                      <w:lang w:val="en-US" w:eastAsia="zh-CN"/>
                    </w:rPr>
                    <w:t>0.11</w:t>
                  </w:r>
                </w:p>
              </w:tc>
              <w:tc>
                <w:tcPr>
                  <w:tcW w:w="617" w:type="pct"/>
                  <w:shd w:val="clear" w:color="auto" w:fill="auto"/>
                  <w:vAlign w:val="center"/>
                </w:tcPr>
                <w:p w14:paraId="020A4FAE">
                  <w:pPr>
                    <w:pStyle w:val="54"/>
                    <w:bidi w:val="0"/>
                    <w:rPr>
                      <w:color w:val="auto"/>
                    </w:rPr>
                  </w:pPr>
                  <w:r>
                    <w:rPr>
                      <w:rFonts w:hint="eastAsia"/>
                      <w:color w:val="auto"/>
                    </w:rPr>
                    <w:t>+0.</w:t>
                  </w:r>
                  <w:r>
                    <w:rPr>
                      <w:rFonts w:hint="eastAsia"/>
                      <w:color w:val="auto"/>
                      <w:lang w:val="en-US" w:eastAsia="zh-CN"/>
                    </w:rPr>
                    <w:t>0</w:t>
                  </w:r>
                  <w:r>
                    <w:rPr>
                      <w:rFonts w:hint="eastAsia"/>
                      <w:color w:val="auto"/>
                    </w:rPr>
                    <w:t>1</w:t>
                  </w:r>
                </w:p>
              </w:tc>
            </w:tr>
            <w:tr w14:paraId="722C6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04" w:type="pct"/>
                  <w:vMerge w:val="continue"/>
                  <w:shd w:val="clear" w:color="auto" w:fill="auto"/>
                  <w:vAlign w:val="center"/>
                </w:tcPr>
                <w:p w14:paraId="5334E4E6">
                  <w:pPr>
                    <w:pStyle w:val="54"/>
                    <w:bidi w:val="0"/>
                    <w:rPr>
                      <w:color w:val="auto"/>
                    </w:rPr>
                  </w:pPr>
                </w:p>
              </w:tc>
              <w:tc>
                <w:tcPr>
                  <w:tcW w:w="997" w:type="pct"/>
                  <w:gridSpan w:val="2"/>
                  <w:shd w:val="clear" w:color="auto" w:fill="auto"/>
                  <w:vAlign w:val="center"/>
                </w:tcPr>
                <w:p w14:paraId="474490F8">
                  <w:pPr>
                    <w:pStyle w:val="54"/>
                    <w:bidi w:val="0"/>
                    <w:rPr>
                      <w:color w:val="auto"/>
                    </w:rPr>
                  </w:pPr>
                  <w:r>
                    <w:rPr>
                      <w:rFonts w:hint="eastAsia"/>
                      <w:color w:val="auto"/>
                    </w:rPr>
                    <w:t>生活垃圾</w:t>
                  </w:r>
                </w:p>
              </w:tc>
              <w:tc>
                <w:tcPr>
                  <w:tcW w:w="1039" w:type="dxa"/>
                  <w:shd w:val="clear" w:color="auto" w:fill="auto"/>
                  <w:vAlign w:val="center"/>
                </w:tcPr>
                <w:p w14:paraId="3B1B6B98">
                  <w:pPr>
                    <w:pStyle w:val="54"/>
                    <w:bidi w:val="0"/>
                    <w:rPr>
                      <w:color w:val="auto"/>
                    </w:rPr>
                  </w:pPr>
                  <w:r>
                    <w:rPr>
                      <w:rFonts w:hint="default"/>
                      <w:color w:val="auto"/>
                      <w:lang w:val="en-US" w:eastAsia="zh-CN"/>
                    </w:rPr>
                    <w:t>4.5</w:t>
                  </w:r>
                </w:p>
              </w:tc>
              <w:tc>
                <w:tcPr>
                  <w:tcW w:w="566" w:type="pct"/>
                  <w:shd w:val="clear" w:color="auto" w:fill="auto"/>
                  <w:vAlign w:val="center"/>
                </w:tcPr>
                <w:p w14:paraId="20136623">
                  <w:pPr>
                    <w:pStyle w:val="54"/>
                    <w:bidi w:val="0"/>
                    <w:rPr>
                      <w:color w:val="auto"/>
                    </w:rPr>
                  </w:pPr>
                  <w:r>
                    <w:rPr>
                      <w:rFonts w:hint="eastAsia"/>
                      <w:color w:val="auto"/>
                    </w:rPr>
                    <w:t>/</w:t>
                  </w:r>
                </w:p>
              </w:tc>
              <w:tc>
                <w:tcPr>
                  <w:tcW w:w="1122" w:type="dxa"/>
                  <w:shd w:val="clear" w:color="auto" w:fill="auto"/>
                  <w:vAlign w:val="center"/>
                </w:tcPr>
                <w:p w14:paraId="6EA47060">
                  <w:pPr>
                    <w:pStyle w:val="54"/>
                    <w:bidi w:val="0"/>
                    <w:rPr>
                      <w:color w:val="auto"/>
                    </w:rPr>
                  </w:pPr>
                  <w:r>
                    <w:rPr>
                      <w:rFonts w:hint="default"/>
                      <w:color w:val="auto"/>
                      <w:lang w:val="en-US" w:eastAsia="zh-CN"/>
                    </w:rPr>
                    <w:t>4.5</w:t>
                  </w:r>
                </w:p>
              </w:tc>
              <w:tc>
                <w:tcPr>
                  <w:tcW w:w="616" w:type="pct"/>
                  <w:shd w:val="clear" w:color="auto" w:fill="auto"/>
                  <w:vAlign w:val="center"/>
                </w:tcPr>
                <w:p w14:paraId="7B3F2D59">
                  <w:pPr>
                    <w:pStyle w:val="54"/>
                    <w:bidi w:val="0"/>
                    <w:rPr>
                      <w:color w:val="auto"/>
                    </w:rPr>
                  </w:pPr>
                  <w:r>
                    <w:rPr>
                      <w:color w:val="auto"/>
                    </w:rPr>
                    <w:t>/</w:t>
                  </w:r>
                </w:p>
              </w:tc>
              <w:tc>
                <w:tcPr>
                  <w:tcW w:w="1039" w:type="dxa"/>
                  <w:shd w:val="clear" w:color="auto" w:fill="auto"/>
                  <w:vAlign w:val="center"/>
                </w:tcPr>
                <w:p w14:paraId="0EE2039B">
                  <w:pPr>
                    <w:pStyle w:val="54"/>
                    <w:bidi w:val="0"/>
                    <w:rPr>
                      <w:color w:val="auto"/>
                    </w:rPr>
                  </w:pPr>
                  <w:r>
                    <w:rPr>
                      <w:rFonts w:hint="eastAsia"/>
                      <w:color w:val="auto"/>
                      <w:lang w:val="en-US" w:eastAsia="zh-CN"/>
                    </w:rPr>
                    <w:t>9</w:t>
                  </w:r>
                </w:p>
              </w:tc>
              <w:tc>
                <w:tcPr>
                  <w:tcW w:w="617" w:type="pct"/>
                  <w:shd w:val="clear" w:color="auto" w:fill="auto"/>
                  <w:vAlign w:val="center"/>
                </w:tcPr>
                <w:p w14:paraId="62B7C2E2">
                  <w:pPr>
                    <w:pStyle w:val="54"/>
                    <w:bidi w:val="0"/>
                    <w:rPr>
                      <w:color w:val="auto"/>
                    </w:rPr>
                  </w:pPr>
                  <w:r>
                    <w:rPr>
                      <w:rFonts w:hint="eastAsia"/>
                      <w:color w:val="auto"/>
                    </w:rPr>
                    <w:t>+4.5</w:t>
                  </w:r>
                </w:p>
              </w:tc>
            </w:tr>
          </w:tbl>
          <w:p w14:paraId="457FD01E">
            <w:pPr>
              <w:pStyle w:val="50"/>
              <w:ind w:firstLine="482"/>
              <w:rPr>
                <w:b/>
                <w:bCs/>
                <w:color w:val="auto"/>
              </w:rPr>
            </w:pPr>
            <w:r>
              <w:rPr>
                <w:b/>
                <w:bCs/>
                <w:color w:val="auto"/>
              </w:rPr>
              <w:t>（1）废气总量控制指标</w:t>
            </w:r>
          </w:p>
          <w:p w14:paraId="25BD1E52">
            <w:pPr>
              <w:pStyle w:val="50"/>
              <w:ind w:firstLine="480"/>
              <w:rPr>
                <w:color w:val="auto"/>
              </w:rPr>
            </w:pPr>
            <w:r>
              <w:rPr>
                <w:color w:val="auto"/>
              </w:rPr>
              <w:t>本项目废气总量控制因子为</w:t>
            </w:r>
            <w:r>
              <w:rPr>
                <w:rFonts w:hint="eastAsia"/>
                <w:color w:val="auto"/>
              </w:rPr>
              <w:t>颗粒物、SO</w:t>
            </w:r>
            <w:r>
              <w:rPr>
                <w:rFonts w:hint="eastAsia"/>
                <w:color w:val="auto"/>
                <w:vertAlign w:val="subscript"/>
              </w:rPr>
              <w:t>2</w:t>
            </w:r>
            <w:r>
              <w:rPr>
                <w:rFonts w:hint="eastAsia"/>
                <w:color w:val="auto"/>
              </w:rPr>
              <w:t>、NOx、NMHC</w:t>
            </w:r>
            <w:r>
              <w:rPr>
                <w:color w:val="auto"/>
              </w:rPr>
              <w:t>。</w:t>
            </w:r>
          </w:p>
          <w:p w14:paraId="78EF6E73">
            <w:pPr>
              <w:pStyle w:val="50"/>
              <w:ind w:firstLine="480"/>
              <w:rPr>
                <w:color w:val="auto"/>
              </w:rPr>
            </w:pPr>
            <w:r>
              <w:rPr>
                <w:rFonts w:hint="eastAsia"/>
                <w:color w:val="auto"/>
              </w:rPr>
              <w:t>现有项目废气有组织排放：颗粒物</w:t>
            </w:r>
            <w:r>
              <w:rPr>
                <w:color w:val="auto"/>
              </w:rPr>
              <w:t>≤</w:t>
            </w:r>
            <w:r>
              <w:rPr>
                <w:rFonts w:hint="eastAsia"/>
                <w:color w:val="auto"/>
                <w:lang w:val="en-US" w:eastAsia="zh-CN"/>
              </w:rPr>
              <w:t>1.672</w:t>
            </w:r>
            <w:r>
              <w:rPr>
                <w:color w:val="auto"/>
              </w:rPr>
              <w:t>t/a</w:t>
            </w:r>
            <w:r>
              <w:rPr>
                <w:rFonts w:hint="eastAsia"/>
                <w:color w:val="auto"/>
              </w:rPr>
              <w:t>、SO</w:t>
            </w:r>
            <w:r>
              <w:rPr>
                <w:rFonts w:hint="eastAsia"/>
                <w:color w:val="auto"/>
                <w:vertAlign w:val="subscript"/>
              </w:rPr>
              <w:t>2</w:t>
            </w:r>
            <w:r>
              <w:rPr>
                <w:color w:val="auto"/>
              </w:rPr>
              <w:t>≤</w:t>
            </w:r>
            <w:r>
              <w:rPr>
                <w:rFonts w:hint="eastAsia"/>
                <w:color w:val="auto"/>
                <w:lang w:val="en-US" w:eastAsia="zh-CN"/>
              </w:rPr>
              <w:t>0.403</w:t>
            </w:r>
            <w:r>
              <w:rPr>
                <w:color w:val="auto"/>
              </w:rPr>
              <w:t>t/a</w:t>
            </w:r>
            <w:r>
              <w:rPr>
                <w:rFonts w:hint="eastAsia"/>
                <w:color w:val="auto"/>
              </w:rPr>
              <w:t>、NOx</w:t>
            </w:r>
            <w:r>
              <w:rPr>
                <w:color w:val="auto"/>
              </w:rPr>
              <w:t>≤</w:t>
            </w:r>
            <w:r>
              <w:rPr>
                <w:rFonts w:hint="eastAsia"/>
                <w:color w:val="auto"/>
                <w:lang w:val="en-US" w:eastAsia="zh-CN"/>
              </w:rPr>
              <w:t>0.612</w:t>
            </w:r>
            <w:r>
              <w:rPr>
                <w:color w:val="auto"/>
              </w:rPr>
              <w:t>t/a</w:t>
            </w:r>
            <w:r>
              <w:rPr>
                <w:rFonts w:hint="eastAsia"/>
                <w:color w:val="auto"/>
              </w:rPr>
              <w:t>、NMHC</w:t>
            </w:r>
            <w:r>
              <w:rPr>
                <w:color w:val="auto"/>
              </w:rPr>
              <w:t>≤</w:t>
            </w:r>
            <w:r>
              <w:rPr>
                <w:rFonts w:hint="eastAsia"/>
                <w:color w:val="auto"/>
                <w:lang w:val="en-US" w:eastAsia="zh-CN"/>
              </w:rPr>
              <w:t>0.119</w:t>
            </w:r>
            <w:r>
              <w:rPr>
                <w:color w:val="auto"/>
              </w:rPr>
              <w:t>t/a</w:t>
            </w:r>
            <w:r>
              <w:rPr>
                <w:rFonts w:hint="eastAsia"/>
                <w:color w:val="auto"/>
              </w:rPr>
              <w:t>。</w:t>
            </w:r>
          </w:p>
          <w:p w14:paraId="16C36A7E">
            <w:pPr>
              <w:pStyle w:val="50"/>
              <w:ind w:firstLine="480"/>
              <w:rPr>
                <w:color w:val="auto"/>
              </w:rPr>
            </w:pPr>
            <w:r>
              <w:rPr>
                <w:rFonts w:hint="eastAsia"/>
                <w:color w:val="auto"/>
              </w:rPr>
              <w:t>本扩建项目</w:t>
            </w:r>
            <w:r>
              <w:rPr>
                <w:color w:val="auto"/>
              </w:rPr>
              <w:t>有组织排放：</w:t>
            </w:r>
            <w:r>
              <w:rPr>
                <w:rFonts w:hint="eastAsia"/>
                <w:color w:val="auto"/>
              </w:rPr>
              <w:t>颗粒物</w:t>
            </w:r>
            <w:r>
              <w:rPr>
                <w:color w:val="auto"/>
              </w:rPr>
              <w:t>≤</w:t>
            </w:r>
            <w:r>
              <w:rPr>
                <w:rFonts w:hint="eastAsia"/>
                <w:color w:val="auto"/>
              </w:rPr>
              <w:t>1.137</w:t>
            </w:r>
            <w:r>
              <w:rPr>
                <w:color w:val="auto"/>
              </w:rPr>
              <w:t>t/a</w:t>
            </w:r>
            <w:r>
              <w:rPr>
                <w:rFonts w:hint="eastAsia"/>
                <w:color w:val="auto"/>
              </w:rPr>
              <w:t>、NMHC</w:t>
            </w:r>
            <w:r>
              <w:rPr>
                <w:color w:val="auto"/>
              </w:rPr>
              <w:t>≤</w:t>
            </w:r>
            <w:r>
              <w:rPr>
                <w:rFonts w:hint="eastAsia"/>
                <w:color w:val="auto"/>
              </w:rPr>
              <w:t>0.000</w:t>
            </w:r>
            <w:r>
              <w:rPr>
                <w:rFonts w:hint="eastAsia"/>
                <w:color w:val="auto"/>
                <w:lang w:val="en-US" w:eastAsia="zh-CN"/>
              </w:rPr>
              <w:t>2</w:t>
            </w:r>
            <w:r>
              <w:rPr>
                <w:color w:val="auto"/>
              </w:rPr>
              <w:t>t/a。本</w:t>
            </w:r>
            <w:r>
              <w:rPr>
                <w:rFonts w:hint="eastAsia"/>
                <w:color w:val="auto"/>
              </w:rPr>
              <w:t>扩建</w:t>
            </w:r>
            <w:r>
              <w:rPr>
                <w:color w:val="auto"/>
              </w:rPr>
              <w:t>项目</w:t>
            </w:r>
            <w:r>
              <w:rPr>
                <w:rFonts w:hint="eastAsia"/>
                <w:color w:val="auto"/>
              </w:rPr>
              <w:t>颗粒物、NMHC</w:t>
            </w:r>
            <w:r>
              <w:rPr>
                <w:color w:val="auto"/>
              </w:rPr>
              <w:t>排放总量从泗阳县总量库中平衡。</w:t>
            </w:r>
          </w:p>
          <w:p w14:paraId="23FA05E3">
            <w:pPr>
              <w:pStyle w:val="50"/>
              <w:ind w:firstLine="480"/>
              <w:rPr>
                <w:color w:val="auto"/>
              </w:rPr>
            </w:pPr>
            <w:r>
              <w:rPr>
                <w:color w:val="auto"/>
              </w:rPr>
              <w:t>本</w:t>
            </w:r>
            <w:r>
              <w:rPr>
                <w:rFonts w:hint="eastAsia"/>
                <w:color w:val="auto"/>
              </w:rPr>
              <w:t>扩建</w:t>
            </w:r>
            <w:r>
              <w:rPr>
                <w:color w:val="auto"/>
              </w:rPr>
              <w:t>项目</w:t>
            </w:r>
            <w:r>
              <w:rPr>
                <w:rFonts w:hint="eastAsia"/>
                <w:color w:val="auto"/>
              </w:rPr>
              <w:t>建成后全厂</w:t>
            </w:r>
            <w:r>
              <w:rPr>
                <w:color w:val="auto"/>
              </w:rPr>
              <w:t>废气有组织排放：</w:t>
            </w:r>
            <w:r>
              <w:rPr>
                <w:rFonts w:hint="eastAsia"/>
                <w:color w:val="auto"/>
              </w:rPr>
              <w:t>颗粒物</w:t>
            </w:r>
            <w:r>
              <w:rPr>
                <w:color w:val="auto"/>
              </w:rPr>
              <w:t>≤</w:t>
            </w:r>
            <w:r>
              <w:rPr>
                <w:rFonts w:hint="eastAsia"/>
                <w:color w:val="auto"/>
                <w:lang w:val="en-US" w:eastAsia="zh-CN"/>
              </w:rPr>
              <w:t>2.809</w:t>
            </w:r>
            <w:r>
              <w:rPr>
                <w:color w:val="auto"/>
              </w:rPr>
              <w:t>t/a</w:t>
            </w:r>
            <w:r>
              <w:rPr>
                <w:rFonts w:hint="eastAsia"/>
                <w:color w:val="auto"/>
              </w:rPr>
              <w:t>、SO</w:t>
            </w:r>
            <w:r>
              <w:rPr>
                <w:rFonts w:hint="eastAsia"/>
                <w:color w:val="auto"/>
                <w:vertAlign w:val="subscript"/>
              </w:rPr>
              <w:t>2</w:t>
            </w:r>
            <w:r>
              <w:rPr>
                <w:color w:val="auto"/>
              </w:rPr>
              <w:t>≤</w:t>
            </w:r>
            <w:r>
              <w:rPr>
                <w:rFonts w:hint="eastAsia"/>
                <w:color w:val="auto"/>
                <w:lang w:val="en-US" w:eastAsia="zh-CN"/>
              </w:rPr>
              <w:t>0.403</w:t>
            </w:r>
            <w:r>
              <w:rPr>
                <w:color w:val="auto"/>
              </w:rPr>
              <w:t>t/a</w:t>
            </w:r>
            <w:r>
              <w:rPr>
                <w:rFonts w:hint="eastAsia"/>
                <w:color w:val="auto"/>
              </w:rPr>
              <w:t>、NOx</w:t>
            </w:r>
            <w:r>
              <w:rPr>
                <w:color w:val="auto"/>
              </w:rPr>
              <w:t>≤</w:t>
            </w:r>
            <w:r>
              <w:rPr>
                <w:rFonts w:hint="eastAsia"/>
                <w:color w:val="auto"/>
                <w:lang w:val="en-US" w:eastAsia="zh-CN"/>
              </w:rPr>
              <w:t>0.612</w:t>
            </w:r>
            <w:r>
              <w:rPr>
                <w:color w:val="auto"/>
              </w:rPr>
              <w:t>t/a</w:t>
            </w:r>
            <w:r>
              <w:rPr>
                <w:rFonts w:hint="eastAsia"/>
                <w:color w:val="auto"/>
              </w:rPr>
              <w:t>、NMHC</w:t>
            </w:r>
            <w:r>
              <w:rPr>
                <w:color w:val="auto"/>
              </w:rPr>
              <w:t>≤</w:t>
            </w:r>
            <w:r>
              <w:rPr>
                <w:rFonts w:hint="eastAsia"/>
                <w:color w:val="auto"/>
                <w:lang w:val="en-US" w:eastAsia="zh-CN"/>
              </w:rPr>
              <w:t>0.1192</w:t>
            </w:r>
            <w:r>
              <w:rPr>
                <w:color w:val="auto"/>
              </w:rPr>
              <w:t>t/a。</w:t>
            </w:r>
          </w:p>
          <w:p w14:paraId="65A15D49">
            <w:pPr>
              <w:pStyle w:val="50"/>
              <w:ind w:firstLine="482"/>
              <w:rPr>
                <w:rFonts w:hint="default"/>
                <w:b w:val="0"/>
                <w:bCs w:val="0"/>
                <w:color w:val="auto"/>
                <w:lang w:val="en-US" w:eastAsia="zh-CN"/>
              </w:rPr>
            </w:pPr>
            <w:r>
              <w:rPr>
                <w:rFonts w:hint="eastAsia"/>
                <w:b w:val="0"/>
                <w:bCs w:val="0"/>
                <w:color w:val="auto"/>
                <w:lang w:val="en-US" w:eastAsia="zh-CN"/>
              </w:rPr>
              <w:t>本扩建项目颗粒物0.568t/a排放总量从年产1.6万吨无氧铜杆项目批复总量中平衡，颗粒物0.569t/a、NMHC0.0002t/a从泗阳县总量库中平衡。</w:t>
            </w:r>
          </w:p>
          <w:p w14:paraId="6167BB41">
            <w:pPr>
              <w:pStyle w:val="50"/>
              <w:ind w:firstLine="482"/>
              <w:rPr>
                <w:b/>
                <w:bCs/>
                <w:color w:val="auto"/>
              </w:rPr>
            </w:pPr>
            <w:r>
              <w:rPr>
                <w:b/>
                <w:bCs/>
                <w:color w:val="auto"/>
              </w:rPr>
              <w:t>（2）废水</w:t>
            </w:r>
          </w:p>
          <w:p w14:paraId="6B7D68EA">
            <w:pPr>
              <w:pStyle w:val="50"/>
              <w:ind w:firstLine="480"/>
              <w:rPr>
                <w:color w:val="auto"/>
              </w:rPr>
            </w:pPr>
            <w:r>
              <w:rPr>
                <w:color w:val="auto"/>
              </w:rPr>
              <w:t>本项目废水总量控制因子为COD、氨氮、TN、TP。</w:t>
            </w:r>
          </w:p>
          <w:p w14:paraId="44C60504">
            <w:pPr>
              <w:pStyle w:val="50"/>
              <w:ind w:firstLine="480"/>
              <w:rPr>
                <w:color w:val="auto"/>
              </w:rPr>
            </w:pPr>
            <w:r>
              <w:rPr>
                <w:rFonts w:hint="eastAsia"/>
                <w:color w:val="auto"/>
              </w:rPr>
              <w:t>现有项目废水接管考核量：废水总量</w:t>
            </w:r>
            <w:r>
              <w:rPr>
                <w:color w:val="auto"/>
              </w:rPr>
              <w:t>≤</w:t>
            </w:r>
            <w:r>
              <w:rPr>
                <w:rFonts w:hint="eastAsia"/>
                <w:color w:val="auto"/>
                <w:lang w:val="en-US" w:eastAsia="zh-CN"/>
              </w:rPr>
              <w:t>840</w:t>
            </w:r>
            <w:r>
              <w:rPr>
                <w:rFonts w:hint="eastAsia"/>
                <w:color w:val="auto"/>
              </w:rPr>
              <w:t>t</w:t>
            </w:r>
            <w:r>
              <w:rPr>
                <w:color w:val="auto"/>
              </w:rPr>
              <w:t>/a、COD≤</w:t>
            </w:r>
            <w:r>
              <w:rPr>
                <w:rFonts w:hint="eastAsia"/>
                <w:color w:val="auto"/>
                <w:lang w:val="en-US" w:eastAsia="zh-CN"/>
              </w:rPr>
              <w:t>0.2100</w:t>
            </w:r>
            <w:r>
              <w:rPr>
                <w:color w:val="auto"/>
              </w:rPr>
              <w:t>t/a、</w:t>
            </w:r>
            <w:r>
              <w:rPr>
                <w:rFonts w:hint="eastAsia"/>
                <w:color w:val="auto"/>
              </w:rPr>
              <w:t>SS</w:t>
            </w:r>
            <w:r>
              <w:rPr>
                <w:color w:val="auto"/>
              </w:rPr>
              <w:t>≤</w:t>
            </w:r>
            <w:r>
              <w:rPr>
                <w:rFonts w:hint="eastAsia"/>
                <w:color w:val="auto"/>
                <w:lang w:val="en-US" w:eastAsia="zh-CN"/>
              </w:rPr>
              <w:t>0.0840</w:t>
            </w:r>
            <w:r>
              <w:rPr>
                <w:color w:val="auto"/>
              </w:rPr>
              <w:t>t/a</w:t>
            </w:r>
            <w:r>
              <w:rPr>
                <w:rFonts w:hint="eastAsia"/>
                <w:color w:val="auto"/>
              </w:rPr>
              <w:t>、</w:t>
            </w:r>
            <w:r>
              <w:rPr>
                <w:color w:val="auto"/>
              </w:rPr>
              <w:t>氨氮≤</w:t>
            </w:r>
            <w:r>
              <w:rPr>
                <w:rFonts w:hint="eastAsia"/>
                <w:color w:val="auto"/>
                <w:lang w:val="en-US" w:eastAsia="zh-CN"/>
              </w:rPr>
              <w:t>0.0210</w:t>
            </w:r>
            <w:r>
              <w:rPr>
                <w:color w:val="auto"/>
              </w:rPr>
              <w:t>t/a</w:t>
            </w:r>
            <w:r>
              <w:rPr>
                <w:rFonts w:hint="eastAsia"/>
                <w:color w:val="auto"/>
              </w:rPr>
              <w:t>、</w:t>
            </w:r>
            <w:r>
              <w:rPr>
                <w:color w:val="auto"/>
              </w:rPr>
              <w:t>TP≤</w:t>
            </w:r>
            <w:r>
              <w:rPr>
                <w:rFonts w:hint="eastAsia"/>
                <w:color w:val="auto"/>
                <w:lang w:val="en-US" w:eastAsia="zh-CN"/>
              </w:rPr>
              <w:t>0.0025</w:t>
            </w:r>
            <w:r>
              <w:rPr>
                <w:color w:val="auto"/>
              </w:rPr>
              <w:t>t/a</w:t>
            </w:r>
            <w:r>
              <w:rPr>
                <w:rFonts w:hint="eastAsia"/>
                <w:color w:val="auto"/>
              </w:rPr>
              <w:t>、</w:t>
            </w:r>
            <w:r>
              <w:rPr>
                <w:color w:val="auto"/>
              </w:rPr>
              <w:t>TN≤</w:t>
            </w:r>
            <w:r>
              <w:rPr>
                <w:rFonts w:hint="eastAsia"/>
                <w:color w:val="auto"/>
                <w:lang w:val="en-US" w:eastAsia="zh-CN"/>
              </w:rPr>
              <w:t>0.0336</w:t>
            </w:r>
            <w:r>
              <w:rPr>
                <w:color w:val="auto"/>
              </w:rPr>
              <w:t>t/a</w:t>
            </w:r>
            <w:r>
              <w:rPr>
                <w:rFonts w:hint="eastAsia"/>
                <w:color w:val="auto"/>
              </w:rPr>
              <w:t>；</w:t>
            </w:r>
            <w:r>
              <w:rPr>
                <w:color w:val="auto"/>
              </w:rPr>
              <w:t>进入环境量：</w:t>
            </w:r>
            <w:r>
              <w:rPr>
                <w:rFonts w:hint="eastAsia"/>
                <w:color w:val="auto"/>
              </w:rPr>
              <w:t>废水总量</w:t>
            </w:r>
            <w:r>
              <w:rPr>
                <w:color w:val="auto"/>
              </w:rPr>
              <w:t>≤</w:t>
            </w:r>
            <w:r>
              <w:rPr>
                <w:rFonts w:hint="eastAsia"/>
                <w:color w:val="auto"/>
                <w:lang w:val="en-US" w:eastAsia="zh-CN"/>
              </w:rPr>
              <w:t>840</w:t>
            </w:r>
            <w:r>
              <w:rPr>
                <w:color w:val="auto"/>
              </w:rPr>
              <w:t>t/a</w:t>
            </w:r>
            <w:r>
              <w:rPr>
                <w:rFonts w:hint="eastAsia"/>
                <w:color w:val="auto"/>
              </w:rPr>
              <w:t>、</w:t>
            </w:r>
            <w:r>
              <w:rPr>
                <w:color w:val="auto"/>
              </w:rPr>
              <w:t>COD≤</w:t>
            </w:r>
            <w:r>
              <w:rPr>
                <w:rFonts w:hint="eastAsia"/>
                <w:color w:val="auto"/>
                <w:lang w:val="en-US" w:eastAsia="zh-CN"/>
              </w:rPr>
              <w:t>0.0420</w:t>
            </w:r>
            <w:r>
              <w:rPr>
                <w:rFonts w:hint="eastAsia"/>
                <w:color w:val="auto"/>
              </w:rPr>
              <w:t>0</w:t>
            </w:r>
            <w:r>
              <w:rPr>
                <w:color w:val="auto"/>
              </w:rPr>
              <w:t>t/a、</w:t>
            </w:r>
            <w:r>
              <w:rPr>
                <w:rFonts w:hint="eastAsia"/>
                <w:color w:val="auto"/>
              </w:rPr>
              <w:t>SS</w:t>
            </w:r>
            <w:r>
              <w:rPr>
                <w:color w:val="auto"/>
              </w:rPr>
              <w:t>≤</w:t>
            </w:r>
            <w:r>
              <w:rPr>
                <w:rFonts w:hint="eastAsia"/>
                <w:color w:val="auto"/>
                <w:lang w:val="en-US" w:eastAsia="zh-CN"/>
              </w:rPr>
              <w:t>0.0084</w:t>
            </w:r>
            <w:r>
              <w:rPr>
                <w:color w:val="auto"/>
              </w:rPr>
              <w:t>t/a</w:t>
            </w:r>
            <w:r>
              <w:rPr>
                <w:rFonts w:hint="eastAsia"/>
                <w:color w:val="auto"/>
              </w:rPr>
              <w:t>、</w:t>
            </w:r>
            <w:r>
              <w:rPr>
                <w:color w:val="auto"/>
              </w:rPr>
              <w:t>氨氮≤</w:t>
            </w:r>
            <w:r>
              <w:rPr>
                <w:rFonts w:hint="eastAsia"/>
                <w:color w:val="auto"/>
                <w:lang w:val="en-US" w:eastAsia="zh-CN"/>
              </w:rPr>
              <w:t>0.0042</w:t>
            </w:r>
            <w:r>
              <w:rPr>
                <w:color w:val="auto"/>
              </w:rPr>
              <w:t>t/a</w:t>
            </w:r>
            <w:r>
              <w:rPr>
                <w:rFonts w:hint="eastAsia"/>
                <w:color w:val="auto"/>
              </w:rPr>
              <w:t>、</w:t>
            </w:r>
            <w:r>
              <w:rPr>
                <w:color w:val="auto"/>
              </w:rPr>
              <w:t>TP≤</w:t>
            </w:r>
            <w:r>
              <w:rPr>
                <w:rFonts w:hint="eastAsia"/>
                <w:color w:val="auto"/>
                <w:lang w:val="en-US" w:eastAsia="zh-CN"/>
              </w:rPr>
              <w:t>0.0004</w:t>
            </w:r>
            <w:r>
              <w:rPr>
                <w:color w:val="auto"/>
              </w:rPr>
              <w:t>t/a</w:t>
            </w:r>
            <w:r>
              <w:rPr>
                <w:rFonts w:hint="eastAsia"/>
                <w:color w:val="auto"/>
              </w:rPr>
              <w:t>、</w:t>
            </w:r>
            <w:r>
              <w:rPr>
                <w:color w:val="auto"/>
              </w:rPr>
              <w:t>TN≤</w:t>
            </w:r>
            <w:r>
              <w:rPr>
                <w:rFonts w:hint="eastAsia"/>
                <w:color w:val="auto"/>
                <w:lang w:val="en-US" w:eastAsia="zh-CN"/>
              </w:rPr>
              <w:t>0.0126</w:t>
            </w:r>
            <w:r>
              <w:rPr>
                <w:color w:val="auto"/>
              </w:rPr>
              <w:t>t/a。</w:t>
            </w:r>
          </w:p>
          <w:p w14:paraId="3388BB34">
            <w:pPr>
              <w:pStyle w:val="50"/>
              <w:ind w:firstLine="480"/>
              <w:rPr>
                <w:color w:val="auto"/>
              </w:rPr>
            </w:pPr>
            <w:r>
              <w:rPr>
                <w:rFonts w:hint="eastAsia"/>
                <w:color w:val="auto"/>
              </w:rPr>
              <w:t>本扩建项目</w:t>
            </w:r>
            <w:r>
              <w:rPr>
                <w:color w:val="auto"/>
              </w:rPr>
              <w:t>废水接管考核量：</w:t>
            </w:r>
            <w:r>
              <w:rPr>
                <w:rFonts w:hint="eastAsia"/>
                <w:color w:val="auto"/>
              </w:rPr>
              <w:t>废水总量</w:t>
            </w:r>
            <w:r>
              <w:rPr>
                <w:color w:val="auto"/>
              </w:rPr>
              <w:t>≤</w:t>
            </w:r>
            <w:r>
              <w:rPr>
                <w:rFonts w:hint="eastAsia"/>
                <w:color w:val="auto"/>
              </w:rPr>
              <w:t>2</w:t>
            </w:r>
            <w:r>
              <w:rPr>
                <w:rFonts w:hint="eastAsia"/>
                <w:color w:val="auto"/>
                <w:lang w:val="en-US" w:eastAsia="zh-CN"/>
              </w:rPr>
              <w:t>1</w:t>
            </w:r>
            <w:r>
              <w:rPr>
                <w:rFonts w:hint="eastAsia"/>
                <w:color w:val="auto"/>
              </w:rPr>
              <w:t>60t</w:t>
            </w:r>
            <w:r>
              <w:rPr>
                <w:color w:val="auto"/>
              </w:rPr>
              <w:t>/a、COD≤</w:t>
            </w:r>
            <w:r>
              <w:rPr>
                <w:rFonts w:hint="eastAsia"/>
                <w:color w:val="auto"/>
              </w:rPr>
              <w:t>0.6480</w:t>
            </w:r>
            <w:r>
              <w:rPr>
                <w:color w:val="auto"/>
              </w:rPr>
              <w:t>t/a、</w:t>
            </w:r>
            <w:r>
              <w:rPr>
                <w:rFonts w:hint="eastAsia"/>
                <w:color w:val="auto"/>
              </w:rPr>
              <w:t>SS</w:t>
            </w:r>
            <w:r>
              <w:rPr>
                <w:color w:val="auto"/>
              </w:rPr>
              <w:t>≤</w:t>
            </w:r>
            <w:r>
              <w:rPr>
                <w:rFonts w:hint="eastAsia"/>
                <w:color w:val="auto"/>
              </w:rPr>
              <w:t>0.3240</w:t>
            </w:r>
            <w:r>
              <w:rPr>
                <w:color w:val="auto"/>
              </w:rPr>
              <w:t>t/a</w:t>
            </w:r>
            <w:r>
              <w:rPr>
                <w:rFonts w:hint="eastAsia"/>
                <w:color w:val="auto"/>
              </w:rPr>
              <w:t>、</w:t>
            </w:r>
            <w:r>
              <w:rPr>
                <w:color w:val="auto"/>
              </w:rPr>
              <w:t>氨氮≤</w:t>
            </w:r>
            <w:r>
              <w:rPr>
                <w:rFonts w:hint="eastAsia"/>
                <w:color w:val="auto"/>
              </w:rPr>
              <w:t>0.0648</w:t>
            </w:r>
            <w:r>
              <w:rPr>
                <w:color w:val="auto"/>
              </w:rPr>
              <w:t>t/a</w:t>
            </w:r>
            <w:r>
              <w:rPr>
                <w:rFonts w:hint="eastAsia"/>
                <w:color w:val="auto"/>
              </w:rPr>
              <w:t>、</w:t>
            </w:r>
            <w:r>
              <w:rPr>
                <w:color w:val="auto"/>
              </w:rPr>
              <w:t>TP≤</w:t>
            </w:r>
            <w:r>
              <w:rPr>
                <w:rFonts w:hint="eastAsia"/>
                <w:color w:val="auto"/>
              </w:rPr>
              <w:t>0.0076</w:t>
            </w:r>
            <w:r>
              <w:rPr>
                <w:color w:val="auto"/>
              </w:rPr>
              <w:t>t/a</w:t>
            </w:r>
            <w:r>
              <w:rPr>
                <w:rFonts w:hint="eastAsia"/>
                <w:color w:val="auto"/>
              </w:rPr>
              <w:t>、</w:t>
            </w:r>
            <w:r>
              <w:rPr>
                <w:color w:val="auto"/>
              </w:rPr>
              <w:t>TN≤</w:t>
            </w:r>
            <w:r>
              <w:rPr>
                <w:rFonts w:hint="eastAsia"/>
                <w:color w:val="auto"/>
              </w:rPr>
              <w:t>0.0864</w:t>
            </w:r>
            <w:r>
              <w:rPr>
                <w:color w:val="auto"/>
              </w:rPr>
              <w:t>t/a</w:t>
            </w:r>
            <w:r>
              <w:rPr>
                <w:rFonts w:hint="eastAsia"/>
                <w:color w:val="auto"/>
              </w:rPr>
              <w:t>、动植物油</w:t>
            </w:r>
            <w:r>
              <w:rPr>
                <w:color w:val="auto"/>
              </w:rPr>
              <w:t>≤</w:t>
            </w:r>
            <w:r>
              <w:rPr>
                <w:rFonts w:hint="eastAsia"/>
                <w:color w:val="auto"/>
              </w:rPr>
              <w:t>0.1080</w:t>
            </w:r>
            <w:r>
              <w:rPr>
                <w:color w:val="auto"/>
              </w:rPr>
              <w:t>t/a</w:t>
            </w:r>
            <w:r>
              <w:rPr>
                <w:rFonts w:hint="eastAsia"/>
                <w:color w:val="auto"/>
              </w:rPr>
              <w:t>；</w:t>
            </w:r>
            <w:r>
              <w:rPr>
                <w:color w:val="auto"/>
              </w:rPr>
              <w:t>进入环境量：</w:t>
            </w:r>
            <w:r>
              <w:rPr>
                <w:rFonts w:hint="eastAsia"/>
                <w:color w:val="auto"/>
              </w:rPr>
              <w:t>废水总量</w:t>
            </w:r>
            <w:r>
              <w:rPr>
                <w:color w:val="auto"/>
              </w:rPr>
              <w:t>≤</w:t>
            </w:r>
            <w:r>
              <w:rPr>
                <w:rFonts w:hint="eastAsia"/>
                <w:color w:val="auto"/>
              </w:rPr>
              <w:t>2</w:t>
            </w:r>
            <w:r>
              <w:rPr>
                <w:rFonts w:hint="eastAsia"/>
                <w:color w:val="auto"/>
                <w:lang w:val="en-US" w:eastAsia="zh-CN"/>
              </w:rPr>
              <w:t>1</w:t>
            </w:r>
            <w:r>
              <w:rPr>
                <w:rFonts w:hint="eastAsia"/>
                <w:color w:val="auto"/>
              </w:rPr>
              <w:t>60</w:t>
            </w:r>
            <w:r>
              <w:rPr>
                <w:color w:val="auto"/>
              </w:rPr>
              <w:t>t/a、COD≤</w:t>
            </w:r>
            <w:r>
              <w:rPr>
                <w:rFonts w:hint="eastAsia"/>
                <w:color w:val="auto"/>
              </w:rPr>
              <w:t>0.1080</w:t>
            </w:r>
            <w:r>
              <w:rPr>
                <w:color w:val="auto"/>
              </w:rPr>
              <w:t>t/a、</w:t>
            </w:r>
            <w:r>
              <w:rPr>
                <w:rFonts w:hint="eastAsia"/>
                <w:color w:val="auto"/>
              </w:rPr>
              <w:t>SS</w:t>
            </w:r>
            <w:r>
              <w:rPr>
                <w:color w:val="auto"/>
              </w:rPr>
              <w:t>≤</w:t>
            </w:r>
            <w:r>
              <w:rPr>
                <w:rFonts w:hint="eastAsia"/>
                <w:color w:val="auto"/>
              </w:rPr>
              <w:t>0.0216</w:t>
            </w:r>
            <w:r>
              <w:rPr>
                <w:color w:val="auto"/>
              </w:rPr>
              <w:t>t/a</w:t>
            </w:r>
            <w:r>
              <w:rPr>
                <w:rFonts w:hint="eastAsia"/>
                <w:color w:val="auto"/>
              </w:rPr>
              <w:t>、</w:t>
            </w:r>
            <w:r>
              <w:rPr>
                <w:color w:val="auto"/>
              </w:rPr>
              <w:t>氨氮≤</w:t>
            </w:r>
            <w:r>
              <w:rPr>
                <w:rFonts w:hint="eastAsia"/>
                <w:color w:val="auto"/>
              </w:rPr>
              <w:t>0.0108</w:t>
            </w:r>
            <w:r>
              <w:rPr>
                <w:color w:val="auto"/>
              </w:rPr>
              <w:t>t/a</w:t>
            </w:r>
            <w:r>
              <w:rPr>
                <w:rFonts w:hint="eastAsia"/>
                <w:color w:val="auto"/>
              </w:rPr>
              <w:t>、</w:t>
            </w:r>
            <w:r>
              <w:rPr>
                <w:color w:val="auto"/>
              </w:rPr>
              <w:t>TP≤</w:t>
            </w:r>
            <w:r>
              <w:rPr>
                <w:rFonts w:hint="eastAsia"/>
                <w:color w:val="auto"/>
              </w:rPr>
              <w:t>0.0011</w:t>
            </w:r>
            <w:r>
              <w:rPr>
                <w:color w:val="auto"/>
              </w:rPr>
              <w:t>t/a</w:t>
            </w:r>
            <w:r>
              <w:rPr>
                <w:rFonts w:hint="eastAsia"/>
                <w:color w:val="auto"/>
              </w:rPr>
              <w:t>、</w:t>
            </w:r>
            <w:r>
              <w:rPr>
                <w:color w:val="auto"/>
              </w:rPr>
              <w:t>TN≤</w:t>
            </w:r>
            <w:r>
              <w:rPr>
                <w:rFonts w:hint="eastAsia"/>
                <w:color w:val="auto"/>
              </w:rPr>
              <w:t>0.0324</w:t>
            </w:r>
            <w:r>
              <w:rPr>
                <w:color w:val="auto"/>
              </w:rPr>
              <w:t>t/a</w:t>
            </w:r>
            <w:r>
              <w:rPr>
                <w:rFonts w:hint="eastAsia"/>
                <w:color w:val="auto"/>
              </w:rPr>
              <w:t>、动植物油</w:t>
            </w:r>
            <w:r>
              <w:rPr>
                <w:color w:val="auto"/>
              </w:rPr>
              <w:t>≤</w:t>
            </w:r>
            <w:r>
              <w:rPr>
                <w:rFonts w:hint="eastAsia"/>
                <w:color w:val="auto"/>
              </w:rPr>
              <w:t>0.0022</w:t>
            </w:r>
            <w:r>
              <w:rPr>
                <w:color w:val="auto"/>
              </w:rPr>
              <w:t>t/a</w:t>
            </w:r>
            <w:r>
              <w:rPr>
                <w:rFonts w:hint="eastAsia"/>
                <w:color w:val="auto"/>
              </w:rPr>
              <w:t>。</w:t>
            </w:r>
          </w:p>
          <w:p w14:paraId="60929DBF">
            <w:pPr>
              <w:pStyle w:val="50"/>
              <w:ind w:firstLine="480"/>
              <w:rPr>
                <w:color w:val="auto"/>
              </w:rPr>
            </w:pPr>
            <w:r>
              <w:rPr>
                <w:rFonts w:hint="eastAsia"/>
                <w:color w:val="auto"/>
              </w:rPr>
              <w:t>本扩建项目建成后全厂</w:t>
            </w:r>
            <w:r>
              <w:rPr>
                <w:color w:val="auto"/>
              </w:rPr>
              <w:t>废水接管考核量：</w:t>
            </w:r>
            <w:r>
              <w:rPr>
                <w:rFonts w:hint="eastAsia"/>
                <w:color w:val="auto"/>
              </w:rPr>
              <w:t>废水总量</w:t>
            </w:r>
            <w:r>
              <w:rPr>
                <w:color w:val="auto"/>
              </w:rPr>
              <w:t>≤</w:t>
            </w:r>
            <w:r>
              <w:rPr>
                <w:rFonts w:hint="eastAsia"/>
                <w:color w:val="auto"/>
              </w:rPr>
              <w:t>2</w:t>
            </w:r>
            <w:r>
              <w:rPr>
                <w:rFonts w:hint="eastAsia"/>
                <w:color w:val="auto"/>
                <w:lang w:val="en-US" w:eastAsia="zh-CN"/>
              </w:rPr>
              <w:t>1</w:t>
            </w:r>
            <w:r>
              <w:rPr>
                <w:rFonts w:hint="eastAsia"/>
                <w:color w:val="auto"/>
              </w:rPr>
              <w:t>60t</w:t>
            </w:r>
            <w:r>
              <w:rPr>
                <w:color w:val="auto"/>
              </w:rPr>
              <w:t>/a、COD≤</w:t>
            </w:r>
            <w:r>
              <w:rPr>
                <w:rFonts w:hint="eastAsia"/>
                <w:color w:val="auto"/>
              </w:rPr>
              <w:t>0.6480</w:t>
            </w:r>
            <w:r>
              <w:rPr>
                <w:color w:val="auto"/>
              </w:rPr>
              <w:t>t/a、</w:t>
            </w:r>
            <w:r>
              <w:rPr>
                <w:rFonts w:hint="eastAsia"/>
                <w:color w:val="auto"/>
              </w:rPr>
              <w:t>SS</w:t>
            </w:r>
            <w:r>
              <w:rPr>
                <w:color w:val="auto"/>
              </w:rPr>
              <w:t>≤</w:t>
            </w:r>
            <w:r>
              <w:rPr>
                <w:rFonts w:hint="eastAsia"/>
                <w:color w:val="auto"/>
              </w:rPr>
              <w:t>0.3240</w:t>
            </w:r>
            <w:r>
              <w:rPr>
                <w:color w:val="auto"/>
              </w:rPr>
              <w:t>t/a</w:t>
            </w:r>
            <w:r>
              <w:rPr>
                <w:rFonts w:hint="eastAsia"/>
                <w:color w:val="auto"/>
              </w:rPr>
              <w:t>、</w:t>
            </w:r>
            <w:r>
              <w:rPr>
                <w:color w:val="auto"/>
              </w:rPr>
              <w:t>氨氮≤</w:t>
            </w:r>
            <w:r>
              <w:rPr>
                <w:rFonts w:hint="eastAsia"/>
                <w:color w:val="auto"/>
              </w:rPr>
              <w:t>0.0648</w:t>
            </w:r>
            <w:r>
              <w:rPr>
                <w:color w:val="auto"/>
              </w:rPr>
              <w:t>t/a</w:t>
            </w:r>
            <w:r>
              <w:rPr>
                <w:rFonts w:hint="eastAsia"/>
                <w:color w:val="auto"/>
              </w:rPr>
              <w:t>、</w:t>
            </w:r>
            <w:r>
              <w:rPr>
                <w:color w:val="auto"/>
              </w:rPr>
              <w:t>TP≤</w:t>
            </w:r>
            <w:r>
              <w:rPr>
                <w:rFonts w:hint="eastAsia"/>
                <w:color w:val="auto"/>
              </w:rPr>
              <w:t>0.0076</w:t>
            </w:r>
            <w:r>
              <w:rPr>
                <w:color w:val="auto"/>
              </w:rPr>
              <w:t>t/a</w:t>
            </w:r>
            <w:r>
              <w:rPr>
                <w:rFonts w:hint="eastAsia"/>
                <w:color w:val="auto"/>
              </w:rPr>
              <w:t>、</w:t>
            </w:r>
            <w:r>
              <w:rPr>
                <w:color w:val="auto"/>
              </w:rPr>
              <w:t>TN≤</w:t>
            </w:r>
            <w:r>
              <w:rPr>
                <w:rFonts w:hint="eastAsia"/>
                <w:color w:val="auto"/>
              </w:rPr>
              <w:t>0.0864</w:t>
            </w:r>
            <w:r>
              <w:rPr>
                <w:color w:val="auto"/>
              </w:rPr>
              <w:t>t/a</w:t>
            </w:r>
            <w:r>
              <w:rPr>
                <w:rFonts w:hint="eastAsia"/>
                <w:color w:val="auto"/>
              </w:rPr>
              <w:t>、动植物油</w:t>
            </w:r>
            <w:r>
              <w:rPr>
                <w:color w:val="auto"/>
              </w:rPr>
              <w:t>≤</w:t>
            </w:r>
            <w:r>
              <w:rPr>
                <w:rFonts w:hint="eastAsia"/>
                <w:color w:val="auto"/>
              </w:rPr>
              <w:t>0.1080</w:t>
            </w:r>
            <w:r>
              <w:rPr>
                <w:color w:val="auto"/>
              </w:rPr>
              <w:t>t/a</w:t>
            </w:r>
            <w:r>
              <w:rPr>
                <w:rFonts w:hint="eastAsia"/>
                <w:color w:val="auto"/>
              </w:rPr>
              <w:t>；</w:t>
            </w:r>
            <w:r>
              <w:rPr>
                <w:color w:val="auto"/>
              </w:rPr>
              <w:t>进入环境量：</w:t>
            </w:r>
            <w:r>
              <w:rPr>
                <w:rFonts w:hint="eastAsia"/>
                <w:color w:val="auto"/>
              </w:rPr>
              <w:t>废水总量</w:t>
            </w:r>
            <w:r>
              <w:rPr>
                <w:color w:val="auto"/>
              </w:rPr>
              <w:t>≤</w:t>
            </w:r>
            <w:r>
              <w:rPr>
                <w:rFonts w:hint="eastAsia"/>
                <w:color w:val="auto"/>
              </w:rPr>
              <w:t>2</w:t>
            </w:r>
            <w:r>
              <w:rPr>
                <w:rFonts w:hint="eastAsia"/>
                <w:color w:val="auto"/>
                <w:lang w:val="en-US" w:eastAsia="zh-CN"/>
              </w:rPr>
              <w:t>1</w:t>
            </w:r>
            <w:r>
              <w:rPr>
                <w:rFonts w:hint="eastAsia"/>
                <w:color w:val="auto"/>
              </w:rPr>
              <w:t>60</w:t>
            </w:r>
            <w:r>
              <w:rPr>
                <w:color w:val="auto"/>
              </w:rPr>
              <w:t>t/a、COD≤</w:t>
            </w:r>
            <w:r>
              <w:rPr>
                <w:rFonts w:hint="eastAsia"/>
                <w:color w:val="auto"/>
              </w:rPr>
              <w:t>0.1080</w:t>
            </w:r>
            <w:r>
              <w:rPr>
                <w:color w:val="auto"/>
              </w:rPr>
              <w:t>t/a、</w:t>
            </w:r>
            <w:r>
              <w:rPr>
                <w:rFonts w:hint="eastAsia"/>
                <w:color w:val="auto"/>
              </w:rPr>
              <w:t>SS</w:t>
            </w:r>
            <w:r>
              <w:rPr>
                <w:color w:val="auto"/>
              </w:rPr>
              <w:t>≤</w:t>
            </w:r>
            <w:r>
              <w:rPr>
                <w:rFonts w:hint="eastAsia"/>
                <w:color w:val="auto"/>
              </w:rPr>
              <w:t>0.0216</w:t>
            </w:r>
            <w:r>
              <w:rPr>
                <w:color w:val="auto"/>
              </w:rPr>
              <w:t>t/a</w:t>
            </w:r>
            <w:r>
              <w:rPr>
                <w:rFonts w:hint="eastAsia"/>
                <w:color w:val="auto"/>
              </w:rPr>
              <w:t>、</w:t>
            </w:r>
            <w:r>
              <w:rPr>
                <w:color w:val="auto"/>
              </w:rPr>
              <w:t>氨氮≤</w:t>
            </w:r>
            <w:r>
              <w:rPr>
                <w:rFonts w:hint="eastAsia"/>
                <w:color w:val="auto"/>
              </w:rPr>
              <w:t>0.0108</w:t>
            </w:r>
            <w:r>
              <w:rPr>
                <w:color w:val="auto"/>
              </w:rPr>
              <w:t>t/a</w:t>
            </w:r>
            <w:r>
              <w:rPr>
                <w:rFonts w:hint="eastAsia"/>
                <w:color w:val="auto"/>
              </w:rPr>
              <w:t>、</w:t>
            </w:r>
            <w:r>
              <w:rPr>
                <w:color w:val="auto"/>
              </w:rPr>
              <w:t>TP≤</w:t>
            </w:r>
            <w:r>
              <w:rPr>
                <w:rFonts w:hint="eastAsia"/>
                <w:color w:val="auto"/>
              </w:rPr>
              <w:t>0.0011</w:t>
            </w:r>
            <w:r>
              <w:rPr>
                <w:color w:val="auto"/>
              </w:rPr>
              <w:t>t/a</w:t>
            </w:r>
            <w:r>
              <w:rPr>
                <w:rFonts w:hint="eastAsia"/>
                <w:color w:val="auto"/>
              </w:rPr>
              <w:t>、</w:t>
            </w:r>
            <w:r>
              <w:rPr>
                <w:color w:val="auto"/>
              </w:rPr>
              <w:t>TN≤</w:t>
            </w:r>
            <w:r>
              <w:rPr>
                <w:rFonts w:hint="eastAsia"/>
                <w:color w:val="auto"/>
              </w:rPr>
              <w:t>0.0324</w:t>
            </w:r>
            <w:r>
              <w:rPr>
                <w:color w:val="auto"/>
              </w:rPr>
              <w:t>t/a</w:t>
            </w:r>
            <w:r>
              <w:rPr>
                <w:rFonts w:hint="eastAsia"/>
                <w:color w:val="auto"/>
              </w:rPr>
              <w:t>、动植物油</w:t>
            </w:r>
            <w:r>
              <w:rPr>
                <w:color w:val="auto"/>
              </w:rPr>
              <w:t>≤</w:t>
            </w:r>
            <w:r>
              <w:rPr>
                <w:rFonts w:hint="eastAsia"/>
                <w:color w:val="auto"/>
              </w:rPr>
              <w:t>0.0022</w:t>
            </w:r>
            <w:r>
              <w:rPr>
                <w:color w:val="auto"/>
              </w:rPr>
              <w:t>t/a</w:t>
            </w:r>
            <w:r>
              <w:rPr>
                <w:rFonts w:hint="eastAsia"/>
                <w:color w:val="auto"/>
              </w:rPr>
              <w:t>。</w:t>
            </w:r>
          </w:p>
          <w:p w14:paraId="555CDEFC">
            <w:pPr>
              <w:pStyle w:val="50"/>
              <w:ind w:firstLine="482"/>
              <w:rPr>
                <w:b/>
                <w:bCs/>
                <w:color w:val="auto"/>
              </w:rPr>
            </w:pPr>
            <w:r>
              <w:rPr>
                <w:b/>
                <w:bCs/>
                <w:color w:val="auto"/>
              </w:rPr>
              <w:t>（3）固废</w:t>
            </w:r>
          </w:p>
          <w:p w14:paraId="15BDFBD8">
            <w:pPr>
              <w:pStyle w:val="50"/>
              <w:ind w:firstLine="480"/>
              <w:rPr>
                <w:color w:val="auto"/>
              </w:rPr>
            </w:pPr>
            <w:r>
              <w:rPr>
                <w:color w:val="auto"/>
              </w:rPr>
              <w:t>本</w:t>
            </w:r>
            <w:r>
              <w:rPr>
                <w:rFonts w:hint="eastAsia"/>
                <w:color w:val="auto"/>
              </w:rPr>
              <w:t>扩建</w:t>
            </w:r>
            <w:r>
              <w:rPr>
                <w:color w:val="auto"/>
              </w:rPr>
              <w:t>项目</w:t>
            </w:r>
            <w:r>
              <w:rPr>
                <w:rFonts w:hint="eastAsia"/>
                <w:color w:val="auto"/>
              </w:rPr>
              <w:t>建成后全厂</w:t>
            </w:r>
            <w:r>
              <w:rPr>
                <w:color w:val="auto"/>
              </w:rPr>
              <w:t>所有固废均得到有效合理处置，不进入环境。</w:t>
            </w:r>
          </w:p>
          <w:p w14:paraId="6916F688">
            <w:pPr>
              <w:pStyle w:val="50"/>
              <w:ind w:firstLine="480"/>
              <w:rPr>
                <w:color w:val="auto"/>
              </w:rPr>
            </w:pPr>
          </w:p>
          <w:p w14:paraId="1630A00C">
            <w:pPr>
              <w:pStyle w:val="50"/>
              <w:ind w:firstLine="480"/>
              <w:rPr>
                <w:color w:val="auto"/>
              </w:rPr>
            </w:pPr>
          </w:p>
          <w:p w14:paraId="6090BAF8">
            <w:pPr>
              <w:pStyle w:val="50"/>
              <w:ind w:firstLine="480"/>
              <w:rPr>
                <w:color w:val="auto"/>
              </w:rPr>
            </w:pPr>
          </w:p>
          <w:p w14:paraId="196C2B3E">
            <w:pPr>
              <w:pStyle w:val="50"/>
              <w:ind w:firstLine="480"/>
              <w:rPr>
                <w:color w:val="auto"/>
              </w:rPr>
            </w:pPr>
          </w:p>
          <w:p w14:paraId="1AA176D9">
            <w:pPr>
              <w:pStyle w:val="50"/>
              <w:ind w:firstLine="480"/>
              <w:rPr>
                <w:color w:val="auto"/>
              </w:rPr>
            </w:pPr>
          </w:p>
          <w:p w14:paraId="6E212235">
            <w:pPr>
              <w:pStyle w:val="50"/>
              <w:ind w:firstLine="480"/>
              <w:rPr>
                <w:color w:val="auto"/>
              </w:rPr>
            </w:pPr>
          </w:p>
          <w:p w14:paraId="39D7B6CB">
            <w:pPr>
              <w:pStyle w:val="50"/>
              <w:ind w:firstLine="480"/>
              <w:rPr>
                <w:color w:val="auto"/>
              </w:rPr>
            </w:pPr>
          </w:p>
          <w:p w14:paraId="764B26D3">
            <w:pPr>
              <w:pStyle w:val="50"/>
              <w:ind w:firstLine="480"/>
              <w:rPr>
                <w:color w:val="auto"/>
              </w:rPr>
            </w:pPr>
          </w:p>
          <w:p w14:paraId="1315279A">
            <w:pPr>
              <w:pStyle w:val="50"/>
              <w:ind w:firstLine="480"/>
              <w:rPr>
                <w:color w:val="auto"/>
              </w:rPr>
            </w:pPr>
          </w:p>
          <w:p w14:paraId="603A27E3">
            <w:pPr>
              <w:pStyle w:val="50"/>
              <w:ind w:firstLine="480"/>
              <w:rPr>
                <w:color w:val="auto"/>
              </w:rPr>
            </w:pPr>
          </w:p>
          <w:p w14:paraId="5E178F67">
            <w:pPr>
              <w:pStyle w:val="50"/>
              <w:ind w:firstLine="480"/>
              <w:rPr>
                <w:color w:val="auto"/>
              </w:rPr>
            </w:pPr>
          </w:p>
          <w:p w14:paraId="0C77837F">
            <w:pPr>
              <w:pStyle w:val="50"/>
              <w:ind w:firstLine="480"/>
              <w:rPr>
                <w:color w:val="auto"/>
              </w:rPr>
            </w:pPr>
          </w:p>
          <w:p w14:paraId="359210FC">
            <w:pPr>
              <w:pStyle w:val="50"/>
              <w:ind w:firstLine="480"/>
              <w:rPr>
                <w:color w:val="auto"/>
              </w:rPr>
            </w:pPr>
          </w:p>
          <w:p w14:paraId="67508780">
            <w:pPr>
              <w:pStyle w:val="50"/>
              <w:ind w:firstLine="480"/>
              <w:rPr>
                <w:color w:val="auto"/>
              </w:rPr>
            </w:pPr>
          </w:p>
          <w:p w14:paraId="38C952D4">
            <w:pPr>
              <w:pStyle w:val="50"/>
              <w:ind w:firstLine="480"/>
              <w:rPr>
                <w:color w:val="auto"/>
              </w:rPr>
            </w:pPr>
          </w:p>
          <w:p w14:paraId="203DDFEC">
            <w:pPr>
              <w:pStyle w:val="50"/>
              <w:ind w:firstLine="480"/>
              <w:rPr>
                <w:color w:val="auto"/>
              </w:rPr>
            </w:pPr>
          </w:p>
          <w:p w14:paraId="10AD231C">
            <w:pPr>
              <w:pStyle w:val="50"/>
              <w:ind w:firstLine="480"/>
              <w:rPr>
                <w:color w:val="auto"/>
              </w:rPr>
            </w:pPr>
          </w:p>
          <w:p w14:paraId="691A9BC0">
            <w:pPr>
              <w:pStyle w:val="50"/>
              <w:ind w:firstLine="480"/>
              <w:rPr>
                <w:color w:val="auto"/>
              </w:rPr>
            </w:pPr>
          </w:p>
          <w:p w14:paraId="37921205">
            <w:pPr>
              <w:pStyle w:val="50"/>
              <w:ind w:firstLine="480"/>
              <w:rPr>
                <w:color w:val="auto"/>
              </w:rPr>
            </w:pPr>
          </w:p>
          <w:p w14:paraId="623404CD">
            <w:pPr>
              <w:pStyle w:val="50"/>
              <w:ind w:firstLine="480"/>
              <w:rPr>
                <w:color w:val="auto"/>
              </w:rPr>
            </w:pPr>
          </w:p>
          <w:p w14:paraId="523DE2F6">
            <w:pPr>
              <w:pStyle w:val="50"/>
              <w:ind w:firstLine="480"/>
              <w:rPr>
                <w:color w:val="auto"/>
              </w:rPr>
            </w:pPr>
          </w:p>
          <w:p w14:paraId="70BC6CC7">
            <w:pPr>
              <w:pStyle w:val="50"/>
              <w:ind w:firstLine="480"/>
              <w:rPr>
                <w:color w:val="auto"/>
              </w:rPr>
            </w:pPr>
          </w:p>
          <w:p w14:paraId="54348CA8">
            <w:pPr>
              <w:pStyle w:val="50"/>
              <w:ind w:firstLine="480"/>
              <w:rPr>
                <w:color w:val="auto"/>
              </w:rPr>
            </w:pPr>
          </w:p>
          <w:p w14:paraId="4C551E3B">
            <w:pPr>
              <w:pStyle w:val="50"/>
              <w:ind w:firstLine="480"/>
              <w:rPr>
                <w:color w:val="auto"/>
              </w:rPr>
            </w:pPr>
          </w:p>
          <w:p w14:paraId="566261BE">
            <w:pPr>
              <w:pStyle w:val="50"/>
              <w:ind w:firstLine="480"/>
              <w:rPr>
                <w:color w:val="auto"/>
              </w:rPr>
            </w:pPr>
          </w:p>
          <w:p w14:paraId="380A1950">
            <w:pPr>
              <w:pStyle w:val="50"/>
              <w:ind w:firstLine="480"/>
              <w:rPr>
                <w:color w:val="auto"/>
              </w:rPr>
            </w:pPr>
          </w:p>
          <w:p w14:paraId="3E0053B4">
            <w:pPr>
              <w:pStyle w:val="50"/>
              <w:ind w:firstLine="480"/>
              <w:rPr>
                <w:color w:val="auto"/>
              </w:rPr>
            </w:pPr>
          </w:p>
          <w:p w14:paraId="4945F83F">
            <w:pPr>
              <w:pStyle w:val="50"/>
              <w:ind w:firstLine="480"/>
              <w:rPr>
                <w:color w:val="auto"/>
              </w:rPr>
            </w:pPr>
          </w:p>
          <w:p w14:paraId="241C49AE">
            <w:pPr>
              <w:pStyle w:val="50"/>
              <w:ind w:firstLine="480"/>
              <w:rPr>
                <w:color w:val="auto"/>
              </w:rPr>
            </w:pPr>
          </w:p>
        </w:tc>
      </w:tr>
    </w:tbl>
    <w:p w14:paraId="7C6B4549">
      <w:pPr>
        <w:pStyle w:val="50"/>
        <w:ind w:firstLine="480"/>
        <w:rPr>
          <w:color w:val="auto"/>
        </w:rPr>
        <w:sectPr>
          <w:pgSz w:w="11906" w:h="16838"/>
          <w:pgMar w:top="1701" w:right="1417" w:bottom="1701" w:left="1417" w:header="851" w:footer="851" w:gutter="0"/>
          <w:cols w:space="720" w:num="1"/>
          <w:docGrid w:linePitch="312" w:charSpace="0"/>
        </w:sectPr>
      </w:pPr>
      <w:bookmarkStart w:id="79" w:name="_Toc3460"/>
    </w:p>
    <w:p w14:paraId="411176B2">
      <w:pPr>
        <w:pStyle w:val="2"/>
        <w:spacing w:line="240" w:lineRule="auto"/>
        <w:rPr>
          <w:color w:val="auto"/>
        </w:rPr>
      </w:pPr>
      <w:bookmarkStart w:id="80" w:name="_Toc30086"/>
      <w:r>
        <w:rPr>
          <w:color w:val="auto"/>
        </w:rPr>
        <w:t>四、主要环境影响和保护措施</w:t>
      </w:r>
      <w:bookmarkEnd w:id="79"/>
      <w:bookmarkEnd w:id="80"/>
    </w:p>
    <w:tbl>
      <w:tblPr>
        <w:tblStyle w:val="17"/>
        <w:tblW w:w="9524"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65"/>
        <w:gridCol w:w="8659"/>
      </w:tblGrid>
      <w:tr w14:paraId="124815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56" w:hRule="atLeast"/>
        </w:trPr>
        <w:tc>
          <w:tcPr>
            <w:tcW w:w="865" w:type="dxa"/>
            <w:tcMar>
              <w:left w:w="28" w:type="dxa"/>
              <w:right w:w="28" w:type="dxa"/>
            </w:tcMar>
            <w:vAlign w:val="center"/>
          </w:tcPr>
          <w:p w14:paraId="0D660AC9">
            <w:pPr>
              <w:jc w:val="center"/>
              <w:rPr>
                <w:rFonts w:eastAsiaTheme="minorEastAsia"/>
                <w:color w:val="auto"/>
                <w:sz w:val="24"/>
              </w:rPr>
            </w:pPr>
            <w:r>
              <w:rPr>
                <w:rFonts w:eastAsiaTheme="minorEastAsia"/>
                <w:color w:val="auto"/>
                <w:sz w:val="24"/>
              </w:rPr>
              <w:t>施工</w:t>
            </w:r>
          </w:p>
          <w:p w14:paraId="5B5EA753">
            <w:pPr>
              <w:jc w:val="center"/>
              <w:rPr>
                <w:rFonts w:eastAsiaTheme="minorEastAsia"/>
                <w:color w:val="auto"/>
                <w:sz w:val="24"/>
              </w:rPr>
            </w:pPr>
            <w:r>
              <w:rPr>
                <w:rFonts w:eastAsiaTheme="minorEastAsia"/>
                <w:color w:val="auto"/>
                <w:sz w:val="24"/>
              </w:rPr>
              <w:t>期环</w:t>
            </w:r>
          </w:p>
          <w:p w14:paraId="7F90C6CA">
            <w:pPr>
              <w:jc w:val="center"/>
              <w:rPr>
                <w:rFonts w:eastAsiaTheme="minorEastAsia"/>
                <w:color w:val="auto"/>
                <w:sz w:val="24"/>
              </w:rPr>
            </w:pPr>
            <w:r>
              <w:rPr>
                <w:rFonts w:eastAsiaTheme="minorEastAsia"/>
                <w:color w:val="auto"/>
                <w:sz w:val="24"/>
              </w:rPr>
              <w:t>境保</w:t>
            </w:r>
          </w:p>
          <w:p w14:paraId="2120B278">
            <w:pPr>
              <w:jc w:val="center"/>
              <w:rPr>
                <w:rFonts w:eastAsiaTheme="minorEastAsia"/>
                <w:color w:val="auto"/>
                <w:sz w:val="24"/>
              </w:rPr>
            </w:pPr>
            <w:r>
              <w:rPr>
                <w:rFonts w:eastAsiaTheme="minorEastAsia"/>
                <w:color w:val="auto"/>
                <w:sz w:val="24"/>
              </w:rPr>
              <w:t>护措</w:t>
            </w:r>
          </w:p>
          <w:p w14:paraId="65D84847">
            <w:pPr>
              <w:jc w:val="center"/>
              <w:rPr>
                <w:rFonts w:eastAsiaTheme="minorEastAsia"/>
                <w:color w:val="auto"/>
                <w:sz w:val="24"/>
              </w:rPr>
            </w:pPr>
            <w:r>
              <w:rPr>
                <w:rFonts w:eastAsiaTheme="minorEastAsia"/>
                <w:color w:val="auto"/>
                <w:sz w:val="24"/>
              </w:rPr>
              <w:t>施</w:t>
            </w:r>
          </w:p>
        </w:tc>
        <w:tc>
          <w:tcPr>
            <w:tcW w:w="8659" w:type="dxa"/>
            <w:vAlign w:val="center"/>
          </w:tcPr>
          <w:p w14:paraId="076AF554">
            <w:pPr>
              <w:pStyle w:val="50"/>
              <w:ind w:firstLine="480"/>
              <w:rPr>
                <w:color w:val="auto"/>
              </w:rPr>
            </w:pPr>
            <w:r>
              <w:rPr>
                <w:color w:val="auto"/>
              </w:rPr>
              <w:t>本扩建项目位于</w:t>
            </w:r>
            <w:r>
              <w:rPr>
                <w:rFonts w:hint="eastAsia"/>
                <w:color w:val="auto"/>
              </w:rPr>
              <w:t>宿迁市泗阳县王集镇发展大道东路8号</w:t>
            </w:r>
            <w:r>
              <w:rPr>
                <w:color w:val="auto"/>
              </w:rPr>
              <w:t>，</w:t>
            </w:r>
            <w:r>
              <w:rPr>
                <w:rFonts w:hint="eastAsia"/>
                <w:color w:val="auto"/>
              </w:rPr>
              <w:t>在已建1#厂房内进行生产。只需进行简单装修和设备安装，施工期污染物主要为设备安装时期工人产生的极少量生活污水和生活垃圾，对环境影响较</w:t>
            </w:r>
            <w:r>
              <w:rPr>
                <w:rFonts w:hint="eastAsia"/>
                <w:color w:val="auto"/>
                <w:lang w:val="en-US" w:eastAsia="zh-CN"/>
              </w:rPr>
              <w:t>小</w:t>
            </w:r>
            <w:r>
              <w:rPr>
                <w:rFonts w:hint="eastAsia"/>
                <w:color w:val="auto"/>
              </w:rPr>
              <w:t>。故本次评价对施工期环境影响不作分析，仅对运营环境影响进行分析。</w:t>
            </w:r>
          </w:p>
        </w:tc>
      </w:tr>
      <w:tr w14:paraId="2DFE2C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56" w:hRule="atLeast"/>
        </w:trPr>
        <w:tc>
          <w:tcPr>
            <w:tcW w:w="865" w:type="dxa"/>
            <w:tcMar>
              <w:left w:w="28" w:type="dxa"/>
              <w:right w:w="28" w:type="dxa"/>
            </w:tcMar>
            <w:vAlign w:val="center"/>
          </w:tcPr>
          <w:p w14:paraId="446553E7">
            <w:pPr>
              <w:jc w:val="center"/>
              <w:rPr>
                <w:rFonts w:eastAsiaTheme="minorEastAsia"/>
                <w:color w:val="auto"/>
                <w:sz w:val="24"/>
              </w:rPr>
            </w:pPr>
            <w:r>
              <w:rPr>
                <w:rFonts w:eastAsiaTheme="minorEastAsia"/>
                <w:color w:val="auto"/>
                <w:sz w:val="24"/>
              </w:rPr>
              <w:t>运营</w:t>
            </w:r>
          </w:p>
          <w:p w14:paraId="6DF5B8DA">
            <w:pPr>
              <w:jc w:val="center"/>
              <w:rPr>
                <w:rFonts w:eastAsiaTheme="minorEastAsia"/>
                <w:color w:val="auto"/>
                <w:sz w:val="24"/>
              </w:rPr>
            </w:pPr>
            <w:r>
              <w:rPr>
                <w:rFonts w:eastAsiaTheme="minorEastAsia"/>
                <w:color w:val="auto"/>
                <w:sz w:val="24"/>
              </w:rPr>
              <w:t>期环</w:t>
            </w:r>
          </w:p>
          <w:p w14:paraId="033E7EF3">
            <w:pPr>
              <w:jc w:val="center"/>
              <w:rPr>
                <w:rFonts w:eastAsiaTheme="minorEastAsia"/>
                <w:color w:val="auto"/>
                <w:sz w:val="24"/>
              </w:rPr>
            </w:pPr>
            <w:r>
              <w:rPr>
                <w:rFonts w:eastAsiaTheme="minorEastAsia"/>
                <w:color w:val="auto"/>
                <w:sz w:val="24"/>
              </w:rPr>
              <w:t>境影</w:t>
            </w:r>
          </w:p>
          <w:p w14:paraId="5F6C5A03">
            <w:pPr>
              <w:jc w:val="center"/>
              <w:rPr>
                <w:rFonts w:eastAsiaTheme="minorEastAsia"/>
                <w:color w:val="auto"/>
                <w:sz w:val="24"/>
              </w:rPr>
            </w:pPr>
            <w:r>
              <w:rPr>
                <w:rFonts w:eastAsiaTheme="minorEastAsia"/>
                <w:color w:val="auto"/>
                <w:sz w:val="24"/>
              </w:rPr>
              <w:t>响和</w:t>
            </w:r>
          </w:p>
          <w:p w14:paraId="604D3849">
            <w:pPr>
              <w:jc w:val="center"/>
              <w:rPr>
                <w:rFonts w:eastAsiaTheme="minorEastAsia"/>
                <w:color w:val="auto"/>
                <w:sz w:val="24"/>
              </w:rPr>
            </w:pPr>
            <w:r>
              <w:rPr>
                <w:rFonts w:eastAsiaTheme="minorEastAsia"/>
                <w:color w:val="auto"/>
                <w:sz w:val="24"/>
              </w:rPr>
              <w:t>保护</w:t>
            </w:r>
          </w:p>
          <w:p w14:paraId="3090D756">
            <w:pPr>
              <w:jc w:val="center"/>
              <w:rPr>
                <w:rFonts w:eastAsiaTheme="minorEastAsia"/>
                <w:color w:val="auto"/>
                <w:sz w:val="24"/>
              </w:rPr>
            </w:pPr>
            <w:r>
              <w:rPr>
                <w:rFonts w:eastAsiaTheme="minorEastAsia"/>
                <w:color w:val="auto"/>
                <w:sz w:val="24"/>
              </w:rPr>
              <w:t>措施</w:t>
            </w:r>
          </w:p>
        </w:tc>
        <w:tc>
          <w:tcPr>
            <w:tcW w:w="8659" w:type="dxa"/>
          </w:tcPr>
          <w:p w14:paraId="4FEDE79E">
            <w:pPr>
              <w:pStyle w:val="50"/>
              <w:ind w:firstLine="482"/>
              <w:rPr>
                <w:b/>
                <w:bCs/>
                <w:color w:val="auto"/>
              </w:rPr>
            </w:pPr>
            <w:r>
              <w:rPr>
                <w:b/>
                <w:bCs/>
                <w:color w:val="auto"/>
              </w:rPr>
              <w:t>1、大气环境影响及防治措施分析</w:t>
            </w:r>
          </w:p>
          <w:p w14:paraId="18FC5208">
            <w:pPr>
              <w:pStyle w:val="50"/>
              <w:ind w:firstLine="482"/>
              <w:rPr>
                <w:b/>
                <w:bCs/>
                <w:color w:val="auto"/>
              </w:rPr>
            </w:pPr>
            <w:r>
              <w:rPr>
                <w:b/>
                <w:bCs/>
                <w:color w:val="auto"/>
              </w:rPr>
              <w:t>（1）污染源分析</w:t>
            </w:r>
          </w:p>
          <w:p w14:paraId="1F901286">
            <w:pPr>
              <w:pStyle w:val="50"/>
              <w:ind w:firstLine="482"/>
              <w:rPr>
                <w:b/>
                <w:bCs/>
                <w:color w:val="auto"/>
              </w:rPr>
            </w:pPr>
            <w:r>
              <w:rPr>
                <w:rFonts w:hint="eastAsia"/>
                <w:b/>
                <w:bCs/>
                <w:color w:val="auto"/>
              </w:rPr>
              <w:t>①金属熔化烟尘</w:t>
            </w:r>
          </w:p>
          <w:p w14:paraId="40381000">
            <w:pPr>
              <w:pStyle w:val="50"/>
              <w:ind w:firstLine="480"/>
              <w:rPr>
                <w:color w:val="auto"/>
              </w:rPr>
            </w:pPr>
            <w:r>
              <w:rPr>
                <w:rFonts w:hint="eastAsia"/>
                <w:color w:val="auto"/>
              </w:rPr>
              <w:t>本扩建</w:t>
            </w:r>
            <w:r>
              <w:rPr>
                <w:color w:val="auto"/>
              </w:rPr>
              <w:t>项目</w:t>
            </w:r>
            <w:r>
              <w:rPr>
                <w:rFonts w:hint="eastAsia"/>
                <w:color w:val="auto"/>
              </w:rPr>
              <w:t>采用4台熔化炉熔化高纯度铜，高纯度铜</w:t>
            </w:r>
            <w:r>
              <w:rPr>
                <w:color w:val="auto"/>
              </w:rPr>
              <w:t>经工频感应熔化成铜液</w:t>
            </w:r>
            <w:r>
              <w:rPr>
                <w:rFonts w:hint="eastAsia"/>
                <w:color w:val="auto"/>
              </w:rPr>
              <w:t>，</w:t>
            </w:r>
            <w:r>
              <w:rPr>
                <w:rFonts w:hint="eastAsia"/>
                <w:color w:val="auto"/>
                <w:lang w:val="en-US" w:eastAsia="zh-CN"/>
              </w:rPr>
              <w:t>且</w:t>
            </w:r>
            <w:r>
              <w:rPr>
                <w:rFonts w:hint="eastAsia"/>
                <w:color w:val="auto"/>
              </w:rPr>
              <w:t>高纯度铜</w:t>
            </w:r>
            <w:r>
              <w:rPr>
                <w:color w:val="auto"/>
              </w:rPr>
              <w:t>中</w:t>
            </w:r>
            <w:r>
              <w:rPr>
                <w:rFonts w:hint="eastAsia"/>
                <w:color w:val="auto"/>
              </w:rPr>
              <w:t>的</w:t>
            </w:r>
            <w:r>
              <w:rPr>
                <w:color w:val="auto"/>
              </w:rPr>
              <w:t>杂质经高温熔化会</w:t>
            </w:r>
            <w:r>
              <w:rPr>
                <w:rFonts w:hint="eastAsia"/>
                <w:color w:val="auto"/>
                <w:lang w:val="en-US" w:eastAsia="zh-CN"/>
              </w:rPr>
              <w:t>形成</w:t>
            </w:r>
            <w:r>
              <w:rPr>
                <w:rFonts w:hint="eastAsia"/>
                <w:color w:val="auto"/>
              </w:rPr>
              <w:t>金属</w:t>
            </w:r>
            <w:r>
              <w:rPr>
                <w:color w:val="auto"/>
              </w:rPr>
              <w:t>熔化烟尘</w:t>
            </w:r>
            <w:r>
              <w:rPr>
                <w:rFonts w:hint="eastAsia"/>
                <w:color w:val="auto"/>
              </w:rPr>
              <w:t>，以颗粒物计。金属熔化烟尘</w:t>
            </w:r>
            <w:r>
              <w:rPr>
                <w:color w:val="auto"/>
              </w:rPr>
              <w:t>经集气罩收集后由布袋除尘器处理后通过</w:t>
            </w:r>
            <w:r>
              <w:rPr>
                <w:rFonts w:hint="eastAsia"/>
                <w:color w:val="auto"/>
              </w:rPr>
              <w:t>1</w:t>
            </w:r>
            <w:r>
              <w:rPr>
                <w:color w:val="auto"/>
              </w:rPr>
              <w:t>根15m高排气筒（DA00</w:t>
            </w:r>
            <w:r>
              <w:rPr>
                <w:rFonts w:hint="eastAsia"/>
                <w:color w:val="auto"/>
              </w:rPr>
              <w:t>3</w:t>
            </w:r>
            <w:r>
              <w:rPr>
                <w:color w:val="auto"/>
              </w:rPr>
              <w:t>）排放。集气罩</w:t>
            </w:r>
            <w:r>
              <w:rPr>
                <w:rFonts w:hint="eastAsia"/>
                <w:color w:val="auto"/>
              </w:rPr>
              <w:t>收集</w:t>
            </w:r>
            <w:r>
              <w:rPr>
                <w:color w:val="auto"/>
              </w:rPr>
              <w:t>效率按90%计，布袋除尘器对颗粒物的去除效率按90%计</w:t>
            </w:r>
            <w:r>
              <w:rPr>
                <w:rFonts w:hint="eastAsia"/>
                <w:color w:val="auto"/>
              </w:rPr>
              <w:t>，设计风量为16000m</w:t>
            </w:r>
            <w:r>
              <w:rPr>
                <w:rFonts w:hint="eastAsia"/>
                <w:color w:val="auto"/>
                <w:vertAlign w:val="superscript"/>
              </w:rPr>
              <w:t>3</w:t>
            </w:r>
            <w:r>
              <w:rPr>
                <w:rFonts w:hint="eastAsia"/>
                <w:color w:val="auto"/>
              </w:rPr>
              <w:t>/h</w:t>
            </w:r>
            <w:r>
              <w:rPr>
                <w:color w:val="auto"/>
              </w:rPr>
              <w:t>。</w:t>
            </w:r>
          </w:p>
          <w:p w14:paraId="6E1E5AB8">
            <w:pPr>
              <w:pStyle w:val="50"/>
              <w:ind w:firstLine="480"/>
              <w:rPr>
                <w:color w:val="auto"/>
              </w:rPr>
            </w:pPr>
            <w:r>
              <w:rPr>
                <w:color w:val="auto"/>
              </w:rPr>
              <w:t>本扩建项目生产产品、原辅料、生产工艺均与福建鑫铜铜业有限公司年产3万吨无氧铜杆生产项目类似，故本扩建项目与</w:t>
            </w:r>
            <w:r>
              <w:rPr>
                <w:rFonts w:hint="eastAsia"/>
                <w:color w:val="auto"/>
                <w:lang w:val="en-US" w:eastAsia="zh-CN"/>
              </w:rPr>
              <w:t>鑫铜铜业</w:t>
            </w:r>
            <w:r>
              <w:rPr>
                <w:color w:val="auto"/>
              </w:rPr>
              <w:t>项目具有可类比性，详见</w:t>
            </w:r>
            <w:r>
              <w:rPr>
                <w:color w:val="auto"/>
              </w:rPr>
              <w:fldChar w:fldCharType="begin"/>
            </w:r>
            <w:r>
              <w:rPr>
                <w:color w:val="auto"/>
              </w:rPr>
              <w:instrText xml:space="preserve"> REF _Ref4088 \h </w:instrText>
            </w:r>
            <w:r>
              <w:rPr>
                <w:color w:val="auto"/>
              </w:rPr>
              <w:fldChar w:fldCharType="separate"/>
            </w:r>
            <w:r>
              <w:rPr>
                <w:color w:val="auto"/>
              </w:rPr>
              <w:t>表4- 1</w:t>
            </w:r>
            <w:r>
              <w:rPr>
                <w:color w:val="auto"/>
              </w:rPr>
              <w:fldChar w:fldCharType="end"/>
            </w:r>
            <w:r>
              <w:rPr>
                <w:color w:val="auto"/>
              </w:rPr>
              <w:t>。</w:t>
            </w:r>
          </w:p>
          <w:p w14:paraId="0A0AE975">
            <w:pPr>
              <w:pStyle w:val="7"/>
              <w:rPr>
                <w:color w:val="auto"/>
              </w:rPr>
            </w:pPr>
            <w:bookmarkStart w:id="81" w:name="_Ref4088"/>
            <w:r>
              <w:rPr>
                <w:color w:val="auto"/>
              </w:rPr>
              <w:t xml:space="preserve">表4- </w:t>
            </w:r>
            <w:r>
              <w:rPr>
                <w:color w:val="auto"/>
              </w:rPr>
              <w:fldChar w:fldCharType="begin"/>
            </w:r>
            <w:r>
              <w:rPr>
                <w:color w:val="auto"/>
              </w:rPr>
              <w:instrText xml:space="preserve"> SEQ 表4- \* ARABIC </w:instrText>
            </w:r>
            <w:r>
              <w:rPr>
                <w:color w:val="auto"/>
              </w:rPr>
              <w:fldChar w:fldCharType="separate"/>
            </w:r>
            <w:r>
              <w:rPr>
                <w:color w:val="auto"/>
              </w:rPr>
              <w:t>1</w:t>
            </w:r>
            <w:r>
              <w:rPr>
                <w:color w:val="auto"/>
              </w:rPr>
              <w:fldChar w:fldCharType="end"/>
            </w:r>
            <w:bookmarkEnd w:id="81"/>
            <w:r>
              <w:rPr>
                <w:color w:val="auto"/>
              </w:rPr>
              <w:t xml:space="preserve"> 鑫铜铜业项目与本扩建项目对比情况</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48"/>
              <w:gridCol w:w="1413"/>
              <w:gridCol w:w="2162"/>
              <w:gridCol w:w="2610"/>
            </w:tblGrid>
            <w:tr w14:paraId="3F299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48" w:type="dxa"/>
                  <w:vAlign w:val="center"/>
                </w:tcPr>
                <w:p w14:paraId="3AA5F2AF">
                  <w:pPr>
                    <w:pStyle w:val="52"/>
                    <w:rPr>
                      <w:color w:val="auto"/>
                    </w:rPr>
                  </w:pPr>
                  <w:r>
                    <w:rPr>
                      <w:color w:val="auto"/>
                    </w:rPr>
                    <w:t>项目名称</w:t>
                  </w:r>
                </w:p>
              </w:tc>
              <w:tc>
                <w:tcPr>
                  <w:tcW w:w="1413" w:type="dxa"/>
                  <w:vAlign w:val="center"/>
                </w:tcPr>
                <w:p w14:paraId="405A2BDE">
                  <w:pPr>
                    <w:pStyle w:val="52"/>
                    <w:rPr>
                      <w:color w:val="auto"/>
                    </w:rPr>
                  </w:pPr>
                  <w:r>
                    <w:rPr>
                      <w:color w:val="auto"/>
                    </w:rPr>
                    <w:t>产品名称</w:t>
                  </w:r>
                </w:p>
              </w:tc>
              <w:tc>
                <w:tcPr>
                  <w:tcW w:w="2162" w:type="dxa"/>
                  <w:vAlign w:val="center"/>
                </w:tcPr>
                <w:p w14:paraId="2A0C4CBC">
                  <w:pPr>
                    <w:pStyle w:val="52"/>
                    <w:rPr>
                      <w:color w:val="auto"/>
                    </w:rPr>
                  </w:pPr>
                  <w:r>
                    <w:rPr>
                      <w:color w:val="auto"/>
                    </w:rPr>
                    <w:t>原辅料</w:t>
                  </w:r>
                </w:p>
              </w:tc>
              <w:tc>
                <w:tcPr>
                  <w:tcW w:w="2610" w:type="dxa"/>
                  <w:vAlign w:val="center"/>
                </w:tcPr>
                <w:p w14:paraId="1437EAA4">
                  <w:pPr>
                    <w:pStyle w:val="52"/>
                    <w:rPr>
                      <w:color w:val="auto"/>
                    </w:rPr>
                  </w:pPr>
                  <w:r>
                    <w:rPr>
                      <w:color w:val="auto"/>
                    </w:rPr>
                    <w:t>生产工序</w:t>
                  </w:r>
                </w:p>
              </w:tc>
            </w:tr>
            <w:tr w14:paraId="7E213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2248" w:type="dxa"/>
                  <w:vAlign w:val="center"/>
                </w:tcPr>
                <w:p w14:paraId="7E8303C1">
                  <w:pPr>
                    <w:pStyle w:val="22"/>
                    <w:rPr>
                      <w:color w:val="auto"/>
                    </w:rPr>
                  </w:pPr>
                  <w:r>
                    <w:rPr>
                      <w:color w:val="auto"/>
                    </w:rPr>
                    <w:t>福建鑫铜铜业有限公司年产3万吨无氧铜杆生产项目</w:t>
                  </w:r>
                </w:p>
              </w:tc>
              <w:tc>
                <w:tcPr>
                  <w:tcW w:w="1413" w:type="dxa"/>
                  <w:vAlign w:val="center"/>
                </w:tcPr>
                <w:p w14:paraId="5C3ABD54">
                  <w:pPr>
                    <w:pStyle w:val="22"/>
                    <w:rPr>
                      <w:color w:val="auto"/>
                    </w:rPr>
                  </w:pPr>
                  <w:r>
                    <w:rPr>
                      <w:color w:val="auto"/>
                    </w:rPr>
                    <w:t>无氧铜杆</w:t>
                  </w:r>
                </w:p>
              </w:tc>
              <w:tc>
                <w:tcPr>
                  <w:tcW w:w="2162" w:type="dxa"/>
                  <w:vAlign w:val="center"/>
                </w:tcPr>
                <w:p w14:paraId="027675EA">
                  <w:pPr>
                    <w:pStyle w:val="22"/>
                    <w:rPr>
                      <w:color w:val="auto"/>
                    </w:rPr>
                  </w:pPr>
                  <w:r>
                    <w:rPr>
                      <w:color w:val="auto"/>
                    </w:rPr>
                    <w:t>光亮铜、铜米、石墨鳞片、木炭</w:t>
                  </w:r>
                </w:p>
              </w:tc>
              <w:tc>
                <w:tcPr>
                  <w:tcW w:w="2610" w:type="dxa"/>
                  <w:vAlign w:val="center"/>
                </w:tcPr>
                <w:p w14:paraId="712D5F64">
                  <w:pPr>
                    <w:pStyle w:val="22"/>
                    <w:rPr>
                      <w:color w:val="auto"/>
                    </w:rPr>
                  </w:pPr>
                  <w:r>
                    <w:rPr>
                      <w:color w:val="auto"/>
                    </w:rPr>
                    <w:t>熔化→保温→连铸→收线</w:t>
                  </w:r>
                </w:p>
              </w:tc>
            </w:tr>
            <w:tr w14:paraId="6151C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48" w:type="dxa"/>
                  <w:vAlign w:val="center"/>
                </w:tcPr>
                <w:p w14:paraId="31741F36">
                  <w:pPr>
                    <w:pStyle w:val="22"/>
                    <w:rPr>
                      <w:color w:val="auto"/>
                    </w:rPr>
                  </w:pPr>
                  <w:r>
                    <w:rPr>
                      <w:color w:val="auto"/>
                    </w:rPr>
                    <w:t>本扩建项目</w:t>
                  </w:r>
                </w:p>
              </w:tc>
              <w:tc>
                <w:tcPr>
                  <w:tcW w:w="1413" w:type="dxa"/>
                  <w:vAlign w:val="center"/>
                </w:tcPr>
                <w:p w14:paraId="061A39F2">
                  <w:pPr>
                    <w:pStyle w:val="22"/>
                    <w:rPr>
                      <w:color w:val="auto"/>
                    </w:rPr>
                  </w:pPr>
                  <w:r>
                    <w:rPr>
                      <w:color w:val="auto"/>
                    </w:rPr>
                    <w:t>无氧铜杆</w:t>
                  </w:r>
                </w:p>
              </w:tc>
              <w:tc>
                <w:tcPr>
                  <w:tcW w:w="2162" w:type="dxa"/>
                  <w:vAlign w:val="center"/>
                </w:tcPr>
                <w:p w14:paraId="12051174">
                  <w:pPr>
                    <w:pStyle w:val="22"/>
                    <w:rPr>
                      <w:color w:val="auto"/>
                    </w:rPr>
                  </w:pPr>
                  <w:r>
                    <w:rPr>
                      <w:color w:val="auto"/>
                    </w:rPr>
                    <w:t>高纯度铜、石墨鳞片、木炭</w:t>
                  </w:r>
                </w:p>
              </w:tc>
              <w:tc>
                <w:tcPr>
                  <w:tcW w:w="2610" w:type="dxa"/>
                  <w:vAlign w:val="center"/>
                </w:tcPr>
                <w:p w14:paraId="727425B2">
                  <w:pPr>
                    <w:pStyle w:val="22"/>
                    <w:rPr>
                      <w:color w:val="auto"/>
                    </w:rPr>
                  </w:pPr>
                  <w:r>
                    <w:rPr>
                      <w:color w:val="auto"/>
                    </w:rPr>
                    <w:t>熔化→保温→连铸→收线</w:t>
                  </w:r>
                </w:p>
              </w:tc>
            </w:tr>
          </w:tbl>
          <w:p w14:paraId="4686CDEC">
            <w:pPr>
              <w:pStyle w:val="50"/>
              <w:ind w:firstLine="480"/>
              <w:rPr>
                <w:color w:val="auto"/>
              </w:rPr>
            </w:pPr>
            <w:r>
              <w:rPr>
                <w:color w:val="auto"/>
              </w:rPr>
              <w:t>因此，本扩建项目金属熔化烟尘产生量可参考《福建鑫铜铜业有限公司年产3万吨无氧铜杆生产项目竣工环境保护验收监测报告》</w:t>
            </w:r>
            <w:r>
              <w:rPr>
                <w:rFonts w:hint="eastAsia"/>
                <w:color w:val="auto"/>
                <w:lang w:eastAsia="zh-CN"/>
              </w:rPr>
              <w:t>（</w:t>
            </w:r>
            <w:r>
              <w:rPr>
                <w:rFonts w:hint="eastAsia"/>
                <w:color w:val="auto"/>
                <w:lang w:val="en-US" w:eastAsia="zh-CN"/>
              </w:rPr>
              <w:t>验收时间为2022年9月</w:t>
            </w:r>
            <w:r>
              <w:rPr>
                <w:rFonts w:hint="eastAsia"/>
                <w:color w:val="auto"/>
                <w:lang w:eastAsia="zh-CN"/>
              </w:rPr>
              <w:t>）</w:t>
            </w:r>
            <w:r>
              <w:rPr>
                <w:color w:val="auto"/>
              </w:rPr>
              <w:t>，鑫铜铜业项目实际验收范围为年产2万吨无氧铜杆项目，验收监测期间的生产负荷为80.3%</w:t>
            </w:r>
            <w:r>
              <w:rPr>
                <w:rFonts w:hint="eastAsia"/>
                <w:color w:val="auto"/>
              </w:rPr>
              <w:t>（</w:t>
            </w:r>
            <w:r>
              <w:rPr>
                <w:color w:val="auto"/>
              </w:rPr>
              <w:t>即</w:t>
            </w:r>
            <w:r>
              <w:rPr>
                <w:rFonts w:hint="eastAsia"/>
                <w:color w:val="auto"/>
              </w:rPr>
              <w:t>为</w:t>
            </w:r>
            <w:r>
              <w:rPr>
                <w:color w:val="auto"/>
              </w:rPr>
              <w:t>16060t/a</w:t>
            </w:r>
            <w:r>
              <w:rPr>
                <w:rFonts w:hint="eastAsia"/>
                <w:color w:val="auto"/>
              </w:rPr>
              <w:t>）</w:t>
            </w:r>
            <w:r>
              <w:rPr>
                <w:color w:val="auto"/>
              </w:rPr>
              <w:t>。鑫铜铜业项目熔化烟尘的监测结果详见</w:t>
            </w:r>
            <w:r>
              <w:rPr>
                <w:color w:val="auto"/>
              </w:rPr>
              <w:fldChar w:fldCharType="begin"/>
            </w:r>
            <w:r>
              <w:rPr>
                <w:color w:val="auto"/>
              </w:rPr>
              <w:instrText xml:space="preserve"> REF _Ref24591 \h </w:instrText>
            </w:r>
            <w:r>
              <w:rPr>
                <w:color w:val="auto"/>
              </w:rPr>
              <w:fldChar w:fldCharType="separate"/>
            </w:r>
            <w:r>
              <w:rPr>
                <w:color w:val="auto"/>
              </w:rPr>
              <w:t>表4- 2</w:t>
            </w:r>
            <w:r>
              <w:rPr>
                <w:color w:val="auto"/>
              </w:rPr>
              <w:fldChar w:fldCharType="end"/>
            </w:r>
            <w:r>
              <w:rPr>
                <w:color w:val="auto"/>
              </w:rPr>
              <w:t>。</w:t>
            </w:r>
          </w:p>
          <w:p w14:paraId="6B16415C">
            <w:pPr>
              <w:pStyle w:val="7"/>
              <w:rPr>
                <w:color w:val="auto"/>
              </w:rPr>
            </w:pPr>
            <w:bookmarkStart w:id="82" w:name="_Ref24591"/>
            <w:r>
              <w:rPr>
                <w:color w:val="auto"/>
              </w:rPr>
              <w:t xml:space="preserve">表4- </w:t>
            </w:r>
            <w:r>
              <w:rPr>
                <w:color w:val="auto"/>
              </w:rPr>
              <w:fldChar w:fldCharType="begin"/>
            </w:r>
            <w:r>
              <w:rPr>
                <w:color w:val="auto"/>
              </w:rPr>
              <w:instrText xml:space="preserve"> SEQ 表4- \* ARABIC </w:instrText>
            </w:r>
            <w:r>
              <w:rPr>
                <w:color w:val="auto"/>
              </w:rPr>
              <w:fldChar w:fldCharType="separate"/>
            </w:r>
            <w:r>
              <w:rPr>
                <w:color w:val="auto"/>
              </w:rPr>
              <w:t>2</w:t>
            </w:r>
            <w:r>
              <w:rPr>
                <w:color w:val="auto"/>
              </w:rPr>
              <w:fldChar w:fldCharType="end"/>
            </w:r>
            <w:bookmarkEnd w:id="82"/>
            <w:r>
              <w:rPr>
                <w:color w:val="auto"/>
              </w:rPr>
              <w:t xml:space="preserve"> 鑫铜铜业项目熔化烟尘检测结果</w:t>
            </w:r>
          </w:p>
          <w:tbl>
            <w:tblPr>
              <w:tblStyle w:val="1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9"/>
              <w:gridCol w:w="1255"/>
              <w:gridCol w:w="1131"/>
              <w:gridCol w:w="1196"/>
              <w:gridCol w:w="1196"/>
              <w:gridCol w:w="1196"/>
              <w:gridCol w:w="1197"/>
            </w:tblGrid>
            <w:tr w14:paraId="49DBE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9" w:type="dxa"/>
                  <w:vMerge w:val="restart"/>
                  <w:vAlign w:val="center"/>
                </w:tcPr>
                <w:p w14:paraId="671C623A">
                  <w:pPr>
                    <w:pStyle w:val="52"/>
                    <w:rPr>
                      <w:color w:val="auto"/>
                    </w:rPr>
                  </w:pPr>
                  <w:r>
                    <w:rPr>
                      <w:color w:val="auto"/>
                    </w:rPr>
                    <w:t>检测位置</w:t>
                  </w:r>
                </w:p>
              </w:tc>
              <w:tc>
                <w:tcPr>
                  <w:tcW w:w="1255" w:type="dxa"/>
                  <w:vMerge w:val="restart"/>
                  <w:vAlign w:val="center"/>
                </w:tcPr>
                <w:p w14:paraId="36B83AE4">
                  <w:pPr>
                    <w:pStyle w:val="52"/>
                    <w:rPr>
                      <w:color w:val="auto"/>
                    </w:rPr>
                  </w:pPr>
                  <w:r>
                    <w:rPr>
                      <w:color w:val="auto"/>
                    </w:rPr>
                    <w:t>检测日期</w:t>
                  </w:r>
                </w:p>
              </w:tc>
              <w:tc>
                <w:tcPr>
                  <w:tcW w:w="1131" w:type="dxa"/>
                  <w:vMerge w:val="restart"/>
                  <w:vAlign w:val="center"/>
                </w:tcPr>
                <w:p w14:paraId="45B55838">
                  <w:pPr>
                    <w:pStyle w:val="52"/>
                    <w:rPr>
                      <w:color w:val="auto"/>
                    </w:rPr>
                  </w:pPr>
                  <w:r>
                    <w:rPr>
                      <w:color w:val="auto"/>
                    </w:rPr>
                    <w:t>检测因子</w:t>
                  </w:r>
                </w:p>
              </w:tc>
              <w:tc>
                <w:tcPr>
                  <w:tcW w:w="4785" w:type="dxa"/>
                  <w:gridSpan w:val="4"/>
                  <w:vAlign w:val="center"/>
                </w:tcPr>
                <w:p w14:paraId="5FA2BA44">
                  <w:pPr>
                    <w:pStyle w:val="52"/>
                    <w:rPr>
                      <w:color w:val="auto"/>
                    </w:rPr>
                  </w:pPr>
                  <w:r>
                    <w:rPr>
                      <w:color w:val="auto"/>
                    </w:rPr>
                    <w:t>检测结果（kg/h）</w:t>
                  </w:r>
                </w:p>
              </w:tc>
            </w:tr>
            <w:tr w14:paraId="66ACB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9" w:type="dxa"/>
                  <w:vMerge w:val="continue"/>
                  <w:vAlign w:val="center"/>
                </w:tcPr>
                <w:p w14:paraId="78079645">
                  <w:pPr>
                    <w:pStyle w:val="22"/>
                    <w:rPr>
                      <w:color w:val="auto"/>
                    </w:rPr>
                  </w:pPr>
                </w:p>
              </w:tc>
              <w:tc>
                <w:tcPr>
                  <w:tcW w:w="1255" w:type="dxa"/>
                  <w:vMerge w:val="continue"/>
                  <w:vAlign w:val="center"/>
                </w:tcPr>
                <w:p w14:paraId="25986EF8">
                  <w:pPr>
                    <w:pStyle w:val="22"/>
                    <w:rPr>
                      <w:color w:val="auto"/>
                    </w:rPr>
                  </w:pPr>
                </w:p>
              </w:tc>
              <w:tc>
                <w:tcPr>
                  <w:tcW w:w="1131" w:type="dxa"/>
                  <w:vMerge w:val="continue"/>
                  <w:vAlign w:val="center"/>
                </w:tcPr>
                <w:p w14:paraId="1D69CBFF">
                  <w:pPr>
                    <w:pStyle w:val="22"/>
                    <w:rPr>
                      <w:color w:val="auto"/>
                    </w:rPr>
                  </w:pPr>
                </w:p>
              </w:tc>
              <w:tc>
                <w:tcPr>
                  <w:tcW w:w="1196" w:type="dxa"/>
                  <w:vAlign w:val="center"/>
                </w:tcPr>
                <w:p w14:paraId="3147B50A">
                  <w:pPr>
                    <w:pStyle w:val="52"/>
                    <w:rPr>
                      <w:color w:val="auto"/>
                    </w:rPr>
                  </w:pPr>
                  <w:r>
                    <w:rPr>
                      <w:color w:val="auto"/>
                    </w:rPr>
                    <w:t>第一次</w:t>
                  </w:r>
                </w:p>
              </w:tc>
              <w:tc>
                <w:tcPr>
                  <w:tcW w:w="1196" w:type="dxa"/>
                  <w:vAlign w:val="center"/>
                </w:tcPr>
                <w:p w14:paraId="734777BB">
                  <w:pPr>
                    <w:pStyle w:val="52"/>
                    <w:rPr>
                      <w:color w:val="auto"/>
                    </w:rPr>
                  </w:pPr>
                  <w:r>
                    <w:rPr>
                      <w:color w:val="auto"/>
                    </w:rPr>
                    <w:t>第二次</w:t>
                  </w:r>
                </w:p>
              </w:tc>
              <w:tc>
                <w:tcPr>
                  <w:tcW w:w="1196" w:type="dxa"/>
                  <w:vAlign w:val="center"/>
                </w:tcPr>
                <w:p w14:paraId="2B48B4BF">
                  <w:pPr>
                    <w:pStyle w:val="52"/>
                    <w:rPr>
                      <w:color w:val="auto"/>
                    </w:rPr>
                  </w:pPr>
                  <w:r>
                    <w:rPr>
                      <w:color w:val="auto"/>
                    </w:rPr>
                    <w:t>第三次</w:t>
                  </w:r>
                </w:p>
              </w:tc>
              <w:tc>
                <w:tcPr>
                  <w:tcW w:w="1197" w:type="dxa"/>
                  <w:vAlign w:val="center"/>
                </w:tcPr>
                <w:p w14:paraId="49D12CD3">
                  <w:pPr>
                    <w:pStyle w:val="52"/>
                    <w:rPr>
                      <w:color w:val="auto"/>
                    </w:rPr>
                  </w:pPr>
                  <w:r>
                    <w:rPr>
                      <w:color w:val="auto"/>
                    </w:rPr>
                    <w:t>平均值</w:t>
                  </w:r>
                </w:p>
              </w:tc>
            </w:tr>
            <w:tr w14:paraId="2796F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9" w:type="dxa"/>
                  <w:vMerge w:val="restart"/>
                  <w:vAlign w:val="center"/>
                </w:tcPr>
                <w:p w14:paraId="21DEB06C">
                  <w:pPr>
                    <w:pStyle w:val="22"/>
                    <w:rPr>
                      <w:color w:val="auto"/>
                    </w:rPr>
                  </w:pPr>
                  <w:r>
                    <w:rPr>
                      <w:color w:val="auto"/>
                    </w:rPr>
                    <w:t>除尘设备进口◎01#</w:t>
                  </w:r>
                </w:p>
              </w:tc>
              <w:tc>
                <w:tcPr>
                  <w:tcW w:w="1255" w:type="dxa"/>
                  <w:vAlign w:val="center"/>
                </w:tcPr>
                <w:p w14:paraId="1C362D4F">
                  <w:pPr>
                    <w:pStyle w:val="22"/>
                    <w:rPr>
                      <w:color w:val="auto"/>
                    </w:rPr>
                  </w:pPr>
                  <w:r>
                    <w:rPr>
                      <w:color w:val="auto"/>
                    </w:rPr>
                    <w:t>2022.07.20</w:t>
                  </w:r>
                </w:p>
              </w:tc>
              <w:tc>
                <w:tcPr>
                  <w:tcW w:w="1131" w:type="dxa"/>
                  <w:vAlign w:val="center"/>
                </w:tcPr>
                <w:p w14:paraId="79E94D24">
                  <w:pPr>
                    <w:pStyle w:val="22"/>
                    <w:rPr>
                      <w:color w:val="auto"/>
                    </w:rPr>
                  </w:pPr>
                  <w:r>
                    <w:rPr>
                      <w:color w:val="auto"/>
                    </w:rPr>
                    <w:t>颗粒物</w:t>
                  </w:r>
                </w:p>
              </w:tc>
              <w:tc>
                <w:tcPr>
                  <w:tcW w:w="1196" w:type="dxa"/>
                  <w:vAlign w:val="center"/>
                </w:tcPr>
                <w:p w14:paraId="19983C5D">
                  <w:pPr>
                    <w:pStyle w:val="22"/>
                    <w:rPr>
                      <w:color w:val="auto"/>
                    </w:rPr>
                  </w:pPr>
                  <w:r>
                    <w:rPr>
                      <w:color w:val="auto"/>
                    </w:rPr>
                    <w:t>0.521</w:t>
                  </w:r>
                </w:p>
              </w:tc>
              <w:tc>
                <w:tcPr>
                  <w:tcW w:w="1196" w:type="dxa"/>
                  <w:vAlign w:val="center"/>
                </w:tcPr>
                <w:p w14:paraId="4C36E9A5">
                  <w:pPr>
                    <w:pStyle w:val="22"/>
                    <w:rPr>
                      <w:color w:val="auto"/>
                    </w:rPr>
                  </w:pPr>
                  <w:r>
                    <w:rPr>
                      <w:color w:val="auto"/>
                    </w:rPr>
                    <w:t>0.506</w:t>
                  </w:r>
                </w:p>
              </w:tc>
              <w:tc>
                <w:tcPr>
                  <w:tcW w:w="1196" w:type="dxa"/>
                  <w:vAlign w:val="center"/>
                </w:tcPr>
                <w:p w14:paraId="098F89E8">
                  <w:pPr>
                    <w:pStyle w:val="22"/>
                    <w:rPr>
                      <w:color w:val="auto"/>
                    </w:rPr>
                  </w:pPr>
                  <w:r>
                    <w:rPr>
                      <w:color w:val="auto"/>
                    </w:rPr>
                    <w:t>0.500</w:t>
                  </w:r>
                </w:p>
              </w:tc>
              <w:tc>
                <w:tcPr>
                  <w:tcW w:w="1197" w:type="dxa"/>
                  <w:vAlign w:val="center"/>
                </w:tcPr>
                <w:p w14:paraId="129CDC0C">
                  <w:pPr>
                    <w:pStyle w:val="22"/>
                    <w:rPr>
                      <w:color w:val="auto"/>
                    </w:rPr>
                  </w:pPr>
                  <w:r>
                    <w:rPr>
                      <w:color w:val="auto"/>
                    </w:rPr>
                    <w:t>0.509</w:t>
                  </w:r>
                </w:p>
              </w:tc>
            </w:tr>
            <w:tr w14:paraId="1E459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9" w:type="dxa"/>
                  <w:vMerge w:val="continue"/>
                  <w:vAlign w:val="center"/>
                </w:tcPr>
                <w:p w14:paraId="26C8DD73">
                  <w:pPr>
                    <w:pStyle w:val="22"/>
                    <w:rPr>
                      <w:color w:val="auto"/>
                    </w:rPr>
                  </w:pPr>
                </w:p>
              </w:tc>
              <w:tc>
                <w:tcPr>
                  <w:tcW w:w="1255" w:type="dxa"/>
                  <w:vAlign w:val="center"/>
                </w:tcPr>
                <w:p w14:paraId="051A344B">
                  <w:pPr>
                    <w:pStyle w:val="22"/>
                    <w:rPr>
                      <w:color w:val="auto"/>
                    </w:rPr>
                  </w:pPr>
                  <w:r>
                    <w:rPr>
                      <w:color w:val="auto"/>
                    </w:rPr>
                    <w:t>2022.07.21</w:t>
                  </w:r>
                </w:p>
              </w:tc>
              <w:tc>
                <w:tcPr>
                  <w:tcW w:w="1131" w:type="dxa"/>
                  <w:vAlign w:val="center"/>
                </w:tcPr>
                <w:p w14:paraId="46D36F13">
                  <w:pPr>
                    <w:pStyle w:val="22"/>
                    <w:rPr>
                      <w:color w:val="auto"/>
                    </w:rPr>
                  </w:pPr>
                  <w:r>
                    <w:rPr>
                      <w:color w:val="auto"/>
                    </w:rPr>
                    <w:t>颗粒物</w:t>
                  </w:r>
                </w:p>
              </w:tc>
              <w:tc>
                <w:tcPr>
                  <w:tcW w:w="1196" w:type="dxa"/>
                  <w:vAlign w:val="center"/>
                </w:tcPr>
                <w:p w14:paraId="6E4BFB8D">
                  <w:pPr>
                    <w:pStyle w:val="22"/>
                    <w:rPr>
                      <w:color w:val="auto"/>
                    </w:rPr>
                  </w:pPr>
                  <w:r>
                    <w:rPr>
                      <w:color w:val="auto"/>
                    </w:rPr>
                    <w:t>0.485</w:t>
                  </w:r>
                </w:p>
              </w:tc>
              <w:tc>
                <w:tcPr>
                  <w:tcW w:w="1196" w:type="dxa"/>
                  <w:vAlign w:val="center"/>
                </w:tcPr>
                <w:p w14:paraId="22299972">
                  <w:pPr>
                    <w:pStyle w:val="22"/>
                    <w:rPr>
                      <w:color w:val="auto"/>
                    </w:rPr>
                  </w:pPr>
                  <w:r>
                    <w:rPr>
                      <w:color w:val="auto"/>
                    </w:rPr>
                    <w:t>0.512</w:t>
                  </w:r>
                </w:p>
              </w:tc>
              <w:tc>
                <w:tcPr>
                  <w:tcW w:w="1196" w:type="dxa"/>
                  <w:vAlign w:val="center"/>
                </w:tcPr>
                <w:p w14:paraId="35301ED7">
                  <w:pPr>
                    <w:pStyle w:val="22"/>
                    <w:rPr>
                      <w:color w:val="auto"/>
                    </w:rPr>
                  </w:pPr>
                  <w:r>
                    <w:rPr>
                      <w:color w:val="auto"/>
                    </w:rPr>
                    <w:t>0.527</w:t>
                  </w:r>
                </w:p>
              </w:tc>
              <w:tc>
                <w:tcPr>
                  <w:tcW w:w="1197" w:type="dxa"/>
                  <w:vAlign w:val="center"/>
                </w:tcPr>
                <w:p w14:paraId="77B82D76">
                  <w:pPr>
                    <w:pStyle w:val="22"/>
                    <w:rPr>
                      <w:color w:val="auto"/>
                    </w:rPr>
                  </w:pPr>
                  <w:r>
                    <w:rPr>
                      <w:color w:val="auto"/>
                    </w:rPr>
                    <w:t>0.508</w:t>
                  </w:r>
                </w:p>
              </w:tc>
            </w:tr>
            <w:tr w14:paraId="4AB55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30" w:type="dxa"/>
                  <w:gridSpan w:val="7"/>
                  <w:vAlign w:val="center"/>
                </w:tcPr>
                <w:p w14:paraId="0DCA5450">
                  <w:pPr>
                    <w:pStyle w:val="22"/>
                    <w:jc w:val="left"/>
                    <w:rPr>
                      <w:color w:val="auto"/>
                    </w:rPr>
                  </w:pPr>
                  <w:r>
                    <w:rPr>
                      <w:color w:val="auto"/>
                    </w:rPr>
                    <w:t>注：鑫铜铜业项目年工作330天，每天工作24小时。</w:t>
                  </w:r>
                </w:p>
              </w:tc>
            </w:tr>
          </w:tbl>
          <w:p w14:paraId="0F4D407C">
            <w:pPr>
              <w:pStyle w:val="50"/>
              <w:ind w:firstLine="480"/>
              <w:rPr>
                <w:color w:val="auto"/>
              </w:rPr>
            </w:pPr>
            <w:r>
              <w:rPr>
                <w:color w:val="auto"/>
              </w:rPr>
              <w:t>由</w:t>
            </w:r>
            <w:r>
              <w:rPr>
                <w:color w:val="auto"/>
              </w:rPr>
              <w:fldChar w:fldCharType="begin"/>
            </w:r>
            <w:r>
              <w:rPr>
                <w:color w:val="auto"/>
              </w:rPr>
              <w:instrText xml:space="preserve"> REF _Ref17255 \h </w:instrText>
            </w:r>
            <w:r>
              <w:rPr>
                <w:color w:val="auto"/>
              </w:rPr>
              <w:fldChar w:fldCharType="separate"/>
            </w:r>
            <w:r>
              <w:rPr>
                <w:color w:val="auto"/>
              </w:rPr>
              <w:t>表4- 2</w:t>
            </w:r>
            <w:r>
              <w:rPr>
                <w:color w:val="auto"/>
              </w:rPr>
              <w:fldChar w:fldCharType="end"/>
            </w:r>
            <w:r>
              <w:rPr>
                <w:color w:val="auto"/>
              </w:rPr>
              <w:t>可知，鑫铜铜业项目除尘设备进口的颗粒物平均速率为0.5085kg/h，则除尘设备进口颗粒物收集量为5.705t/a。集气罩收集效率按90%计，则鑫铜铜业项目颗粒物产生量为6.339t/a。经类比计算，本扩建项目</w:t>
            </w:r>
            <w:r>
              <w:rPr>
                <w:rFonts w:hint="eastAsia"/>
                <w:color w:val="auto"/>
              </w:rPr>
              <w:t>金属熔化烟尘（</w:t>
            </w:r>
            <w:r>
              <w:rPr>
                <w:color w:val="auto"/>
              </w:rPr>
              <w:t>颗粒物</w:t>
            </w:r>
            <w:r>
              <w:rPr>
                <w:rFonts w:hint="eastAsia"/>
                <w:color w:val="auto"/>
              </w:rPr>
              <w:t>）</w:t>
            </w:r>
            <w:r>
              <w:rPr>
                <w:color w:val="auto"/>
              </w:rPr>
              <w:t>产生量为</w:t>
            </w:r>
            <w:r>
              <w:rPr>
                <w:rFonts w:hint="eastAsia"/>
                <w:color w:val="auto"/>
              </w:rPr>
              <w:t>12.631</w:t>
            </w:r>
            <w:r>
              <w:rPr>
                <w:color w:val="auto"/>
              </w:rPr>
              <w:t>t/a，</w:t>
            </w:r>
            <w:r>
              <w:rPr>
                <w:rFonts w:hint="eastAsia"/>
                <w:color w:val="auto"/>
              </w:rPr>
              <w:t>有组织产生量</w:t>
            </w:r>
            <w:r>
              <w:rPr>
                <w:color w:val="auto"/>
              </w:rPr>
              <w:t>为</w:t>
            </w:r>
            <w:r>
              <w:rPr>
                <w:rFonts w:hint="eastAsia"/>
                <w:color w:val="auto"/>
              </w:rPr>
              <w:t>11.368</w:t>
            </w:r>
            <w:r>
              <w:rPr>
                <w:color w:val="auto"/>
              </w:rPr>
              <w:t>t/a</w:t>
            </w:r>
            <w:r>
              <w:rPr>
                <w:rFonts w:hint="eastAsia"/>
                <w:color w:val="auto"/>
              </w:rPr>
              <w:t>、产生浓度为98.682mg/m</w:t>
            </w:r>
            <w:r>
              <w:rPr>
                <w:rFonts w:hint="eastAsia"/>
                <w:color w:val="auto"/>
                <w:vertAlign w:val="superscript"/>
              </w:rPr>
              <w:t>3</w:t>
            </w:r>
            <w:r>
              <w:rPr>
                <w:rFonts w:hint="eastAsia"/>
                <w:color w:val="auto"/>
              </w:rPr>
              <w:t>、产生速率为1.579kg/h</w:t>
            </w:r>
            <w:r>
              <w:rPr>
                <w:color w:val="auto"/>
              </w:rPr>
              <w:t>，有组织排放量为</w:t>
            </w:r>
            <w:r>
              <w:rPr>
                <w:rFonts w:hint="eastAsia"/>
                <w:color w:val="auto"/>
              </w:rPr>
              <w:t>1.137</w:t>
            </w:r>
            <w:r>
              <w:rPr>
                <w:color w:val="auto"/>
              </w:rPr>
              <w:t>t/a</w:t>
            </w:r>
            <w:r>
              <w:rPr>
                <w:rFonts w:hint="eastAsia"/>
                <w:color w:val="auto"/>
              </w:rPr>
              <w:t>、排放浓度为9.868mg/m</w:t>
            </w:r>
            <w:r>
              <w:rPr>
                <w:rFonts w:hint="eastAsia"/>
                <w:color w:val="auto"/>
                <w:vertAlign w:val="superscript"/>
              </w:rPr>
              <w:t>3</w:t>
            </w:r>
            <w:r>
              <w:rPr>
                <w:rFonts w:hint="eastAsia"/>
                <w:color w:val="auto"/>
              </w:rPr>
              <w:t>、排放速率为0.158kg/h，无组织排放量为1.263t/a、无组织排放速率为0.1754kg/h。</w:t>
            </w:r>
          </w:p>
          <w:p w14:paraId="37995E97">
            <w:pPr>
              <w:pStyle w:val="50"/>
              <w:ind w:firstLine="482"/>
              <w:rPr>
                <w:b/>
                <w:bCs/>
                <w:color w:val="auto"/>
              </w:rPr>
            </w:pPr>
            <w:r>
              <w:rPr>
                <w:rFonts w:hint="eastAsia"/>
                <w:b/>
                <w:bCs/>
                <w:color w:val="auto"/>
              </w:rPr>
              <w:t>②危废贮存废气</w:t>
            </w:r>
          </w:p>
          <w:p w14:paraId="2DFDC0CD">
            <w:pPr>
              <w:pStyle w:val="50"/>
              <w:ind w:firstLine="480"/>
              <w:rPr>
                <w:color w:val="auto"/>
              </w:rPr>
            </w:pPr>
            <w:r>
              <w:rPr>
                <w:rFonts w:hint="eastAsia"/>
                <w:color w:val="auto"/>
              </w:rPr>
              <w:t>本项目产生的危险废物贮存于密闭的危废仓库中，危险废物在贮存过程中会挥发出有机废气，以NMHC计。危废贮存废气经负压风管收集后依托现有二级活性炭吸附装置处理后通过1根15m排气筒（DA002）排放。</w:t>
            </w:r>
          </w:p>
          <w:p w14:paraId="3B55CDF7">
            <w:pPr>
              <w:pStyle w:val="50"/>
              <w:ind w:firstLine="480"/>
              <w:rPr>
                <w:color w:val="auto"/>
              </w:rPr>
            </w:pPr>
            <w:r>
              <w:rPr>
                <w:rFonts w:hint="eastAsia"/>
                <w:color w:val="auto"/>
              </w:rPr>
              <w:t>参考《大气环境影响评价实用技术》（王成栋主编，中国标准出版社，</w:t>
            </w:r>
            <w:r>
              <w:rPr>
                <w:color w:val="auto"/>
              </w:rPr>
              <w:t>2010</w:t>
            </w:r>
            <w:r>
              <w:rPr>
                <w:rFonts w:hint="eastAsia"/>
                <w:color w:val="auto"/>
              </w:rPr>
              <w:t>年</w:t>
            </w:r>
            <w:r>
              <w:rPr>
                <w:color w:val="auto"/>
              </w:rPr>
              <w:t>9</w:t>
            </w:r>
            <w:r>
              <w:rPr>
                <w:rFonts w:hint="eastAsia"/>
                <w:color w:val="auto"/>
              </w:rPr>
              <w:t>月，第</w:t>
            </w:r>
            <w:r>
              <w:rPr>
                <w:color w:val="auto"/>
              </w:rPr>
              <w:t>156</w:t>
            </w:r>
            <w:r>
              <w:rPr>
                <w:rFonts w:hint="eastAsia"/>
                <w:color w:val="auto"/>
              </w:rPr>
              <w:t>页），有机废气的产生量按</w:t>
            </w:r>
            <w:r>
              <w:rPr>
                <w:rFonts w:hint="eastAsia"/>
                <w:color w:val="auto"/>
                <w:lang w:val="en-US" w:eastAsia="zh-CN"/>
              </w:rPr>
              <w:t>危废产生量</w:t>
            </w:r>
            <w:r>
              <w:rPr>
                <w:rFonts w:hint="eastAsia"/>
                <w:color w:val="auto"/>
              </w:rPr>
              <w:t>的</w:t>
            </w:r>
            <w:r>
              <w:rPr>
                <w:color w:val="auto"/>
              </w:rPr>
              <w:t>0.05‰</w:t>
            </w:r>
            <w:r>
              <w:rPr>
                <w:rFonts w:hint="eastAsia"/>
                <w:color w:val="auto"/>
              </w:rPr>
              <w:t>~</w:t>
            </w:r>
            <w:r>
              <w:rPr>
                <w:color w:val="auto"/>
              </w:rPr>
              <w:t>0.5‰</w:t>
            </w:r>
            <w:r>
              <w:rPr>
                <w:rFonts w:hint="eastAsia"/>
                <w:color w:val="auto"/>
              </w:rPr>
              <w:t>计算。本项目全厂危险废物产生量约为</w:t>
            </w:r>
            <w:r>
              <w:rPr>
                <w:rFonts w:hint="eastAsia"/>
                <w:color w:val="auto"/>
                <w:lang w:val="en-US" w:eastAsia="zh-CN"/>
              </w:rPr>
              <w:t>4.53</w:t>
            </w:r>
            <w:r>
              <w:rPr>
                <w:color w:val="auto"/>
              </w:rPr>
              <w:t>t/a</w:t>
            </w:r>
            <w:r>
              <w:rPr>
                <w:rFonts w:hint="eastAsia"/>
                <w:color w:val="auto"/>
              </w:rPr>
              <w:t>，有机废气产生量按</w:t>
            </w:r>
            <w:r>
              <w:rPr>
                <w:color w:val="auto"/>
              </w:rPr>
              <w:t>0.</w:t>
            </w:r>
            <w:r>
              <w:rPr>
                <w:rFonts w:hint="eastAsia"/>
                <w:color w:val="auto"/>
              </w:rPr>
              <w:t>5</w:t>
            </w:r>
            <w:r>
              <w:rPr>
                <w:color w:val="auto"/>
              </w:rPr>
              <w:t>‰</w:t>
            </w:r>
            <w:r>
              <w:rPr>
                <w:rFonts w:hint="eastAsia"/>
                <w:color w:val="auto"/>
              </w:rPr>
              <w:t>计算，则NMHC产生量为</w:t>
            </w:r>
            <w:r>
              <w:rPr>
                <w:rFonts w:hint="eastAsia"/>
                <w:color w:val="auto"/>
                <w:lang w:val="en-US" w:eastAsia="zh-CN"/>
              </w:rPr>
              <w:t>0.0023</w:t>
            </w:r>
            <w:r>
              <w:rPr>
                <w:color w:val="auto"/>
              </w:rPr>
              <w:t>t/a</w:t>
            </w:r>
            <w:r>
              <w:rPr>
                <w:rFonts w:hint="eastAsia"/>
                <w:color w:val="auto"/>
              </w:rPr>
              <w:t>，有组织产生量</w:t>
            </w:r>
            <w:r>
              <w:rPr>
                <w:color w:val="auto"/>
              </w:rPr>
              <w:t>为</w:t>
            </w:r>
            <w:r>
              <w:rPr>
                <w:rFonts w:hint="eastAsia"/>
                <w:color w:val="auto"/>
                <w:lang w:val="en-US" w:eastAsia="zh-CN"/>
              </w:rPr>
              <w:t>0.0022</w:t>
            </w:r>
            <w:r>
              <w:rPr>
                <w:color w:val="auto"/>
              </w:rPr>
              <w:t>t/a</w:t>
            </w:r>
            <w:r>
              <w:rPr>
                <w:rFonts w:hint="eastAsia"/>
                <w:color w:val="auto"/>
              </w:rPr>
              <w:t>、产生浓度为</w:t>
            </w:r>
            <w:r>
              <w:rPr>
                <w:rFonts w:hint="eastAsia"/>
                <w:color w:val="auto"/>
                <w:lang w:val="en-US" w:eastAsia="zh-CN"/>
              </w:rPr>
              <w:t>0.0149</w:t>
            </w:r>
            <w:r>
              <w:rPr>
                <w:rFonts w:hint="eastAsia"/>
                <w:color w:val="auto"/>
              </w:rPr>
              <w:t>mg/m</w:t>
            </w:r>
            <w:r>
              <w:rPr>
                <w:rFonts w:hint="eastAsia"/>
                <w:color w:val="auto"/>
                <w:vertAlign w:val="superscript"/>
              </w:rPr>
              <w:t>3</w:t>
            </w:r>
            <w:r>
              <w:rPr>
                <w:rFonts w:hint="eastAsia"/>
                <w:color w:val="auto"/>
              </w:rPr>
              <w:t>、产生速率为</w:t>
            </w:r>
            <w:r>
              <w:rPr>
                <w:rFonts w:hint="eastAsia"/>
                <w:color w:val="auto"/>
                <w:lang w:val="en-US" w:eastAsia="zh-CN"/>
              </w:rPr>
              <w:t>0.0003</w:t>
            </w:r>
            <w:r>
              <w:rPr>
                <w:rFonts w:hint="eastAsia"/>
                <w:color w:val="auto"/>
              </w:rPr>
              <w:t>kg/h，有组织排放量为</w:t>
            </w:r>
            <w:r>
              <w:rPr>
                <w:rFonts w:hint="eastAsia"/>
                <w:color w:val="auto"/>
                <w:lang w:val="en-US" w:eastAsia="zh-CN"/>
              </w:rPr>
              <w:t>0.0002</w:t>
            </w:r>
            <w:r>
              <w:rPr>
                <w:rFonts w:hint="eastAsia"/>
                <w:color w:val="auto"/>
              </w:rPr>
              <w:t>t/a、排放浓度为</w:t>
            </w:r>
            <w:r>
              <w:rPr>
                <w:rFonts w:hint="eastAsia"/>
                <w:color w:val="auto"/>
                <w:lang w:val="en-US" w:eastAsia="zh-CN"/>
              </w:rPr>
              <w:t>0.0015</w:t>
            </w:r>
            <w:r>
              <w:rPr>
                <w:rFonts w:hint="eastAsia"/>
                <w:color w:val="auto"/>
              </w:rPr>
              <w:t>mg/m</w:t>
            </w:r>
            <w:r>
              <w:rPr>
                <w:rFonts w:hint="eastAsia"/>
                <w:color w:val="auto"/>
                <w:vertAlign w:val="superscript"/>
              </w:rPr>
              <w:t>3</w:t>
            </w:r>
            <w:r>
              <w:rPr>
                <w:rFonts w:hint="eastAsia"/>
                <w:color w:val="auto"/>
              </w:rPr>
              <w:t>、排放速率为0.0000</w:t>
            </w:r>
            <w:r>
              <w:rPr>
                <w:rFonts w:hint="eastAsia"/>
                <w:color w:val="auto"/>
                <w:lang w:val="en-US" w:eastAsia="zh-CN"/>
              </w:rPr>
              <w:t>3</w:t>
            </w:r>
            <w:r>
              <w:rPr>
                <w:rFonts w:hint="eastAsia"/>
                <w:color w:val="auto"/>
              </w:rPr>
              <w:t>kg/h，无组织排放量为0.000</w:t>
            </w:r>
            <w:r>
              <w:rPr>
                <w:rFonts w:hint="eastAsia"/>
                <w:color w:val="auto"/>
                <w:lang w:val="en-US" w:eastAsia="zh-CN"/>
              </w:rPr>
              <w:t>11</w:t>
            </w:r>
            <w:r>
              <w:rPr>
                <w:rFonts w:hint="eastAsia"/>
                <w:color w:val="auto"/>
              </w:rPr>
              <w:t>t/a、排放速率为0.0000</w:t>
            </w:r>
            <w:r>
              <w:rPr>
                <w:rFonts w:hint="eastAsia"/>
                <w:color w:val="auto"/>
                <w:lang w:val="en-US" w:eastAsia="zh-CN"/>
              </w:rPr>
              <w:t>16</w:t>
            </w:r>
            <w:r>
              <w:rPr>
                <w:rFonts w:hint="eastAsia"/>
                <w:color w:val="auto"/>
              </w:rPr>
              <w:t>kg/h。</w:t>
            </w:r>
          </w:p>
          <w:p w14:paraId="1FB03C5B">
            <w:pPr>
              <w:pStyle w:val="50"/>
              <w:ind w:firstLine="482"/>
              <w:rPr>
                <w:b/>
                <w:bCs/>
                <w:color w:val="auto"/>
              </w:rPr>
            </w:pPr>
          </w:p>
          <w:p w14:paraId="55080E31">
            <w:pPr>
              <w:pStyle w:val="50"/>
              <w:ind w:firstLine="480"/>
              <w:rPr>
                <w:color w:val="auto"/>
              </w:rPr>
            </w:pPr>
          </w:p>
          <w:p w14:paraId="405B162F">
            <w:pPr>
              <w:pStyle w:val="50"/>
              <w:ind w:firstLine="480"/>
              <w:rPr>
                <w:color w:val="auto"/>
              </w:rPr>
            </w:pPr>
          </w:p>
          <w:p w14:paraId="32AFEAB4">
            <w:pPr>
              <w:pStyle w:val="50"/>
              <w:ind w:firstLine="480"/>
              <w:rPr>
                <w:color w:val="auto"/>
              </w:rPr>
            </w:pPr>
          </w:p>
          <w:p w14:paraId="4F8830AE">
            <w:pPr>
              <w:pStyle w:val="50"/>
              <w:ind w:firstLine="480"/>
              <w:rPr>
                <w:color w:val="auto"/>
              </w:rPr>
            </w:pPr>
          </w:p>
          <w:p w14:paraId="7706AABE">
            <w:pPr>
              <w:pStyle w:val="50"/>
              <w:ind w:firstLine="480"/>
              <w:rPr>
                <w:color w:val="auto"/>
              </w:rPr>
            </w:pPr>
          </w:p>
          <w:p w14:paraId="6D2C5D1B">
            <w:pPr>
              <w:pStyle w:val="50"/>
              <w:ind w:firstLine="480"/>
              <w:rPr>
                <w:color w:val="auto"/>
              </w:rPr>
            </w:pPr>
          </w:p>
          <w:p w14:paraId="438DBB40">
            <w:pPr>
              <w:pStyle w:val="50"/>
              <w:ind w:firstLine="480"/>
              <w:rPr>
                <w:color w:val="auto"/>
              </w:rPr>
            </w:pPr>
          </w:p>
          <w:p w14:paraId="293CCA4B">
            <w:pPr>
              <w:pStyle w:val="50"/>
              <w:ind w:firstLine="480"/>
              <w:rPr>
                <w:color w:val="auto"/>
              </w:rPr>
            </w:pPr>
          </w:p>
          <w:p w14:paraId="2271B720">
            <w:pPr>
              <w:pStyle w:val="50"/>
              <w:ind w:firstLine="480"/>
              <w:rPr>
                <w:color w:val="auto"/>
              </w:rPr>
            </w:pPr>
          </w:p>
          <w:p w14:paraId="757644B3">
            <w:pPr>
              <w:pStyle w:val="50"/>
              <w:ind w:firstLine="480"/>
              <w:rPr>
                <w:color w:val="auto"/>
              </w:rPr>
            </w:pPr>
          </w:p>
          <w:p w14:paraId="42870331">
            <w:pPr>
              <w:pStyle w:val="50"/>
              <w:ind w:firstLine="480"/>
              <w:rPr>
                <w:color w:val="auto"/>
              </w:rPr>
            </w:pPr>
          </w:p>
          <w:p w14:paraId="1478C0A8">
            <w:pPr>
              <w:pStyle w:val="50"/>
              <w:ind w:firstLine="480"/>
              <w:rPr>
                <w:color w:val="auto"/>
              </w:rPr>
            </w:pPr>
          </w:p>
          <w:p w14:paraId="483B1CF6">
            <w:pPr>
              <w:pStyle w:val="50"/>
              <w:ind w:firstLine="480"/>
              <w:rPr>
                <w:color w:val="auto"/>
              </w:rPr>
            </w:pPr>
          </w:p>
          <w:p w14:paraId="3C036FCC">
            <w:pPr>
              <w:pStyle w:val="50"/>
              <w:ind w:firstLine="480"/>
              <w:rPr>
                <w:color w:val="auto"/>
              </w:rPr>
            </w:pPr>
          </w:p>
        </w:tc>
      </w:tr>
    </w:tbl>
    <w:p w14:paraId="76D622E9">
      <w:pPr>
        <w:spacing w:before="120" w:after="120"/>
        <w:ind w:right="105" w:firstLine="120"/>
        <w:rPr>
          <w:color w:val="auto"/>
        </w:rPr>
        <w:sectPr>
          <w:pgSz w:w="11906" w:h="16838"/>
          <w:pgMar w:top="1701" w:right="1417" w:bottom="1701" w:left="1417" w:header="851" w:footer="851" w:gutter="0"/>
          <w:cols w:space="720" w:num="1"/>
          <w:docGrid w:linePitch="312" w:charSpace="0"/>
        </w:sectPr>
      </w:pPr>
    </w:p>
    <w:tbl>
      <w:tblPr>
        <w:tblStyle w:val="17"/>
        <w:tblW w:w="525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3"/>
        <w:gridCol w:w="13623"/>
      </w:tblGrid>
      <w:tr w14:paraId="260BA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9" w:hRule="atLeast"/>
          <w:jc w:val="center"/>
        </w:trPr>
        <w:tc>
          <w:tcPr>
            <w:tcW w:w="252" w:type="pct"/>
            <w:vAlign w:val="center"/>
          </w:tcPr>
          <w:p w14:paraId="5D55A2BE">
            <w:pPr>
              <w:jc w:val="center"/>
              <w:rPr>
                <w:rFonts w:eastAsia="黑体"/>
                <w:snapToGrid w:val="0"/>
                <w:color w:val="auto"/>
                <w:sz w:val="36"/>
                <w:szCs w:val="36"/>
              </w:rPr>
            </w:pPr>
            <w:r>
              <w:rPr>
                <w:rFonts w:eastAsiaTheme="minorEastAsia"/>
                <w:color w:val="auto"/>
                <w:sz w:val="24"/>
              </w:rPr>
              <w:t>运营期环境影响和保护措施</w:t>
            </w:r>
          </w:p>
        </w:tc>
        <w:tc>
          <w:tcPr>
            <w:tcW w:w="4747" w:type="pct"/>
          </w:tcPr>
          <w:p w14:paraId="24F0A998">
            <w:pPr>
              <w:pStyle w:val="7"/>
              <w:rPr>
                <w:color w:val="auto"/>
              </w:rPr>
            </w:pPr>
            <w:r>
              <w:rPr>
                <w:color w:val="auto"/>
              </w:rPr>
              <w:t xml:space="preserve">表4- </w:t>
            </w:r>
            <w:r>
              <w:rPr>
                <w:color w:val="auto"/>
              </w:rPr>
              <w:fldChar w:fldCharType="begin"/>
            </w:r>
            <w:r>
              <w:rPr>
                <w:color w:val="auto"/>
              </w:rPr>
              <w:instrText xml:space="preserve"> SEQ 表4- \* ARABIC </w:instrText>
            </w:r>
            <w:r>
              <w:rPr>
                <w:color w:val="auto"/>
              </w:rPr>
              <w:fldChar w:fldCharType="separate"/>
            </w:r>
            <w:r>
              <w:rPr>
                <w:color w:val="auto"/>
              </w:rPr>
              <w:t>3</w:t>
            </w:r>
            <w:r>
              <w:rPr>
                <w:color w:val="auto"/>
              </w:rPr>
              <w:fldChar w:fldCharType="end"/>
            </w:r>
            <w:r>
              <w:rPr>
                <w:color w:val="auto"/>
              </w:rPr>
              <w:t xml:space="preserve"> 项目有组织大气污染源源强核算结果及相关参数一览表</w:t>
            </w:r>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6"/>
              <w:gridCol w:w="1271"/>
              <w:gridCol w:w="875"/>
              <w:gridCol w:w="875"/>
              <w:gridCol w:w="884"/>
              <w:gridCol w:w="954"/>
              <w:gridCol w:w="855"/>
              <w:gridCol w:w="795"/>
              <w:gridCol w:w="1262"/>
              <w:gridCol w:w="647"/>
              <w:gridCol w:w="836"/>
              <w:gridCol w:w="975"/>
              <w:gridCol w:w="903"/>
              <w:gridCol w:w="899"/>
              <w:gridCol w:w="640"/>
            </w:tblGrid>
            <w:tr w14:paraId="79158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6" w:type="dxa"/>
                  <w:vMerge w:val="restart"/>
                  <w:shd w:val="clear" w:color="auto" w:fill="auto"/>
                  <w:vAlign w:val="center"/>
                </w:tcPr>
                <w:p w14:paraId="6748BA7A">
                  <w:pPr>
                    <w:pStyle w:val="52"/>
                    <w:rPr>
                      <w:color w:val="auto"/>
                    </w:rPr>
                  </w:pPr>
                  <w:r>
                    <w:rPr>
                      <w:color w:val="auto"/>
                    </w:rPr>
                    <w:t>污染产生工序</w:t>
                  </w:r>
                </w:p>
              </w:tc>
              <w:tc>
                <w:tcPr>
                  <w:tcW w:w="1271" w:type="dxa"/>
                  <w:vMerge w:val="restart"/>
                  <w:shd w:val="clear" w:color="auto" w:fill="auto"/>
                  <w:vAlign w:val="center"/>
                </w:tcPr>
                <w:p w14:paraId="28B6E95E">
                  <w:pPr>
                    <w:pStyle w:val="52"/>
                    <w:rPr>
                      <w:color w:val="auto"/>
                    </w:rPr>
                  </w:pPr>
                  <w:r>
                    <w:rPr>
                      <w:rFonts w:hint="eastAsia"/>
                      <w:color w:val="auto"/>
                    </w:rPr>
                    <w:t>污染源</w:t>
                  </w:r>
                </w:p>
              </w:tc>
              <w:tc>
                <w:tcPr>
                  <w:tcW w:w="875" w:type="dxa"/>
                  <w:vMerge w:val="restart"/>
                  <w:shd w:val="clear" w:color="auto" w:fill="auto"/>
                  <w:noWrap/>
                  <w:vAlign w:val="center"/>
                </w:tcPr>
                <w:p w14:paraId="60D24942">
                  <w:pPr>
                    <w:pStyle w:val="52"/>
                    <w:rPr>
                      <w:color w:val="auto"/>
                    </w:rPr>
                  </w:pPr>
                  <w:r>
                    <w:rPr>
                      <w:color w:val="auto"/>
                    </w:rPr>
                    <w:t>污染物</w:t>
                  </w:r>
                </w:p>
              </w:tc>
              <w:tc>
                <w:tcPr>
                  <w:tcW w:w="875" w:type="dxa"/>
                  <w:vMerge w:val="restart"/>
                  <w:shd w:val="clear" w:color="auto" w:fill="auto"/>
                  <w:vAlign w:val="center"/>
                </w:tcPr>
                <w:p w14:paraId="7A71527E">
                  <w:pPr>
                    <w:pStyle w:val="52"/>
                    <w:rPr>
                      <w:color w:val="auto"/>
                    </w:rPr>
                  </w:pPr>
                  <w:r>
                    <w:rPr>
                      <w:color w:val="auto"/>
                    </w:rPr>
                    <w:t>核算</w:t>
                  </w:r>
                </w:p>
                <w:p w14:paraId="1524A3AD">
                  <w:pPr>
                    <w:pStyle w:val="52"/>
                    <w:rPr>
                      <w:color w:val="auto"/>
                    </w:rPr>
                  </w:pPr>
                  <w:r>
                    <w:rPr>
                      <w:color w:val="auto"/>
                    </w:rPr>
                    <w:t>方法</w:t>
                  </w:r>
                </w:p>
              </w:tc>
              <w:tc>
                <w:tcPr>
                  <w:tcW w:w="3488" w:type="dxa"/>
                  <w:gridSpan w:val="4"/>
                  <w:shd w:val="clear" w:color="auto" w:fill="auto"/>
                  <w:vAlign w:val="center"/>
                </w:tcPr>
                <w:p w14:paraId="1B765DC4">
                  <w:pPr>
                    <w:pStyle w:val="52"/>
                    <w:rPr>
                      <w:color w:val="auto"/>
                    </w:rPr>
                  </w:pPr>
                  <w:r>
                    <w:rPr>
                      <w:color w:val="auto"/>
                    </w:rPr>
                    <w:t>污染物产生</w:t>
                  </w:r>
                </w:p>
              </w:tc>
              <w:tc>
                <w:tcPr>
                  <w:tcW w:w="1909" w:type="dxa"/>
                  <w:gridSpan w:val="2"/>
                  <w:shd w:val="clear" w:color="auto" w:fill="auto"/>
                  <w:noWrap/>
                  <w:vAlign w:val="center"/>
                </w:tcPr>
                <w:p w14:paraId="72E2D670">
                  <w:pPr>
                    <w:pStyle w:val="52"/>
                    <w:rPr>
                      <w:color w:val="auto"/>
                    </w:rPr>
                  </w:pPr>
                  <w:r>
                    <w:rPr>
                      <w:color w:val="auto"/>
                    </w:rPr>
                    <w:t>治理措施</w:t>
                  </w:r>
                </w:p>
              </w:tc>
              <w:tc>
                <w:tcPr>
                  <w:tcW w:w="3613" w:type="dxa"/>
                  <w:gridSpan w:val="4"/>
                  <w:shd w:val="clear" w:color="auto" w:fill="auto"/>
                  <w:noWrap/>
                  <w:vAlign w:val="center"/>
                </w:tcPr>
                <w:p w14:paraId="57B0E65F">
                  <w:pPr>
                    <w:pStyle w:val="52"/>
                    <w:rPr>
                      <w:color w:val="auto"/>
                    </w:rPr>
                  </w:pPr>
                  <w:r>
                    <w:rPr>
                      <w:color w:val="auto"/>
                    </w:rPr>
                    <w:t>污染物排放</w:t>
                  </w:r>
                </w:p>
              </w:tc>
              <w:tc>
                <w:tcPr>
                  <w:tcW w:w="640" w:type="dxa"/>
                  <w:vMerge w:val="restart"/>
                  <w:shd w:val="clear" w:color="auto" w:fill="auto"/>
                  <w:vAlign w:val="center"/>
                </w:tcPr>
                <w:p w14:paraId="258C88C0">
                  <w:pPr>
                    <w:pStyle w:val="52"/>
                    <w:rPr>
                      <w:color w:val="auto"/>
                    </w:rPr>
                  </w:pPr>
                  <w:r>
                    <w:rPr>
                      <w:color w:val="auto"/>
                    </w:rPr>
                    <w:t>排放时间</w:t>
                  </w:r>
                </w:p>
                <w:p w14:paraId="543DD917">
                  <w:pPr>
                    <w:pStyle w:val="52"/>
                    <w:rPr>
                      <w:color w:val="auto"/>
                    </w:rPr>
                  </w:pPr>
                  <w:r>
                    <w:rPr>
                      <w:color w:val="auto"/>
                    </w:rPr>
                    <w:t>(h/a)</w:t>
                  </w:r>
                </w:p>
              </w:tc>
            </w:tr>
            <w:tr w14:paraId="554BC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6" w:type="dxa"/>
                  <w:vMerge w:val="continue"/>
                  <w:shd w:val="clear" w:color="auto" w:fill="auto"/>
                  <w:vAlign w:val="center"/>
                </w:tcPr>
                <w:p w14:paraId="286FC019">
                  <w:pPr>
                    <w:pStyle w:val="52"/>
                    <w:rPr>
                      <w:color w:val="auto"/>
                    </w:rPr>
                  </w:pPr>
                </w:p>
              </w:tc>
              <w:tc>
                <w:tcPr>
                  <w:tcW w:w="1271" w:type="dxa"/>
                  <w:vMerge w:val="continue"/>
                  <w:shd w:val="clear" w:color="auto" w:fill="auto"/>
                  <w:vAlign w:val="center"/>
                </w:tcPr>
                <w:p w14:paraId="3FB01E4C">
                  <w:pPr>
                    <w:pStyle w:val="52"/>
                    <w:rPr>
                      <w:color w:val="auto"/>
                    </w:rPr>
                  </w:pPr>
                </w:p>
              </w:tc>
              <w:tc>
                <w:tcPr>
                  <w:tcW w:w="875" w:type="dxa"/>
                  <w:vMerge w:val="continue"/>
                  <w:shd w:val="clear" w:color="auto" w:fill="auto"/>
                  <w:noWrap/>
                  <w:vAlign w:val="center"/>
                </w:tcPr>
                <w:p w14:paraId="5FDD65D9">
                  <w:pPr>
                    <w:pStyle w:val="52"/>
                    <w:rPr>
                      <w:color w:val="auto"/>
                    </w:rPr>
                  </w:pPr>
                </w:p>
              </w:tc>
              <w:tc>
                <w:tcPr>
                  <w:tcW w:w="875" w:type="dxa"/>
                  <w:vMerge w:val="continue"/>
                  <w:shd w:val="clear" w:color="auto" w:fill="auto"/>
                  <w:vAlign w:val="center"/>
                </w:tcPr>
                <w:p w14:paraId="6FEA437E">
                  <w:pPr>
                    <w:pStyle w:val="52"/>
                    <w:rPr>
                      <w:color w:val="auto"/>
                    </w:rPr>
                  </w:pPr>
                </w:p>
              </w:tc>
              <w:tc>
                <w:tcPr>
                  <w:tcW w:w="884" w:type="dxa"/>
                  <w:shd w:val="clear" w:color="auto" w:fill="auto"/>
                  <w:vAlign w:val="center"/>
                </w:tcPr>
                <w:p w14:paraId="7AF2011F">
                  <w:pPr>
                    <w:pStyle w:val="52"/>
                    <w:rPr>
                      <w:color w:val="auto"/>
                    </w:rPr>
                  </w:pPr>
                  <w:r>
                    <w:rPr>
                      <w:color w:val="auto"/>
                    </w:rPr>
                    <w:t>废气量</w:t>
                  </w:r>
                </w:p>
                <w:p w14:paraId="4DB28ADD">
                  <w:pPr>
                    <w:pStyle w:val="52"/>
                    <w:rPr>
                      <w:color w:val="auto"/>
                    </w:rPr>
                  </w:pPr>
                  <w:r>
                    <w:rPr>
                      <w:color w:val="auto"/>
                    </w:rPr>
                    <w:t>(m</w:t>
                  </w:r>
                  <w:r>
                    <w:rPr>
                      <w:color w:val="auto"/>
                      <w:vertAlign w:val="superscript"/>
                    </w:rPr>
                    <w:t>3</w:t>
                  </w:r>
                  <w:r>
                    <w:rPr>
                      <w:color w:val="auto"/>
                    </w:rPr>
                    <w:t>/h)</w:t>
                  </w:r>
                </w:p>
              </w:tc>
              <w:tc>
                <w:tcPr>
                  <w:tcW w:w="954" w:type="dxa"/>
                  <w:shd w:val="clear" w:color="auto" w:fill="auto"/>
                  <w:vAlign w:val="center"/>
                </w:tcPr>
                <w:p w14:paraId="0EC218F6">
                  <w:pPr>
                    <w:pStyle w:val="52"/>
                    <w:rPr>
                      <w:color w:val="auto"/>
                    </w:rPr>
                  </w:pPr>
                  <w:r>
                    <w:rPr>
                      <w:color w:val="auto"/>
                    </w:rPr>
                    <w:t>浓度</w:t>
                  </w:r>
                </w:p>
                <w:p w14:paraId="3E178882">
                  <w:pPr>
                    <w:pStyle w:val="52"/>
                    <w:rPr>
                      <w:color w:val="auto"/>
                    </w:rPr>
                  </w:pPr>
                  <w:r>
                    <w:rPr>
                      <w:color w:val="auto"/>
                    </w:rPr>
                    <w:t>(mg/m</w:t>
                  </w:r>
                  <w:r>
                    <w:rPr>
                      <w:color w:val="auto"/>
                      <w:vertAlign w:val="superscript"/>
                    </w:rPr>
                    <w:t>3</w:t>
                  </w:r>
                  <w:r>
                    <w:rPr>
                      <w:color w:val="auto"/>
                    </w:rPr>
                    <w:t>)</w:t>
                  </w:r>
                </w:p>
              </w:tc>
              <w:tc>
                <w:tcPr>
                  <w:tcW w:w="855" w:type="dxa"/>
                  <w:shd w:val="clear" w:color="auto" w:fill="auto"/>
                  <w:vAlign w:val="center"/>
                </w:tcPr>
                <w:p w14:paraId="18C22C9F">
                  <w:pPr>
                    <w:pStyle w:val="52"/>
                    <w:rPr>
                      <w:color w:val="auto"/>
                    </w:rPr>
                  </w:pPr>
                  <w:r>
                    <w:rPr>
                      <w:color w:val="auto"/>
                    </w:rPr>
                    <w:t>速率</w:t>
                  </w:r>
                </w:p>
                <w:p w14:paraId="274D84B2">
                  <w:pPr>
                    <w:pStyle w:val="52"/>
                    <w:rPr>
                      <w:color w:val="auto"/>
                    </w:rPr>
                  </w:pPr>
                  <w:r>
                    <w:rPr>
                      <w:color w:val="auto"/>
                    </w:rPr>
                    <w:t>(kg/h)</w:t>
                  </w:r>
                </w:p>
              </w:tc>
              <w:tc>
                <w:tcPr>
                  <w:tcW w:w="795" w:type="dxa"/>
                  <w:shd w:val="clear" w:color="auto" w:fill="auto"/>
                  <w:noWrap/>
                  <w:vAlign w:val="center"/>
                </w:tcPr>
                <w:p w14:paraId="15909379">
                  <w:pPr>
                    <w:pStyle w:val="52"/>
                    <w:rPr>
                      <w:color w:val="auto"/>
                    </w:rPr>
                  </w:pPr>
                  <w:r>
                    <w:rPr>
                      <w:color w:val="auto"/>
                    </w:rPr>
                    <w:t>产生量</w:t>
                  </w:r>
                </w:p>
                <w:p w14:paraId="387B2ECF">
                  <w:pPr>
                    <w:pStyle w:val="52"/>
                    <w:rPr>
                      <w:color w:val="auto"/>
                    </w:rPr>
                  </w:pPr>
                  <w:r>
                    <w:rPr>
                      <w:color w:val="auto"/>
                    </w:rPr>
                    <w:t>(t/a)</w:t>
                  </w:r>
                </w:p>
              </w:tc>
              <w:tc>
                <w:tcPr>
                  <w:tcW w:w="1262" w:type="dxa"/>
                  <w:shd w:val="clear" w:color="auto" w:fill="auto"/>
                  <w:noWrap/>
                  <w:vAlign w:val="center"/>
                </w:tcPr>
                <w:p w14:paraId="50407924">
                  <w:pPr>
                    <w:pStyle w:val="52"/>
                    <w:rPr>
                      <w:color w:val="auto"/>
                    </w:rPr>
                  </w:pPr>
                  <w:r>
                    <w:rPr>
                      <w:color w:val="auto"/>
                    </w:rPr>
                    <w:t>设备</w:t>
                  </w:r>
                </w:p>
              </w:tc>
              <w:tc>
                <w:tcPr>
                  <w:tcW w:w="647" w:type="dxa"/>
                  <w:shd w:val="clear" w:color="auto" w:fill="auto"/>
                  <w:noWrap/>
                  <w:vAlign w:val="center"/>
                </w:tcPr>
                <w:p w14:paraId="37EE25C8">
                  <w:pPr>
                    <w:pStyle w:val="52"/>
                    <w:rPr>
                      <w:color w:val="auto"/>
                    </w:rPr>
                  </w:pPr>
                  <w:r>
                    <w:rPr>
                      <w:color w:val="auto"/>
                    </w:rPr>
                    <w:t>去除率</w:t>
                  </w:r>
                </w:p>
                <w:p w14:paraId="54F746CC">
                  <w:pPr>
                    <w:pStyle w:val="52"/>
                    <w:rPr>
                      <w:color w:val="auto"/>
                    </w:rPr>
                  </w:pPr>
                  <w:r>
                    <w:rPr>
                      <w:rFonts w:hint="eastAsia"/>
                      <w:color w:val="auto"/>
                    </w:rPr>
                    <w:t>(%)</w:t>
                  </w:r>
                </w:p>
              </w:tc>
              <w:tc>
                <w:tcPr>
                  <w:tcW w:w="836" w:type="dxa"/>
                  <w:shd w:val="clear" w:color="auto" w:fill="auto"/>
                  <w:noWrap/>
                  <w:vAlign w:val="center"/>
                </w:tcPr>
                <w:p w14:paraId="76268F40">
                  <w:pPr>
                    <w:pStyle w:val="52"/>
                    <w:rPr>
                      <w:color w:val="auto"/>
                    </w:rPr>
                  </w:pPr>
                  <w:r>
                    <w:rPr>
                      <w:color w:val="auto"/>
                    </w:rPr>
                    <w:t>废气量</w:t>
                  </w:r>
                </w:p>
                <w:p w14:paraId="30BFFAFD">
                  <w:pPr>
                    <w:pStyle w:val="52"/>
                    <w:rPr>
                      <w:color w:val="auto"/>
                    </w:rPr>
                  </w:pPr>
                  <w:r>
                    <w:rPr>
                      <w:color w:val="auto"/>
                    </w:rPr>
                    <w:t>(m</w:t>
                  </w:r>
                  <w:r>
                    <w:rPr>
                      <w:color w:val="auto"/>
                      <w:vertAlign w:val="superscript"/>
                    </w:rPr>
                    <w:t>3</w:t>
                  </w:r>
                  <w:r>
                    <w:rPr>
                      <w:color w:val="auto"/>
                    </w:rPr>
                    <w:t>/h)</w:t>
                  </w:r>
                </w:p>
              </w:tc>
              <w:tc>
                <w:tcPr>
                  <w:tcW w:w="975" w:type="dxa"/>
                  <w:shd w:val="clear" w:color="auto" w:fill="auto"/>
                  <w:noWrap/>
                  <w:vAlign w:val="center"/>
                </w:tcPr>
                <w:p w14:paraId="739F9500">
                  <w:pPr>
                    <w:pStyle w:val="52"/>
                    <w:rPr>
                      <w:color w:val="auto"/>
                    </w:rPr>
                  </w:pPr>
                  <w:r>
                    <w:rPr>
                      <w:color w:val="auto"/>
                    </w:rPr>
                    <w:t>浓度</w:t>
                  </w:r>
                </w:p>
                <w:p w14:paraId="3AF13B59">
                  <w:pPr>
                    <w:pStyle w:val="52"/>
                    <w:rPr>
                      <w:color w:val="auto"/>
                    </w:rPr>
                  </w:pPr>
                  <w:r>
                    <w:rPr>
                      <w:color w:val="auto"/>
                    </w:rPr>
                    <w:t>(mg/m</w:t>
                  </w:r>
                  <w:r>
                    <w:rPr>
                      <w:color w:val="auto"/>
                      <w:vertAlign w:val="superscript"/>
                    </w:rPr>
                    <w:t>3</w:t>
                  </w:r>
                  <w:r>
                    <w:rPr>
                      <w:color w:val="auto"/>
                    </w:rPr>
                    <w:t>)</w:t>
                  </w:r>
                </w:p>
              </w:tc>
              <w:tc>
                <w:tcPr>
                  <w:tcW w:w="903" w:type="dxa"/>
                  <w:shd w:val="clear" w:color="auto" w:fill="auto"/>
                  <w:vAlign w:val="center"/>
                </w:tcPr>
                <w:p w14:paraId="5AB6CFEF">
                  <w:pPr>
                    <w:pStyle w:val="52"/>
                    <w:rPr>
                      <w:color w:val="auto"/>
                    </w:rPr>
                  </w:pPr>
                  <w:r>
                    <w:rPr>
                      <w:color w:val="auto"/>
                    </w:rPr>
                    <w:t>速率</w:t>
                  </w:r>
                </w:p>
                <w:p w14:paraId="0F0A098F">
                  <w:pPr>
                    <w:pStyle w:val="52"/>
                    <w:rPr>
                      <w:color w:val="auto"/>
                    </w:rPr>
                  </w:pPr>
                  <w:r>
                    <w:rPr>
                      <w:color w:val="auto"/>
                    </w:rPr>
                    <w:t>(kg/h)</w:t>
                  </w:r>
                </w:p>
              </w:tc>
              <w:tc>
                <w:tcPr>
                  <w:tcW w:w="899" w:type="dxa"/>
                  <w:shd w:val="clear" w:color="auto" w:fill="auto"/>
                  <w:vAlign w:val="center"/>
                </w:tcPr>
                <w:p w14:paraId="31176D9B">
                  <w:pPr>
                    <w:pStyle w:val="52"/>
                    <w:rPr>
                      <w:color w:val="auto"/>
                    </w:rPr>
                  </w:pPr>
                  <w:r>
                    <w:rPr>
                      <w:color w:val="auto"/>
                    </w:rPr>
                    <w:t>产生量</w:t>
                  </w:r>
                </w:p>
                <w:p w14:paraId="218214B0">
                  <w:pPr>
                    <w:pStyle w:val="52"/>
                    <w:rPr>
                      <w:color w:val="auto"/>
                    </w:rPr>
                  </w:pPr>
                  <w:r>
                    <w:rPr>
                      <w:color w:val="auto"/>
                    </w:rPr>
                    <w:t>(t/a)</w:t>
                  </w:r>
                </w:p>
              </w:tc>
              <w:tc>
                <w:tcPr>
                  <w:tcW w:w="640" w:type="dxa"/>
                  <w:vMerge w:val="continue"/>
                  <w:shd w:val="clear" w:color="auto" w:fill="auto"/>
                  <w:vAlign w:val="center"/>
                </w:tcPr>
                <w:p w14:paraId="0BC47D08">
                  <w:pPr>
                    <w:rPr>
                      <w:b/>
                      <w:bCs/>
                      <w:color w:val="auto"/>
                      <w:sz w:val="18"/>
                      <w:szCs w:val="18"/>
                    </w:rPr>
                  </w:pPr>
                </w:p>
              </w:tc>
            </w:tr>
            <w:tr w14:paraId="5C4FC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6" w:type="dxa"/>
                  <w:shd w:val="clear" w:color="auto" w:fill="auto"/>
                  <w:vAlign w:val="center"/>
                </w:tcPr>
                <w:p w14:paraId="5946F97C">
                  <w:pPr>
                    <w:pStyle w:val="54"/>
                    <w:bidi w:val="0"/>
                    <w:rPr>
                      <w:color w:val="auto"/>
                    </w:rPr>
                  </w:pPr>
                  <w:r>
                    <w:rPr>
                      <w:rFonts w:hint="eastAsia"/>
                      <w:color w:val="auto"/>
                    </w:rPr>
                    <w:t>熔化</w:t>
                  </w:r>
                </w:p>
              </w:tc>
              <w:tc>
                <w:tcPr>
                  <w:tcW w:w="1271" w:type="dxa"/>
                  <w:shd w:val="clear" w:color="auto" w:fill="auto"/>
                  <w:vAlign w:val="center"/>
                </w:tcPr>
                <w:p w14:paraId="65156D79">
                  <w:pPr>
                    <w:pStyle w:val="54"/>
                    <w:bidi w:val="0"/>
                    <w:rPr>
                      <w:color w:val="auto"/>
                    </w:rPr>
                  </w:pPr>
                  <w:r>
                    <w:rPr>
                      <w:rFonts w:hint="eastAsia"/>
                      <w:color w:val="auto"/>
                    </w:rPr>
                    <w:t>1~4#上引法无氧铜杆连铸机组（DA003）</w:t>
                  </w:r>
                </w:p>
              </w:tc>
              <w:tc>
                <w:tcPr>
                  <w:tcW w:w="875" w:type="dxa"/>
                  <w:shd w:val="clear" w:color="auto" w:fill="auto"/>
                  <w:noWrap/>
                  <w:vAlign w:val="center"/>
                </w:tcPr>
                <w:p w14:paraId="647D2CEA">
                  <w:pPr>
                    <w:pStyle w:val="54"/>
                    <w:bidi w:val="0"/>
                    <w:rPr>
                      <w:color w:val="auto"/>
                    </w:rPr>
                  </w:pPr>
                  <w:r>
                    <w:rPr>
                      <w:rFonts w:hint="eastAsia"/>
                      <w:color w:val="auto"/>
                    </w:rPr>
                    <w:t>颗粒物</w:t>
                  </w:r>
                </w:p>
              </w:tc>
              <w:tc>
                <w:tcPr>
                  <w:tcW w:w="875" w:type="dxa"/>
                  <w:shd w:val="clear" w:color="auto" w:fill="auto"/>
                  <w:vAlign w:val="center"/>
                </w:tcPr>
                <w:p w14:paraId="4F612084">
                  <w:pPr>
                    <w:pStyle w:val="54"/>
                    <w:bidi w:val="0"/>
                    <w:rPr>
                      <w:color w:val="auto"/>
                    </w:rPr>
                  </w:pPr>
                  <w:r>
                    <w:rPr>
                      <w:rFonts w:hint="eastAsia"/>
                      <w:color w:val="auto"/>
                    </w:rPr>
                    <w:t>类比法</w:t>
                  </w:r>
                </w:p>
              </w:tc>
              <w:tc>
                <w:tcPr>
                  <w:tcW w:w="884" w:type="dxa"/>
                  <w:shd w:val="clear" w:color="auto" w:fill="auto"/>
                  <w:vAlign w:val="center"/>
                </w:tcPr>
                <w:p w14:paraId="630A0A16">
                  <w:pPr>
                    <w:pStyle w:val="54"/>
                    <w:bidi w:val="0"/>
                    <w:rPr>
                      <w:color w:val="auto"/>
                    </w:rPr>
                  </w:pPr>
                  <w:r>
                    <w:rPr>
                      <w:color w:val="auto"/>
                    </w:rPr>
                    <w:t>16000</w:t>
                  </w:r>
                </w:p>
              </w:tc>
              <w:tc>
                <w:tcPr>
                  <w:tcW w:w="954" w:type="dxa"/>
                  <w:shd w:val="clear" w:color="auto" w:fill="auto"/>
                  <w:vAlign w:val="center"/>
                </w:tcPr>
                <w:p w14:paraId="7343E618">
                  <w:pPr>
                    <w:pStyle w:val="54"/>
                    <w:bidi w:val="0"/>
                    <w:rPr>
                      <w:color w:val="auto"/>
                    </w:rPr>
                  </w:pPr>
                  <w:r>
                    <w:rPr>
                      <w:rFonts w:hint="default"/>
                      <w:color w:val="auto"/>
                      <w:lang w:val="en-US" w:eastAsia="zh-CN"/>
                    </w:rPr>
                    <w:t xml:space="preserve">98.682 </w:t>
                  </w:r>
                </w:p>
              </w:tc>
              <w:tc>
                <w:tcPr>
                  <w:tcW w:w="855" w:type="dxa"/>
                  <w:shd w:val="clear" w:color="auto" w:fill="auto"/>
                  <w:vAlign w:val="center"/>
                </w:tcPr>
                <w:p w14:paraId="4A24E48C">
                  <w:pPr>
                    <w:pStyle w:val="54"/>
                    <w:bidi w:val="0"/>
                    <w:rPr>
                      <w:color w:val="auto"/>
                    </w:rPr>
                  </w:pPr>
                  <w:r>
                    <w:rPr>
                      <w:rFonts w:hint="default"/>
                      <w:color w:val="auto"/>
                      <w:lang w:val="en-US" w:eastAsia="zh-CN"/>
                    </w:rPr>
                    <w:t xml:space="preserve">1.579 </w:t>
                  </w:r>
                </w:p>
              </w:tc>
              <w:tc>
                <w:tcPr>
                  <w:tcW w:w="795" w:type="dxa"/>
                  <w:shd w:val="clear" w:color="auto" w:fill="auto"/>
                  <w:noWrap/>
                  <w:vAlign w:val="center"/>
                </w:tcPr>
                <w:p w14:paraId="5FD1A4A1">
                  <w:pPr>
                    <w:pStyle w:val="54"/>
                    <w:bidi w:val="0"/>
                    <w:rPr>
                      <w:color w:val="auto"/>
                    </w:rPr>
                  </w:pPr>
                  <w:r>
                    <w:rPr>
                      <w:rFonts w:hint="default"/>
                      <w:color w:val="auto"/>
                      <w:lang w:val="en-US" w:eastAsia="zh-CN"/>
                    </w:rPr>
                    <w:t xml:space="preserve">11.368 </w:t>
                  </w:r>
                </w:p>
              </w:tc>
              <w:tc>
                <w:tcPr>
                  <w:tcW w:w="1262" w:type="dxa"/>
                  <w:shd w:val="clear" w:color="auto" w:fill="auto"/>
                  <w:noWrap/>
                  <w:vAlign w:val="center"/>
                </w:tcPr>
                <w:p w14:paraId="21FEF010">
                  <w:pPr>
                    <w:pStyle w:val="54"/>
                    <w:bidi w:val="0"/>
                    <w:rPr>
                      <w:color w:val="auto"/>
                    </w:rPr>
                  </w:pPr>
                  <w:r>
                    <w:rPr>
                      <w:rFonts w:hint="eastAsia"/>
                      <w:color w:val="auto"/>
                    </w:rPr>
                    <w:t>布袋除尘器（TA003）</w:t>
                  </w:r>
                </w:p>
              </w:tc>
              <w:tc>
                <w:tcPr>
                  <w:tcW w:w="647" w:type="dxa"/>
                  <w:shd w:val="clear" w:color="auto" w:fill="auto"/>
                  <w:noWrap/>
                  <w:vAlign w:val="center"/>
                </w:tcPr>
                <w:p w14:paraId="519F9982">
                  <w:pPr>
                    <w:pStyle w:val="54"/>
                    <w:bidi w:val="0"/>
                    <w:rPr>
                      <w:color w:val="auto"/>
                    </w:rPr>
                  </w:pPr>
                  <w:r>
                    <w:rPr>
                      <w:color w:val="auto"/>
                    </w:rPr>
                    <w:t>90</w:t>
                  </w:r>
                </w:p>
              </w:tc>
              <w:tc>
                <w:tcPr>
                  <w:tcW w:w="836" w:type="dxa"/>
                  <w:shd w:val="clear" w:color="auto" w:fill="auto"/>
                  <w:noWrap/>
                  <w:vAlign w:val="center"/>
                </w:tcPr>
                <w:p w14:paraId="7EF6F5DE">
                  <w:pPr>
                    <w:pStyle w:val="54"/>
                    <w:bidi w:val="0"/>
                    <w:rPr>
                      <w:color w:val="auto"/>
                    </w:rPr>
                  </w:pPr>
                  <w:r>
                    <w:rPr>
                      <w:color w:val="auto"/>
                    </w:rPr>
                    <w:t>16000</w:t>
                  </w:r>
                </w:p>
              </w:tc>
              <w:tc>
                <w:tcPr>
                  <w:tcW w:w="975" w:type="dxa"/>
                  <w:shd w:val="clear" w:color="auto" w:fill="auto"/>
                  <w:noWrap/>
                  <w:vAlign w:val="center"/>
                </w:tcPr>
                <w:p w14:paraId="7F5BD44E">
                  <w:pPr>
                    <w:pStyle w:val="54"/>
                    <w:bidi w:val="0"/>
                    <w:rPr>
                      <w:color w:val="auto"/>
                    </w:rPr>
                  </w:pPr>
                  <w:r>
                    <w:rPr>
                      <w:rFonts w:hint="default"/>
                      <w:color w:val="auto"/>
                      <w:lang w:val="en-US" w:eastAsia="zh-CN"/>
                    </w:rPr>
                    <w:t xml:space="preserve">9.868 </w:t>
                  </w:r>
                </w:p>
              </w:tc>
              <w:tc>
                <w:tcPr>
                  <w:tcW w:w="903" w:type="dxa"/>
                  <w:shd w:val="clear" w:color="auto" w:fill="auto"/>
                  <w:vAlign w:val="center"/>
                </w:tcPr>
                <w:p w14:paraId="62439103">
                  <w:pPr>
                    <w:pStyle w:val="54"/>
                    <w:bidi w:val="0"/>
                    <w:rPr>
                      <w:color w:val="auto"/>
                    </w:rPr>
                  </w:pPr>
                  <w:r>
                    <w:rPr>
                      <w:rFonts w:hint="default"/>
                      <w:color w:val="auto"/>
                      <w:lang w:val="en-US" w:eastAsia="zh-CN"/>
                    </w:rPr>
                    <w:t xml:space="preserve">0.158 </w:t>
                  </w:r>
                </w:p>
              </w:tc>
              <w:tc>
                <w:tcPr>
                  <w:tcW w:w="899" w:type="dxa"/>
                  <w:shd w:val="clear" w:color="auto" w:fill="auto"/>
                  <w:vAlign w:val="center"/>
                </w:tcPr>
                <w:p w14:paraId="4E357AAB">
                  <w:pPr>
                    <w:pStyle w:val="54"/>
                    <w:bidi w:val="0"/>
                    <w:rPr>
                      <w:color w:val="auto"/>
                    </w:rPr>
                  </w:pPr>
                  <w:r>
                    <w:rPr>
                      <w:rFonts w:hint="default"/>
                      <w:color w:val="auto"/>
                      <w:lang w:val="en-US" w:eastAsia="zh-CN"/>
                    </w:rPr>
                    <w:t xml:space="preserve">1.137 </w:t>
                  </w:r>
                </w:p>
              </w:tc>
              <w:tc>
                <w:tcPr>
                  <w:tcW w:w="640" w:type="dxa"/>
                  <w:shd w:val="clear" w:color="auto" w:fill="auto"/>
                  <w:vAlign w:val="center"/>
                </w:tcPr>
                <w:p w14:paraId="65001539">
                  <w:pPr>
                    <w:pStyle w:val="54"/>
                    <w:bidi w:val="0"/>
                    <w:rPr>
                      <w:color w:val="auto"/>
                    </w:rPr>
                  </w:pPr>
                  <w:r>
                    <w:rPr>
                      <w:color w:val="auto"/>
                    </w:rPr>
                    <w:t>7200</w:t>
                  </w:r>
                </w:p>
              </w:tc>
            </w:tr>
            <w:tr w14:paraId="15612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6" w:type="dxa"/>
                  <w:shd w:val="clear" w:color="auto" w:fill="auto"/>
                  <w:vAlign w:val="center"/>
                </w:tcPr>
                <w:p w14:paraId="06F050B5">
                  <w:pPr>
                    <w:pStyle w:val="54"/>
                    <w:bidi w:val="0"/>
                    <w:rPr>
                      <w:color w:val="auto"/>
                    </w:rPr>
                  </w:pPr>
                  <w:r>
                    <w:rPr>
                      <w:rFonts w:hint="eastAsia"/>
                      <w:color w:val="auto"/>
                    </w:rPr>
                    <w:t>危废贮存</w:t>
                  </w:r>
                </w:p>
              </w:tc>
              <w:tc>
                <w:tcPr>
                  <w:tcW w:w="1271" w:type="dxa"/>
                  <w:shd w:val="clear" w:color="auto" w:fill="auto"/>
                  <w:vAlign w:val="center"/>
                </w:tcPr>
                <w:p w14:paraId="5CBB9A32">
                  <w:pPr>
                    <w:pStyle w:val="54"/>
                    <w:bidi w:val="0"/>
                    <w:rPr>
                      <w:color w:val="auto"/>
                    </w:rPr>
                  </w:pPr>
                  <w:r>
                    <w:rPr>
                      <w:rFonts w:hint="eastAsia"/>
                      <w:color w:val="auto"/>
                    </w:rPr>
                    <w:t>危废库（DA002）</w:t>
                  </w:r>
                </w:p>
              </w:tc>
              <w:tc>
                <w:tcPr>
                  <w:tcW w:w="875" w:type="dxa"/>
                  <w:shd w:val="clear" w:color="auto" w:fill="auto"/>
                  <w:noWrap/>
                  <w:vAlign w:val="center"/>
                </w:tcPr>
                <w:p w14:paraId="7DEF4E06">
                  <w:pPr>
                    <w:pStyle w:val="54"/>
                    <w:bidi w:val="0"/>
                    <w:rPr>
                      <w:color w:val="auto"/>
                    </w:rPr>
                  </w:pPr>
                  <w:r>
                    <w:rPr>
                      <w:rFonts w:hint="eastAsia"/>
                      <w:color w:val="auto"/>
                    </w:rPr>
                    <w:t>NMHC</w:t>
                  </w:r>
                </w:p>
              </w:tc>
              <w:tc>
                <w:tcPr>
                  <w:tcW w:w="875" w:type="dxa"/>
                  <w:shd w:val="clear" w:color="auto" w:fill="auto"/>
                  <w:vAlign w:val="center"/>
                </w:tcPr>
                <w:p w14:paraId="0B2F7F36">
                  <w:pPr>
                    <w:pStyle w:val="54"/>
                    <w:bidi w:val="0"/>
                    <w:rPr>
                      <w:color w:val="auto"/>
                    </w:rPr>
                  </w:pPr>
                  <w:r>
                    <w:rPr>
                      <w:rFonts w:hint="eastAsia"/>
                      <w:color w:val="auto"/>
                    </w:rPr>
                    <w:t>产污系数法</w:t>
                  </w:r>
                </w:p>
              </w:tc>
              <w:tc>
                <w:tcPr>
                  <w:tcW w:w="884" w:type="dxa"/>
                  <w:shd w:val="clear" w:color="auto" w:fill="auto"/>
                  <w:vAlign w:val="center"/>
                </w:tcPr>
                <w:p w14:paraId="0F931DCC">
                  <w:pPr>
                    <w:pStyle w:val="54"/>
                    <w:bidi w:val="0"/>
                    <w:rPr>
                      <w:color w:val="auto"/>
                    </w:rPr>
                  </w:pPr>
                  <w:r>
                    <w:rPr>
                      <w:rFonts w:hint="eastAsia"/>
                      <w:color w:val="auto"/>
                    </w:rPr>
                    <w:t>20000</w:t>
                  </w:r>
                </w:p>
              </w:tc>
              <w:tc>
                <w:tcPr>
                  <w:tcW w:w="954" w:type="dxa"/>
                  <w:shd w:val="clear" w:color="auto" w:fill="auto"/>
                  <w:vAlign w:val="center"/>
                </w:tcPr>
                <w:p w14:paraId="1004522A">
                  <w:pPr>
                    <w:pStyle w:val="54"/>
                    <w:bidi w:val="0"/>
                    <w:rPr>
                      <w:color w:val="auto"/>
                    </w:rPr>
                  </w:pPr>
                  <w:r>
                    <w:rPr>
                      <w:rFonts w:hint="default"/>
                      <w:color w:val="auto"/>
                      <w:lang w:val="en-US" w:eastAsia="zh-CN"/>
                    </w:rPr>
                    <w:t xml:space="preserve">0.0149 </w:t>
                  </w:r>
                </w:p>
              </w:tc>
              <w:tc>
                <w:tcPr>
                  <w:tcW w:w="855" w:type="dxa"/>
                  <w:shd w:val="clear" w:color="auto" w:fill="auto"/>
                  <w:vAlign w:val="center"/>
                </w:tcPr>
                <w:p w14:paraId="44D6FE6F">
                  <w:pPr>
                    <w:pStyle w:val="54"/>
                    <w:bidi w:val="0"/>
                    <w:rPr>
                      <w:color w:val="auto"/>
                    </w:rPr>
                  </w:pPr>
                  <w:r>
                    <w:rPr>
                      <w:rFonts w:hint="default"/>
                      <w:color w:val="auto"/>
                      <w:lang w:val="en-US" w:eastAsia="zh-CN"/>
                    </w:rPr>
                    <w:t xml:space="preserve">0.0003 </w:t>
                  </w:r>
                </w:p>
              </w:tc>
              <w:tc>
                <w:tcPr>
                  <w:tcW w:w="795" w:type="dxa"/>
                  <w:shd w:val="clear" w:color="auto" w:fill="auto"/>
                  <w:noWrap/>
                  <w:vAlign w:val="center"/>
                </w:tcPr>
                <w:p w14:paraId="60A2BD4E">
                  <w:pPr>
                    <w:pStyle w:val="54"/>
                    <w:bidi w:val="0"/>
                    <w:rPr>
                      <w:color w:val="auto"/>
                    </w:rPr>
                  </w:pPr>
                  <w:r>
                    <w:rPr>
                      <w:rFonts w:hint="default"/>
                      <w:color w:val="auto"/>
                      <w:lang w:val="en-US" w:eastAsia="zh-CN"/>
                    </w:rPr>
                    <w:t xml:space="preserve">0.0022 </w:t>
                  </w:r>
                </w:p>
              </w:tc>
              <w:tc>
                <w:tcPr>
                  <w:tcW w:w="1262" w:type="dxa"/>
                  <w:shd w:val="clear" w:color="auto" w:fill="auto"/>
                  <w:noWrap/>
                  <w:vAlign w:val="center"/>
                </w:tcPr>
                <w:p w14:paraId="36864167">
                  <w:pPr>
                    <w:pStyle w:val="54"/>
                    <w:bidi w:val="0"/>
                    <w:rPr>
                      <w:color w:val="auto"/>
                    </w:rPr>
                  </w:pPr>
                  <w:r>
                    <w:rPr>
                      <w:rFonts w:hint="eastAsia"/>
                      <w:color w:val="auto"/>
                    </w:rPr>
                    <w:t>二级活性炭吸附装置（TA002）</w:t>
                  </w:r>
                </w:p>
              </w:tc>
              <w:tc>
                <w:tcPr>
                  <w:tcW w:w="647" w:type="dxa"/>
                  <w:shd w:val="clear" w:color="auto" w:fill="auto"/>
                  <w:noWrap/>
                  <w:vAlign w:val="center"/>
                </w:tcPr>
                <w:p w14:paraId="41925517">
                  <w:pPr>
                    <w:pStyle w:val="54"/>
                    <w:bidi w:val="0"/>
                    <w:rPr>
                      <w:color w:val="auto"/>
                    </w:rPr>
                  </w:pPr>
                  <w:r>
                    <w:rPr>
                      <w:rFonts w:hint="eastAsia"/>
                      <w:color w:val="auto"/>
                    </w:rPr>
                    <w:t>90</w:t>
                  </w:r>
                </w:p>
              </w:tc>
              <w:tc>
                <w:tcPr>
                  <w:tcW w:w="836" w:type="dxa"/>
                  <w:shd w:val="clear" w:color="auto" w:fill="auto"/>
                  <w:noWrap/>
                  <w:vAlign w:val="center"/>
                </w:tcPr>
                <w:p w14:paraId="6E0A18F9">
                  <w:pPr>
                    <w:pStyle w:val="54"/>
                    <w:bidi w:val="0"/>
                    <w:rPr>
                      <w:color w:val="auto"/>
                    </w:rPr>
                  </w:pPr>
                  <w:r>
                    <w:rPr>
                      <w:rFonts w:hint="eastAsia"/>
                      <w:color w:val="auto"/>
                    </w:rPr>
                    <w:t>20000</w:t>
                  </w:r>
                </w:p>
              </w:tc>
              <w:tc>
                <w:tcPr>
                  <w:tcW w:w="975" w:type="dxa"/>
                  <w:shd w:val="clear" w:color="auto" w:fill="auto"/>
                  <w:noWrap/>
                  <w:vAlign w:val="center"/>
                </w:tcPr>
                <w:p w14:paraId="1FB9CAFC">
                  <w:pPr>
                    <w:pStyle w:val="54"/>
                    <w:bidi w:val="0"/>
                    <w:rPr>
                      <w:color w:val="auto"/>
                    </w:rPr>
                  </w:pPr>
                  <w:r>
                    <w:rPr>
                      <w:rFonts w:hint="default"/>
                      <w:color w:val="auto"/>
                      <w:lang w:val="en-US" w:eastAsia="zh-CN"/>
                    </w:rPr>
                    <w:t xml:space="preserve">0.0015 </w:t>
                  </w:r>
                </w:p>
              </w:tc>
              <w:tc>
                <w:tcPr>
                  <w:tcW w:w="903" w:type="dxa"/>
                  <w:shd w:val="clear" w:color="auto" w:fill="auto"/>
                  <w:vAlign w:val="center"/>
                </w:tcPr>
                <w:p w14:paraId="489B02FD">
                  <w:pPr>
                    <w:pStyle w:val="54"/>
                    <w:bidi w:val="0"/>
                    <w:rPr>
                      <w:color w:val="auto"/>
                    </w:rPr>
                  </w:pPr>
                  <w:r>
                    <w:rPr>
                      <w:rFonts w:hint="default"/>
                      <w:color w:val="auto"/>
                      <w:lang w:val="en-US" w:eastAsia="zh-CN"/>
                    </w:rPr>
                    <w:t xml:space="preserve">0.00003 </w:t>
                  </w:r>
                </w:p>
              </w:tc>
              <w:tc>
                <w:tcPr>
                  <w:tcW w:w="899" w:type="dxa"/>
                  <w:shd w:val="clear" w:color="auto" w:fill="auto"/>
                  <w:vAlign w:val="center"/>
                </w:tcPr>
                <w:p w14:paraId="42047ACD">
                  <w:pPr>
                    <w:pStyle w:val="54"/>
                    <w:bidi w:val="0"/>
                    <w:rPr>
                      <w:color w:val="auto"/>
                    </w:rPr>
                  </w:pPr>
                  <w:r>
                    <w:rPr>
                      <w:rFonts w:hint="default"/>
                      <w:color w:val="auto"/>
                      <w:lang w:val="en-US" w:eastAsia="zh-CN"/>
                    </w:rPr>
                    <w:t xml:space="preserve">0.0002 </w:t>
                  </w:r>
                </w:p>
              </w:tc>
              <w:tc>
                <w:tcPr>
                  <w:tcW w:w="640" w:type="dxa"/>
                  <w:shd w:val="clear" w:color="auto" w:fill="auto"/>
                  <w:vAlign w:val="center"/>
                </w:tcPr>
                <w:p w14:paraId="1B9D27FC">
                  <w:pPr>
                    <w:pStyle w:val="54"/>
                    <w:bidi w:val="0"/>
                    <w:rPr>
                      <w:color w:val="auto"/>
                    </w:rPr>
                  </w:pPr>
                  <w:r>
                    <w:rPr>
                      <w:rFonts w:hint="eastAsia"/>
                      <w:color w:val="auto"/>
                    </w:rPr>
                    <w:t>7200</w:t>
                  </w:r>
                </w:p>
              </w:tc>
            </w:tr>
          </w:tbl>
          <w:p w14:paraId="1BDE17B1">
            <w:pPr>
              <w:pStyle w:val="7"/>
              <w:rPr>
                <w:color w:val="auto"/>
              </w:rPr>
            </w:pPr>
            <w:r>
              <w:rPr>
                <w:color w:val="auto"/>
              </w:rPr>
              <w:t xml:space="preserve">表4- </w:t>
            </w:r>
            <w:r>
              <w:rPr>
                <w:color w:val="auto"/>
              </w:rPr>
              <w:fldChar w:fldCharType="begin"/>
            </w:r>
            <w:r>
              <w:rPr>
                <w:color w:val="auto"/>
              </w:rPr>
              <w:instrText xml:space="preserve"> SEQ 表4- \* ARABIC </w:instrText>
            </w:r>
            <w:r>
              <w:rPr>
                <w:color w:val="auto"/>
              </w:rPr>
              <w:fldChar w:fldCharType="separate"/>
            </w:r>
            <w:r>
              <w:rPr>
                <w:color w:val="auto"/>
              </w:rPr>
              <w:t>4</w:t>
            </w:r>
            <w:r>
              <w:rPr>
                <w:color w:val="auto"/>
              </w:rPr>
              <w:fldChar w:fldCharType="end"/>
            </w:r>
            <w:r>
              <w:rPr>
                <w:color w:val="auto"/>
              </w:rPr>
              <w:t xml:space="preserve"> 项目无组织废气产生源强</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1255"/>
              <w:gridCol w:w="1812"/>
              <w:gridCol w:w="1432"/>
              <w:gridCol w:w="2019"/>
              <w:gridCol w:w="1282"/>
              <w:gridCol w:w="1236"/>
              <w:gridCol w:w="1751"/>
              <w:gridCol w:w="1476"/>
            </w:tblGrid>
            <w:tr w14:paraId="7EF73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3" w:type="pct"/>
                  <w:vMerge w:val="restart"/>
                  <w:tcBorders>
                    <w:tl2br w:val="nil"/>
                    <w:tr2bl w:val="nil"/>
                  </w:tcBorders>
                  <w:vAlign w:val="center"/>
                </w:tcPr>
                <w:p w14:paraId="1E32A9EE">
                  <w:pPr>
                    <w:pStyle w:val="52"/>
                    <w:rPr>
                      <w:color w:val="auto"/>
                    </w:rPr>
                  </w:pPr>
                  <w:r>
                    <w:rPr>
                      <w:color w:val="auto"/>
                    </w:rPr>
                    <w:t>废气来源</w:t>
                  </w:r>
                </w:p>
              </w:tc>
              <w:tc>
                <w:tcPr>
                  <w:tcW w:w="468" w:type="pct"/>
                  <w:vMerge w:val="restart"/>
                  <w:tcBorders>
                    <w:tl2br w:val="nil"/>
                    <w:tr2bl w:val="nil"/>
                  </w:tcBorders>
                  <w:vAlign w:val="center"/>
                </w:tcPr>
                <w:p w14:paraId="690DB4F4">
                  <w:pPr>
                    <w:pStyle w:val="52"/>
                    <w:rPr>
                      <w:color w:val="auto"/>
                    </w:rPr>
                  </w:pPr>
                  <w:r>
                    <w:rPr>
                      <w:color w:val="auto"/>
                    </w:rPr>
                    <w:t>污染物</w:t>
                  </w:r>
                </w:p>
              </w:tc>
              <w:tc>
                <w:tcPr>
                  <w:tcW w:w="1210" w:type="pct"/>
                  <w:gridSpan w:val="2"/>
                  <w:tcBorders>
                    <w:tl2br w:val="nil"/>
                    <w:tr2bl w:val="nil"/>
                  </w:tcBorders>
                  <w:vAlign w:val="center"/>
                </w:tcPr>
                <w:p w14:paraId="71739C68">
                  <w:pPr>
                    <w:pStyle w:val="52"/>
                    <w:rPr>
                      <w:color w:val="auto"/>
                    </w:rPr>
                  </w:pPr>
                  <w:r>
                    <w:rPr>
                      <w:color w:val="auto"/>
                    </w:rPr>
                    <w:t>产生情况</w:t>
                  </w:r>
                </w:p>
              </w:tc>
              <w:tc>
                <w:tcPr>
                  <w:tcW w:w="753" w:type="pct"/>
                  <w:vMerge w:val="restart"/>
                  <w:tcBorders>
                    <w:tl2br w:val="nil"/>
                    <w:tr2bl w:val="nil"/>
                  </w:tcBorders>
                  <w:vAlign w:val="center"/>
                </w:tcPr>
                <w:p w14:paraId="1E40EF37">
                  <w:pPr>
                    <w:pStyle w:val="52"/>
                    <w:rPr>
                      <w:color w:val="auto"/>
                    </w:rPr>
                  </w:pPr>
                  <w:r>
                    <w:rPr>
                      <w:color w:val="auto"/>
                    </w:rPr>
                    <w:t>处理措施</w:t>
                  </w:r>
                </w:p>
              </w:tc>
              <w:tc>
                <w:tcPr>
                  <w:tcW w:w="939" w:type="pct"/>
                  <w:gridSpan w:val="2"/>
                  <w:tcBorders>
                    <w:tl2br w:val="nil"/>
                    <w:tr2bl w:val="nil"/>
                  </w:tcBorders>
                  <w:vAlign w:val="center"/>
                </w:tcPr>
                <w:p w14:paraId="5D374E0B">
                  <w:pPr>
                    <w:pStyle w:val="52"/>
                    <w:rPr>
                      <w:color w:val="auto"/>
                    </w:rPr>
                  </w:pPr>
                  <w:r>
                    <w:rPr>
                      <w:color w:val="auto"/>
                    </w:rPr>
                    <w:t>排放源参数</w:t>
                  </w:r>
                </w:p>
              </w:tc>
              <w:tc>
                <w:tcPr>
                  <w:tcW w:w="1204" w:type="pct"/>
                  <w:gridSpan w:val="2"/>
                  <w:tcBorders>
                    <w:tl2br w:val="nil"/>
                    <w:tr2bl w:val="nil"/>
                  </w:tcBorders>
                  <w:vAlign w:val="center"/>
                </w:tcPr>
                <w:p w14:paraId="4460B813">
                  <w:pPr>
                    <w:pStyle w:val="52"/>
                    <w:rPr>
                      <w:color w:val="auto"/>
                    </w:rPr>
                  </w:pPr>
                  <w:r>
                    <w:rPr>
                      <w:color w:val="auto"/>
                    </w:rPr>
                    <w:t>排放情况</w:t>
                  </w:r>
                </w:p>
              </w:tc>
            </w:tr>
            <w:tr w14:paraId="65B64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3" w:type="pct"/>
                  <w:vMerge w:val="continue"/>
                  <w:tcBorders>
                    <w:tl2br w:val="nil"/>
                    <w:tr2bl w:val="nil"/>
                  </w:tcBorders>
                  <w:vAlign w:val="center"/>
                </w:tcPr>
                <w:p w14:paraId="6322F8C4">
                  <w:pPr>
                    <w:pStyle w:val="52"/>
                    <w:rPr>
                      <w:color w:val="auto"/>
                    </w:rPr>
                  </w:pPr>
                </w:p>
              </w:tc>
              <w:tc>
                <w:tcPr>
                  <w:tcW w:w="468" w:type="pct"/>
                  <w:vMerge w:val="continue"/>
                  <w:tcBorders>
                    <w:tl2br w:val="nil"/>
                    <w:tr2bl w:val="nil"/>
                  </w:tcBorders>
                  <w:vAlign w:val="center"/>
                </w:tcPr>
                <w:p w14:paraId="1D44CE01">
                  <w:pPr>
                    <w:pStyle w:val="52"/>
                    <w:rPr>
                      <w:color w:val="auto"/>
                    </w:rPr>
                  </w:pPr>
                </w:p>
              </w:tc>
              <w:tc>
                <w:tcPr>
                  <w:tcW w:w="676" w:type="pct"/>
                  <w:tcBorders>
                    <w:tl2br w:val="nil"/>
                    <w:tr2bl w:val="nil"/>
                  </w:tcBorders>
                  <w:vAlign w:val="center"/>
                </w:tcPr>
                <w:p w14:paraId="5B83CB00">
                  <w:pPr>
                    <w:pStyle w:val="52"/>
                    <w:rPr>
                      <w:color w:val="auto"/>
                    </w:rPr>
                  </w:pPr>
                  <w:r>
                    <w:rPr>
                      <w:color w:val="auto"/>
                    </w:rPr>
                    <w:t>产生速率</w:t>
                  </w:r>
                  <w:r>
                    <w:rPr>
                      <w:rFonts w:hint="eastAsia"/>
                      <w:color w:val="auto"/>
                    </w:rPr>
                    <w:t>（</w:t>
                  </w:r>
                  <w:r>
                    <w:rPr>
                      <w:color w:val="auto"/>
                    </w:rPr>
                    <w:t>kg/h</w:t>
                  </w:r>
                  <w:r>
                    <w:rPr>
                      <w:rFonts w:hint="eastAsia"/>
                      <w:color w:val="auto"/>
                    </w:rPr>
                    <w:t>）</w:t>
                  </w:r>
                </w:p>
              </w:tc>
              <w:tc>
                <w:tcPr>
                  <w:tcW w:w="534" w:type="pct"/>
                  <w:tcBorders>
                    <w:tl2br w:val="nil"/>
                    <w:tr2bl w:val="nil"/>
                  </w:tcBorders>
                  <w:vAlign w:val="center"/>
                </w:tcPr>
                <w:p w14:paraId="12231FC1">
                  <w:pPr>
                    <w:pStyle w:val="52"/>
                    <w:rPr>
                      <w:color w:val="auto"/>
                    </w:rPr>
                  </w:pPr>
                  <w:r>
                    <w:rPr>
                      <w:color w:val="auto"/>
                    </w:rPr>
                    <w:t>产生量</w:t>
                  </w:r>
                  <w:r>
                    <w:rPr>
                      <w:rFonts w:hint="eastAsia"/>
                      <w:color w:val="auto"/>
                    </w:rPr>
                    <w:t>（</w:t>
                  </w:r>
                  <w:r>
                    <w:rPr>
                      <w:color w:val="auto"/>
                    </w:rPr>
                    <w:t>t/a</w:t>
                  </w:r>
                  <w:r>
                    <w:rPr>
                      <w:rFonts w:hint="eastAsia"/>
                      <w:color w:val="auto"/>
                    </w:rPr>
                    <w:t>）</w:t>
                  </w:r>
                </w:p>
              </w:tc>
              <w:tc>
                <w:tcPr>
                  <w:tcW w:w="753" w:type="pct"/>
                  <w:vMerge w:val="continue"/>
                  <w:tcBorders>
                    <w:tl2br w:val="nil"/>
                    <w:tr2bl w:val="nil"/>
                  </w:tcBorders>
                  <w:vAlign w:val="center"/>
                </w:tcPr>
                <w:p w14:paraId="4CC8D56F">
                  <w:pPr>
                    <w:pStyle w:val="52"/>
                    <w:rPr>
                      <w:color w:val="auto"/>
                    </w:rPr>
                  </w:pPr>
                </w:p>
              </w:tc>
              <w:tc>
                <w:tcPr>
                  <w:tcW w:w="478" w:type="pct"/>
                  <w:tcBorders>
                    <w:tl2br w:val="nil"/>
                    <w:tr2bl w:val="nil"/>
                  </w:tcBorders>
                  <w:vAlign w:val="center"/>
                </w:tcPr>
                <w:p w14:paraId="01BEE1F3">
                  <w:pPr>
                    <w:pStyle w:val="52"/>
                    <w:rPr>
                      <w:color w:val="auto"/>
                    </w:rPr>
                  </w:pPr>
                  <w:r>
                    <w:rPr>
                      <w:color w:val="auto"/>
                    </w:rPr>
                    <w:t>面积</w:t>
                  </w:r>
                  <w:r>
                    <w:rPr>
                      <w:rFonts w:hint="eastAsia"/>
                      <w:color w:val="auto"/>
                    </w:rPr>
                    <w:t>（</w:t>
                  </w:r>
                  <w:r>
                    <w:rPr>
                      <w:color w:val="auto"/>
                    </w:rPr>
                    <w:t>m</w:t>
                  </w:r>
                  <w:r>
                    <w:rPr>
                      <w:color w:val="auto"/>
                      <w:vertAlign w:val="superscript"/>
                    </w:rPr>
                    <w:t>2</w:t>
                  </w:r>
                  <w:r>
                    <w:rPr>
                      <w:rFonts w:hint="eastAsia"/>
                      <w:color w:val="auto"/>
                    </w:rPr>
                    <w:t>）</w:t>
                  </w:r>
                </w:p>
              </w:tc>
              <w:tc>
                <w:tcPr>
                  <w:tcW w:w="460" w:type="pct"/>
                  <w:tcBorders>
                    <w:tl2br w:val="nil"/>
                    <w:tr2bl w:val="nil"/>
                  </w:tcBorders>
                  <w:vAlign w:val="center"/>
                </w:tcPr>
                <w:p w14:paraId="48B34A11">
                  <w:pPr>
                    <w:pStyle w:val="52"/>
                    <w:rPr>
                      <w:color w:val="auto"/>
                    </w:rPr>
                  </w:pPr>
                  <w:r>
                    <w:rPr>
                      <w:color w:val="auto"/>
                    </w:rPr>
                    <w:t>高度</w:t>
                  </w:r>
                  <w:r>
                    <w:rPr>
                      <w:rFonts w:hint="eastAsia"/>
                      <w:color w:val="auto"/>
                    </w:rPr>
                    <w:t>（</w:t>
                  </w:r>
                  <w:r>
                    <w:rPr>
                      <w:color w:val="auto"/>
                    </w:rPr>
                    <w:t>m</w:t>
                  </w:r>
                  <w:r>
                    <w:rPr>
                      <w:rFonts w:hint="eastAsia"/>
                      <w:color w:val="auto"/>
                    </w:rPr>
                    <w:t>）</w:t>
                  </w:r>
                </w:p>
              </w:tc>
              <w:tc>
                <w:tcPr>
                  <w:tcW w:w="653" w:type="pct"/>
                  <w:tcBorders>
                    <w:tl2br w:val="nil"/>
                    <w:tr2bl w:val="nil"/>
                  </w:tcBorders>
                  <w:vAlign w:val="center"/>
                </w:tcPr>
                <w:p w14:paraId="4D8FC96B">
                  <w:pPr>
                    <w:pStyle w:val="52"/>
                    <w:rPr>
                      <w:color w:val="auto"/>
                    </w:rPr>
                  </w:pPr>
                  <w:r>
                    <w:rPr>
                      <w:color w:val="auto"/>
                    </w:rPr>
                    <w:t>排放速率</w:t>
                  </w:r>
                  <w:r>
                    <w:rPr>
                      <w:rFonts w:hint="eastAsia"/>
                      <w:color w:val="auto"/>
                    </w:rPr>
                    <w:t>（</w:t>
                  </w:r>
                  <w:r>
                    <w:rPr>
                      <w:color w:val="auto"/>
                    </w:rPr>
                    <w:t>kg/h</w:t>
                  </w:r>
                  <w:r>
                    <w:rPr>
                      <w:rFonts w:hint="eastAsia"/>
                      <w:color w:val="auto"/>
                    </w:rPr>
                    <w:t>）</w:t>
                  </w:r>
                </w:p>
              </w:tc>
              <w:tc>
                <w:tcPr>
                  <w:tcW w:w="550" w:type="pct"/>
                  <w:tcBorders>
                    <w:tl2br w:val="nil"/>
                    <w:tr2bl w:val="nil"/>
                  </w:tcBorders>
                  <w:vAlign w:val="center"/>
                </w:tcPr>
                <w:p w14:paraId="10A05BBD">
                  <w:pPr>
                    <w:pStyle w:val="52"/>
                    <w:rPr>
                      <w:color w:val="auto"/>
                    </w:rPr>
                  </w:pPr>
                  <w:r>
                    <w:rPr>
                      <w:color w:val="auto"/>
                    </w:rPr>
                    <w:t>排放量</w:t>
                  </w:r>
                  <w:r>
                    <w:rPr>
                      <w:rFonts w:hint="eastAsia"/>
                      <w:color w:val="auto"/>
                    </w:rPr>
                    <w:t>（</w:t>
                  </w:r>
                  <w:r>
                    <w:rPr>
                      <w:color w:val="auto"/>
                    </w:rPr>
                    <w:t>t/a</w:t>
                  </w:r>
                  <w:r>
                    <w:rPr>
                      <w:rFonts w:hint="eastAsia"/>
                      <w:color w:val="auto"/>
                    </w:rPr>
                    <w:t>）</w:t>
                  </w:r>
                </w:p>
              </w:tc>
            </w:tr>
            <w:tr w14:paraId="5D911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3" w:type="pct"/>
                  <w:tcBorders>
                    <w:tl2br w:val="nil"/>
                    <w:tr2bl w:val="nil"/>
                  </w:tcBorders>
                  <w:vAlign w:val="center"/>
                </w:tcPr>
                <w:p w14:paraId="40048007">
                  <w:pPr>
                    <w:pStyle w:val="54"/>
                    <w:bidi w:val="0"/>
                    <w:rPr>
                      <w:color w:val="auto"/>
                    </w:rPr>
                  </w:pPr>
                  <w:r>
                    <w:rPr>
                      <w:rFonts w:hint="eastAsia"/>
                      <w:color w:val="auto"/>
                    </w:rPr>
                    <w:t>1#厂房</w:t>
                  </w:r>
                </w:p>
              </w:tc>
              <w:tc>
                <w:tcPr>
                  <w:tcW w:w="468" w:type="pct"/>
                  <w:tcBorders>
                    <w:tl2br w:val="nil"/>
                    <w:tr2bl w:val="nil"/>
                  </w:tcBorders>
                  <w:shd w:val="clear" w:color="auto" w:fill="auto"/>
                  <w:vAlign w:val="center"/>
                </w:tcPr>
                <w:p w14:paraId="09D72A30">
                  <w:pPr>
                    <w:pStyle w:val="54"/>
                    <w:bidi w:val="0"/>
                    <w:rPr>
                      <w:color w:val="auto"/>
                    </w:rPr>
                  </w:pPr>
                  <w:r>
                    <w:rPr>
                      <w:rFonts w:hint="eastAsia"/>
                      <w:color w:val="auto"/>
                    </w:rPr>
                    <w:t>颗粒物</w:t>
                  </w:r>
                </w:p>
              </w:tc>
              <w:tc>
                <w:tcPr>
                  <w:tcW w:w="1812" w:type="dxa"/>
                  <w:tcBorders>
                    <w:tl2br w:val="nil"/>
                    <w:tr2bl w:val="nil"/>
                  </w:tcBorders>
                  <w:shd w:val="clear" w:color="auto" w:fill="auto"/>
                  <w:vAlign w:val="center"/>
                </w:tcPr>
                <w:p w14:paraId="2C1F0F88">
                  <w:pPr>
                    <w:pStyle w:val="54"/>
                    <w:bidi w:val="0"/>
                    <w:rPr>
                      <w:color w:val="auto"/>
                    </w:rPr>
                  </w:pPr>
                  <w:r>
                    <w:rPr>
                      <w:rFonts w:hint="default"/>
                      <w:color w:val="auto"/>
                      <w:lang w:val="en-US" w:eastAsia="zh-CN"/>
                    </w:rPr>
                    <w:t xml:space="preserve">0.1754 </w:t>
                  </w:r>
                </w:p>
              </w:tc>
              <w:tc>
                <w:tcPr>
                  <w:tcW w:w="1432" w:type="dxa"/>
                  <w:tcBorders>
                    <w:tl2br w:val="nil"/>
                    <w:tr2bl w:val="nil"/>
                  </w:tcBorders>
                  <w:shd w:val="clear" w:color="auto" w:fill="auto"/>
                  <w:vAlign w:val="center"/>
                </w:tcPr>
                <w:p w14:paraId="4A0B364F">
                  <w:pPr>
                    <w:pStyle w:val="54"/>
                    <w:bidi w:val="0"/>
                    <w:rPr>
                      <w:color w:val="auto"/>
                    </w:rPr>
                  </w:pPr>
                  <w:r>
                    <w:rPr>
                      <w:rFonts w:hint="default"/>
                      <w:color w:val="auto"/>
                      <w:lang w:val="en-US" w:eastAsia="zh-CN"/>
                    </w:rPr>
                    <w:t xml:space="preserve">1.263 </w:t>
                  </w:r>
                </w:p>
              </w:tc>
              <w:tc>
                <w:tcPr>
                  <w:tcW w:w="753" w:type="pct"/>
                  <w:vMerge w:val="restart"/>
                  <w:tcBorders>
                    <w:tl2br w:val="nil"/>
                    <w:tr2bl w:val="nil"/>
                  </w:tcBorders>
                  <w:vAlign w:val="center"/>
                </w:tcPr>
                <w:p w14:paraId="789FF2FB">
                  <w:pPr>
                    <w:pStyle w:val="54"/>
                    <w:bidi w:val="0"/>
                    <w:rPr>
                      <w:color w:val="auto"/>
                    </w:rPr>
                  </w:pPr>
                  <w:r>
                    <w:rPr>
                      <w:color w:val="auto"/>
                    </w:rPr>
                    <w:t>加强管理，提高废气收集效率</w:t>
                  </w:r>
                </w:p>
              </w:tc>
              <w:tc>
                <w:tcPr>
                  <w:tcW w:w="478" w:type="pct"/>
                  <w:tcBorders>
                    <w:tl2br w:val="nil"/>
                    <w:tr2bl w:val="nil"/>
                  </w:tcBorders>
                  <w:vAlign w:val="center"/>
                </w:tcPr>
                <w:p w14:paraId="52BD4FA4">
                  <w:pPr>
                    <w:pStyle w:val="54"/>
                    <w:bidi w:val="0"/>
                    <w:rPr>
                      <w:color w:val="auto"/>
                    </w:rPr>
                  </w:pPr>
                  <w:r>
                    <w:rPr>
                      <w:rFonts w:hint="eastAsia"/>
                      <w:color w:val="auto"/>
                    </w:rPr>
                    <w:t>14693.03</w:t>
                  </w:r>
                </w:p>
              </w:tc>
              <w:tc>
                <w:tcPr>
                  <w:tcW w:w="460" w:type="pct"/>
                  <w:tcBorders>
                    <w:tl2br w:val="nil"/>
                    <w:tr2bl w:val="nil"/>
                  </w:tcBorders>
                  <w:vAlign w:val="center"/>
                </w:tcPr>
                <w:p w14:paraId="6AAEC681">
                  <w:pPr>
                    <w:pStyle w:val="54"/>
                    <w:bidi w:val="0"/>
                    <w:rPr>
                      <w:color w:val="auto"/>
                    </w:rPr>
                  </w:pPr>
                  <w:r>
                    <w:rPr>
                      <w:rFonts w:hint="eastAsia"/>
                      <w:color w:val="auto"/>
                    </w:rPr>
                    <w:t>13</w:t>
                  </w:r>
                </w:p>
              </w:tc>
              <w:tc>
                <w:tcPr>
                  <w:tcW w:w="1752" w:type="dxa"/>
                  <w:tcBorders>
                    <w:tl2br w:val="nil"/>
                    <w:tr2bl w:val="nil"/>
                  </w:tcBorders>
                  <w:vAlign w:val="center"/>
                </w:tcPr>
                <w:p w14:paraId="78A580F2">
                  <w:pPr>
                    <w:pStyle w:val="54"/>
                    <w:bidi w:val="0"/>
                    <w:rPr>
                      <w:color w:val="auto"/>
                    </w:rPr>
                  </w:pPr>
                  <w:r>
                    <w:rPr>
                      <w:rFonts w:hint="default"/>
                      <w:color w:val="auto"/>
                      <w:lang w:val="en-US" w:eastAsia="zh-CN"/>
                    </w:rPr>
                    <w:t xml:space="preserve">0.1754 </w:t>
                  </w:r>
                </w:p>
              </w:tc>
              <w:tc>
                <w:tcPr>
                  <w:tcW w:w="1476" w:type="dxa"/>
                  <w:tcBorders>
                    <w:tl2br w:val="nil"/>
                    <w:tr2bl w:val="nil"/>
                  </w:tcBorders>
                  <w:shd w:val="clear" w:color="auto" w:fill="auto"/>
                  <w:vAlign w:val="center"/>
                </w:tcPr>
                <w:p w14:paraId="293DEAF4">
                  <w:pPr>
                    <w:pStyle w:val="54"/>
                    <w:bidi w:val="0"/>
                    <w:rPr>
                      <w:color w:val="auto"/>
                    </w:rPr>
                  </w:pPr>
                  <w:r>
                    <w:rPr>
                      <w:rFonts w:hint="default"/>
                      <w:color w:val="auto"/>
                      <w:lang w:val="en-US" w:eastAsia="zh-CN"/>
                    </w:rPr>
                    <w:t xml:space="preserve">1.263 </w:t>
                  </w:r>
                </w:p>
              </w:tc>
            </w:tr>
            <w:tr w14:paraId="26C71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3" w:type="pct"/>
                  <w:tcBorders>
                    <w:tl2br w:val="nil"/>
                    <w:tr2bl w:val="nil"/>
                  </w:tcBorders>
                  <w:vAlign w:val="center"/>
                </w:tcPr>
                <w:p w14:paraId="1928C0FE">
                  <w:pPr>
                    <w:pStyle w:val="54"/>
                    <w:bidi w:val="0"/>
                    <w:rPr>
                      <w:color w:val="auto"/>
                    </w:rPr>
                  </w:pPr>
                  <w:r>
                    <w:rPr>
                      <w:rFonts w:hint="eastAsia"/>
                      <w:color w:val="auto"/>
                    </w:rPr>
                    <w:t>危废库</w:t>
                  </w:r>
                </w:p>
              </w:tc>
              <w:tc>
                <w:tcPr>
                  <w:tcW w:w="468" w:type="pct"/>
                  <w:tcBorders>
                    <w:tl2br w:val="nil"/>
                    <w:tr2bl w:val="nil"/>
                  </w:tcBorders>
                  <w:shd w:val="clear" w:color="auto" w:fill="auto"/>
                  <w:vAlign w:val="center"/>
                </w:tcPr>
                <w:p w14:paraId="024281D7">
                  <w:pPr>
                    <w:pStyle w:val="54"/>
                    <w:bidi w:val="0"/>
                    <w:rPr>
                      <w:color w:val="auto"/>
                    </w:rPr>
                  </w:pPr>
                  <w:r>
                    <w:rPr>
                      <w:rFonts w:hint="eastAsia"/>
                      <w:color w:val="auto"/>
                    </w:rPr>
                    <w:t>NMHC</w:t>
                  </w:r>
                </w:p>
              </w:tc>
              <w:tc>
                <w:tcPr>
                  <w:tcW w:w="1812" w:type="dxa"/>
                  <w:tcBorders>
                    <w:tl2br w:val="nil"/>
                    <w:tr2bl w:val="nil"/>
                  </w:tcBorders>
                  <w:shd w:val="clear" w:color="auto" w:fill="auto"/>
                  <w:vAlign w:val="center"/>
                </w:tcPr>
                <w:p w14:paraId="0701829B">
                  <w:pPr>
                    <w:pStyle w:val="54"/>
                    <w:bidi w:val="0"/>
                    <w:rPr>
                      <w:color w:val="auto"/>
                    </w:rPr>
                  </w:pPr>
                  <w:r>
                    <w:rPr>
                      <w:rFonts w:hint="default"/>
                      <w:color w:val="auto"/>
                      <w:lang w:val="en-US" w:eastAsia="zh-CN"/>
                    </w:rPr>
                    <w:t xml:space="preserve">0.000016 </w:t>
                  </w:r>
                </w:p>
              </w:tc>
              <w:tc>
                <w:tcPr>
                  <w:tcW w:w="1432" w:type="dxa"/>
                  <w:tcBorders>
                    <w:tl2br w:val="nil"/>
                    <w:tr2bl w:val="nil"/>
                  </w:tcBorders>
                  <w:shd w:val="clear" w:color="auto" w:fill="auto"/>
                  <w:vAlign w:val="center"/>
                </w:tcPr>
                <w:p w14:paraId="50A88E54">
                  <w:pPr>
                    <w:pStyle w:val="54"/>
                    <w:bidi w:val="0"/>
                    <w:rPr>
                      <w:color w:val="auto"/>
                    </w:rPr>
                  </w:pPr>
                  <w:r>
                    <w:rPr>
                      <w:rFonts w:hint="default"/>
                      <w:color w:val="auto"/>
                      <w:lang w:val="en-US" w:eastAsia="zh-CN"/>
                    </w:rPr>
                    <w:t xml:space="preserve">0.00011 </w:t>
                  </w:r>
                </w:p>
              </w:tc>
              <w:tc>
                <w:tcPr>
                  <w:tcW w:w="753" w:type="pct"/>
                  <w:vMerge w:val="continue"/>
                  <w:tcBorders>
                    <w:tl2br w:val="nil"/>
                    <w:tr2bl w:val="nil"/>
                  </w:tcBorders>
                  <w:vAlign w:val="center"/>
                </w:tcPr>
                <w:p w14:paraId="1E85F9AB">
                  <w:pPr>
                    <w:pStyle w:val="54"/>
                    <w:bidi w:val="0"/>
                    <w:rPr>
                      <w:color w:val="auto"/>
                    </w:rPr>
                  </w:pPr>
                </w:p>
              </w:tc>
              <w:tc>
                <w:tcPr>
                  <w:tcW w:w="478" w:type="pct"/>
                  <w:tcBorders>
                    <w:tl2br w:val="nil"/>
                    <w:tr2bl w:val="nil"/>
                  </w:tcBorders>
                  <w:vAlign w:val="center"/>
                </w:tcPr>
                <w:p w14:paraId="3A170909">
                  <w:pPr>
                    <w:pStyle w:val="54"/>
                    <w:bidi w:val="0"/>
                    <w:rPr>
                      <w:color w:val="auto"/>
                    </w:rPr>
                  </w:pPr>
                  <w:r>
                    <w:rPr>
                      <w:rFonts w:hint="eastAsia"/>
                      <w:color w:val="auto"/>
                    </w:rPr>
                    <w:t>10</w:t>
                  </w:r>
                </w:p>
              </w:tc>
              <w:tc>
                <w:tcPr>
                  <w:tcW w:w="460" w:type="pct"/>
                  <w:tcBorders>
                    <w:tl2br w:val="nil"/>
                    <w:tr2bl w:val="nil"/>
                  </w:tcBorders>
                  <w:vAlign w:val="center"/>
                </w:tcPr>
                <w:p w14:paraId="33D7B9B2">
                  <w:pPr>
                    <w:pStyle w:val="54"/>
                    <w:bidi w:val="0"/>
                    <w:rPr>
                      <w:color w:val="auto"/>
                    </w:rPr>
                  </w:pPr>
                  <w:r>
                    <w:rPr>
                      <w:rFonts w:hint="eastAsia"/>
                      <w:color w:val="auto"/>
                    </w:rPr>
                    <w:t>5</w:t>
                  </w:r>
                </w:p>
              </w:tc>
              <w:tc>
                <w:tcPr>
                  <w:tcW w:w="1752" w:type="dxa"/>
                  <w:tcBorders>
                    <w:tl2br w:val="nil"/>
                    <w:tr2bl w:val="nil"/>
                  </w:tcBorders>
                  <w:vAlign w:val="center"/>
                </w:tcPr>
                <w:p w14:paraId="512F1A3B">
                  <w:pPr>
                    <w:pStyle w:val="54"/>
                    <w:bidi w:val="0"/>
                    <w:rPr>
                      <w:color w:val="auto"/>
                    </w:rPr>
                  </w:pPr>
                  <w:r>
                    <w:rPr>
                      <w:rFonts w:hint="default"/>
                      <w:color w:val="auto"/>
                      <w:lang w:val="en-US" w:eastAsia="zh-CN"/>
                    </w:rPr>
                    <w:t xml:space="preserve">0.000016 </w:t>
                  </w:r>
                </w:p>
              </w:tc>
              <w:tc>
                <w:tcPr>
                  <w:tcW w:w="1476" w:type="dxa"/>
                  <w:tcBorders>
                    <w:tl2br w:val="nil"/>
                    <w:tr2bl w:val="nil"/>
                  </w:tcBorders>
                  <w:shd w:val="clear" w:color="auto" w:fill="auto"/>
                  <w:vAlign w:val="center"/>
                </w:tcPr>
                <w:p w14:paraId="6DD6880B">
                  <w:pPr>
                    <w:pStyle w:val="54"/>
                    <w:bidi w:val="0"/>
                    <w:rPr>
                      <w:color w:val="auto"/>
                    </w:rPr>
                  </w:pPr>
                  <w:r>
                    <w:rPr>
                      <w:rFonts w:hint="default"/>
                      <w:color w:val="auto"/>
                      <w:lang w:val="en-US" w:eastAsia="zh-CN"/>
                    </w:rPr>
                    <w:t xml:space="preserve">0.00011 </w:t>
                  </w:r>
                </w:p>
              </w:tc>
            </w:tr>
          </w:tbl>
          <w:p w14:paraId="5C56451D">
            <w:pPr>
              <w:pStyle w:val="50"/>
              <w:ind w:firstLine="480"/>
              <w:rPr>
                <w:color w:val="auto"/>
              </w:rPr>
            </w:pPr>
          </w:p>
          <w:p w14:paraId="3D9CB63C">
            <w:pPr>
              <w:pStyle w:val="50"/>
              <w:ind w:firstLine="480"/>
              <w:rPr>
                <w:color w:val="auto"/>
              </w:rPr>
            </w:pPr>
          </w:p>
          <w:p w14:paraId="47A51762">
            <w:pPr>
              <w:pStyle w:val="50"/>
              <w:tabs>
                <w:tab w:val="left" w:pos="7570"/>
              </w:tabs>
              <w:ind w:firstLine="480"/>
              <w:rPr>
                <w:color w:val="auto"/>
              </w:rPr>
            </w:pPr>
          </w:p>
          <w:p w14:paraId="2D3C5B03">
            <w:pPr>
              <w:pStyle w:val="50"/>
              <w:ind w:firstLine="480"/>
              <w:rPr>
                <w:color w:val="auto"/>
              </w:rPr>
            </w:pPr>
          </w:p>
          <w:p w14:paraId="25FFA013">
            <w:pPr>
              <w:pStyle w:val="50"/>
              <w:ind w:firstLine="480"/>
              <w:rPr>
                <w:color w:val="auto"/>
              </w:rPr>
            </w:pPr>
          </w:p>
          <w:p w14:paraId="2001336F">
            <w:pPr>
              <w:pStyle w:val="50"/>
              <w:ind w:firstLine="480"/>
              <w:rPr>
                <w:color w:val="auto"/>
              </w:rPr>
            </w:pPr>
          </w:p>
          <w:p w14:paraId="73ECF7B1">
            <w:pPr>
              <w:pStyle w:val="50"/>
              <w:ind w:firstLine="480"/>
              <w:rPr>
                <w:color w:val="auto"/>
              </w:rPr>
            </w:pPr>
          </w:p>
          <w:p w14:paraId="1FAC2818">
            <w:pPr>
              <w:pStyle w:val="50"/>
              <w:ind w:firstLine="480"/>
              <w:rPr>
                <w:color w:val="auto"/>
              </w:rPr>
            </w:pPr>
          </w:p>
          <w:p w14:paraId="1C0954B8">
            <w:pPr>
              <w:pStyle w:val="50"/>
              <w:ind w:firstLine="480"/>
              <w:rPr>
                <w:color w:val="auto"/>
              </w:rPr>
            </w:pPr>
          </w:p>
          <w:p w14:paraId="3B0B9746">
            <w:pPr>
              <w:pStyle w:val="50"/>
              <w:ind w:firstLine="480"/>
              <w:rPr>
                <w:color w:val="auto"/>
              </w:rPr>
            </w:pPr>
          </w:p>
        </w:tc>
      </w:tr>
    </w:tbl>
    <w:p w14:paraId="305DE196">
      <w:pPr>
        <w:rPr>
          <w:color w:val="auto"/>
        </w:rPr>
        <w:sectPr>
          <w:type w:val="continuous"/>
          <w:pgSz w:w="16838" w:h="11906" w:orient="landscape"/>
          <w:pgMar w:top="1417" w:right="1701" w:bottom="1417" w:left="1701" w:header="851" w:footer="851" w:gutter="0"/>
          <w:cols w:space="720" w:num="1"/>
          <w:docGrid w:linePitch="312" w:charSpace="0"/>
        </w:sectPr>
      </w:pPr>
    </w:p>
    <w:tbl>
      <w:tblPr>
        <w:tblStyle w:val="17"/>
        <w:tblW w:w="9524" w:type="dxa"/>
        <w:tblInd w:w="-1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5"/>
        <w:gridCol w:w="8659"/>
      </w:tblGrid>
      <w:tr w14:paraId="507917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37" w:hRule="atLeast"/>
        </w:trPr>
        <w:tc>
          <w:tcPr>
            <w:tcW w:w="850" w:type="dxa"/>
            <w:vAlign w:val="center"/>
          </w:tcPr>
          <w:p w14:paraId="0DAEA4DD">
            <w:pPr>
              <w:jc w:val="center"/>
              <w:rPr>
                <w:rFonts w:eastAsiaTheme="minorEastAsia"/>
                <w:color w:val="auto"/>
                <w:sz w:val="24"/>
              </w:rPr>
            </w:pPr>
            <w:r>
              <w:rPr>
                <w:rFonts w:eastAsiaTheme="minorEastAsia"/>
                <w:color w:val="auto"/>
                <w:sz w:val="24"/>
              </w:rPr>
              <w:t>运营</w:t>
            </w:r>
          </w:p>
          <w:p w14:paraId="2CD3A566">
            <w:pPr>
              <w:jc w:val="center"/>
              <w:rPr>
                <w:rFonts w:eastAsiaTheme="minorEastAsia"/>
                <w:color w:val="auto"/>
                <w:sz w:val="24"/>
              </w:rPr>
            </w:pPr>
            <w:r>
              <w:rPr>
                <w:rFonts w:eastAsiaTheme="minorEastAsia"/>
                <w:color w:val="auto"/>
                <w:sz w:val="24"/>
              </w:rPr>
              <w:t>期环</w:t>
            </w:r>
          </w:p>
          <w:p w14:paraId="630970B6">
            <w:pPr>
              <w:jc w:val="center"/>
              <w:rPr>
                <w:rFonts w:eastAsiaTheme="minorEastAsia"/>
                <w:color w:val="auto"/>
                <w:sz w:val="24"/>
              </w:rPr>
            </w:pPr>
            <w:r>
              <w:rPr>
                <w:rFonts w:eastAsiaTheme="minorEastAsia"/>
                <w:color w:val="auto"/>
                <w:sz w:val="24"/>
              </w:rPr>
              <w:t>境影</w:t>
            </w:r>
          </w:p>
          <w:p w14:paraId="3661F337">
            <w:pPr>
              <w:jc w:val="center"/>
              <w:rPr>
                <w:rFonts w:eastAsiaTheme="minorEastAsia"/>
                <w:color w:val="auto"/>
                <w:sz w:val="24"/>
              </w:rPr>
            </w:pPr>
            <w:r>
              <w:rPr>
                <w:rFonts w:eastAsiaTheme="minorEastAsia"/>
                <w:color w:val="auto"/>
                <w:sz w:val="24"/>
              </w:rPr>
              <w:t>响和</w:t>
            </w:r>
          </w:p>
          <w:p w14:paraId="4BFC4585">
            <w:pPr>
              <w:jc w:val="center"/>
              <w:rPr>
                <w:rFonts w:eastAsiaTheme="minorEastAsia"/>
                <w:color w:val="auto"/>
                <w:sz w:val="24"/>
              </w:rPr>
            </w:pPr>
            <w:r>
              <w:rPr>
                <w:rFonts w:eastAsiaTheme="minorEastAsia"/>
                <w:color w:val="auto"/>
                <w:sz w:val="24"/>
              </w:rPr>
              <w:t>保护</w:t>
            </w:r>
          </w:p>
          <w:p w14:paraId="00DD602D">
            <w:pPr>
              <w:jc w:val="center"/>
              <w:rPr>
                <w:snapToGrid w:val="0"/>
                <w:color w:val="auto"/>
                <w:sz w:val="30"/>
              </w:rPr>
            </w:pPr>
            <w:r>
              <w:rPr>
                <w:rFonts w:eastAsiaTheme="minorEastAsia"/>
                <w:color w:val="auto"/>
                <w:sz w:val="24"/>
              </w:rPr>
              <w:t>措施</w:t>
            </w:r>
          </w:p>
        </w:tc>
        <w:tc>
          <w:tcPr>
            <w:tcW w:w="8504" w:type="dxa"/>
          </w:tcPr>
          <w:p w14:paraId="6BD5BBA5">
            <w:pPr>
              <w:pStyle w:val="50"/>
              <w:ind w:firstLine="482"/>
              <w:rPr>
                <w:b/>
                <w:bCs/>
                <w:color w:val="auto"/>
              </w:rPr>
            </w:pPr>
            <w:r>
              <w:rPr>
                <w:b/>
                <w:bCs/>
                <w:color w:val="auto"/>
              </w:rPr>
              <w:t>（2）排放口基本信息</w:t>
            </w:r>
          </w:p>
          <w:p w14:paraId="695B2D09">
            <w:pPr>
              <w:pStyle w:val="50"/>
              <w:ind w:firstLine="480"/>
              <w:rPr>
                <w:color w:val="auto"/>
              </w:rPr>
            </w:pPr>
            <w:r>
              <w:rPr>
                <w:color w:val="auto"/>
              </w:rPr>
              <w:t>本</w:t>
            </w:r>
            <w:r>
              <w:rPr>
                <w:rFonts w:hint="eastAsia"/>
                <w:color w:val="auto"/>
              </w:rPr>
              <w:t>扩建</w:t>
            </w:r>
            <w:r>
              <w:rPr>
                <w:color w:val="auto"/>
              </w:rPr>
              <w:t>项目共</w:t>
            </w:r>
            <w:r>
              <w:rPr>
                <w:rFonts w:hint="eastAsia"/>
                <w:color w:val="auto"/>
              </w:rPr>
              <w:t>新增1</w:t>
            </w:r>
            <w:r>
              <w:rPr>
                <w:color w:val="auto"/>
              </w:rPr>
              <w:t>根排气筒</w:t>
            </w:r>
            <w:r>
              <w:rPr>
                <w:rFonts w:hint="eastAsia"/>
                <w:color w:val="auto"/>
              </w:rPr>
              <w:t>，并依托现有项目排气筒（DA002）</w:t>
            </w:r>
            <w:r>
              <w:rPr>
                <w:color w:val="auto"/>
              </w:rPr>
              <w:t>，排气筒基本参数详见</w:t>
            </w:r>
            <w:r>
              <w:rPr>
                <w:color w:val="auto"/>
              </w:rPr>
              <w:fldChar w:fldCharType="begin"/>
            </w:r>
            <w:r>
              <w:rPr>
                <w:color w:val="auto"/>
              </w:rPr>
              <w:instrText xml:space="preserve"> REF _Ref5876 \h </w:instrText>
            </w:r>
            <w:r>
              <w:rPr>
                <w:color w:val="auto"/>
              </w:rPr>
              <w:fldChar w:fldCharType="separate"/>
            </w:r>
            <w:r>
              <w:rPr>
                <w:color w:val="auto"/>
              </w:rPr>
              <w:t>表4- 5</w:t>
            </w:r>
            <w:r>
              <w:rPr>
                <w:color w:val="auto"/>
              </w:rPr>
              <w:fldChar w:fldCharType="end"/>
            </w:r>
            <w:r>
              <w:rPr>
                <w:color w:val="auto"/>
              </w:rPr>
              <w:t>。</w:t>
            </w:r>
          </w:p>
          <w:p w14:paraId="0AA50F5B">
            <w:pPr>
              <w:pStyle w:val="7"/>
              <w:rPr>
                <w:color w:val="auto"/>
              </w:rPr>
            </w:pPr>
            <w:bookmarkStart w:id="83" w:name="_Ref5876"/>
            <w:r>
              <w:rPr>
                <w:color w:val="auto"/>
              </w:rPr>
              <w:t xml:space="preserve">表4- </w:t>
            </w:r>
            <w:r>
              <w:rPr>
                <w:color w:val="auto"/>
              </w:rPr>
              <w:fldChar w:fldCharType="begin"/>
            </w:r>
            <w:r>
              <w:rPr>
                <w:color w:val="auto"/>
              </w:rPr>
              <w:instrText xml:space="preserve"> SEQ 表4- \* ARABIC </w:instrText>
            </w:r>
            <w:r>
              <w:rPr>
                <w:color w:val="auto"/>
              </w:rPr>
              <w:fldChar w:fldCharType="separate"/>
            </w:r>
            <w:r>
              <w:rPr>
                <w:color w:val="auto"/>
              </w:rPr>
              <w:t>5</w:t>
            </w:r>
            <w:r>
              <w:rPr>
                <w:color w:val="auto"/>
              </w:rPr>
              <w:fldChar w:fldCharType="end"/>
            </w:r>
            <w:bookmarkEnd w:id="83"/>
            <w:r>
              <w:rPr>
                <w:color w:val="auto"/>
              </w:rPr>
              <w:t xml:space="preserve"> 排气筒参数一览表</w:t>
            </w:r>
          </w:p>
          <w:tbl>
            <w:tblPr>
              <w:tblStyle w:val="1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8"/>
              <w:gridCol w:w="986"/>
              <w:gridCol w:w="1024"/>
              <w:gridCol w:w="1026"/>
              <w:gridCol w:w="1263"/>
              <w:gridCol w:w="1125"/>
              <w:gridCol w:w="1081"/>
              <w:gridCol w:w="1027"/>
            </w:tblGrid>
            <w:tr w14:paraId="5A4F2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2" w:type="pct"/>
                  <w:vMerge w:val="restart"/>
                  <w:tcBorders>
                    <w:tl2br w:val="nil"/>
                    <w:tr2bl w:val="nil"/>
                  </w:tcBorders>
                  <w:vAlign w:val="center"/>
                </w:tcPr>
                <w:p w14:paraId="70AF3F67">
                  <w:pPr>
                    <w:pStyle w:val="52"/>
                    <w:rPr>
                      <w:color w:val="auto"/>
                    </w:rPr>
                  </w:pPr>
                  <w:r>
                    <w:rPr>
                      <w:color w:val="auto"/>
                    </w:rPr>
                    <w:t>排气筒编号</w:t>
                  </w:r>
                </w:p>
              </w:tc>
              <w:tc>
                <w:tcPr>
                  <w:tcW w:w="584" w:type="pct"/>
                  <w:vMerge w:val="restart"/>
                  <w:tcBorders>
                    <w:tl2br w:val="nil"/>
                    <w:tr2bl w:val="nil"/>
                  </w:tcBorders>
                  <w:vAlign w:val="center"/>
                </w:tcPr>
                <w:p w14:paraId="01C35E2A">
                  <w:pPr>
                    <w:pStyle w:val="52"/>
                    <w:rPr>
                      <w:color w:val="auto"/>
                    </w:rPr>
                  </w:pPr>
                  <w:r>
                    <w:rPr>
                      <w:color w:val="auto"/>
                    </w:rPr>
                    <w:t>排放口</w:t>
                  </w:r>
                </w:p>
                <w:p w14:paraId="6B169FDE">
                  <w:pPr>
                    <w:pStyle w:val="52"/>
                    <w:rPr>
                      <w:color w:val="auto"/>
                    </w:rPr>
                  </w:pPr>
                  <w:r>
                    <w:rPr>
                      <w:color w:val="auto"/>
                    </w:rPr>
                    <w:t>类型</w:t>
                  </w:r>
                </w:p>
              </w:tc>
              <w:tc>
                <w:tcPr>
                  <w:tcW w:w="1215" w:type="pct"/>
                  <w:gridSpan w:val="2"/>
                  <w:tcBorders>
                    <w:tl2br w:val="nil"/>
                    <w:tr2bl w:val="nil"/>
                  </w:tcBorders>
                  <w:vAlign w:val="center"/>
                </w:tcPr>
                <w:p w14:paraId="3EAC0361">
                  <w:pPr>
                    <w:pStyle w:val="52"/>
                    <w:rPr>
                      <w:color w:val="auto"/>
                    </w:rPr>
                  </w:pPr>
                  <w:r>
                    <w:rPr>
                      <w:color w:val="auto"/>
                    </w:rPr>
                    <w:t>坐标</w:t>
                  </w:r>
                </w:p>
              </w:tc>
              <w:tc>
                <w:tcPr>
                  <w:tcW w:w="2057" w:type="pct"/>
                  <w:gridSpan w:val="3"/>
                  <w:tcBorders>
                    <w:tl2br w:val="nil"/>
                    <w:tr2bl w:val="nil"/>
                  </w:tcBorders>
                  <w:vAlign w:val="center"/>
                </w:tcPr>
                <w:p w14:paraId="5348D33F">
                  <w:pPr>
                    <w:pStyle w:val="52"/>
                    <w:rPr>
                      <w:color w:val="auto"/>
                    </w:rPr>
                  </w:pPr>
                  <w:r>
                    <w:rPr>
                      <w:color w:val="auto"/>
                    </w:rPr>
                    <w:t>排气筒参数</w:t>
                  </w:r>
                </w:p>
              </w:tc>
              <w:tc>
                <w:tcPr>
                  <w:tcW w:w="609" w:type="pct"/>
                  <w:vMerge w:val="restart"/>
                  <w:tcBorders>
                    <w:tl2br w:val="nil"/>
                    <w:tr2bl w:val="nil"/>
                  </w:tcBorders>
                  <w:vAlign w:val="center"/>
                </w:tcPr>
                <w:p w14:paraId="07538E27">
                  <w:pPr>
                    <w:pStyle w:val="52"/>
                    <w:rPr>
                      <w:color w:val="auto"/>
                    </w:rPr>
                  </w:pPr>
                  <w:r>
                    <w:rPr>
                      <w:color w:val="auto"/>
                    </w:rPr>
                    <w:t>风量（m</w:t>
                  </w:r>
                  <w:r>
                    <w:rPr>
                      <w:color w:val="auto"/>
                      <w:vertAlign w:val="superscript"/>
                    </w:rPr>
                    <w:t>3</w:t>
                  </w:r>
                  <w:r>
                    <w:rPr>
                      <w:color w:val="auto"/>
                    </w:rPr>
                    <w:t>/h）</w:t>
                  </w:r>
                </w:p>
              </w:tc>
            </w:tr>
            <w:tr w14:paraId="2C8CE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2" w:type="pct"/>
                  <w:vMerge w:val="continue"/>
                  <w:tcBorders>
                    <w:tl2br w:val="nil"/>
                    <w:tr2bl w:val="nil"/>
                  </w:tcBorders>
                  <w:vAlign w:val="center"/>
                </w:tcPr>
                <w:p w14:paraId="6F165BA7">
                  <w:pPr>
                    <w:pStyle w:val="52"/>
                    <w:rPr>
                      <w:color w:val="auto"/>
                    </w:rPr>
                  </w:pPr>
                </w:p>
              </w:tc>
              <w:tc>
                <w:tcPr>
                  <w:tcW w:w="584" w:type="pct"/>
                  <w:vMerge w:val="continue"/>
                  <w:tcBorders>
                    <w:tl2br w:val="nil"/>
                    <w:tr2bl w:val="nil"/>
                  </w:tcBorders>
                  <w:vAlign w:val="center"/>
                </w:tcPr>
                <w:p w14:paraId="22C25275">
                  <w:pPr>
                    <w:pStyle w:val="52"/>
                    <w:rPr>
                      <w:color w:val="auto"/>
                    </w:rPr>
                  </w:pPr>
                </w:p>
              </w:tc>
              <w:tc>
                <w:tcPr>
                  <w:tcW w:w="607" w:type="pct"/>
                  <w:tcBorders>
                    <w:tl2br w:val="nil"/>
                    <w:tr2bl w:val="nil"/>
                  </w:tcBorders>
                  <w:vAlign w:val="center"/>
                </w:tcPr>
                <w:p w14:paraId="541F26A3">
                  <w:pPr>
                    <w:pStyle w:val="52"/>
                    <w:rPr>
                      <w:color w:val="auto"/>
                    </w:rPr>
                  </w:pPr>
                  <w:r>
                    <w:rPr>
                      <w:color w:val="auto"/>
                    </w:rPr>
                    <w:t>经度</w:t>
                  </w:r>
                </w:p>
              </w:tc>
              <w:tc>
                <w:tcPr>
                  <w:tcW w:w="607" w:type="pct"/>
                  <w:tcBorders>
                    <w:tl2br w:val="nil"/>
                    <w:tr2bl w:val="nil"/>
                  </w:tcBorders>
                  <w:vAlign w:val="center"/>
                </w:tcPr>
                <w:p w14:paraId="3F694A2B">
                  <w:pPr>
                    <w:pStyle w:val="52"/>
                    <w:rPr>
                      <w:color w:val="auto"/>
                    </w:rPr>
                  </w:pPr>
                  <w:r>
                    <w:rPr>
                      <w:color w:val="auto"/>
                    </w:rPr>
                    <w:t>纬度</w:t>
                  </w:r>
                </w:p>
              </w:tc>
              <w:tc>
                <w:tcPr>
                  <w:tcW w:w="749" w:type="pct"/>
                  <w:tcBorders>
                    <w:tl2br w:val="nil"/>
                    <w:tr2bl w:val="nil"/>
                  </w:tcBorders>
                  <w:vAlign w:val="center"/>
                </w:tcPr>
                <w:p w14:paraId="52DB153B">
                  <w:pPr>
                    <w:pStyle w:val="52"/>
                    <w:rPr>
                      <w:color w:val="auto"/>
                    </w:rPr>
                  </w:pPr>
                  <w:r>
                    <w:rPr>
                      <w:color w:val="auto"/>
                    </w:rPr>
                    <w:t>高度（m）</w:t>
                  </w:r>
                </w:p>
              </w:tc>
              <w:tc>
                <w:tcPr>
                  <w:tcW w:w="667" w:type="pct"/>
                  <w:tcBorders>
                    <w:tl2br w:val="nil"/>
                    <w:tr2bl w:val="nil"/>
                  </w:tcBorders>
                  <w:vAlign w:val="center"/>
                </w:tcPr>
                <w:p w14:paraId="11626A68">
                  <w:pPr>
                    <w:pStyle w:val="52"/>
                    <w:rPr>
                      <w:color w:val="auto"/>
                    </w:rPr>
                  </w:pPr>
                  <w:r>
                    <w:rPr>
                      <w:color w:val="auto"/>
                    </w:rPr>
                    <w:t>内径（m）</w:t>
                  </w:r>
                </w:p>
              </w:tc>
              <w:tc>
                <w:tcPr>
                  <w:tcW w:w="641" w:type="pct"/>
                  <w:tcBorders>
                    <w:tl2br w:val="nil"/>
                    <w:tr2bl w:val="nil"/>
                  </w:tcBorders>
                  <w:vAlign w:val="center"/>
                </w:tcPr>
                <w:p w14:paraId="36CA51C1">
                  <w:pPr>
                    <w:pStyle w:val="52"/>
                    <w:rPr>
                      <w:color w:val="auto"/>
                    </w:rPr>
                  </w:pPr>
                  <w:r>
                    <w:rPr>
                      <w:color w:val="auto"/>
                    </w:rPr>
                    <w:t>温度（℃）</w:t>
                  </w:r>
                </w:p>
              </w:tc>
              <w:tc>
                <w:tcPr>
                  <w:tcW w:w="609" w:type="pct"/>
                  <w:vMerge w:val="continue"/>
                  <w:tcBorders>
                    <w:tl2br w:val="nil"/>
                    <w:tr2bl w:val="nil"/>
                  </w:tcBorders>
                  <w:vAlign w:val="center"/>
                </w:tcPr>
                <w:p w14:paraId="6D0B4F33">
                  <w:pPr>
                    <w:rPr>
                      <w:color w:val="auto"/>
                    </w:rPr>
                  </w:pPr>
                </w:p>
              </w:tc>
            </w:tr>
            <w:tr w14:paraId="70A2E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2" w:type="pct"/>
                  <w:tcBorders>
                    <w:tl2br w:val="nil"/>
                    <w:tr2bl w:val="nil"/>
                  </w:tcBorders>
                  <w:vAlign w:val="center"/>
                </w:tcPr>
                <w:p w14:paraId="29A50516">
                  <w:pPr>
                    <w:pStyle w:val="54"/>
                    <w:rPr>
                      <w:color w:val="auto"/>
                    </w:rPr>
                  </w:pPr>
                  <w:r>
                    <w:rPr>
                      <w:rFonts w:hint="eastAsia"/>
                      <w:color w:val="auto"/>
                    </w:rPr>
                    <w:t>DA002</w:t>
                  </w:r>
                </w:p>
              </w:tc>
              <w:tc>
                <w:tcPr>
                  <w:tcW w:w="584" w:type="pct"/>
                  <w:tcBorders>
                    <w:tl2br w:val="nil"/>
                    <w:tr2bl w:val="nil"/>
                  </w:tcBorders>
                  <w:vAlign w:val="center"/>
                </w:tcPr>
                <w:p w14:paraId="20A13BC6">
                  <w:pPr>
                    <w:pStyle w:val="54"/>
                    <w:rPr>
                      <w:color w:val="auto"/>
                    </w:rPr>
                  </w:pPr>
                  <w:r>
                    <w:rPr>
                      <w:color w:val="auto"/>
                    </w:rPr>
                    <w:t>一般排放口</w:t>
                  </w:r>
                </w:p>
              </w:tc>
              <w:tc>
                <w:tcPr>
                  <w:tcW w:w="607" w:type="pct"/>
                  <w:tcBorders>
                    <w:tl2br w:val="nil"/>
                    <w:tr2bl w:val="nil"/>
                  </w:tcBorders>
                  <w:vAlign w:val="center"/>
                </w:tcPr>
                <w:p w14:paraId="2364A4C2">
                  <w:pPr>
                    <w:pStyle w:val="54"/>
                    <w:rPr>
                      <w:color w:val="auto"/>
                    </w:rPr>
                  </w:pPr>
                  <w:r>
                    <w:rPr>
                      <w:color w:val="auto"/>
                    </w:rPr>
                    <w:t>118°44'</w:t>
                  </w:r>
                </w:p>
                <w:p w14:paraId="42396D68">
                  <w:pPr>
                    <w:pStyle w:val="54"/>
                    <w:rPr>
                      <w:color w:val="auto"/>
                    </w:rPr>
                  </w:pPr>
                  <w:r>
                    <w:rPr>
                      <w:color w:val="auto"/>
                    </w:rPr>
                    <w:t>25.1269"</w:t>
                  </w:r>
                </w:p>
              </w:tc>
              <w:tc>
                <w:tcPr>
                  <w:tcW w:w="607" w:type="pct"/>
                  <w:tcBorders>
                    <w:tl2br w:val="nil"/>
                    <w:tr2bl w:val="nil"/>
                  </w:tcBorders>
                  <w:vAlign w:val="center"/>
                </w:tcPr>
                <w:p w14:paraId="16EA4AF2">
                  <w:pPr>
                    <w:pStyle w:val="54"/>
                    <w:rPr>
                      <w:color w:val="auto"/>
                    </w:rPr>
                  </w:pPr>
                  <w:r>
                    <w:rPr>
                      <w:color w:val="auto"/>
                    </w:rPr>
                    <w:t>33°50'</w:t>
                  </w:r>
                </w:p>
                <w:p w14:paraId="2FFC974A">
                  <w:pPr>
                    <w:pStyle w:val="54"/>
                    <w:rPr>
                      <w:color w:val="auto"/>
                    </w:rPr>
                  </w:pPr>
                  <w:r>
                    <w:rPr>
                      <w:color w:val="auto"/>
                    </w:rPr>
                    <w:t>49.7497"</w:t>
                  </w:r>
                </w:p>
              </w:tc>
              <w:tc>
                <w:tcPr>
                  <w:tcW w:w="749" w:type="pct"/>
                  <w:tcBorders>
                    <w:tl2br w:val="nil"/>
                    <w:tr2bl w:val="nil"/>
                  </w:tcBorders>
                  <w:vAlign w:val="center"/>
                </w:tcPr>
                <w:p w14:paraId="7D776729">
                  <w:pPr>
                    <w:pStyle w:val="54"/>
                    <w:rPr>
                      <w:color w:val="auto"/>
                    </w:rPr>
                  </w:pPr>
                  <w:r>
                    <w:rPr>
                      <w:color w:val="auto"/>
                    </w:rPr>
                    <w:t>15</w:t>
                  </w:r>
                </w:p>
              </w:tc>
              <w:tc>
                <w:tcPr>
                  <w:tcW w:w="667" w:type="pct"/>
                  <w:tcBorders>
                    <w:tl2br w:val="nil"/>
                    <w:tr2bl w:val="nil"/>
                  </w:tcBorders>
                  <w:vAlign w:val="center"/>
                </w:tcPr>
                <w:p w14:paraId="3F8401E4">
                  <w:pPr>
                    <w:pStyle w:val="54"/>
                    <w:rPr>
                      <w:color w:val="auto"/>
                    </w:rPr>
                  </w:pPr>
                  <w:r>
                    <w:rPr>
                      <w:color w:val="auto"/>
                    </w:rPr>
                    <w:t>0.25</w:t>
                  </w:r>
                </w:p>
              </w:tc>
              <w:tc>
                <w:tcPr>
                  <w:tcW w:w="641" w:type="pct"/>
                  <w:tcBorders>
                    <w:tl2br w:val="nil"/>
                    <w:tr2bl w:val="nil"/>
                  </w:tcBorders>
                  <w:vAlign w:val="center"/>
                </w:tcPr>
                <w:p w14:paraId="66C18197">
                  <w:pPr>
                    <w:pStyle w:val="54"/>
                    <w:rPr>
                      <w:color w:val="auto"/>
                    </w:rPr>
                  </w:pPr>
                  <w:r>
                    <w:rPr>
                      <w:rFonts w:hint="eastAsia"/>
                      <w:color w:val="auto"/>
                    </w:rPr>
                    <w:t>25</w:t>
                  </w:r>
                </w:p>
              </w:tc>
              <w:tc>
                <w:tcPr>
                  <w:tcW w:w="609" w:type="pct"/>
                  <w:tcBorders>
                    <w:tl2br w:val="nil"/>
                    <w:tr2bl w:val="nil"/>
                  </w:tcBorders>
                  <w:vAlign w:val="center"/>
                </w:tcPr>
                <w:p w14:paraId="771ACF9E">
                  <w:pPr>
                    <w:pStyle w:val="54"/>
                    <w:rPr>
                      <w:color w:val="auto"/>
                    </w:rPr>
                  </w:pPr>
                  <w:r>
                    <w:rPr>
                      <w:rFonts w:hint="eastAsia"/>
                      <w:color w:val="auto"/>
                    </w:rPr>
                    <w:t>20000</w:t>
                  </w:r>
                </w:p>
              </w:tc>
            </w:tr>
            <w:tr w14:paraId="1C632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2" w:type="pct"/>
                  <w:tcBorders>
                    <w:tl2br w:val="nil"/>
                    <w:tr2bl w:val="nil"/>
                  </w:tcBorders>
                  <w:vAlign w:val="center"/>
                </w:tcPr>
                <w:p w14:paraId="2F811607">
                  <w:pPr>
                    <w:pStyle w:val="54"/>
                    <w:rPr>
                      <w:color w:val="auto"/>
                    </w:rPr>
                  </w:pPr>
                  <w:r>
                    <w:rPr>
                      <w:color w:val="auto"/>
                    </w:rPr>
                    <w:t>DA00</w:t>
                  </w:r>
                  <w:r>
                    <w:rPr>
                      <w:rFonts w:hint="eastAsia"/>
                      <w:color w:val="auto"/>
                    </w:rPr>
                    <w:t>3</w:t>
                  </w:r>
                </w:p>
              </w:tc>
              <w:tc>
                <w:tcPr>
                  <w:tcW w:w="584" w:type="pct"/>
                  <w:tcBorders>
                    <w:tl2br w:val="nil"/>
                    <w:tr2bl w:val="nil"/>
                  </w:tcBorders>
                  <w:vAlign w:val="center"/>
                </w:tcPr>
                <w:p w14:paraId="051AE917">
                  <w:pPr>
                    <w:pStyle w:val="54"/>
                    <w:rPr>
                      <w:color w:val="auto"/>
                    </w:rPr>
                  </w:pPr>
                  <w:r>
                    <w:rPr>
                      <w:color w:val="auto"/>
                    </w:rPr>
                    <w:t>一般排放口</w:t>
                  </w:r>
                </w:p>
              </w:tc>
              <w:tc>
                <w:tcPr>
                  <w:tcW w:w="607" w:type="pct"/>
                  <w:tcBorders>
                    <w:tl2br w:val="nil"/>
                    <w:tr2bl w:val="nil"/>
                  </w:tcBorders>
                  <w:vAlign w:val="center"/>
                </w:tcPr>
                <w:p w14:paraId="38D8D10F">
                  <w:pPr>
                    <w:pStyle w:val="54"/>
                    <w:rPr>
                      <w:color w:val="auto"/>
                    </w:rPr>
                  </w:pPr>
                  <w:r>
                    <w:rPr>
                      <w:color w:val="auto"/>
                    </w:rPr>
                    <w:t>118°44′</w:t>
                  </w:r>
                </w:p>
                <w:p w14:paraId="487B6506">
                  <w:pPr>
                    <w:pStyle w:val="54"/>
                    <w:rPr>
                      <w:color w:val="auto"/>
                    </w:rPr>
                  </w:pPr>
                  <w:r>
                    <w:rPr>
                      <w:color w:val="auto"/>
                    </w:rPr>
                    <w:t>35.2190″</w:t>
                  </w:r>
                </w:p>
              </w:tc>
              <w:tc>
                <w:tcPr>
                  <w:tcW w:w="607" w:type="pct"/>
                  <w:tcBorders>
                    <w:tl2br w:val="nil"/>
                    <w:tr2bl w:val="nil"/>
                  </w:tcBorders>
                  <w:vAlign w:val="center"/>
                </w:tcPr>
                <w:p w14:paraId="055C0F77">
                  <w:pPr>
                    <w:pStyle w:val="54"/>
                    <w:rPr>
                      <w:color w:val="auto"/>
                    </w:rPr>
                  </w:pPr>
                  <w:r>
                    <w:rPr>
                      <w:color w:val="auto"/>
                    </w:rPr>
                    <w:t>33°40′</w:t>
                  </w:r>
                </w:p>
                <w:p w14:paraId="4D0C16E6">
                  <w:pPr>
                    <w:pStyle w:val="54"/>
                    <w:rPr>
                      <w:color w:val="auto"/>
                    </w:rPr>
                  </w:pPr>
                  <w:r>
                    <w:rPr>
                      <w:color w:val="auto"/>
                    </w:rPr>
                    <w:t>12.4443″</w:t>
                  </w:r>
                </w:p>
              </w:tc>
              <w:tc>
                <w:tcPr>
                  <w:tcW w:w="749" w:type="pct"/>
                  <w:tcBorders>
                    <w:tl2br w:val="nil"/>
                    <w:tr2bl w:val="nil"/>
                  </w:tcBorders>
                  <w:vAlign w:val="center"/>
                </w:tcPr>
                <w:p w14:paraId="08EF6D89">
                  <w:pPr>
                    <w:pStyle w:val="54"/>
                    <w:rPr>
                      <w:color w:val="auto"/>
                    </w:rPr>
                  </w:pPr>
                  <w:r>
                    <w:rPr>
                      <w:color w:val="auto"/>
                    </w:rPr>
                    <w:t>15</w:t>
                  </w:r>
                </w:p>
              </w:tc>
              <w:tc>
                <w:tcPr>
                  <w:tcW w:w="667" w:type="pct"/>
                  <w:tcBorders>
                    <w:tl2br w:val="nil"/>
                    <w:tr2bl w:val="nil"/>
                  </w:tcBorders>
                  <w:vAlign w:val="center"/>
                </w:tcPr>
                <w:p w14:paraId="74611767">
                  <w:pPr>
                    <w:pStyle w:val="54"/>
                    <w:rPr>
                      <w:color w:val="auto"/>
                    </w:rPr>
                  </w:pPr>
                  <w:r>
                    <w:rPr>
                      <w:color w:val="auto"/>
                    </w:rPr>
                    <w:t>0.65</w:t>
                  </w:r>
                </w:p>
              </w:tc>
              <w:tc>
                <w:tcPr>
                  <w:tcW w:w="641" w:type="pct"/>
                  <w:tcBorders>
                    <w:tl2br w:val="nil"/>
                    <w:tr2bl w:val="nil"/>
                  </w:tcBorders>
                  <w:vAlign w:val="center"/>
                </w:tcPr>
                <w:p w14:paraId="587AEF2B">
                  <w:pPr>
                    <w:pStyle w:val="54"/>
                    <w:rPr>
                      <w:color w:val="auto"/>
                    </w:rPr>
                  </w:pPr>
                  <w:r>
                    <w:rPr>
                      <w:color w:val="auto"/>
                    </w:rPr>
                    <w:t>25</w:t>
                  </w:r>
                </w:p>
              </w:tc>
              <w:tc>
                <w:tcPr>
                  <w:tcW w:w="609" w:type="pct"/>
                  <w:tcBorders>
                    <w:tl2br w:val="nil"/>
                    <w:tr2bl w:val="nil"/>
                  </w:tcBorders>
                  <w:vAlign w:val="center"/>
                </w:tcPr>
                <w:p w14:paraId="273CD074">
                  <w:pPr>
                    <w:pStyle w:val="54"/>
                    <w:rPr>
                      <w:color w:val="auto"/>
                    </w:rPr>
                  </w:pPr>
                  <w:r>
                    <w:rPr>
                      <w:rFonts w:hint="eastAsia"/>
                      <w:color w:val="auto"/>
                    </w:rPr>
                    <w:t>16</w:t>
                  </w:r>
                  <w:r>
                    <w:rPr>
                      <w:color w:val="auto"/>
                    </w:rPr>
                    <w:t>000</w:t>
                  </w:r>
                </w:p>
              </w:tc>
            </w:tr>
          </w:tbl>
          <w:p w14:paraId="0450993E">
            <w:pPr>
              <w:pStyle w:val="50"/>
              <w:ind w:firstLine="480"/>
              <w:rPr>
                <w:color w:val="auto"/>
              </w:rPr>
            </w:pPr>
            <w:r>
              <w:rPr>
                <w:rFonts w:hint="eastAsia"/>
                <w:color w:val="auto"/>
              </w:rPr>
              <w:t>本项目DA003排气筒直径为0.65m，排风量为16000m</w:t>
            </w:r>
            <w:r>
              <w:rPr>
                <w:rFonts w:hint="eastAsia"/>
                <w:color w:val="auto"/>
                <w:vertAlign w:val="superscript"/>
              </w:rPr>
              <w:t>3</w:t>
            </w:r>
            <w:r>
              <w:rPr>
                <w:rFonts w:hint="eastAsia"/>
                <w:color w:val="auto"/>
              </w:rPr>
              <w:t>/h，风速约为13.39m/s，排气筒风速符合《大气污染治理工程技术导则》（HJ 2000-2010）中流速宜取10m/s~15m/s的要求。因此，本项目排气筒设计内径按0.65m设计可行。</w:t>
            </w:r>
          </w:p>
          <w:p w14:paraId="5348784B">
            <w:pPr>
              <w:pStyle w:val="50"/>
              <w:ind w:firstLine="482"/>
              <w:rPr>
                <w:b/>
                <w:bCs/>
                <w:color w:val="auto"/>
              </w:rPr>
            </w:pPr>
            <w:r>
              <w:rPr>
                <w:b/>
                <w:bCs/>
                <w:color w:val="auto"/>
              </w:rPr>
              <w:t>（3）废气污染治理设施可行性分析</w:t>
            </w:r>
          </w:p>
          <w:p w14:paraId="15C6A1F7">
            <w:pPr>
              <w:spacing w:line="360" w:lineRule="auto"/>
              <w:ind w:firstLine="422" w:firstLineChars="200"/>
              <w:rPr>
                <w:rFonts w:hint="default" w:ascii="Times New Roman" w:hAnsi="Times New Roman" w:cs="Times New Roman"/>
                <w:b/>
                <w:bCs/>
                <w:color w:val="auto"/>
                <w:sz w:val="24"/>
              </w:rPr>
            </w:pPr>
            <w:r>
              <w:rPr>
                <w:rFonts w:hint="default" w:ascii="Times New Roman" w:hAnsi="Times New Roman" w:cs="Times New Roman"/>
                <w:b/>
                <w:bCs/>
                <w:color w:val="auto"/>
              </w:rPr>
              <w:t>①</w:t>
            </w:r>
            <w:r>
              <w:rPr>
                <w:rFonts w:hint="default" w:ascii="Times New Roman" w:hAnsi="Times New Roman" w:cs="Times New Roman"/>
                <w:b/>
                <w:bCs/>
                <w:color w:val="auto"/>
                <w:sz w:val="24"/>
              </w:rPr>
              <w:t>布袋除尘器设施合理性</w:t>
            </w:r>
          </w:p>
          <w:p w14:paraId="0A179F04">
            <w:pPr>
              <w:pStyle w:val="50"/>
              <w:ind w:firstLine="480"/>
              <w:rPr>
                <w:color w:val="auto"/>
              </w:rPr>
            </w:pPr>
            <w:r>
              <w:rPr>
                <w:color w:val="auto"/>
              </w:rPr>
              <w:t>本扩建项目金属熔化烟尘</w:t>
            </w:r>
            <w:r>
              <w:rPr>
                <w:rFonts w:hint="eastAsia"/>
                <w:color w:val="auto"/>
              </w:rPr>
              <w:t>（颗粒物）</w:t>
            </w:r>
            <w:r>
              <w:rPr>
                <w:color w:val="auto"/>
              </w:rPr>
              <w:t>经集气罩收集后由布袋除尘器处理通过1根15m高排气筒（DA00</w:t>
            </w:r>
            <w:r>
              <w:rPr>
                <w:rFonts w:hint="eastAsia"/>
                <w:color w:val="auto"/>
              </w:rPr>
              <w:t>3</w:t>
            </w:r>
            <w:r>
              <w:rPr>
                <w:color w:val="auto"/>
              </w:rPr>
              <w:t>）排放</w:t>
            </w:r>
            <w:r>
              <w:rPr>
                <w:rFonts w:hint="eastAsia"/>
                <w:color w:val="auto"/>
              </w:rPr>
              <w:t>。</w:t>
            </w:r>
          </w:p>
          <w:p w14:paraId="3DDCB8E3">
            <w:pPr>
              <w:pStyle w:val="50"/>
              <w:ind w:firstLine="480"/>
              <w:rPr>
                <w:color w:val="auto"/>
              </w:rPr>
            </w:pPr>
            <w:r>
              <w:rPr>
                <w:color w:val="auto"/>
              </w:rPr>
              <w:t>根据《环境工程设计手册（修订版）》，集气罩风量按以下公式计算：</w:t>
            </w:r>
          </w:p>
          <w:p w14:paraId="7FD63490">
            <w:pPr>
              <w:pStyle w:val="50"/>
              <w:ind w:firstLine="0" w:firstLineChars="0"/>
              <w:jc w:val="center"/>
              <w:rPr>
                <w:color w:val="auto"/>
                <w:lang w:bidi="ar"/>
              </w:rPr>
            </w:pPr>
            <w:r>
              <w:rPr>
                <w:color w:val="auto"/>
                <w:position w:val="-10"/>
                <w:lang w:bidi="ar"/>
              </w:rPr>
              <w:object>
                <v:shape id="_x0000_i1025" o:spt="75" type="#_x0000_t75" style="height:18.3pt;width:155.9pt;" o:ole="t" filled="f" o:preferrelative="t" stroked="f" coordsize="21600,21600">
                  <v:path/>
                  <v:fill on="f" focussize="0,0"/>
                  <v:stroke on="f" joinstyle="miter"/>
                  <v:imagedata r:id="rId15" o:title=""/>
                  <o:lock v:ext="edit" aspectratio="t"/>
                  <w10:wrap type="none"/>
                  <w10:anchorlock/>
                </v:shape>
                <o:OLEObject Type="Embed" ProgID="Equation.3" ShapeID="_x0000_i1025" DrawAspect="Content" ObjectID="_1468075725" r:id="rId14">
                  <o:LockedField>false</o:LockedField>
                </o:OLEObject>
              </w:object>
            </w:r>
          </w:p>
          <w:p w14:paraId="37B79BC5">
            <w:pPr>
              <w:pStyle w:val="50"/>
              <w:ind w:firstLine="480"/>
              <w:rPr>
                <w:color w:val="auto"/>
              </w:rPr>
            </w:pPr>
            <w:r>
              <w:rPr>
                <w:color w:val="auto"/>
              </w:rPr>
              <w:t>其中：X——集气罩至污染源的距离；</w:t>
            </w:r>
          </w:p>
          <w:p w14:paraId="4C08D532">
            <w:pPr>
              <w:pStyle w:val="50"/>
              <w:ind w:left="735" w:leftChars="350" w:firstLine="480"/>
              <w:rPr>
                <w:color w:val="auto"/>
              </w:rPr>
            </w:pPr>
            <w:r>
              <w:rPr>
                <w:color w:val="auto"/>
              </w:rPr>
              <w:t>F——集气罩口面积；</w:t>
            </w:r>
          </w:p>
          <w:p w14:paraId="2A394025">
            <w:pPr>
              <w:pStyle w:val="50"/>
              <w:ind w:left="735" w:leftChars="350" w:firstLine="480"/>
              <w:rPr>
                <w:color w:val="auto"/>
              </w:rPr>
            </w:pPr>
            <w:r>
              <w:rPr>
                <w:color w:val="auto"/>
              </w:rPr>
              <w:t>V</w:t>
            </w:r>
            <w:r>
              <w:rPr>
                <w:rFonts w:hint="eastAsia"/>
                <w:color w:val="auto"/>
              </w:rPr>
              <w:t>x</w:t>
            </w:r>
            <w:r>
              <w:rPr>
                <w:color w:val="auto"/>
              </w:rPr>
              <w:t>——控制风速。</w:t>
            </w:r>
          </w:p>
          <w:p w14:paraId="1148AE67">
            <w:pPr>
              <w:pStyle w:val="50"/>
              <w:ind w:firstLine="480"/>
              <w:rPr>
                <w:color w:val="auto"/>
              </w:rPr>
            </w:pPr>
            <w:r>
              <w:rPr>
                <w:color w:val="auto"/>
              </w:rPr>
              <w:t>本</w:t>
            </w:r>
            <w:r>
              <w:rPr>
                <w:rFonts w:hint="eastAsia"/>
                <w:color w:val="auto"/>
              </w:rPr>
              <w:t>扩建</w:t>
            </w:r>
            <w:r>
              <w:rPr>
                <w:color w:val="auto"/>
              </w:rPr>
              <w:t>项目共采用</w:t>
            </w:r>
            <w:r>
              <w:rPr>
                <w:rFonts w:hint="eastAsia"/>
                <w:color w:val="auto"/>
              </w:rPr>
              <w:t>4台熔化炉</w:t>
            </w:r>
            <w:r>
              <w:rPr>
                <w:color w:val="auto"/>
              </w:rPr>
              <w:t>，拟在</w:t>
            </w:r>
            <w:r>
              <w:rPr>
                <w:rFonts w:hint="eastAsia"/>
                <w:color w:val="auto"/>
              </w:rPr>
              <w:t>熔化炉</w:t>
            </w:r>
            <w:r>
              <w:rPr>
                <w:color w:val="auto"/>
              </w:rPr>
              <w:t>上方分别设置</w:t>
            </w:r>
            <w:r>
              <w:rPr>
                <w:rFonts w:hint="eastAsia"/>
                <w:color w:val="auto"/>
              </w:rPr>
              <w:t>4</w:t>
            </w:r>
            <w:r>
              <w:rPr>
                <w:color w:val="auto"/>
              </w:rPr>
              <w:t>个集气罩收集</w:t>
            </w:r>
            <w:r>
              <w:rPr>
                <w:rFonts w:hint="eastAsia"/>
                <w:color w:val="auto"/>
              </w:rPr>
              <w:t>金属熔化烟气</w:t>
            </w:r>
            <w:r>
              <w:rPr>
                <w:color w:val="auto"/>
              </w:rPr>
              <w:t>，单个集气罩设计规格为1.2m×</w:t>
            </w:r>
            <w:r>
              <w:rPr>
                <w:rFonts w:hint="eastAsia"/>
                <w:color w:val="auto"/>
              </w:rPr>
              <w:t>1.2</w:t>
            </w:r>
            <w:r>
              <w:rPr>
                <w:color w:val="auto"/>
              </w:rPr>
              <w:t>m，集气罩至发泡模具设计距离为</w:t>
            </w:r>
            <w:r>
              <w:rPr>
                <w:rFonts w:hint="eastAsia"/>
                <w:color w:val="auto"/>
              </w:rPr>
              <w:t>0.3</w:t>
            </w:r>
            <w:r>
              <w:rPr>
                <w:color w:val="auto"/>
              </w:rPr>
              <w:t>m，控制风速取0.6m/s，经计算单个集气罩所需风量为</w:t>
            </w:r>
            <w:r>
              <w:rPr>
                <w:rFonts w:hint="eastAsia"/>
                <w:color w:val="auto"/>
              </w:rPr>
              <w:t>3791</w:t>
            </w:r>
            <w:r>
              <w:rPr>
                <w:color w:val="auto"/>
              </w:rPr>
              <w:t>m</w:t>
            </w:r>
            <w:r>
              <w:rPr>
                <w:color w:val="auto"/>
                <w:vertAlign w:val="superscript"/>
              </w:rPr>
              <w:t>3</w:t>
            </w:r>
            <w:r>
              <w:rPr>
                <w:color w:val="auto"/>
              </w:rPr>
              <w:t>/h，则设计风量为</w:t>
            </w:r>
            <w:r>
              <w:rPr>
                <w:rFonts w:hint="eastAsia"/>
                <w:color w:val="auto"/>
              </w:rPr>
              <w:t>4000</w:t>
            </w:r>
            <w:r>
              <w:rPr>
                <w:color w:val="auto"/>
              </w:rPr>
              <w:t>m</w:t>
            </w:r>
            <w:r>
              <w:rPr>
                <w:color w:val="auto"/>
                <w:vertAlign w:val="superscript"/>
              </w:rPr>
              <w:t>3</w:t>
            </w:r>
            <w:r>
              <w:rPr>
                <w:color w:val="auto"/>
              </w:rPr>
              <w:t>/h、所需总风量为1</w:t>
            </w:r>
            <w:r>
              <w:rPr>
                <w:rFonts w:hint="eastAsia"/>
                <w:color w:val="auto"/>
              </w:rPr>
              <w:t>6</w:t>
            </w:r>
            <w:r>
              <w:rPr>
                <w:color w:val="auto"/>
              </w:rPr>
              <w:t>000m</w:t>
            </w:r>
            <w:r>
              <w:rPr>
                <w:color w:val="auto"/>
                <w:vertAlign w:val="superscript"/>
              </w:rPr>
              <w:t>3</w:t>
            </w:r>
            <w:r>
              <w:rPr>
                <w:color w:val="auto"/>
              </w:rPr>
              <w:t>/h。因此，项目集气罩风量按1</w:t>
            </w:r>
            <w:r>
              <w:rPr>
                <w:rFonts w:hint="eastAsia"/>
                <w:color w:val="auto"/>
              </w:rPr>
              <w:t>6</w:t>
            </w:r>
            <w:r>
              <w:rPr>
                <w:color w:val="auto"/>
              </w:rPr>
              <w:t>000m</w:t>
            </w:r>
            <w:r>
              <w:rPr>
                <w:color w:val="auto"/>
                <w:vertAlign w:val="superscript"/>
              </w:rPr>
              <w:t>3</w:t>
            </w:r>
            <w:r>
              <w:rPr>
                <w:color w:val="auto"/>
              </w:rPr>
              <w:t>/h设计可行。</w:t>
            </w:r>
          </w:p>
          <w:p w14:paraId="3243D02E">
            <w:pPr>
              <w:pStyle w:val="50"/>
              <w:ind w:firstLine="480"/>
              <w:rPr>
                <w:color w:val="auto"/>
              </w:rPr>
            </w:pPr>
            <w:r>
              <w:rPr>
                <w:color w:val="auto"/>
              </w:rPr>
              <w:t>布袋除尘器是一种干式滤尘装置。它适用于捕集细小、干燥、非纤维性粉尘。滤袋采用纺织的滤布或非纺织的毡制成，利用纤维织物的过滤作用对含尘气体进行过滤，当含尘气体进入袋式除尘器后，颗粒大、比重大的粉尘，由于重力的作用沉降下来，落入灰斗，含有较细小粉尘的气体在通过滤料时，粉尘被阻留，使气体得到净化。</w:t>
            </w:r>
          </w:p>
          <w:p w14:paraId="6D2147DA">
            <w:pPr>
              <w:spacing w:line="360" w:lineRule="auto"/>
              <w:ind w:firstLine="480" w:firstLineChars="200"/>
              <w:rPr>
                <w:rStyle w:val="51"/>
                <w:color w:val="auto"/>
              </w:rPr>
            </w:pPr>
            <w:r>
              <w:rPr>
                <w:rStyle w:val="51"/>
                <w:color w:val="auto"/>
              </w:rPr>
              <w:t>根据《排放源统计调查产排污核算方法和系数手册》</w:t>
            </w:r>
            <w:r>
              <w:rPr>
                <w:rStyle w:val="51"/>
                <w:rFonts w:hint="eastAsia"/>
                <w:color w:val="auto"/>
              </w:rPr>
              <w:t>中“</w:t>
            </w:r>
            <w:r>
              <w:rPr>
                <w:rStyle w:val="51"/>
                <w:color w:val="auto"/>
              </w:rPr>
              <w:t>3251铜压延加工行业系数手册</w:t>
            </w:r>
            <w:r>
              <w:rPr>
                <w:rStyle w:val="51"/>
                <w:rFonts w:hint="eastAsia"/>
                <w:color w:val="auto"/>
              </w:rPr>
              <w:t>”</w:t>
            </w:r>
            <w:r>
              <w:rPr>
                <w:rStyle w:val="51"/>
                <w:color w:val="auto"/>
              </w:rPr>
              <w:t>可知，颗粒物污染控制的可行技术为湿法除尘（动力波）、袋式除尘、旋风除尘、静电除尘，且布袋除尘器去除效率为98%。因此，本扩建项目颗粒物治理采用“布袋除尘器”属于可行技术，对</w:t>
            </w:r>
            <w:r>
              <w:rPr>
                <w:rStyle w:val="51"/>
                <w:rFonts w:hint="eastAsia"/>
                <w:color w:val="auto"/>
              </w:rPr>
              <w:t>去除颗粒物效率取90</w:t>
            </w:r>
            <w:r>
              <w:rPr>
                <w:rStyle w:val="51"/>
                <w:color w:val="auto"/>
              </w:rPr>
              <w:t>%可行。</w:t>
            </w:r>
          </w:p>
          <w:p w14:paraId="6509D00B">
            <w:pPr>
              <w:pStyle w:val="50"/>
              <w:ind w:firstLine="482"/>
              <w:rPr>
                <w:b/>
                <w:bCs/>
                <w:color w:val="auto"/>
              </w:rPr>
            </w:pPr>
            <w:r>
              <w:rPr>
                <w:b/>
                <w:bCs/>
                <w:color w:val="auto"/>
              </w:rPr>
              <w:t>②</w:t>
            </w:r>
            <w:r>
              <w:rPr>
                <w:rFonts w:hint="eastAsia"/>
                <w:b/>
                <w:bCs/>
                <w:color w:val="auto"/>
              </w:rPr>
              <w:t>依托现有二级活性炭吸附装置合理性</w:t>
            </w:r>
          </w:p>
          <w:p w14:paraId="384356D7">
            <w:pPr>
              <w:pStyle w:val="50"/>
              <w:ind w:firstLine="480"/>
              <w:rPr>
                <w:color w:val="auto"/>
              </w:rPr>
            </w:pPr>
            <w:r>
              <w:rPr>
                <w:rFonts w:hint="eastAsia"/>
                <w:color w:val="auto"/>
              </w:rPr>
              <w:t>现有项目冷却、清洗废气（NMHC）采用集气罩收集后由二级活性炭吸附装置处理后通过1根15m排气筒（DA002）排放，设计风量为20000m</w:t>
            </w:r>
            <w:r>
              <w:rPr>
                <w:rFonts w:hint="eastAsia"/>
                <w:color w:val="auto"/>
                <w:vertAlign w:val="superscript"/>
              </w:rPr>
              <w:t>3</w:t>
            </w:r>
            <w:r>
              <w:rPr>
                <w:rFonts w:hint="eastAsia"/>
                <w:color w:val="auto"/>
              </w:rPr>
              <w:t>/h。</w:t>
            </w:r>
            <w:r>
              <w:rPr>
                <w:color w:val="auto"/>
              </w:rPr>
              <w:t>本</w:t>
            </w:r>
            <w:r>
              <w:rPr>
                <w:rFonts w:hint="eastAsia"/>
                <w:color w:val="auto"/>
              </w:rPr>
              <w:t>扩建</w:t>
            </w:r>
            <w:r>
              <w:rPr>
                <w:color w:val="auto"/>
              </w:rPr>
              <w:t>项目危废贮存废气</w:t>
            </w:r>
            <w:r>
              <w:rPr>
                <w:rFonts w:hint="eastAsia"/>
                <w:color w:val="auto"/>
              </w:rPr>
              <w:t>（NMHC）经负压风管收集后依托现有二级活性炭吸附装置处理后通过1根15m高排气筒（DA002）排放。</w:t>
            </w:r>
          </w:p>
          <w:p w14:paraId="459E671B">
            <w:pPr>
              <w:pStyle w:val="50"/>
              <w:ind w:firstLine="480"/>
              <w:rPr>
                <w:color w:val="auto"/>
              </w:rPr>
            </w:pPr>
            <w:r>
              <w:rPr>
                <w:rFonts w:hint="eastAsia"/>
                <w:color w:val="auto"/>
              </w:rPr>
              <w:t>本项目</w:t>
            </w:r>
            <w:r>
              <w:rPr>
                <w:color w:val="auto"/>
              </w:rPr>
              <w:t>危废库设计面积为</w:t>
            </w:r>
            <w:r>
              <w:rPr>
                <w:rFonts w:hint="eastAsia"/>
                <w:color w:val="auto"/>
              </w:rPr>
              <w:t>10</w:t>
            </w:r>
            <w:r>
              <w:rPr>
                <w:color w:val="auto"/>
              </w:rPr>
              <w:t>m</w:t>
            </w:r>
            <w:r>
              <w:rPr>
                <w:color w:val="auto"/>
                <w:vertAlign w:val="superscript"/>
              </w:rPr>
              <w:t>2</w:t>
            </w:r>
            <w:r>
              <w:rPr>
                <w:color w:val="auto"/>
              </w:rPr>
              <w:t>、高</w:t>
            </w:r>
            <w:r>
              <w:rPr>
                <w:rFonts w:hint="eastAsia"/>
                <w:color w:val="auto"/>
              </w:rPr>
              <w:t>5</w:t>
            </w:r>
            <w:r>
              <w:rPr>
                <w:color w:val="auto"/>
              </w:rPr>
              <w:t>m、体积为</w:t>
            </w:r>
            <w:r>
              <w:rPr>
                <w:rFonts w:hint="eastAsia"/>
                <w:color w:val="auto"/>
              </w:rPr>
              <w:t>50</w:t>
            </w:r>
            <w:r>
              <w:rPr>
                <w:color w:val="auto"/>
              </w:rPr>
              <w:t>m</w:t>
            </w:r>
            <w:r>
              <w:rPr>
                <w:color w:val="auto"/>
                <w:vertAlign w:val="superscript"/>
              </w:rPr>
              <w:t>3</w:t>
            </w:r>
            <w:r>
              <w:rPr>
                <w:color w:val="auto"/>
              </w:rPr>
              <w:t>，换气次数按</w:t>
            </w:r>
            <w:r>
              <w:rPr>
                <w:rFonts w:hint="eastAsia"/>
                <w:color w:val="auto"/>
              </w:rPr>
              <w:t>20</w:t>
            </w:r>
            <w:r>
              <w:rPr>
                <w:color w:val="auto"/>
              </w:rPr>
              <w:t>次/h计，则危废库设计风量为</w:t>
            </w:r>
            <w:r>
              <w:rPr>
                <w:rFonts w:hint="eastAsia"/>
                <w:color w:val="auto"/>
              </w:rPr>
              <w:t>1000</w:t>
            </w:r>
            <w:r>
              <w:rPr>
                <w:color w:val="auto"/>
              </w:rPr>
              <w:t>m</w:t>
            </w:r>
            <w:r>
              <w:rPr>
                <w:color w:val="auto"/>
                <w:vertAlign w:val="superscript"/>
              </w:rPr>
              <w:t>3</w:t>
            </w:r>
            <w:r>
              <w:rPr>
                <w:color w:val="auto"/>
              </w:rPr>
              <w:t>/h</w:t>
            </w:r>
            <w:r>
              <w:rPr>
                <w:rFonts w:hint="eastAsia"/>
                <w:color w:val="auto"/>
              </w:rPr>
              <w:t>。现有项目二级活性炭吸附装置设计风量为20000</w:t>
            </w:r>
            <w:r>
              <w:rPr>
                <w:color w:val="auto"/>
              </w:rPr>
              <w:t>m</w:t>
            </w:r>
            <w:r>
              <w:rPr>
                <w:color w:val="auto"/>
                <w:vertAlign w:val="superscript"/>
              </w:rPr>
              <w:t>3</w:t>
            </w:r>
            <w:r>
              <w:rPr>
                <w:color w:val="auto"/>
              </w:rPr>
              <w:t>/h</w:t>
            </w:r>
            <w:r>
              <w:rPr>
                <w:rFonts w:hint="eastAsia"/>
                <w:color w:val="auto"/>
              </w:rPr>
              <w:t>，验收监测风量为9439</w:t>
            </w:r>
            <w:r>
              <w:rPr>
                <w:color w:val="auto"/>
              </w:rPr>
              <w:t>m</w:t>
            </w:r>
            <w:r>
              <w:rPr>
                <w:color w:val="auto"/>
                <w:vertAlign w:val="superscript"/>
              </w:rPr>
              <w:t>3</w:t>
            </w:r>
            <w:r>
              <w:rPr>
                <w:color w:val="auto"/>
              </w:rPr>
              <w:t>/h</w:t>
            </w:r>
            <w:r>
              <w:rPr>
                <w:rFonts w:hint="eastAsia"/>
                <w:color w:val="auto"/>
              </w:rPr>
              <w:t>，剩余风量可满足危废库设计风量需求。本扩建项目危废贮存废气产生量较少，现有项目二级活性炭吸附装置能够有效处理新增废气。</w:t>
            </w:r>
          </w:p>
          <w:p w14:paraId="1A70B71C">
            <w:pPr>
              <w:pStyle w:val="50"/>
              <w:ind w:firstLine="480"/>
              <w:rPr>
                <w:color w:val="auto"/>
              </w:rPr>
            </w:pPr>
            <w:r>
              <w:rPr>
                <w:color w:val="auto"/>
              </w:rPr>
              <w:t>因此，</w:t>
            </w:r>
            <w:r>
              <w:rPr>
                <w:rFonts w:hint="eastAsia"/>
                <w:color w:val="auto"/>
              </w:rPr>
              <w:t>本项目危废贮存废气依托现有项目二级活性炭吸附装置处理+排气筒（DA002）排放可行。</w:t>
            </w:r>
          </w:p>
          <w:p w14:paraId="49FF4712">
            <w:pPr>
              <w:pStyle w:val="50"/>
              <w:ind w:firstLine="482"/>
              <w:rPr>
                <w:b/>
                <w:bCs/>
                <w:color w:val="auto"/>
              </w:rPr>
            </w:pPr>
            <w:r>
              <w:rPr>
                <w:b/>
                <w:bCs/>
                <w:color w:val="auto"/>
              </w:rPr>
              <w:t>（4）非正常工况</w:t>
            </w:r>
          </w:p>
          <w:p w14:paraId="564C4746">
            <w:pPr>
              <w:pStyle w:val="50"/>
              <w:ind w:firstLine="480"/>
              <w:rPr>
                <w:color w:val="auto"/>
              </w:rPr>
            </w:pPr>
            <w:r>
              <w:rPr>
                <w:color w:val="auto"/>
              </w:rPr>
              <w:t>本</w:t>
            </w:r>
            <w:r>
              <w:rPr>
                <w:rFonts w:hint="eastAsia"/>
                <w:color w:val="auto"/>
              </w:rPr>
              <w:t>扩建</w:t>
            </w:r>
            <w:r>
              <w:rPr>
                <w:color w:val="auto"/>
              </w:rPr>
              <w:t>项目非正常生产情况是指系统开停机、设备检修、系统异常、管道泄漏等情况。项目采用的生产工艺和治理设施较为先进、可靠、成熟。因此，在正常条件下，可避免污染事故发生。本次评价从最不利环境影响分析非正常工况下污染物的排放情况，设</w:t>
            </w:r>
            <w:r>
              <w:rPr>
                <w:rFonts w:hint="eastAsia"/>
                <w:color w:val="auto"/>
              </w:rPr>
              <w:t>废气处理设施</w:t>
            </w:r>
            <w:r>
              <w:rPr>
                <w:color w:val="auto"/>
              </w:rPr>
              <w:t>故障，无法运行时，</w:t>
            </w:r>
            <w:r>
              <w:rPr>
                <w:rFonts w:hint="eastAsia"/>
                <w:color w:val="auto"/>
              </w:rPr>
              <w:t>导致废气</w:t>
            </w:r>
            <w:r>
              <w:rPr>
                <w:color w:val="auto"/>
              </w:rPr>
              <w:t>非正常排放，详见</w:t>
            </w:r>
            <w:r>
              <w:rPr>
                <w:color w:val="auto"/>
              </w:rPr>
              <w:fldChar w:fldCharType="begin"/>
            </w:r>
            <w:r>
              <w:rPr>
                <w:color w:val="auto"/>
              </w:rPr>
              <w:instrText xml:space="preserve"> REF _Ref22504 \h </w:instrText>
            </w:r>
            <w:r>
              <w:rPr>
                <w:color w:val="auto"/>
              </w:rPr>
              <w:fldChar w:fldCharType="separate"/>
            </w:r>
            <w:r>
              <w:rPr>
                <w:color w:val="auto"/>
              </w:rPr>
              <w:t>表4- 6</w:t>
            </w:r>
            <w:r>
              <w:rPr>
                <w:color w:val="auto"/>
              </w:rPr>
              <w:fldChar w:fldCharType="end"/>
            </w:r>
            <w:r>
              <w:rPr>
                <w:color w:val="auto"/>
              </w:rPr>
              <w:t>。</w:t>
            </w:r>
          </w:p>
          <w:p w14:paraId="6F784EED">
            <w:pPr>
              <w:pStyle w:val="7"/>
              <w:rPr>
                <w:color w:val="auto"/>
              </w:rPr>
            </w:pPr>
            <w:bookmarkStart w:id="84" w:name="_Ref22504"/>
            <w:r>
              <w:rPr>
                <w:color w:val="auto"/>
              </w:rPr>
              <w:t xml:space="preserve">表4- </w:t>
            </w:r>
            <w:r>
              <w:rPr>
                <w:color w:val="auto"/>
              </w:rPr>
              <w:fldChar w:fldCharType="begin"/>
            </w:r>
            <w:r>
              <w:rPr>
                <w:color w:val="auto"/>
              </w:rPr>
              <w:instrText xml:space="preserve"> SEQ 表4- \* ARABIC </w:instrText>
            </w:r>
            <w:r>
              <w:rPr>
                <w:color w:val="auto"/>
              </w:rPr>
              <w:fldChar w:fldCharType="separate"/>
            </w:r>
            <w:r>
              <w:rPr>
                <w:color w:val="auto"/>
              </w:rPr>
              <w:t>6</w:t>
            </w:r>
            <w:r>
              <w:rPr>
                <w:color w:val="auto"/>
              </w:rPr>
              <w:fldChar w:fldCharType="end"/>
            </w:r>
            <w:bookmarkEnd w:id="84"/>
            <w:r>
              <w:rPr>
                <w:color w:val="auto"/>
              </w:rPr>
              <w:t xml:space="preserve"> 非正常排放情况分析</w:t>
            </w:r>
          </w:p>
          <w:tbl>
            <w:tblPr>
              <w:tblStyle w:val="1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1"/>
              <w:gridCol w:w="1308"/>
              <w:gridCol w:w="913"/>
              <w:gridCol w:w="1263"/>
              <w:gridCol w:w="1100"/>
              <w:gridCol w:w="951"/>
              <w:gridCol w:w="1132"/>
              <w:gridCol w:w="1075"/>
            </w:tblGrid>
            <w:tr w14:paraId="45C4E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91" w:type="dxa"/>
                  <w:vAlign w:val="center"/>
                </w:tcPr>
                <w:p w14:paraId="4B2F24CC">
                  <w:pPr>
                    <w:pStyle w:val="52"/>
                    <w:rPr>
                      <w:color w:val="auto"/>
                    </w:rPr>
                  </w:pPr>
                  <w:r>
                    <w:rPr>
                      <w:color w:val="auto"/>
                    </w:rPr>
                    <w:t>车间名称</w:t>
                  </w:r>
                </w:p>
              </w:tc>
              <w:tc>
                <w:tcPr>
                  <w:tcW w:w="1308" w:type="dxa"/>
                  <w:vAlign w:val="center"/>
                </w:tcPr>
                <w:p w14:paraId="5662990F">
                  <w:pPr>
                    <w:pStyle w:val="52"/>
                    <w:rPr>
                      <w:color w:val="auto"/>
                    </w:rPr>
                  </w:pPr>
                  <w:r>
                    <w:rPr>
                      <w:color w:val="auto"/>
                    </w:rPr>
                    <w:t>污染源</w:t>
                  </w:r>
                </w:p>
              </w:tc>
              <w:tc>
                <w:tcPr>
                  <w:tcW w:w="913" w:type="dxa"/>
                  <w:vAlign w:val="center"/>
                </w:tcPr>
                <w:p w14:paraId="63A0F954">
                  <w:pPr>
                    <w:pStyle w:val="52"/>
                    <w:rPr>
                      <w:color w:val="auto"/>
                    </w:rPr>
                  </w:pPr>
                  <w:r>
                    <w:rPr>
                      <w:color w:val="auto"/>
                    </w:rPr>
                    <w:t>污染物种类</w:t>
                  </w:r>
                </w:p>
              </w:tc>
              <w:tc>
                <w:tcPr>
                  <w:tcW w:w="1263" w:type="dxa"/>
                  <w:vAlign w:val="center"/>
                </w:tcPr>
                <w:p w14:paraId="42B4CAF5">
                  <w:pPr>
                    <w:pStyle w:val="52"/>
                    <w:rPr>
                      <w:color w:val="auto"/>
                    </w:rPr>
                  </w:pPr>
                  <w:r>
                    <w:rPr>
                      <w:color w:val="auto"/>
                    </w:rPr>
                    <w:t>废气处理设施</w:t>
                  </w:r>
                </w:p>
              </w:tc>
              <w:tc>
                <w:tcPr>
                  <w:tcW w:w="1100" w:type="dxa"/>
                  <w:vAlign w:val="center"/>
                </w:tcPr>
                <w:p w14:paraId="27E70B97">
                  <w:pPr>
                    <w:pStyle w:val="52"/>
                    <w:rPr>
                      <w:color w:val="auto"/>
                    </w:rPr>
                  </w:pPr>
                  <w:r>
                    <w:rPr>
                      <w:rFonts w:hint="eastAsia"/>
                      <w:color w:val="auto"/>
                    </w:rPr>
                    <w:t>非正常排放原因</w:t>
                  </w:r>
                </w:p>
              </w:tc>
              <w:tc>
                <w:tcPr>
                  <w:tcW w:w="951" w:type="dxa"/>
                  <w:vAlign w:val="center"/>
                </w:tcPr>
                <w:p w14:paraId="7FC96F8C">
                  <w:pPr>
                    <w:pStyle w:val="52"/>
                    <w:rPr>
                      <w:color w:val="auto"/>
                    </w:rPr>
                  </w:pPr>
                  <w:r>
                    <w:rPr>
                      <w:color w:val="auto"/>
                    </w:rPr>
                    <w:t>废气量</w:t>
                  </w:r>
                </w:p>
                <w:p w14:paraId="194891E6">
                  <w:pPr>
                    <w:pStyle w:val="52"/>
                    <w:rPr>
                      <w:color w:val="auto"/>
                    </w:rPr>
                  </w:pPr>
                  <w:r>
                    <w:rPr>
                      <w:color w:val="auto"/>
                    </w:rPr>
                    <w:t>（m</w:t>
                  </w:r>
                  <w:r>
                    <w:rPr>
                      <w:color w:val="auto"/>
                      <w:vertAlign w:val="superscript"/>
                    </w:rPr>
                    <w:t>3</w:t>
                  </w:r>
                  <w:r>
                    <w:rPr>
                      <w:color w:val="auto"/>
                    </w:rPr>
                    <w:t>/h）</w:t>
                  </w:r>
                </w:p>
              </w:tc>
              <w:tc>
                <w:tcPr>
                  <w:tcW w:w="1132" w:type="dxa"/>
                  <w:vAlign w:val="center"/>
                </w:tcPr>
                <w:p w14:paraId="49387D56">
                  <w:pPr>
                    <w:pStyle w:val="52"/>
                    <w:rPr>
                      <w:color w:val="auto"/>
                    </w:rPr>
                  </w:pPr>
                  <w:r>
                    <w:rPr>
                      <w:color w:val="auto"/>
                    </w:rPr>
                    <w:t>排放浓度（mg/m</w:t>
                  </w:r>
                  <w:r>
                    <w:rPr>
                      <w:color w:val="auto"/>
                      <w:vertAlign w:val="superscript"/>
                    </w:rPr>
                    <w:t>3</w:t>
                  </w:r>
                  <w:r>
                    <w:rPr>
                      <w:color w:val="auto"/>
                    </w:rPr>
                    <w:t>）</w:t>
                  </w:r>
                </w:p>
              </w:tc>
              <w:tc>
                <w:tcPr>
                  <w:tcW w:w="1075" w:type="dxa"/>
                  <w:vAlign w:val="center"/>
                </w:tcPr>
                <w:p w14:paraId="5F61023B">
                  <w:pPr>
                    <w:pStyle w:val="52"/>
                    <w:rPr>
                      <w:color w:val="auto"/>
                    </w:rPr>
                  </w:pPr>
                  <w:r>
                    <w:rPr>
                      <w:color w:val="auto"/>
                    </w:rPr>
                    <w:t>排放速率</w:t>
                  </w:r>
                </w:p>
                <w:p w14:paraId="46D94AF5">
                  <w:pPr>
                    <w:pStyle w:val="52"/>
                    <w:rPr>
                      <w:color w:val="auto"/>
                    </w:rPr>
                  </w:pPr>
                  <w:r>
                    <w:rPr>
                      <w:color w:val="auto"/>
                    </w:rPr>
                    <w:t>（kg/h）</w:t>
                  </w:r>
                </w:p>
              </w:tc>
            </w:tr>
            <w:tr w14:paraId="33858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91" w:type="dxa"/>
                  <w:vAlign w:val="center"/>
                </w:tcPr>
                <w:p w14:paraId="4053E2AE">
                  <w:pPr>
                    <w:pStyle w:val="54"/>
                    <w:rPr>
                      <w:color w:val="auto"/>
                    </w:rPr>
                  </w:pPr>
                  <w:r>
                    <w:rPr>
                      <w:rFonts w:hint="eastAsia"/>
                      <w:color w:val="auto"/>
                    </w:rPr>
                    <w:t>1#厂房</w:t>
                  </w:r>
                </w:p>
              </w:tc>
              <w:tc>
                <w:tcPr>
                  <w:tcW w:w="1308" w:type="dxa"/>
                  <w:vAlign w:val="center"/>
                </w:tcPr>
                <w:p w14:paraId="703D685E">
                  <w:pPr>
                    <w:pStyle w:val="54"/>
                    <w:rPr>
                      <w:color w:val="auto"/>
                    </w:rPr>
                  </w:pPr>
                  <w:r>
                    <w:rPr>
                      <w:rFonts w:hint="eastAsia"/>
                      <w:color w:val="auto"/>
                    </w:rPr>
                    <w:t>1~4#上引法无氧铜杆连铸机组</w:t>
                  </w:r>
                </w:p>
              </w:tc>
              <w:tc>
                <w:tcPr>
                  <w:tcW w:w="913" w:type="dxa"/>
                  <w:vAlign w:val="center"/>
                </w:tcPr>
                <w:p w14:paraId="5FCC0586">
                  <w:pPr>
                    <w:pStyle w:val="54"/>
                    <w:rPr>
                      <w:color w:val="auto"/>
                    </w:rPr>
                  </w:pPr>
                  <w:r>
                    <w:rPr>
                      <w:rFonts w:hint="eastAsia"/>
                      <w:color w:val="auto"/>
                    </w:rPr>
                    <w:t>颗粒物</w:t>
                  </w:r>
                </w:p>
              </w:tc>
              <w:tc>
                <w:tcPr>
                  <w:tcW w:w="1263" w:type="dxa"/>
                  <w:vAlign w:val="center"/>
                </w:tcPr>
                <w:p w14:paraId="6EF91A5E">
                  <w:pPr>
                    <w:pStyle w:val="54"/>
                    <w:rPr>
                      <w:color w:val="auto"/>
                    </w:rPr>
                  </w:pPr>
                  <w:r>
                    <w:rPr>
                      <w:rFonts w:hint="eastAsia"/>
                      <w:color w:val="auto"/>
                    </w:rPr>
                    <w:t>布袋除尘器（TA003）</w:t>
                  </w:r>
                </w:p>
              </w:tc>
              <w:tc>
                <w:tcPr>
                  <w:tcW w:w="1100" w:type="dxa"/>
                  <w:vAlign w:val="center"/>
                </w:tcPr>
                <w:p w14:paraId="682B8C94">
                  <w:pPr>
                    <w:pStyle w:val="54"/>
                    <w:rPr>
                      <w:color w:val="auto"/>
                    </w:rPr>
                  </w:pPr>
                  <w:r>
                    <w:rPr>
                      <w:rFonts w:hint="eastAsia"/>
                      <w:color w:val="auto"/>
                    </w:rPr>
                    <w:t>去除效率降低至50%</w:t>
                  </w:r>
                </w:p>
              </w:tc>
              <w:tc>
                <w:tcPr>
                  <w:tcW w:w="951" w:type="dxa"/>
                  <w:vAlign w:val="center"/>
                </w:tcPr>
                <w:p w14:paraId="4474BC74">
                  <w:pPr>
                    <w:pStyle w:val="54"/>
                    <w:rPr>
                      <w:color w:val="auto"/>
                    </w:rPr>
                  </w:pPr>
                  <w:r>
                    <w:rPr>
                      <w:rFonts w:hint="eastAsia"/>
                      <w:color w:val="auto"/>
                    </w:rPr>
                    <w:t>16000</w:t>
                  </w:r>
                </w:p>
              </w:tc>
              <w:tc>
                <w:tcPr>
                  <w:tcW w:w="1132" w:type="dxa"/>
                  <w:shd w:val="clear" w:color="auto" w:fill="auto"/>
                  <w:vAlign w:val="center"/>
                </w:tcPr>
                <w:p w14:paraId="5C89F7CF">
                  <w:pPr>
                    <w:pStyle w:val="54"/>
                    <w:rPr>
                      <w:color w:val="auto"/>
                    </w:rPr>
                  </w:pPr>
                  <w:r>
                    <w:rPr>
                      <w:color w:val="auto"/>
                    </w:rPr>
                    <w:t xml:space="preserve">49.341 </w:t>
                  </w:r>
                </w:p>
              </w:tc>
              <w:tc>
                <w:tcPr>
                  <w:tcW w:w="1075" w:type="dxa"/>
                  <w:shd w:val="clear" w:color="auto" w:fill="auto"/>
                  <w:vAlign w:val="center"/>
                </w:tcPr>
                <w:p w14:paraId="2C662364">
                  <w:pPr>
                    <w:pStyle w:val="54"/>
                    <w:rPr>
                      <w:color w:val="auto"/>
                    </w:rPr>
                  </w:pPr>
                  <w:r>
                    <w:rPr>
                      <w:color w:val="auto"/>
                    </w:rPr>
                    <w:t xml:space="preserve">0.789 </w:t>
                  </w:r>
                </w:p>
              </w:tc>
            </w:tr>
          </w:tbl>
          <w:p w14:paraId="363A6B07">
            <w:pPr>
              <w:pStyle w:val="50"/>
              <w:ind w:firstLine="480"/>
              <w:rPr>
                <w:color w:val="auto"/>
              </w:rPr>
            </w:pPr>
            <w:r>
              <w:rPr>
                <w:color w:val="auto"/>
              </w:rPr>
              <w:t>当</w:t>
            </w:r>
            <w:r>
              <w:rPr>
                <w:rFonts w:hint="eastAsia"/>
                <w:color w:val="auto"/>
              </w:rPr>
              <w:t>布袋除尘器</w:t>
            </w:r>
            <w:r>
              <w:rPr>
                <w:color w:val="auto"/>
              </w:rPr>
              <w:t>出现故障不能正常运行时，采取暂时停产、抓紧维修措施，维修完毕后再开始生产。为减少对环境的影响，在开产前应先打开废气处理装置，再开始生产。</w:t>
            </w:r>
          </w:p>
          <w:p w14:paraId="0FA754FA">
            <w:pPr>
              <w:pStyle w:val="50"/>
              <w:ind w:firstLine="482"/>
              <w:rPr>
                <w:b/>
                <w:bCs/>
                <w:color w:val="auto"/>
              </w:rPr>
            </w:pPr>
            <w:r>
              <w:rPr>
                <w:b/>
                <w:bCs/>
                <w:color w:val="auto"/>
              </w:rPr>
              <w:t>（5）卫生防护距离</w:t>
            </w:r>
          </w:p>
          <w:p w14:paraId="764334F1">
            <w:pPr>
              <w:pStyle w:val="50"/>
              <w:ind w:firstLine="480"/>
              <w:rPr>
                <w:color w:val="auto"/>
              </w:rPr>
            </w:pPr>
            <w:r>
              <w:rPr>
                <w:color w:val="auto"/>
              </w:rPr>
              <w:t>根据《大气有害物质无组织排放卫生防护距离推导技术导则》（GB/T39499-2020）规定，当目标企业无组织排放存在多种有毒有害污染物时，基于单个污染物的等标排放量计算结果，优先选择等标排放量最大的污染物为企业无组织排放的主要特征大气有害物质。当前两种污染物的等标排放量相差在10%以内时，需要同时选择这两种特征大气有害物质分别计算卫生防护距离初值。</w:t>
            </w:r>
          </w:p>
          <w:p w14:paraId="70F67CFC">
            <w:pPr>
              <w:pStyle w:val="50"/>
              <w:ind w:firstLine="480"/>
              <w:rPr>
                <w:color w:val="auto"/>
                <w:szCs w:val="24"/>
              </w:rPr>
            </w:pPr>
            <w:r>
              <w:rPr>
                <w:color w:val="auto"/>
                <w:szCs w:val="24"/>
              </w:rPr>
              <w:t>计算公式如下：</w:t>
            </w:r>
          </w:p>
          <w:p w14:paraId="40C3E552">
            <w:pPr>
              <w:pStyle w:val="50"/>
              <w:ind w:firstLine="0" w:firstLineChars="0"/>
              <w:jc w:val="center"/>
              <w:rPr>
                <w:color w:val="auto"/>
                <w:szCs w:val="24"/>
              </w:rPr>
            </w:pPr>
            <w:r>
              <w:rPr>
                <w:color w:val="auto"/>
                <w:position w:val="-30"/>
                <w:lang w:bidi="ar"/>
              </w:rPr>
              <w:object>
                <v:shape id="_x0000_i1026" o:spt="75" type="#_x0000_t75" style="height:32.7pt;width:141.75pt;" o:ole="t" filled="f" o:preferrelative="t" stroked="f" coordsize="21600,21600">
                  <v:path/>
                  <v:fill on="f" focussize="0,0"/>
                  <v:stroke on="f" joinstyle="miter"/>
                  <v:imagedata r:id="rId17" o:title=""/>
                  <o:lock v:ext="edit" aspectratio="t"/>
                  <w10:wrap type="none"/>
                  <w10:anchorlock/>
                </v:shape>
                <o:OLEObject Type="Embed" ProgID="Equation.3" ShapeID="_x0000_i1026" DrawAspect="Content" ObjectID="_1468075726" r:id="rId16">
                  <o:LockedField>false</o:LockedField>
                </o:OLEObject>
              </w:object>
            </w:r>
          </w:p>
          <w:p w14:paraId="41F204A2">
            <w:pPr>
              <w:pStyle w:val="50"/>
              <w:ind w:firstLine="480"/>
              <w:rPr>
                <w:color w:val="auto"/>
              </w:rPr>
            </w:pPr>
            <w:r>
              <w:rPr>
                <w:color w:val="auto"/>
              </w:rPr>
              <w:t>式中：Q</w:t>
            </w:r>
            <w:r>
              <w:rPr>
                <w:color w:val="auto"/>
                <w:vertAlign w:val="subscript"/>
              </w:rPr>
              <w:t>C</w:t>
            </w:r>
            <w:r>
              <w:rPr>
                <w:color w:val="auto"/>
              </w:rPr>
              <w:t>——大气有害物质的无组织排放量，kg/h；</w:t>
            </w:r>
          </w:p>
          <w:p w14:paraId="13A3A8BB">
            <w:pPr>
              <w:pStyle w:val="50"/>
              <w:ind w:left="735" w:leftChars="350" w:firstLine="480"/>
              <w:rPr>
                <w:color w:val="auto"/>
              </w:rPr>
            </w:pPr>
            <w:r>
              <w:rPr>
                <w:color w:val="auto"/>
              </w:rPr>
              <w:t>C</w:t>
            </w:r>
            <w:r>
              <w:rPr>
                <w:color w:val="auto"/>
                <w:vertAlign w:val="subscript"/>
              </w:rPr>
              <w:t>m</w:t>
            </w:r>
            <w:r>
              <w:rPr>
                <w:color w:val="auto"/>
              </w:rPr>
              <w:t>——大气有害物质环境空气质量的标准限值，mg/m</w:t>
            </w:r>
            <w:r>
              <w:rPr>
                <w:color w:val="auto"/>
                <w:vertAlign w:val="superscript"/>
              </w:rPr>
              <w:t>3</w:t>
            </w:r>
            <w:r>
              <w:rPr>
                <w:color w:val="auto"/>
              </w:rPr>
              <w:t>；</w:t>
            </w:r>
          </w:p>
          <w:p w14:paraId="1D80A64F">
            <w:pPr>
              <w:pStyle w:val="50"/>
              <w:ind w:left="735" w:leftChars="350" w:firstLine="480"/>
              <w:rPr>
                <w:color w:val="auto"/>
              </w:rPr>
            </w:pPr>
            <w:r>
              <w:rPr>
                <w:color w:val="auto"/>
              </w:rPr>
              <w:t>L——大气有害物质卫生防护距离初值，m；</w:t>
            </w:r>
          </w:p>
          <w:p w14:paraId="1379F4DC">
            <w:pPr>
              <w:pStyle w:val="50"/>
              <w:ind w:left="735" w:leftChars="350" w:firstLine="480"/>
              <w:rPr>
                <w:color w:val="auto"/>
              </w:rPr>
            </w:pPr>
            <w:r>
              <w:rPr>
                <w:color w:val="auto"/>
              </w:rPr>
              <w:t>r——大气有害物质无组织排放源所在生产单元的等效半径，m；</w:t>
            </w:r>
          </w:p>
          <w:p w14:paraId="5DD0D453">
            <w:pPr>
              <w:pStyle w:val="50"/>
              <w:ind w:left="735" w:leftChars="350" w:firstLine="480"/>
              <w:rPr>
                <w:color w:val="auto"/>
              </w:rPr>
            </w:pPr>
            <w:r>
              <w:rPr>
                <w:color w:val="auto"/>
              </w:rPr>
              <w:t>A、B、C、D——卫生防护距离初值计算系数，无因次。</w:t>
            </w:r>
          </w:p>
          <w:p w14:paraId="344C78FB">
            <w:pPr>
              <w:pStyle w:val="50"/>
              <w:ind w:firstLine="480"/>
              <w:rPr>
                <w:color w:val="auto"/>
              </w:rPr>
            </w:pPr>
            <w:r>
              <w:rPr>
                <w:color w:val="auto"/>
              </w:rPr>
              <w:t>该地区的平均风速为</w:t>
            </w:r>
            <w:r>
              <w:rPr>
                <w:rFonts w:hint="eastAsia"/>
                <w:color w:val="auto"/>
              </w:rPr>
              <w:t>2.8</w:t>
            </w:r>
            <w:r>
              <w:rPr>
                <w:color w:val="auto"/>
              </w:rPr>
              <w:t>m/s，A、B、C、D值的选取见</w:t>
            </w:r>
            <w:r>
              <w:rPr>
                <w:color w:val="auto"/>
              </w:rPr>
              <w:fldChar w:fldCharType="begin"/>
            </w:r>
            <w:r>
              <w:rPr>
                <w:color w:val="auto"/>
              </w:rPr>
              <w:instrText xml:space="preserve"> REF _Ref29700 \h </w:instrText>
            </w:r>
            <w:r>
              <w:rPr>
                <w:color w:val="auto"/>
              </w:rPr>
              <w:fldChar w:fldCharType="separate"/>
            </w:r>
            <w:r>
              <w:rPr>
                <w:color w:val="auto"/>
              </w:rPr>
              <w:t>表4- 7</w:t>
            </w:r>
            <w:r>
              <w:rPr>
                <w:color w:val="auto"/>
              </w:rPr>
              <w:fldChar w:fldCharType="end"/>
            </w:r>
            <w:r>
              <w:rPr>
                <w:color w:val="auto"/>
              </w:rPr>
              <w:t>。</w:t>
            </w:r>
          </w:p>
          <w:p w14:paraId="7953F1B8">
            <w:pPr>
              <w:pStyle w:val="7"/>
              <w:rPr>
                <w:color w:val="auto"/>
              </w:rPr>
            </w:pPr>
            <w:bookmarkStart w:id="85" w:name="_Ref29700"/>
            <w:r>
              <w:rPr>
                <w:color w:val="auto"/>
              </w:rPr>
              <w:t xml:space="preserve">表4- </w:t>
            </w:r>
            <w:r>
              <w:rPr>
                <w:color w:val="auto"/>
              </w:rPr>
              <w:fldChar w:fldCharType="begin"/>
            </w:r>
            <w:r>
              <w:rPr>
                <w:color w:val="auto"/>
              </w:rPr>
              <w:instrText xml:space="preserve"> SEQ 表4- \* ARABIC </w:instrText>
            </w:r>
            <w:r>
              <w:rPr>
                <w:color w:val="auto"/>
              </w:rPr>
              <w:fldChar w:fldCharType="separate"/>
            </w:r>
            <w:r>
              <w:rPr>
                <w:color w:val="auto"/>
              </w:rPr>
              <w:t>7</w:t>
            </w:r>
            <w:r>
              <w:rPr>
                <w:color w:val="auto"/>
              </w:rPr>
              <w:fldChar w:fldCharType="end"/>
            </w:r>
            <w:bookmarkEnd w:id="85"/>
            <w:r>
              <w:rPr>
                <w:color w:val="auto"/>
              </w:rPr>
              <w:t xml:space="preserve"> 卫生防护距离计算系数</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8"/>
              <w:gridCol w:w="1038"/>
              <w:gridCol w:w="746"/>
              <w:gridCol w:w="746"/>
              <w:gridCol w:w="746"/>
              <w:gridCol w:w="1"/>
              <w:gridCol w:w="745"/>
              <w:gridCol w:w="746"/>
              <w:gridCol w:w="746"/>
              <w:gridCol w:w="2"/>
              <w:gridCol w:w="744"/>
              <w:gridCol w:w="746"/>
              <w:gridCol w:w="749"/>
            </w:tblGrid>
            <w:tr w14:paraId="40F06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401" w:type="pct"/>
                  <w:vMerge w:val="restart"/>
                  <w:tcBorders>
                    <w:tl2br w:val="nil"/>
                    <w:tr2bl w:val="nil"/>
                  </w:tcBorders>
                  <w:shd w:val="clear" w:color="auto" w:fill="auto"/>
                  <w:vAlign w:val="center"/>
                </w:tcPr>
                <w:p w14:paraId="2346782D">
                  <w:pPr>
                    <w:pStyle w:val="52"/>
                    <w:rPr>
                      <w:color w:val="auto"/>
                    </w:rPr>
                  </w:pPr>
                  <w:r>
                    <w:rPr>
                      <w:color w:val="auto"/>
                    </w:rPr>
                    <w:t>计算系数</w:t>
                  </w:r>
                </w:p>
              </w:tc>
              <w:tc>
                <w:tcPr>
                  <w:tcW w:w="615" w:type="pct"/>
                  <w:vMerge w:val="restart"/>
                  <w:tcBorders>
                    <w:tl2br w:val="nil"/>
                    <w:tr2bl w:val="nil"/>
                  </w:tcBorders>
                  <w:shd w:val="clear" w:color="auto" w:fill="auto"/>
                  <w:vAlign w:val="center"/>
                </w:tcPr>
                <w:p w14:paraId="6C18549D">
                  <w:pPr>
                    <w:pStyle w:val="52"/>
                    <w:rPr>
                      <w:color w:val="auto"/>
                    </w:rPr>
                  </w:pPr>
                  <w:r>
                    <w:rPr>
                      <w:color w:val="auto"/>
                    </w:rPr>
                    <w:t>5年平均风速</w:t>
                  </w:r>
                  <w:r>
                    <w:rPr>
                      <w:rFonts w:hint="eastAsia"/>
                      <w:color w:val="auto"/>
                      <w:lang w:eastAsia="zh-CN"/>
                    </w:rPr>
                    <w:t>（</w:t>
                  </w:r>
                  <w:r>
                    <w:rPr>
                      <w:color w:val="auto"/>
                    </w:rPr>
                    <w:t>m/s</w:t>
                  </w:r>
                  <w:r>
                    <w:rPr>
                      <w:rFonts w:hint="eastAsia"/>
                      <w:color w:val="auto"/>
                      <w:lang w:eastAsia="zh-CN"/>
                    </w:rPr>
                    <w:t>）</w:t>
                  </w:r>
                </w:p>
              </w:tc>
              <w:tc>
                <w:tcPr>
                  <w:tcW w:w="3982" w:type="pct"/>
                  <w:gridSpan w:val="11"/>
                  <w:tcBorders>
                    <w:tl2br w:val="nil"/>
                    <w:tr2bl w:val="nil"/>
                  </w:tcBorders>
                  <w:shd w:val="clear" w:color="auto" w:fill="auto"/>
                  <w:vAlign w:val="center"/>
                </w:tcPr>
                <w:p w14:paraId="2E17950C">
                  <w:pPr>
                    <w:pStyle w:val="52"/>
                    <w:rPr>
                      <w:color w:val="auto"/>
                    </w:rPr>
                  </w:pPr>
                  <w:r>
                    <w:rPr>
                      <w:color w:val="auto"/>
                    </w:rPr>
                    <w:t>卫生防护距离计算系数L，m</w:t>
                  </w:r>
                </w:p>
              </w:tc>
            </w:tr>
            <w:tr w14:paraId="569A8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jc w:val="center"/>
              </w:trPr>
              <w:tc>
                <w:tcPr>
                  <w:tcW w:w="401" w:type="pct"/>
                  <w:vMerge w:val="continue"/>
                  <w:tcBorders>
                    <w:tl2br w:val="nil"/>
                    <w:tr2bl w:val="nil"/>
                  </w:tcBorders>
                  <w:shd w:val="clear" w:color="auto" w:fill="auto"/>
                  <w:vAlign w:val="center"/>
                </w:tcPr>
                <w:p w14:paraId="20B69CF8">
                  <w:pPr>
                    <w:pStyle w:val="52"/>
                    <w:rPr>
                      <w:color w:val="auto"/>
                    </w:rPr>
                  </w:pPr>
                </w:p>
              </w:tc>
              <w:tc>
                <w:tcPr>
                  <w:tcW w:w="615" w:type="pct"/>
                  <w:vMerge w:val="continue"/>
                  <w:tcBorders>
                    <w:tl2br w:val="nil"/>
                    <w:tr2bl w:val="nil"/>
                  </w:tcBorders>
                  <w:shd w:val="clear" w:color="auto" w:fill="auto"/>
                  <w:vAlign w:val="center"/>
                </w:tcPr>
                <w:p w14:paraId="511D24EE">
                  <w:pPr>
                    <w:pStyle w:val="52"/>
                    <w:rPr>
                      <w:color w:val="auto"/>
                    </w:rPr>
                  </w:pPr>
                </w:p>
              </w:tc>
              <w:tc>
                <w:tcPr>
                  <w:tcW w:w="1326" w:type="pct"/>
                  <w:gridSpan w:val="3"/>
                  <w:tcBorders>
                    <w:tl2br w:val="nil"/>
                    <w:tr2bl w:val="nil"/>
                  </w:tcBorders>
                  <w:shd w:val="clear" w:color="auto" w:fill="auto"/>
                  <w:vAlign w:val="center"/>
                </w:tcPr>
                <w:p w14:paraId="2313282E">
                  <w:pPr>
                    <w:pStyle w:val="52"/>
                    <w:rPr>
                      <w:color w:val="auto"/>
                    </w:rPr>
                  </w:pPr>
                  <w:r>
                    <w:rPr>
                      <w:color w:val="auto"/>
                    </w:rPr>
                    <w:t>L≤1000</w:t>
                  </w:r>
                </w:p>
              </w:tc>
              <w:tc>
                <w:tcPr>
                  <w:tcW w:w="1326" w:type="pct"/>
                  <w:gridSpan w:val="4"/>
                  <w:tcBorders>
                    <w:tl2br w:val="nil"/>
                    <w:tr2bl w:val="nil"/>
                  </w:tcBorders>
                  <w:shd w:val="clear" w:color="auto" w:fill="auto"/>
                  <w:vAlign w:val="center"/>
                </w:tcPr>
                <w:p w14:paraId="7C7274B8">
                  <w:pPr>
                    <w:pStyle w:val="52"/>
                    <w:rPr>
                      <w:color w:val="auto"/>
                    </w:rPr>
                  </w:pPr>
                  <w:r>
                    <w:rPr>
                      <w:color w:val="auto"/>
                    </w:rPr>
                    <w:t>1000&lt;L≤2000</w:t>
                  </w:r>
                </w:p>
              </w:tc>
              <w:tc>
                <w:tcPr>
                  <w:tcW w:w="1328" w:type="pct"/>
                  <w:gridSpan w:val="4"/>
                  <w:tcBorders>
                    <w:tl2br w:val="nil"/>
                    <w:tr2bl w:val="nil"/>
                  </w:tcBorders>
                  <w:shd w:val="clear" w:color="auto" w:fill="auto"/>
                  <w:vAlign w:val="center"/>
                </w:tcPr>
                <w:p w14:paraId="478C1A37">
                  <w:pPr>
                    <w:pStyle w:val="52"/>
                    <w:rPr>
                      <w:color w:val="auto"/>
                    </w:rPr>
                  </w:pPr>
                  <w:r>
                    <w:rPr>
                      <w:color w:val="auto"/>
                    </w:rPr>
                    <w:t>L&gt;2000</w:t>
                  </w:r>
                </w:p>
              </w:tc>
            </w:tr>
            <w:tr w14:paraId="399C4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jc w:val="center"/>
              </w:trPr>
              <w:tc>
                <w:tcPr>
                  <w:tcW w:w="401" w:type="pct"/>
                  <w:vMerge w:val="continue"/>
                  <w:tcBorders>
                    <w:tl2br w:val="nil"/>
                    <w:tr2bl w:val="nil"/>
                  </w:tcBorders>
                  <w:shd w:val="clear" w:color="auto" w:fill="auto"/>
                  <w:vAlign w:val="center"/>
                </w:tcPr>
                <w:p w14:paraId="7ADFF026">
                  <w:pPr>
                    <w:pStyle w:val="52"/>
                    <w:rPr>
                      <w:color w:val="auto"/>
                    </w:rPr>
                  </w:pPr>
                </w:p>
              </w:tc>
              <w:tc>
                <w:tcPr>
                  <w:tcW w:w="615" w:type="pct"/>
                  <w:vMerge w:val="continue"/>
                  <w:tcBorders>
                    <w:tl2br w:val="nil"/>
                    <w:tr2bl w:val="nil"/>
                  </w:tcBorders>
                  <w:shd w:val="clear" w:color="auto" w:fill="auto"/>
                  <w:vAlign w:val="center"/>
                </w:tcPr>
                <w:p w14:paraId="2A70DBB0">
                  <w:pPr>
                    <w:pStyle w:val="52"/>
                    <w:rPr>
                      <w:color w:val="auto"/>
                    </w:rPr>
                  </w:pPr>
                </w:p>
              </w:tc>
              <w:tc>
                <w:tcPr>
                  <w:tcW w:w="442" w:type="pct"/>
                  <w:tcBorders>
                    <w:tl2br w:val="nil"/>
                    <w:tr2bl w:val="nil"/>
                  </w:tcBorders>
                  <w:shd w:val="clear" w:color="auto" w:fill="auto"/>
                  <w:vAlign w:val="center"/>
                </w:tcPr>
                <w:p w14:paraId="4AB00B4E">
                  <w:pPr>
                    <w:pStyle w:val="52"/>
                    <w:rPr>
                      <w:color w:val="auto"/>
                    </w:rPr>
                  </w:pPr>
                  <w:r>
                    <w:rPr>
                      <w:color w:val="auto"/>
                    </w:rPr>
                    <w:t>Ⅰ</w:t>
                  </w:r>
                </w:p>
              </w:tc>
              <w:tc>
                <w:tcPr>
                  <w:tcW w:w="442" w:type="pct"/>
                  <w:tcBorders>
                    <w:tl2br w:val="nil"/>
                    <w:tr2bl w:val="nil"/>
                  </w:tcBorders>
                  <w:shd w:val="clear" w:color="auto" w:fill="auto"/>
                  <w:vAlign w:val="center"/>
                </w:tcPr>
                <w:p w14:paraId="4AF8986C">
                  <w:pPr>
                    <w:pStyle w:val="52"/>
                    <w:rPr>
                      <w:color w:val="auto"/>
                    </w:rPr>
                  </w:pPr>
                  <w:r>
                    <w:rPr>
                      <w:color w:val="auto"/>
                    </w:rPr>
                    <w:t>Ⅱ</w:t>
                  </w:r>
                </w:p>
              </w:tc>
              <w:tc>
                <w:tcPr>
                  <w:tcW w:w="442" w:type="pct"/>
                  <w:tcBorders>
                    <w:tl2br w:val="nil"/>
                    <w:tr2bl w:val="nil"/>
                  </w:tcBorders>
                  <w:shd w:val="clear" w:color="auto" w:fill="auto"/>
                  <w:vAlign w:val="center"/>
                </w:tcPr>
                <w:p w14:paraId="6C98D3A7">
                  <w:pPr>
                    <w:pStyle w:val="52"/>
                    <w:rPr>
                      <w:color w:val="auto"/>
                    </w:rPr>
                  </w:pPr>
                  <w:r>
                    <w:rPr>
                      <w:color w:val="auto"/>
                    </w:rPr>
                    <w:t>Ⅲ</w:t>
                  </w:r>
                </w:p>
              </w:tc>
              <w:tc>
                <w:tcPr>
                  <w:tcW w:w="442" w:type="pct"/>
                  <w:gridSpan w:val="2"/>
                  <w:tcBorders>
                    <w:tl2br w:val="nil"/>
                    <w:tr2bl w:val="nil"/>
                  </w:tcBorders>
                  <w:shd w:val="clear" w:color="auto" w:fill="auto"/>
                  <w:vAlign w:val="center"/>
                </w:tcPr>
                <w:p w14:paraId="1BF4BD72">
                  <w:pPr>
                    <w:pStyle w:val="52"/>
                    <w:rPr>
                      <w:color w:val="auto"/>
                    </w:rPr>
                  </w:pPr>
                  <w:r>
                    <w:rPr>
                      <w:color w:val="auto"/>
                    </w:rPr>
                    <w:t>Ⅰ</w:t>
                  </w:r>
                </w:p>
              </w:tc>
              <w:tc>
                <w:tcPr>
                  <w:tcW w:w="442" w:type="pct"/>
                  <w:tcBorders>
                    <w:tl2br w:val="nil"/>
                    <w:tr2bl w:val="nil"/>
                  </w:tcBorders>
                  <w:shd w:val="clear" w:color="auto" w:fill="auto"/>
                  <w:vAlign w:val="center"/>
                </w:tcPr>
                <w:p w14:paraId="12C39710">
                  <w:pPr>
                    <w:pStyle w:val="52"/>
                    <w:rPr>
                      <w:color w:val="auto"/>
                    </w:rPr>
                  </w:pPr>
                  <w:r>
                    <w:rPr>
                      <w:color w:val="auto"/>
                    </w:rPr>
                    <w:t>Ⅱ</w:t>
                  </w:r>
                </w:p>
              </w:tc>
              <w:tc>
                <w:tcPr>
                  <w:tcW w:w="442" w:type="pct"/>
                  <w:tcBorders>
                    <w:tl2br w:val="nil"/>
                    <w:tr2bl w:val="nil"/>
                  </w:tcBorders>
                  <w:shd w:val="clear" w:color="auto" w:fill="auto"/>
                  <w:vAlign w:val="center"/>
                </w:tcPr>
                <w:p w14:paraId="1F07C233">
                  <w:pPr>
                    <w:pStyle w:val="52"/>
                    <w:rPr>
                      <w:color w:val="auto"/>
                    </w:rPr>
                  </w:pPr>
                  <w:r>
                    <w:rPr>
                      <w:color w:val="auto"/>
                    </w:rPr>
                    <w:t>Ⅲ</w:t>
                  </w:r>
                </w:p>
              </w:tc>
              <w:tc>
                <w:tcPr>
                  <w:tcW w:w="442" w:type="pct"/>
                  <w:gridSpan w:val="2"/>
                  <w:tcBorders>
                    <w:tl2br w:val="nil"/>
                    <w:tr2bl w:val="nil"/>
                  </w:tcBorders>
                  <w:shd w:val="clear" w:color="auto" w:fill="auto"/>
                  <w:vAlign w:val="center"/>
                </w:tcPr>
                <w:p w14:paraId="2938185F">
                  <w:pPr>
                    <w:pStyle w:val="52"/>
                    <w:rPr>
                      <w:color w:val="auto"/>
                    </w:rPr>
                  </w:pPr>
                  <w:r>
                    <w:rPr>
                      <w:color w:val="auto"/>
                    </w:rPr>
                    <w:t>Ⅰ</w:t>
                  </w:r>
                </w:p>
              </w:tc>
              <w:tc>
                <w:tcPr>
                  <w:tcW w:w="442" w:type="pct"/>
                  <w:tcBorders>
                    <w:tl2br w:val="nil"/>
                    <w:tr2bl w:val="nil"/>
                  </w:tcBorders>
                  <w:shd w:val="clear" w:color="auto" w:fill="auto"/>
                  <w:vAlign w:val="center"/>
                </w:tcPr>
                <w:p w14:paraId="7F4BEF61">
                  <w:pPr>
                    <w:pStyle w:val="52"/>
                    <w:rPr>
                      <w:color w:val="auto"/>
                    </w:rPr>
                  </w:pPr>
                  <w:r>
                    <w:rPr>
                      <w:color w:val="auto"/>
                    </w:rPr>
                    <w:t>Ⅱ</w:t>
                  </w:r>
                </w:p>
              </w:tc>
              <w:tc>
                <w:tcPr>
                  <w:tcW w:w="444" w:type="pct"/>
                  <w:tcBorders>
                    <w:tl2br w:val="nil"/>
                    <w:tr2bl w:val="nil"/>
                  </w:tcBorders>
                  <w:shd w:val="clear" w:color="auto" w:fill="auto"/>
                  <w:vAlign w:val="center"/>
                </w:tcPr>
                <w:p w14:paraId="30AA736C">
                  <w:pPr>
                    <w:pStyle w:val="52"/>
                    <w:rPr>
                      <w:color w:val="auto"/>
                    </w:rPr>
                  </w:pPr>
                  <w:r>
                    <w:rPr>
                      <w:color w:val="auto"/>
                    </w:rPr>
                    <w:t>Ⅲ</w:t>
                  </w:r>
                </w:p>
              </w:tc>
            </w:tr>
            <w:tr w14:paraId="12B75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jc w:val="center"/>
              </w:trPr>
              <w:tc>
                <w:tcPr>
                  <w:tcW w:w="401" w:type="pct"/>
                  <w:vMerge w:val="restart"/>
                  <w:tcBorders>
                    <w:tl2br w:val="nil"/>
                    <w:tr2bl w:val="nil"/>
                  </w:tcBorders>
                  <w:shd w:val="clear" w:color="auto" w:fill="auto"/>
                  <w:vAlign w:val="center"/>
                </w:tcPr>
                <w:p w14:paraId="1F59BFC3">
                  <w:pPr>
                    <w:pStyle w:val="54"/>
                    <w:rPr>
                      <w:color w:val="auto"/>
                    </w:rPr>
                  </w:pPr>
                  <w:r>
                    <w:rPr>
                      <w:color w:val="auto"/>
                    </w:rPr>
                    <w:t>A</w:t>
                  </w:r>
                </w:p>
              </w:tc>
              <w:tc>
                <w:tcPr>
                  <w:tcW w:w="615" w:type="pct"/>
                  <w:tcBorders>
                    <w:tl2br w:val="nil"/>
                    <w:tr2bl w:val="nil"/>
                  </w:tcBorders>
                  <w:shd w:val="clear" w:color="auto" w:fill="auto"/>
                  <w:vAlign w:val="center"/>
                </w:tcPr>
                <w:p w14:paraId="7A31B178">
                  <w:pPr>
                    <w:pStyle w:val="54"/>
                    <w:rPr>
                      <w:color w:val="auto"/>
                    </w:rPr>
                  </w:pPr>
                  <w:r>
                    <w:rPr>
                      <w:color w:val="auto"/>
                    </w:rPr>
                    <w:t>&lt;2</w:t>
                  </w:r>
                </w:p>
              </w:tc>
              <w:tc>
                <w:tcPr>
                  <w:tcW w:w="442" w:type="pct"/>
                  <w:tcBorders>
                    <w:tl2br w:val="nil"/>
                    <w:tr2bl w:val="nil"/>
                  </w:tcBorders>
                  <w:shd w:val="clear" w:color="auto" w:fill="auto"/>
                  <w:vAlign w:val="center"/>
                </w:tcPr>
                <w:p w14:paraId="442D41A3">
                  <w:pPr>
                    <w:pStyle w:val="54"/>
                    <w:rPr>
                      <w:color w:val="auto"/>
                    </w:rPr>
                  </w:pPr>
                  <w:r>
                    <w:rPr>
                      <w:color w:val="auto"/>
                    </w:rPr>
                    <w:t>400</w:t>
                  </w:r>
                </w:p>
              </w:tc>
              <w:tc>
                <w:tcPr>
                  <w:tcW w:w="442" w:type="pct"/>
                  <w:tcBorders>
                    <w:tl2br w:val="nil"/>
                    <w:tr2bl w:val="nil"/>
                  </w:tcBorders>
                  <w:shd w:val="clear" w:color="auto" w:fill="auto"/>
                  <w:vAlign w:val="center"/>
                </w:tcPr>
                <w:p w14:paraId="1563EEDD">
                  <w:pPr>
                    <w:pStyle w:val="54"/>
                    <w:rPr>
                      <w:color w:val="auto"/>
                    </w:rPr>
                  </w:pPr>
                  <w:r>
                    <w:rPr>
                      <w:color w:val="auto"/>
                    </w:rPr>
                    <w:t>400</w:t>
                  </w:r>
                </w:p>
              </w:tc>
              <w:tc>
                <w:tcPr>
                  <w:tcW w:w="442" w:type="pct"/>
                  <w:tcBorders>
                    <w:tl2br w:val="nil"/>
                    <w:tr2bl w:val="nil"/>
                  </w:tcBorders>
                  <w:shd w:val="clear" w:color="auto" w:fill="auto"/>
                  <w:vAlign w:val="center"/>
                </w:tcPr>
                <w:p w14:paraId="1FDDF9A9">
                  <w:pPr>
                    <w:pStyle w:val="54"/>
                    <w:rPr>
                      <w:color w:val="auto"/>
                    </w:rPr>
                  </w:pPr>
                  <w:r>
                    <w:rPr>
                      <w:color w:val="auto"/>
                    </w:rPr>
                    <w:t>400</w:t>
                  </w:r>
                </w:p>
              </w:tc>
              <w:tc>
                <w:tcPr>
                  <w:tcW w:w="442" w:type="pct"/>
                  <w:gridSpan w:val="2"/>
                  <w:tcBorders>
                    <w:tl2br w:val="nil"/>
                    <w:tr2bl w:val="nil"/>
                  </w:tcBorders>
                  <w:shd w:val="clear" w:color="auto" w:fill="auto"/>
                  <w:vAlign w:val="center"/>
                </w:tcPr>
                <w:p w14:paraId="12103CB4">
                  <w:pPr>
                    <w:pStyle w:val="54"/>
                    <w:rPr>
                      <w:color w:val="auto"/>
                    </w:rPr>
                  </w:pPr>
                  <w:r>
                    <w:rPr>
                      <w:color w:val="auto"/>
                    </w:rPr>
                    <w:t>400</w:t>
                  </w:r>
                </w:p>
              </w:tc>
              <w:tc>
                <w:tcPr>
                  <w:tcW w:w="442" w:type="pct"/>
                  <w:tcBorders>
                    <w:tl2br w:val="nil"/>
                    <w:tr2bl w:val="nil"/>
                  </w:tcBorders>
                  <w:shd w:val="clear" w:color="auto" w:fill="auto"/>
                  <w:vAlign w:val="center"/>
                </w:tcPr>
                <w:p w14:paraId="3D135BC2">
                  <w:pPr>
                    <w:pStyle w:val="54"/>
                    <w:rPr>
                      <w:color w:val="auto"/>
                    </w:rPr>
                  </w:pPr>
                  <w:r>
                    <w:rPr>
                      <w:color w:val="auto"/>
                    </w:rPr>
                    <w:t>400</w:t>
                  </w:r>
                </w:p>
              </w:tc>
              <w:tc>
                <w:tcPr>
                  <w:tcW w:w="442" w:type="pct"/>
                  <w:tcBorders>
                    <w:tl2br w:val="nil"/>
                    <w:tr2bl w:val="nil"/>
                  </w:tcBorders>
                  <w:shd w:val="clear" w:color="auto" w:fill="auto"/>
                  <w:vAlign w:val="center"/>
                </w:tcPr>
                <w:p w14:paraId="47EEEA7C">
                  <w:pPr>
                    <w:pStyle w:val="54"/>
                    <w:rPr>
                      <w:color w:val="auto"/>
                    </w:rPr>
                  </w:pPr>
                  <w:r>
                    <w:rPr>
                      <w:color w:val="auto"/>
                    </w:rPr>
                    <w:t>400</w:t>
                  </w:r>
                </w:p>
              </w:tc>
              <w:tc>
                <w:tcPr>
                  <w:tcW w:w="442" w:type="pct"/>
                  <w:gridSpan w:val="2"/>
                  <w:tcBorders>
                    <w:tl2br w:val="nil"/>
                    <w:tr2bl w:val="nil"/>
                  </w:tcBorders>
                  <w:shd w:val="clear" w:color="auto" w:fill="auto"/>
                  <w:vAlign w:val="center"/>
                </w:tcPr>
                <w:p w14:paraId="77C8176F">
                  <w:pPr>
                    <w:pStyle w:val="54"/>
                    <w:rPr>
                      <w:color w:val="auto"/>
                    </w:rPr>
                  </w:pPr>
                  <w:r>
                    <w:rPr>
                      <w:color w:val="auto"/>
                    </w:rPr>
                    <w:t>80</w:t>
                  </w:r>
                </w:p>
              </w:tc>
              <w:tc>
                <w:tcPr>
                  <w:tcW w:w="442" w:type="pct"/>
                  <w:tcBorders>
                    <w:tl2br w:val="nil"/>
                    <w:tr2bl w:val="nil"/>
                  </w:tcBorders>
                  <w:shd w:val="clear" w:color="auto" w:fill="auto"/>
                  <w:vAlign w:val="center"/>
                </w:tcPr>
                <w:p w14:paraId="47E14AFB">
                  <w:pPr>
                    <w:pStyle w:val="54"/>
                    <w:rPr>
                      <w:color w:val="auto"/>
                    </w:rPr>
                  </w:pPr>
                  <w:r>
                    <w:rPr>
                      <w:color w:val="auto"/>
                    </w:rPr>
                    <w:t>80</w:t>
                  </w:r>
                </w:p>
              </w:tc>
              <w:tc>
                <w:tcPr>
                  <w:tcW w:w="444" w:type="pct"/>
                  <w:tcBorders>
                    <w:tl2br w:val="nil"/>
                    <w:tr2bl w:val="nil"/>
                  </w:tcBorders>
                  <w:shd w:val="clear" w:color="auto" w:fill="auto"/>
                  <w:vAlign w:val="center"/>
                </w:tcPr>
                <w:p w14:paraId="30C16434">
                  <w:pPr>
                    <w:pStyle w:val="54"/>
                    <w:rPr>
                      <w:color w:val="auto"/>
                    </w:rPr>
                  </w:pPr>
                  <w:r>
                    <w:rPr>
                      <w:color w:val="auto"/>
                    </w:rPr>
                    <w:t>80</w:t>
                  </w:r>
                </w:p>
              </w:tc>
            </w:tr>
            <w:tr w14:paraId="2A59F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01" w:type="pct"/>
                  <w:vMerge w:val="continue"/>
                  <w:tcBorders>
                    <w:tl2br w:val="nil"/>
                    <w:tr2bl w:val="nil"/>
                  </w:tcBorders>
                  <w:shd w:val="clear" w:color="auto" w:fill="auto"/>
                  <w:vAlign w:val="center"/>
                </w:tcPr>
                <w:p w14:paraId="21F2854D">
                  <w:pPr>
                    <w:rPr>
                      <w:color w:val="auto"/>
                    </w:rPr>
                  </w:pPr>
                </w:p>
              </w:tc>
              <w:tc>
                <w:tcPr>
                  <w:tcW w:w="615" w:type="pct"/>
                  <w:tcBorders>
                    <w:tl2br w:val="nil"/>
                    <w:tr2bl w:val="nil"/>
                  </w:tcBorders>
                  <w:shd w:val="clear" w:color="auto" w:fill="auto"/>
                  <w:vAlign w:val="center"/>
                </w:tcPr>
                <w:p w14:paraId="2788CD82">
                  <w:pPr>
                    <w:pStyle w:val="54"/>
                    <w:rPr>
                      <w:color w:val="auto"/>
                    </w:rPr>
                  </w:pPr>
                  <w:r>
                    <w:rPr>
                      <w:color w:val="auto"/>
                    </w:rPr>
                    <w:t>2~4</w:t>
                  </w:r>
                </w:p>
              </w:tc>
              <w:tc>
                <w:tcPr>
                  <w:tcW w:w="442" w:type="pct"/>
                  <w:tcBorders>
                    <w:tl2br w:val="nil"/>
                    <w:tr2bl w:val="nil"/>
                  </w:tcBorders>
                  <w:shd w:val="clear" w:color="auto" w:fill="auto"/>
                  <w:vAlign w:val="center"/>
                </w:tcPr>
                <w:p w14:paraId="6230B8DF">
                  <w:pPr>
                    <w:pStyle w:val="54"/>
                    <w:rPr>
                      <w:color w:val="auto"/>
                    </w:rPr>
                  </w:pPr>
                  <w:r>
                    <w:rPr>
                      <w:color w:val="auto"/>
                    </w:rPr>
                    <w:t>700</w:t>
                  </w:r>
                </w:p>
              </w:tc>
              <w:tc>
                <w:tcPr>
                  <w:tcW w:w="442" w:type="pct"/>
                  <w:tcBorders>
                    <w:tl2br w:val="nil"/>
                    <w:tr2bl w:val="nil"/>
                  </w:tcBorders>
                  <w:shd w:val="clear" w:color="auto" w:fill="D7D7D7" w:themeFill="background1" w:themeFillShade="D8"/>
                  <w:vAlign w:val="center"/>
                </w:tcPr>
                <w:p w14:paraId="4CA3584D">
                  <w:pPr>
                    <w:pStyle w:val="54"/>
                    <w:rPr>
                      <w:color w:val="auto"/>
                    </w:rPr>
                  </w:pPr>
                  <w:r>
                    <w:rPr>
                      <w:color w:val="auto"/>
                    </w:rPr>
                    <w:t>470</w:t>
                  </w:r>
                </w:p>
              </w:tc>
              <w:tc>
                <w:tcPr>
                  <w:tcW w:w="442" w:type="pct"/>
                  <w:tcBorders>
                    <w:tl2br w:val="nil"/>
                    <w:tr2bl w:val="nil"/>
                  </w:tcBorders>
                  <w:shd w:val="clear" w:color="auto" w:fill="auto"/>
                  <w:vAlign w:val="center"/>
                </w:tcPr>
                <w:p w14:paraId="79972620">
                  <w:pPr>
                    <w:pStyle w:val="54"/>
                    <w:rPr>
                      <w:color w:val="auto"/>
                    </w:rPr>
                  </w:pPr>
                  <w:r>
                    <w:rPr>
                      <w:color w:val="auto"/>
                    </w:rPr>
                    <w:t>350</w:t>
                  </w:r>
                </w:p>
              </w:tc>
              <w:tc>
                <w:tcPr>
                  <w:tcW w:w="442" w:type="pct"/>
                  <w:gridSpan w:val="2"/>
                  <w:tcBorders>
                    <w:tl2br w:val="nil"/>
                    <w:tr2bl w:val="nil"/>
                  </w:tcBorders>
                  <w:shd w:val="clear" w:color="auto" w:fill="auto"/>
                  <w:vAlign w:val="center"/>
                </w:tcPr>
                <w:p w14:paraId="5EEC3230">
                  <w:pPr>
                    <w:pStyle w:val="54"/>
                    <w:rPr>
                      <w:color w:val="auto"/>
                    </w:rPr>
                  </w:pPr>
                  <w:r>
                    <w:rPr>
                      <w:color w:val="auto"/>
                    </w:rPr>
                    <w:t>700</w:t>
                  </w:r>
                </w:p>
              </w:tc>
              <w:tc>
                <w:tcPr>
                  <w:tcW w:w="442" w:type="pct"/>
                  <w:tcBorders>
                    <w:tl2br w:val="nil"/>
                    <w:tr2bl w:val="nil"/>
                  </w:tcBorders>
                  <w:shd w:val="clear" w:color="auto" w:fill="auto"/>
                  <w:vAlign w:val="center"/>
                </w:tcPr>
                <w:p w14:paraId="3D4EABA6">
                  <w:pPr>
                    <w:pStyle w:val="54"/>
                    <w:rPr>
                      <w:color w:val="auto"/>
                    </w:rPr>
                  </w:pPr>
                  <w:r>
                    <w:rPr>
                      <w:color w:val="auto"/>
                    </w:rPr>
                    <w:t>470</w:t>
                  </w:r>
                </w:p>
              </w:tc>
              <w:tc>
                <w:tcPr>
                  <w:tcW w:w="442" w:type="pct"/>
                  <w:tcBorders>
                    <w:tl2br w:val="nil"/>
                    <w:tr2bl w:val="nil"/>
                  </w:tcBorders>
                  <w:shd w:val="clear" w:color="auto" w:fill="auto"/>
                  <w:vAlign w:val="center"/>
                </w:tcPr>
                <w:p w14:paraId="13EDA7DF">
                  <w:pPr>
                    <w:pStyle w:val="54"/>
                    <w:rPr>
                      <w:color w:val="auto"/>
                    </w:rPr>
                  </w:pPr>
                  <w:r>
                    <w:rPr>
                      <w:color w:val="auto"/>
                    </w:rPr>
                    <w:t>350</w:t>
                  </w:r>
                </w:p>
              </w:tc>
              <w:tc>
                <w:tcPr>
                  <w:tcW w:w="442" w:type="pct"/>
                  <w:gridSpan w:val="2"/>
                  <w:tcBorders>
                    <w:tl2br w:val="nil"/>
                    <w:tr2bl w:val="nil"/>
                  </w:tcBorders>
                  <w:shd w:val="clear" w:color="auto" w:fill="auto"/>
                  <w:vAlign w:val="center"/>
                </w:tcPr>
                <w:p w14:paraId="4B594FD4">
                  <w:pPr>
                    <w:pStyle w:val="54"/>
                    <w:rPr>
                      <w:color w:val="auto"/>
                    </w:rPr>
                  </w:pPr>
                  <w:r>
                    <w:rPr>
                      <w:color w:val="auto"/>
                    </w:rPr>
                    <w:t>380</w:t>
                  </w:r>
                </w:p>
              </w:tc>
              <w:tc>
                <w:tcPr>
                  <w:tcW w:w="442" w:type="pct"/>
                  <w:tcBorders>
                    <w:tl2br w:val="nil"/>
                    <w:tr2bl w:val="nil"/>
                  </w:tcBorders>
                  <w:shd w:val="clear" w:color="auto" w:fill="auto"/>
                  <w:vAlign w:val="center"/>
                </w:tcPr>
                <w:p w14:paraId="4409BD25">
                  <w:pPr>
                    <w:pStyle w:val="54"/>
                    <w:rPr>
                      <w:color w:val="auto"/>
                    </w:rPr>
                  </w:pPr>
                  <w:r>
                    <w:rPr>
                      <w:color w:val="auto"/>
                    </w:rPr>
                    <w:t>250</w:t>
                  </w:r>
                </w:p>
              </w:tc>
              <w:tc>
                <w:tcPr>
                  <w:tcW w:w="444" w:type="pct"/>
                  <w:tcBorders>
                    <w:tl2br w:val="nil"/>
                    <w:tr2bl w:val="nil"/>
                  </w:tcBorders>
                  <w:shd w:val="clear" w:color="auto" w:fill="auto"/>
                  <w:vAlign w:val="center"/>
                </w:tcPr>
                <w:p w14:paraId="25681470">
                  <w:pPr>
                    <w:pStyle w:val="54"/>
                    <w:rPr>
                      <w:color w:val="auto"/>
                    </w:rPr>
                  </w:pPr>
                  <w:r>
                    <w:rPr>
                      <w:color w:val="auto"/>
                    </w:rPr>
                    <w:t>190</w:t>
                  </w:r>
                </w:p>
              </w:tc>
            </w:tr>
            <w:tr w14:paraId="5C88C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jc w:val="center"/>
              </w:trPr>
              <w:tc>
                <w:tcPr>
                  <w:tcW w:w="401" w:type="pct"/>
                  <w:vMerge w:val="continue"/>
                  <w:tcBorders>
                    <w:tl2br w:val="nil"/>
                    <w:tr2bl w:val="nil"/>
                  </w:tcBorders>
                  <w:shd w:val="clear" w:color="auto" w:fill="auto"/>
                  <w:vAlign w:val="center"/>
                </w:tcPr>
                <w:p w14:paraId="0735B095">
                  <w:pPr>
                    <w:rPr>
                      <w:color w:val="auto"/>
                    </w:rPr>
                  </w:pPr>
                </w:p>
              </w:tc>
              <w:tc>
                <w:tcPr>
                  <w:tcW w:w="615" w:type="pct"/>
                  <w:tcBorders>
                    <w:tl2br w:val="nil"/>
                    <w:tr2bl w:val="nil"/>
                  </w:tcBorders>
                  <w:shd w:val="clear" w:color="auto" w:fill="auto"/>
                  <w:vAlign w:val="center"/>
                </w:tcPr>
                <w:p w14:paraId="191A65FE">
                  <w:pPr>
                    <w:pStyle w:val="54"/>
                    <w:rPr>
                      <w:color w:val="auto"/>
                    </w:rPr>
                  </w:pPr>
                  <w:r>
                    <w:rPr>
                      <w:color w:val="auto"/>
                    </w:rPr>
                    <w:t>&gt;4</w:t>
                  </w:r>
                </w:p>
              </w:tc>
              <w:tc>
                <w:tcPr>
                  <w:tcW w:w="442" w:type="pct"/>
                  <w:tcBorders>
                    <w:tl2br w:val="nil"/>
                    <w:tr2bl w:val="nil"/>
                  </w:tcBorders>
                  <w:shd w:val="clear" w:color="auto" w:fill="auto"/>
                  <w:vAlign w:val="center"/>
                </w:tcPr>
                <w:p w14:paraId="22A387A5">
                  <w:pPr>
                    <w:pStyle w:val="54"/>
                    <w:rPr>
                      <w:color w:val="auto"/>
                    </w:rPr>
                  </w:pPr>
                  <w:r>
                    <w:rPr>
                      <w:color w:val="auto"/>
                    </w:rPr>
                    <w:t>530</w:t>
                  </w:r>
                </w:p>
              </w:tc>
              <w:tc>
                <w:tcPr>
                  <w:tcW w:w="442" w:type="pct"/>
                  <w:tcBorders>
                    <w:tl2br w:val="nil"/>
                    <w:tr2bl w:val="nil"/>
                  </w:tcBorders>
                  <w:shd w:val="clear" w:color="auto" w:fill="auto"/>
                  <w:vAlign w:val="center"/>
                </w:tcPr>
                <w:p w14:paraId="239750C9">
                  <w:pPr>
                    <w:pStyle w:val="54"/>
                    <w:rPr>
                      <w:color w:val="auto"/>
                    </w:rPr>
                  </w:pPr>
                  <w:r>
                    <w:rPr>
                      <w:color w:val="auto"/>
                    </w:rPr>
                    <w:t>350</w:t>
                  </w:r>
                </w:p>
              </w:tc>
              <w:tc>
                <w:tcPr>
                  <w:tcW w:w="442" w:type="pct"/>
                  <w:tcBorders>
                    <w:tl2br w:val="nil"/>
                    <w:tr2bl w:val="nil"/>
                  </w:tcBorders>
                  <w:shd w:val="clear" w:color="auto" w:fill="auto"/>
                  <w:vAlign w:val="center"/>
                </w:tcPr>
                <w:p w14:paraId="3816E743">
                  <w:pPr>
                    <w:pStyle w:val="54"/>
                    <w:rPr>
                      <w:color w:val="auto"/>
                    </w:rPr>
                  </w:pPr>
                  <w:r>
                    <w:rPr>
                      <w:color w:val="auto"/>
                    </w:rPr>
                    <w:t>260</w:t>
                  </w:r>
                </w:p>
              </w:tc>
              <w:tc>
                <w:tcPr>
                  <w:tcW w:w="442" w:type="pct"/>
                  <w:gridSpan w:val="2"/>
                  <w:tcBorders>
                    <w:tl2br w:val="nil"/>
                    <w:tr2bl w:val="nil"/>
                  </w:tcBorders>
                  <w:shd w:val="clear" w:color="auto" w:fill="auto"/>
                  <w:vAlign w:val="center"/>
                </w:tcPr>
                <w:p w14:paraId="52BDAE1F">
                  <w:pPr>
                    <w:pStyle w:val="54"/>
                    <w:rPr>
                      <w:color w:val="auto"/>
                    </w:rPr>
                  </w:pPr>
                  <w:r>
                    <w:rPr>
                      <w:color w:val="auto"/>
                    </w:rPr>
                    <w:t>530</w:t>
                  </w:r>
                </w:p>
              </w:tc>
              <w:tc>
                <w:tcPr>
                  <w:tcW w:w="442" w:type="pct"/>
                  <w:tcBorders>
                    <w:tl2br w:val="nil"/>
                    <w:tr2bl w:val="nil"/>
                  </w:tcBorders>
                  <w:shd w:val="clear" w:color="auto" w:fill="auto"/>
                  <w:vAlign w:val="center"/>
                </w:tcPr>
                <w:p w14:paraId="24E12CC5">
                  <w:pPr>
                    <w:pStyle w:val="54"/>
                    <w:rPr>
                      <w:color w:val="auto"/>
                    </w:rPr>
                  </w:pPr>
                  <w:r>
                    <w:rPr>
                      <w:color w:val="auto"/>
                    </w:rPr>
                    <w:t>350</w:t>
                  </w:r>
                </w:p>
              </w:tc>
              <w:tc>
                <w:tcPr>
                  <w:tcW w:w="442" w:type="pct"/>
                  <w:tcBorders>
                    <w:tl2br w:val="nil"/>
                    <w:tr2bl w:val="nil"/>
                  </w:tcBorders>
                  <w:shd w:val="clear" w:color="auto" w:fill="auto"/>
                  <w:vAlign w:val="center"/>
                </w:tcPr>
                <w:p w14:paraId="07EB8C14">
                  <w:pPr>
                    <w:pStyle w:val="54"/>
                    <w:rPr>
                      <w:color w:val="auto"/>
                    </w:rPr>
                  </w:pPr>
                  <w:r>
                    <w:rPr>
                      <w:color w:val="auto"/>
                    </w:rPr>
                    <w:t>260</w:t>
                  </w:r>
                </w:p>
              </w:tc>
              <w:tc>
                <w:tcPr>
                  <w:tcW w:w="442" w:type="pct"/>
                  <w:gridSpan w:val="2"/>
                  <w:tcBorders>
                    <w:tl2br w:val="nil"/>
                    <w:tr2bl w:val="nil"/>
                  </w:tcBorders>
                  <w:shd w:val="clear" w:color="auto" w:fill="auto"/>
                  <w:vAlign w:val="center"/>
                </w:tcPr>
                <w:p w14:paraId="0551A1DA">
                  <w:pPr>
                    <w:pStyle w:val="54"/>
                    <w:rPr>
                      <w:color w:val="auto"/>
                    </w:rPr>
                  </w:pPr>
                  <w:r>
                    <w:rPr>
                      <w:color w:val="auto"/>
                    </w:rPr>
                    <w:t>290</w:t>
                  </w:r>
                </w:p>
              </w:tc>
              <w:tc>
                <w:tcPr>
                  <w:tcW w:w="442" w:type="pct"/>
                  <w:tcBorders>
                    <w:tl2br w:val="nil"/>
                    <w:tr2bl w:val="nil"/>
                  </w:tcBorders>
                  <w:shd w:val="clear" w:color="auto" w:fill="auto"/>
                  <w:vAlign w:val="center"/>
                </w:tcPr>
                <w:p w14:paraId="4A15F31F">
                  <w:pPr>
                    <w:pStyle w:val="54"/>
                    <w:rPr>
                      <w:color w:val="auto"/>
                    </w:rPr>
                  </w:pPr>
                  <w:r>
                    <w:rPr>
                      <w:color w:val="auto"/>
                    </w:rPr>
                    <w:t>190</w:t>
                  </w:r>
                </w:p>
              </w:tc>
              <w:tc>
                <w:tcPr>
                  <w:tcW w:w="444" w:type="pct"/>
                  <w:tcBorders>
                    <w:tl2br w:val="nil"/>
                    <w:tr2bl w:val="nil"/>
                  </w:tcBorders>
                  <w:shd w:val="clear" w:color="auto" w:fill="auto"/>
                  <w:vAlign w:val="center"/>
                </w:tcPr>
                <w:p w14:paraId="2BAE1EB2">
                  <w:pPr>
                    <w:pStyle w:val="54"/>
                    <w:rPr>
                      <w:color w:val="auto"/>
                    </w:rPr>
                  </w:pPr>
                  <w:r>
                    <w:rPr>
                      <w:color w:val="auto"/>
                    </w:rPr>
                    <w:t>140</w:t>
                  </w:r>
                </w:p>
              </w:tc>
            </w:tr>
            <w:tr w14:paraId="7B02E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jc w:val="center"/>
              </w:trPr>
              <w:tc>
                <w:tcPr>
                  <w:tcW w:w="401" w:type="pct"/>
                  <w:vMerge w:val="restart"/>
                  <w:tcBorders>
                    <w:tl2br w:val="nil"/>
                    <w:tr2bl w:val="nil"/>
                  </w:tcBorders>
                  <w:shd w:val="clear" w:color="auto" w:fill="auto"/>
                  <w:vAlign w:val="center"/>
                </w:tcPr>
                <w:p w14:paraId="67FFB42D">
                  <w:pPr>
                    <w:pStyle w:val="54"/>
                    <w:rPr>
                      <w:color w:val="auto"/>
                    </w:rPr>
                  </w:pPr>
                  <w:r>
                    <w:rPr>
                      <w:color w:val="auto"/>
                    </w:rPr>
                    <w:t>B</w:t>
                  </w:r>
                </w:p>
              </w:tc>
              <w:tc>
                <w:tcPr>
                  <w:tcW w:w="615" w:type="pct"/>
                  <w:tcBorders>
                    <w:tl2br w:val="nil"/>
                    <w:tr2bl w:val="nil"/>
                  </w:tcBorders>
                  <w:shd w:val="clear" w:color="auto" w:fill="auto"/>
                  <w:vAlign w:val="center"/>
                </w:tcPr>
                <w:p w14:paraId="23270CD6">
                  <w:pPr>
                    <w:pStyle w:val="54"/>
                    <w:rPr>
                      <w:color w:val="auto"/>
                    </w:rPr>
                  </w:pPr>
                  <w:r>
                    <w:rPr>
                      <w:color w:val="auto"/>
                    </w:rPr>
                    <w:t>&lt;2</w:t>
                  </w:r>
                </w:p>
              </w:tc>
              <w:tc>
                <w:tcPr>
                  <w:tcW w:w="1327" w:type="pct"/>
                  <w:gridSpan w:val="4"/>
                  <w:tcBorders>
                    <w:tl2br w:val="nil"/>
                    <w:tr2bl w:val="nil"/>
                  </w:tcBorders>
                  <w:shd w:val="clear" w:color="auto" w:fill="auto"/>
                  <w:vAlign w:val="center"/>
                </w:tcPr>
                <w:p w14:paraId="6186AA69">
                  <w:pPr>
                    <w:pStyle w:val="54"/>
                    <w:rPr>
                      <w:color w:val="auto"/>
                    </w:rPr>
                  </w:pPr>
                  <w:r>
                    <w:rPr>
                      <w:color w:val="auto"/>
                    </w:rPr>
                    <w:t>0.01</w:t>
                  </w:r>
                </w:p>
              </w:tc>
              <w:tc>
                <w:tcPr>
                  <w:tcW w:w="1327" w:type="pct"/>
                  <w:gridSpan w:val="4"/>
                  <w:tcBorders>
                    <w:tl2br w:val="nil"/>
                    <w:tr2bl w:val="nil"/>
                  </w:tcBorders>
                  <w:shd w:val="clear" w:color="auto" w:fill="auto"/>
                  <w:vAlign w:val="center"/>
                </w:tcPr>
                <w:p w14:paraId="0C56CFCA">
                  <w:pPr>
                    <w:pStyle w:val="54"/>
                    <w:rPr>
                      <w:color w:val="auto"/>
                    </w:rPr>
                  </w:pPr>
                  <w:r>
                    <w:rPr>
                      <w:color w:val="auto"/>
                    </w:rPr>
                    <w:t>0.015</w:t>
                  </w:r>
                </w:p>
              </w:tc>
              <w:tc>
                <w:tcPr>
                  <w:tcW w:w="1327" w:type="pct"/>
                  <w:gridSpan w:val="3"/>
                  <w:tcBorders>
                    <w:tl2br w:val="nil"/>
                    <w:tr2bl w:val="nil"/>
                  </w:tcBorders>
                  <w:shd w:val="clear" w:color="auto" w:fill="auto"/>
                  <w:vAlign w:val="center"/>
                </w:tcPr>
                <w:p w14:paraId="04427CC3">
                  <w:pPr>
                    <w:pStyle w:val="54"/>
                    <w:rPr>
                      <w:color w:val="auto"/>
                    </w:rPr>
                  </w:pPr>
                  <w:r>
                    <w:rPr>
                      <w:color w:val="auto"/>
                    </w:rPr>
                    <w:t>0.015</w:t>
                  </w:r>
                </w:p>
              </w:tc>
            </w:tr>
            <w:tr w14:paraId="3E6563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jc w:val="center"/>
              </w:trPr>
              <w:tc>
                <w:tcPr>
                  <w:tcW w:w="401" w:type="pct"/>
                  <w:vMerge w:val="continue"/>
                  <w:tcBorders>
                    <w:tl2br w:val="nil"/>
                    <w:tr2bl w:val="nil"/>
                  </w:tcBorders>
                  <w:shd w:val="clear" w:color="auto" w:fill="auto"/>
                  <w:vAlign w:val="center"/>
                </w:tcPr>
                <w:p w14:paraId="6D36BC23">
                  <w:pPr>
                    <w:rPr>
                      <w:color w:val="auto"/>
                    </w:rPr>
                  </w:pPr>
                </w:p>
              </w:tc>
              <w:tc>
                <w:tcPr>
                  <w:tcW w:w="615" w:type="pct"/>
                  <w:tcBorders>
                    <w:tl2br w:val="nil"/>
                    <w:tr2bl w:val="nil"/>
                  </w:tcBorders>
                  <w:shd w:val="clear" w:color="auto" w:fill="auto"/>
                  <w:vAlign w:val="center"/>
                </w:tcPr>
                <w:p w14:paraId="06753C05">
                  <w:pPr>
                    <w:pStyle w:val="54"/>
                    <w:rPr>
                      <w:color w:val="auto"/>
                    </w:rPr>
                  </w:pPr>
                  <w:r>
                    <w:rPr>
                      <w:color w:val="auto"/>
                    </w:rPr>
                    <w:t>&gt;2</w:t>
                  </w:r>
                </w:p>
              </w:tc>
              <w:tc>
                <w:tcPr>
                  <w:tcW w:w="1327" w:type="pct"/>
                  <w:gridSpan w:val="4"/>
                  <w:tcBorders>
                    <w:tl2br w:val="nil"/>
                    <w:tr2bl w:val="nil"/>
                  </w:tcBorders>
                  <w:shd w:val="clear" w:color="auto" w:fill="D7D7D7" w:themeFill="background1" w:themeFillShade="D8"/>
                  <w:vAlign w:val="center"/>
                </w:tcPr>
                <w:p w14:paraId="7BA1E510">
                  <w:pPr>
                    <w:pStyle w:val="54"/>
                    <w:rPr>
                      <w:color w:val="auto"/>
                    </w:rPr>
                  </w:pPr>
                  <w:r>
                    <w:rPr>
                      <w:color w:val="auto"/>
                    </w:rPr>
                    <w:t>0.021</w:t>
                  </w:r>
                </w:p>
              </w:tc>
              <w:tc>
                <w:tcPr>
                  <w:tcW w:w="1327" w:type="pct"/>
                  <w:gridSpan w:val="4"/>
                  <w:tcBorders>
                    <w:tl2br w:val="nil"/>
                    <w:tr2bl w:val="nil"/>
                  </w:tcBorders>
                  <w:shd w:val="clear" w:color="auto" w:fill="auto"/>
                  <w:vAlign w:val="center"/>
                </w:tcPr>
                <w:p w14:paraId="0DFCAB27">
                  <w:pPr>
                    <w:pStyle w:val="54"/>
                    <w:rPr>
                      <w:color w:val="auto"/>
                    </w:rPr>
                  </w:pPr>
                  <w:r>
                    <w:rPr>
                      <w:color w:val="auto"/>
                    </w:rPr>
                    <w:t>0.036</w:t>
                  </w:r>
                </w:p>
              </w:tc>
              <w:tc>
                <w:tcPr>
                  <w:tcW w:w="1327" w:type="pct"/>
                  <w:gridSpan w:val="3"/>
                  <w:tcBorders>
                    <w:tl2br w:val="nil"/>
                    <w:tr2bl w:val="nil"/>
                  </w:tcBorders>
                  <w:shd w:val="clear" w:color="auto" w:fill="auto"/>
                  <w:vAlign w:val="center"/>
                </w:tcPr>
                <w:p w14:paraId="46E22F30">
                  <w:pPr>
                    <w:pStyle w:val="54"/>
                    <w:rPr>
                      <w:color w:val="auto"/>
                    </w:rPr>
                  </w:pPr>
                  <w:r>
                    <w:rPr>
                      <w:color w:val="auto"/>
                    </w:rPr>
                    <w:t>0.036</w:t>
                  </w:r>
                </w:p>
              </w:tc>
            </w:tr>
            <w:tr w14:paraId="3AEB7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jc w:val="center"/>
              </w:trPr>
              <w:tc>
                <w:tcPr>
                  <w:tcW w:w="401" w:type="pct"/>
                  <w:vMerge w:val="restart"/>
                  <w:tcBorders>
                    <w:tl2br w:val="nil"/>
                    <w:tr2bl w:val="nil"/>
                  </w:tcBorders>
                  <w:shd w:val="clear" w:color="auto" w:fill="auto"/>
                  <w:vAlign w:val="center"/>
                </w:tcPr>
                <w:p w14:paraId="73EAC24C">
                  <w:pPr>
                    <w:pStyle w:val="54"/>
                    <w:rPr>
                      <w:color w:val="auto"/>
                    </w:rPr>
                  </w:pPr>
                  <w:r>
                    <w:rPr>
                      <w:color w:val="auto"/>
                    </w:rPr>
                    <w:t>C</w:t>
                  </w:r>
                </w:p>
              </w:tc>
              <w:tc>
                <w:tcPr>
                  <w:tcW w:w="615" w:type="pct"/>
                  <w:tcBorders>
                    <w:tl2br w:val="nil"/>
                    <w:tr2bl w:val="nil"/>
                  </w:tcBorders>
                  <w:shd w:val="clear" w:color="auto" w:fill="auto"/>
                  <w:vAlign w:val="center"/>
                </w:tcPr>
                <w:p w14:paraId="4D3794CC">
                  <w:pPr>
                    <w:pStyle w:val="54"/>
                    <w:rPr>
                      <w:color w:val="auto"/>
                    </w:rPr>
                  </w:pPr>
                  <w:r>
                    <w:rPr>
                      <w:color w:val="auto"/>
                    </w:rPr>
                    <w:t>&lt;2</w:t>
                  </w:r>
                </w:p>
              </w:tc>
              <w:tc>
                <w:tcPr>
                  <w:tcW w:w="1327" w:type="pct"/>
                  <w:gridSpan w:val="4"/>
                  <w:tcBorders>
                    <w:tl2br w:val="nil"/>
                    <w:tr2bl w:val="nil"/>
                  </w:tcBorders>
                  <w:shd w:val="clear" w:color="auto" w:fill="auto"/>
                  <w:vAlign w:val="center"/>
                </w:tcPr>
                <w:p w14:paraId="240E08A3">
                  <w:pPr>
                    <w:pStyle w:val="54"/>
                    <w:rPr>
                      <w:color w:val="auto"/>
                    </w:rPr>
                  </w:pPr>
                  <w:r>
                    <w:rPr>
                      <w:color w:val="auto"/>
                    </w:rPr>
                    <w:t>1.85</w:t>
                  </w:r>
                </w:p>
              </w:tc>
              <w:tc>
                <w:tcPr>
                  <w:tcW w:w="1327" w:type="pct"/>
                  <w:gridSpan w:val="4"/>
                  <w:tcBorders>
                    <w:tl2br w:val="nil"/>
                    <w:tr2bl w:val="nil"/>
                  </w:tcBorders>
                  <w:shd w:val="clear" w:color="auto" w:fill="auto"/>
                  <w:vAlign w:val="center"/>
                </w:tcPr>
                <w:p w14:paraId="36C6722B">
                  <w:pPr>
                    <w:pStyle w:val="54"/>
                    <w:rPr>
                      <w:color w:val="auto"/>
                    </w:rPr>
                  </w:pPr>
                  <w:r>
                    <w:rPr>
                      <w:color w:val="auto"/>
                    </w:rPr>
                    <w:t>1.79</w:t>
                  </w:r>
                </w:p>
              </w:tc>
              <w:tc>
                <w:tcPr>
                  <w:tcW w:w="1327" w:type="pct"/>
                  <w:gridSpan w:val="3"/>
                  <w:tcBorders>
                    <w:tl2br w:val="nil"/>
                    <w:tr2bl w:val="nil"/>
                  </w:tcBorders>
                  <w:shd w:val="clear" w:color="auto" w:fill="auto"/>
                  <w:vAlign w:val="center"/>
                </w:tcPr>
                <w:p w14:paraId="3D3D2FE0">
                  <w:pPr>
                    <w:pStyle w:val="54"/>
                    <w:rPr>
                      <w:color w:val="auto"/>
                    </w:rPr>
                  </w:pPr>
                  <w:r>
                    <w:rPr>
                      <w:color w:val="auto"/>
                    </w:rPr>
                    <w:t>1.79</w:t>
                  </w:r>
                </w:p>
              </w:tc>
            </w:tr>
            <w:tr w14:paraId="14E27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01" w:type="pct"/>
                  <w:vMerge w:val="continue"/>
                  <w:tcBorders>
                    <w:tl2br w:val="nil"/>
                    <w:tr2bl w:val="nil"/>
                  </w:tcBorders>
                  <w:shd w:val="clear" w:color="auto" w:fill="auto"/>
                  <w:vAlign w:val="center"/>
                </w:tcPr>
                <w:p w14:paraId="13007B52">
                  <w:pPr>
                    <w:rPr>
                      <w:color w:val="auto"/>
                    </w:rPr>
                  </w:pPr>
                </w:p>
              </w:tc>
              <w:tc>
                <w:tcPr>
                  <w:tcW w:w="615" w:type="pct"/>
                  <w:tcBorders>
                    <w:tl2br w:val="nil"/>
                    <w:tr2bl w:val="nil"/>
                  </w:tcBorders>
                  <w:shd w:val="clear" w:color="auto" w:fill="auto"/>
                  <w:vAlign w:val="center"/>
                </w:tcPr>
                <w:p w14:paraId="3A9E2744">
                  <w:pPr>
                    <w:pStyle w:val="54"/>
                    <w:rPr>
                      <w:color w:val="auto"/>
                    </w:rPr>
                  </w:pPr>
                  <w:r>
                    <w:rPr>
                      <w:color w:val="auto"/>
                    </w:rPr>
                    <w:t>&gt;2</w:t>
                  </w:r>
                </w:p>
              </w:tc>
              <w:tc>
                <w:tcPr>
                  <w:tcW w:w="1327" w:type="pct"/>
                  <w:gridSpan w:val="4"/>
                  <w:tcBorders>
                    <w:tl2br w:val="nil"/>
                    <w:tr2bl w:val="nil"/>
                  </w:tcBorders>
                  <w:shd w:val="clear" w:color="auto" w:fill="D7D7D7" w:themeFill="background1" w:themeFillShade="D8"/>
                  <w:vAlign w:val="center"/>
                </w:tcPr>
                <w:p w14:paraId="3AE9A2E7">
                  <w:pPr>
                    <w:pStyle w:val="54"/>
                    <w:rPr>
                      <w:color w:val="auto"/>
                    </w:rPr>
                  </w:pPr>
                  <w:r>
                    <w:rPr>
                      <w:color w:val="auto"/>
                    </w:rPr>
                    <w:t>1.85</w:t>
                  </w:r>
                </w:p>
              </w:tc>
              <w:tc>
                <w:tcPr>
                  <w:tcW w:w="1327" w:type="pct"/>
                  <w:gridSpan w:val="4"/>
                  <w:tcBorders>
                    <w:tl2br w:val="nil"/>
                    <w:tr2bl w:val="nil"/>
                  </w:tcBorders>
                  <w:shd w:val="clear" w:color="auto" w:fill="auto"/>
                  <w:vAlign w:val="center"/>
                </w:tcPr>
                <w:p w14:paraId="52FF419D">
                  <w:pPr>
                    <w:pStyle w:val="54"/>
                    <w:rPr>
                      <w:color w:val="auto"/>
                    </w:rPr>
                  </w:pPr>
                  <w:r>
                    <w:rPr>
                      <w:color w:val="auto"/>
                    </w:rPr>
                    <w:t>1.77</w:t>
                  </w:r>
                </w:p>
              </w:tc>
              <w:tc>
                <w:tcPr>
                  <w:tcW w:w="1327" w:type="pct"/>
                  <w:gridSpan w:val="3"/>
                  <w:tcBorders>
                    <w:tl2br w:val="nil"/>
                    <w:tr2bl w:val="nil"/>
                  </w:tcBorders>
                  <w:shd w:val="clear" w:color="auto" w:fill="auto"/>
                  <w:vAlign w:val="center"/>
                </w:tcPr>
                <w:p w14:paraId="38F5D901">
                  <w:pPr>
                    <w:pStyle w:val="54"/>
                    <w:rPr>
                      <w:color w:val="auto"/>
                    </w:rPr>
                  </w:pPr>
                  <w:r>
                    <w:rPr>
                      <w:color w:val="auto"/>
                    </w:rPr>
                    <w:t>1.77</w:t>
                  </w:r>
                </w:p>
              </w:tc>
            </w:tr>
            <w:tr w14:paraId="5EA272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jc w:val="center"/>
              </w:trPr>
              <w:tc>
                <w:tcPr>
                  <w:tcW w:w="401" w:type="pct"/>
                  <w:vMerge w:val="restart"/>
                  <w:tcBorders>
                    <w:tl2br w:val="nil"/>
                    <w:tr2bl w:val="nil"/>
                  </w:tcBorders>
                  <w:shd w:val="clear" w:color="auto" w:fill="auto"/>
                  <w:vAlign w:val="center"/>
                </w:tcPr>
                <w:p w14:paraId="15CF7C0C">
                  <w:pPr>
                    <w:pStyle w:val="54"/>
                    <w:rPr>
                      <w:color w:val="auto"/>
                    </w:rPr>
                  </w:pPr>
                  <w:r>
                    <w:rPr>
                      <w:color w:val="auto"/>
                    </w:rPr>
                    <w:t>D</w:t>
                  </w:r>
                </w:p>
              </w:tc>
              <w:tc>
                <w:tcPr>
                  <w:tcW w:w="615" w:type="pct"/>
                  <w:tcBorders>
                    <w:tl2br w:val="nil"/>
                    <w:tr2bl w:val="nil"/>
                  </w:tcBorders>
                  <w:shd w:val="clear" w:color="auto" w:fill="auto"/>
                  <w:vAlign w:val="center"/>
                </w:tcPr>
                <w:p w14:paraId="66FA4BDE">
                  <w:pPr>
                    <w:pStyle w:val="54"/>
                    <w:rPr>
                      <w:color w:val="auto"/>
                    </w:rPr>
                  </w:pPr>
                  <w:r>
                    <w:rPr>
                      <w:color w:val="auto"/>
                    </w:rPr>
                    <w:t>&lt;2</w:t>
                  </w:r>
                </w:p>
              </w:tc>
              <w:tc>
                <w:tcPr>
                  <w:tcW w:w="1327" w:type="pct"/>
                  <w:gridSpan w:val="4"/>
                  <w:tcBorders>
                    <w:tl2br w:val="nil"/>
                    <w:tr2bl w:val="nil"/>
                  </w:tcBorders>
                  <w:shd w:val="clear" w:color="auto" w:fill="auto"/>
                  <w:vAlign w:val="center"/>
                </w:tcPr>
                <w:p w14:paraId="7DF56C61">
                  <w:pPr>
                    <w:pStyle w:val="54"/>
                    <w:rPr>
                      <w:color w:val="auto"/>
                    </w:rPr>
                  </w:pPr>
                  <w:r>
                    <w:rPr>
                      <w:color w:val="auto"/>
                    </w:rPr>
                    <w:t>0.78</w:t>
                  </w:r>
                </w:p>
              </w:tc>
              <w:tc>
                <w:tcPr>
                  <w:tcW w:w="1327" w:type="pct"/>
                  <w:gridSpan w:val="4"/>
                  <w:tcBorders>
                    <w:tl2br w:val="nil"/>
                    <w:tr2bl w:val="nil"/>
                  </w:tcBorders>
                  <w:shd w:val="clear" w:color="auto" w:fill="auto"/>
                  <w:vAlign w:val="center"/>
                </w:tcPr>
                <w:p w14:paraId="7CF80495">
                  <w:pPr>
                    <w:pStyle w:val="54"/>
                    <w:rPr>
                      <w:color w:val="auto"/>
                    </w:rPr>
                  </w:pPr>
                  <w:r>
                    <w:rPr>
                      <w:color w:val="auto"/>
                    </w:rPr>
                    <w:t>0.78</w:t>
                  </w:r>
                </w:p>
              </w:tc>
              <w:tc>
                <w:tcPr>
                  <w:tcW w:w="1327" w:type="pct"/>
                  <w:gridSpan w:val="3"/>
                  <w:tcBorders>
                    <w:tl2br w:val="nil"/>
                    <w:tr2bl w:val="nil"/>
                  </w:tcBorders>
                  <w:shd w:val="clear" w:color="auto" w:fill="auto"/>
                  <w:vAlign w:val="center"/>
                </w:tcPr>
                <w:p w14:paraId="41F8E2A9">
                  <w:pPr>
                    <w:pStyle w:val="54"/>
                    <w:rPr>
                      <w:color w:val="auto"/>
                    </w:rPr>
                  </w:pPr>
                  <w:r>
                    <w:rPr>
                      <w:color w:val="auto"/>
                    </w:rPr>
                    <w:t>0.57</w:t>
                  </w:r>
                </w:p>
              </w:tc>
            </w:tr>
            <w:tr w14:paraId="5F725D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jc w:val="center"/>
              </w:trPr>
              <w:tc>
                <w:tcPr>
                  <w:tcW w:w="401" w:type="pct"/>
                  <w:vMerge w:val="continue"/>
                  <w:tcBorders>
                    <w:tl2br w:val="nil"/>
                    <w:tr2bl w:val="nil"/>
                  </w:tcBorders>
                  <w:shd w:val="clear" w:color="auto" w:fill="auto"/>
                  <w:vAlign w:val="center"/>
                </w:tcPr>
                <w:p w14:paraId="01F9FA3F">
                  <w:pPr>
                    <w:rPr>
                      <w:color w:val="auto"/>
                    </w:rPr>
                  </w:pPr>
                </w:p>
              </w:tc>
              <w:tc>
                <w:tcPr>
                  <w:tcW w:w="615" w:type="pct"/>
                  <w:tcBorders>
                    <w:tl2br w:val="nil"/>
                    <w:tr2bl w:val="nil"/>
                  </w:tcBorders>
                  <w:shd w:val="clear" w:color="auto" w:fill="auto"/>
                  <w:vAlign w:val="center"/>
                </w:tcPr>
                <w:p w14:paraId="2C2067E7">
                  <w:pPr>
                    <w:pStyle w:val="54"/>
                    <w:rPr>
                      <w:color w:val="auto"/>
                    </w:rPr>
                  </w:pPr>
                  <w:r>
                    <w:rPr>
                      <w:color w:val="auto"/>
                    </w:rPr>
                    <w:t>&gt;2</w:t>
                  </w:r>
                </w:p>
              </w:tc>
              <w:tc>
                <w:tcPr>
                  <w:tcW w:w="1327" w:type="pct"/>
                  <w:gridSpan w:val="4"/>
                  <w:tcBorders>
                    <w:tl2br w:val="nil"/>
                    <w:tr2bl w:val="nil"/>
                  </w:tcBorders>
                  <w:shd w:val="clear" w:color="auto" w:fill="D7D7D7" w:themeFill="background1" w:themeFillShade="D8"/>
                  <w:vAlign w:val="center"/>
                </w:tcPr>
                <w:p w14:paraId="389E1654">
                  <w:pPr>
                    <w:pStyle w:val="54"/>
                    <w:rPr>
                      <w:color w:val="auto"/>
                    </w:rPr>
                  </w:pPr>
                  <w:r>
                    <w:rPr>
                      <w:color w:val="auto"/>
                    </w:rPr>
                    <w:t>0.84</w:t>
                  </w:r>
                </w:p>
              </w:tc>
              <w:tc>
                <w:tcPr>
                  <w:tcW w:w="1327" w:type="pct"/>
                  <w:gridSpan w:val="4"/>
                  <w:tcBorders>
                    <w:tl2br w:val="nil"/>
                    <w:tr2bl w:val="nil"/>
                  </w:tcBorders>
                  <w:shd w:val="clear" w:color="auto" w:fill="auto"/>
                  <w:vAlign w:val="center"/>
                </w:tcPr>
                <w:p w14:paraId="5D1C40FB">
                  <w:pPr>
                    <w:pStyle w:val="54"/>
                    <w:rPr>
                      <w:color w:val="auto"/>
                    </w:rPr>
                  </w:pPr>
                  <w:r>
                    <w:rPr>
                      <w:color w:val="auto"/>
                    </w:rPr>
                    <w:t>0.84</w:t>
                  </w:r>
                </w:p>
              </w:tc>
              <w:tc>
                <w:tcPr>
                  <w:tcW w:w="1327" w:type="pct"/>
                  <w:gridSpan w:val="3"/>
                  <w:tcBorders>
                    <w:tl2br w:val="nil"/>
                    <w:tr2bl w:val="nil"/>
                  </w:tcBorders>
                  <w:shd w:val="clear" w:color="auto" w:fill="auto"/>
                  <w:vAlign w:val="center"/>
                </w:tcPr>
                <w:p w14:paraId="6AA7EE20">
                  <w:pPr>
                    <w:pStyle w:val="54"/>
                    <w:rPr>
                      <w:color w:val="auto"/>
                    </w:rPr>
                  </w:pPr>
                  <w:r>
                    <w:rPr>
                      <w:color w:val="auto"/>
                    </w:rPr>
                    <w:t>0.76</w:t>
                  </w:r>
                </w:p>
              </w:tc>
            </w:tr>
          </w:tbl>
          <w:p w14:paraId="2B51D0C2">
            <w:pPr>
              <w:pStyle w:val="50"/>
              <w:ind w:firstLine="480"/>
              <w:rPr>
                <w:color w:val="auto"/>
              </w:rPr>
            </w:pPr>
            <w:r>
              <w:rPr>
                <w:rFonts w:hint="eastAsia"/>
                <w:color w:val="auto"/>
              </w:rPr>
              <w:t>本扩建项目1#厂房无组织排放废气为颗粒物，危废库无组织排放废气为NMHC，无组织污染物等标排放量详见</w:t>
            </w:r>
            <w:r>
              <w:rPr>
                <w:color w:val="auto"/>
              </w:rPr>
              <w:fldChar w:fldCharType="begin"/>
            </w:r>
            <w:r>
              <w:rPr>
                <w:color w:val="auto"/>
              </w:rPr>
              <w:instrText xml:space="preserve"> REF _Ref1431 \h </w:instrText>
            </w:r>
            <w:r>
              <w:rPr>
                <w:color w:val="auto"/>
              </w:rPr>
              <w:fldChar w:fldCharType="separate"/>
            </w:r>
            <w:r>
              <w:rPr>
                <w:color w:val="auto"/>
              </w:rPr>
              <w:t>表4- 8</w:t>
            </w:r>
            <w:r>
              <w:rPr>
                <w:color w:val="auto"/>
              </w:rPr>
              <w:fldChar w:fldCharType="end"/>
            </w:r>
            <w:r>
              <w:rPr>
                <w:color w:val="auto"/>
              </w:rPr>
              <w:t>。</w:t>
            </w:r>
          </w:p>
          <w:p w14:paraId="3F074A60">
            <w:pPr>
              <w:pStyle w:val="7"/>
              <w:rPr>
                <w:color w:val="auto"/>
              </w:rPr>
            </w:pPr>
            <w:bookmarkStart w:id="86" w:name="_Ref1431"/>
            <w:r>
              <w:rPr>
                <w:color w:val="auto"/>
              </w:rPr>
              <w:t xml:space="preserve">表4- </w:t>
            </w:r>
            <w:r>
              <w:rPr>
                <w:color w:val="auto"/>
              </w:rPr>
              <w:fldChar w:fldCharType="begin"/>
            </w:r>
            <w:r>
              <w:rPr>
                <w:color w:val="auto"/>
              </w:rPr>
              <w:instrText xml:space="preserve"> SEQ 表4- \* ARABIC </w:instrText>
            </w:r>
            <w:r>
              <w:rPr>
                <w:color w:val="auto"/>
              </w:rPr>
              <w:fldChar w:fldCharType="separate"/>
            </w:r>
            <w:r>
              <w:rPr>
                <w:color w:val="auto"/>
              </w:rPr>
              <w:t>8</w:t>
            </w:r>
            <w:r>
              <w:rPr>
                <w:color w:val="auto"/>
              </w:rPr>
              <w:fldChar w:fldCharType="end"/>
            </w:r>
            <w:bookmarkEnd w:id="86"/>
            <w:r>
              <w:rPr>
                <w:color w:val="auto"/>
              </w:rPr>
              <w:t xml:space="preserve"> 项目污染物等标排放量计算结果</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0"/>
              <w:gridCol w:w="1171"/>
              <w:gridCol w:w="2564"/>
              <w:gridCol w:w="2483"/>
              <w:gridCol w:w="1275"/>
            </w:tblGrid>
            <w:tr w14:paraId="1BE47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557" w:type="pct"/>
                  <w:tcBorders>
                    <w:tl2br w:val="nil"/>
                    <w:tr2bl w:val="nil"/>
                  </w:tcBorders>
                  <w:shd w:val="clear" w:color="auto" w:fill="auto"/>
                  <w:vAlign w:val="center"/>
                </w:tcPr>
                <w:p w14:paraId="798D9137">
                  <w:pPr>
                    <w:pStyle w:val="52"/>
                    <w:rPr>
                      <w:color w:val="auto"/>
                    </w:rPr>
                  </w:pPr>
                  <w:r>
                    <w:rPr>
                      <w:color w:val="auto"/>
                    </w:rPr>
                    <w:t>车间</w:t>
                  </w:r>
                </w:p>
              </w:tc>
              <w:tc>
                <w:tcPr>
                  <w:tcW w:w="694" w:type="pct"/>
                  <w:tcBorders>
                    <w:tl2br w:val="nil"/>
                    <w:tr2bl w:val="nil"/>
                  </w:tcBorders>
                  <w:shd w:val="clear" w:color="auto" w:fill="auto"/>
                  <w:vAlign w:val="center"/>
                </w:tcPr>
                <w:p w14:paraId="5201201E">
                  <w:pPr>
                    <w:pStyle w:val="52"/>
                    <w:rPr>
                      <w:color w:val="auto"/>
                    </w:rPr>
                  </w:pPr>
                  <w:r>
                    <w:rPr>
                      <w:color w:val="auto"/>
                    </w:rPr>
                    <w:t>污染物</w:t>
                  </w:r>
                </w:p>
              </w:tc>
              <w:tc>
                <w:tcPr>
                  <w:tcW w:w="1520" w:type="pct"/>
                  <w:tcBorders>
                    <w:tl2br w:val="nil"/>
                    <w:tr2bl w:val="nil"/>
                  </w:tcBorders>
                  <w:shd w:val="clear" w:color="auto" w:fill="auto"/>
                  <w:vAlign w:val="center"/>
                </w:tcPr>
                <w:p w14:paraId="6F1EA3E4">
                  <w:pPr>
                    <w:pStyle w:val="52"/>
                    <w:rPr>
                      <w:color w:val="auto"/>
                    </w:rPr>
                  </w:pPr>
                  <w:r>
                    <w:rPr>
                      <w:color w:val="auto"/>
                    </w:rPr>
                    <w:t>无组织排放量</w:t>
                  </w:r>
                  <w:r>
                    <w:rPr>
                      <w:rFonts w:hint="eastAsia"/>
                      <w:color w:val="auto"/>
                    </w:rPr>
                    <w:t>（</w:t>
                  </w:r>
                  <w:r>
                    <w:rPr>
                      <w:color w:val="auto"/>
                    </w:rPr>
                    <w:t>Q</w:t>
                  </w:r>
                  <w:r>
                    <w:rPr>
                      <w:color w:val="auto"/>
                      <w:vertAlign w:val="subscript"/>
                    </w:rPr>
                    <w:t>c</w:t>
                  </w:r>
                  <w:r>
                    <w:rPr>
                      <w:color w:val="auto"/>
                    </w:rPr>
                    <w:t>kg/h）</w:t>
                  </w:r>
                </w:p>
              </w:tc>
              <w:tc>
                <w:tcPr>
                  <w:tcW w:w="1472" w:type="pct"/>
                  <w:tcBorders>
                    <w:tl2br w:val="nil"/>
                    <w:tr2bl w:val="nil"/>
                  </w:tcBorders>
                  <w:shd w:val="clear" w:color="auto" w:fill="auto"/>
                  <w:vAlign w:val="center"/>
                </w:tcPr>
                <w:p w14:paraId="7D71E595">
                  <w:pPr>
                    <w:pStyle w:val="52"/>
                    <w:rPr>
                      <w:color w:val="auto"/>
                    </w:rPr>
                  </w:pPr>
                  <w:r>
                    <w:rPr>
                      <w:color w:val="auto"/>
                    </w:rPr>
                    <w:t>标准限值C</w:t>
                  </w:r>
                  <w:r>
                    <w:rPr>
                      <w:color w:val="auto"/>
                      <w:vertAlign w:val="subscript"/>
                    </w:rPr>
                    <w:t>m</w:t>
                  </w:r>
                  <w:r>
                    <w:rPr>
                      <w:color w:val="auto"/>
                    </w:rPr>
                    <w:t>（mg/m</w:t>
                  </w:r>
                  <w:r>
                    <w:rPr>
                      <w:color w:val="auto"/>
                      <w:vertAlign w:val="superscript"/>
                    </w:rPr>
                    <w:t>3</w:t>
                  </w:r>
                  <w:r>
                    <w:rPr>
                      <w:color w:val="auto"/>
                    </w:rPr>
                    <w:t>）</w:t>
                  </w:r>
                </w:p>
              </w:tc>
              <w:tc>
                <w:tcPr>
                  <w:tcW w:w="755" w:type="pct"/>
                  <w:tcBorders>
                    <w:tl2br w:val="nil"/>
                    <w:tr2bl w:val="nil"/>
                  </w:tcBorders>
                  <w:shd w:val="clear" w:color="auto" w:fill="auto"/>
                  <w:vAlign w:val="center"/>
                </w:tcPr>
                <w:p w14:paraId="7DD837A5">
                  <w:pPr>
                    <w:pStyle w:val="52"/>
                    <w:rPr>
                      <w:color w:val="auto"/>
                    </w:rPr>
                  </w:pPr>
                  <w:r>
                    <w:rPr>
                      <w:color w:val="auto"/>
                    </w:rPr>
                    <w:t>Q</w:t>
                  </w:r>
                  <w:r>
                    <w:rPr>
                      <w:color w:val="auto"/>
                      <w:vertAlign w:val="subscript"/>
                    </w:rPr>
                    <w:t>c</w:t>
                  </w:r>
                  <w:r>
                    <w:rPr>
                      <w:color w:val="auto"/>
                    </w:rPr>
                    <w:t>/C</w:t>
                  </w:r>
                  <w:r>
                    <w:rPr>
                      <w:color w:val="auto"/>
                      <w:vertAlign w:val="subscript"/>
                    </w:rPr>
                    <w:t>m</w:t>
                  </w:r>
                </w:p>
              </w:tc>
            </w:tr>
            <w:tr w14:paraId="114F2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57" w:type="pct"/>
                  <w:tcBorders>
                    <w:tl2br w:val="nil"/>
                    <w:tr2bl w:val="nil"/>
                  </w:tcBorders>
                  <w:shd w:val="clear" w:color="auto" w:fill="auto"/>
                  <w:vAlign w:val="center"/>
                </w:tcPr>
                <w:p w14:paraId="01FEC4EE">
                  <w:pPr>
                    <w:pStyle w:val="54"/>
                    <w:bidi w:val="0"/>
                    <w:rPr>
                      <w:color w:val="auto"/>
                    </w:rPr>
                  </w:pPr>
                  <w:r>
                    <w:rPr>
                      <w:rFonts w:hint="eastAsia"/>
                      <w:color w:val="auto"/>
                    </w:rPr>
                    <w:t>1#厂房</w:t>
                  </w:r>
                </w:p>
              </w:tc>
              <w:tc>
                <w:tcPr>
                  <w:tcW w:w="694" w:type="pct"/>
                  <w:tcBorders>
                    <w:tl2br w:val="nil"/>
                    <w:tr2bl w:val="nil"/>
                  </w:tcBorders>
                  <w:shd w:val="clear" w:color="auto" w:fill="auto"/>
                  <w:vAlign w:val="center"/>
                </w:tcPr>
                <w:p w14:paraId="6E677CA7">
                  <w:pPr>
                    <w:pStyle w:val="54"/>
                    <w:bidi w:val="0"/>
                    <w:rPr>
                      <w:color w:val="auto"/>
                    </w:rPr>
                  </w:pPr>
                  <w:r>
                    <w:rPr>
                      <w:color w:val="auto"/>
                    </w:rPr>
                    <w:t>颗粒物</w:t>
                  </w:r>
                </w:p>
              </w:tc>
              <w:tc>
                <w:tcPr>
                  <w:tcW w:w="1520" w:type="pct"/>
                  <w:tcBorders>
                    <w:tl2br w:val="nil"/>
                    <w:tr2bl w:val="nil"/>
                  </w:tcBorders>
                  <w:shd w:val="clear" w:color="auto" w:fill="auto"/>
                  <w:vAlign w:val="center"/>
                </w:tcPr>
                <w:p w14:paraId="603E5CA0">
                  <w:pPr>
                    <w:pStyle w:val="54"/>
                    <w:bidi w:val="0"/>
                    <w:rPr>
                      <w:color w:val="auto"/>
                    </w:rPr>
                  </w:pPr>
                  <w:r>
                    <w:rPr>
                      <w:rFonts w:hint="default"/>
                      <w:color w:val="auto"/>
                      <w:lang w:val="en-US" w:eastAsia="zh-CN"/>
                    </w:rPr>
                    <w:t xml:space="preserve">0.1754 </w:t>
                  </w:r>
                </w:p>
              </w:tc>
              <w:tc>
                <w:tcPr>
                  <w:tcW w:w="1472" w:type="pct"/>
                  <w:tcBorders>
                    <w:tl2br w:val="nil"/>
                    <w:tr2bl w:val="nil"/>
                  </w:tcBorders>
                  <w:shd w:val="clear" w:color="auto" w:fill="auto"/>
                  <w:vAlign w:val="center"/>
                </w:tcPr>
                <w:p w14:paraId="22D90E7C">
                  <w:pPr>
                    <w:pStyle w:val="54"/>
                    <w:bidi w:val="0"/>
                    <w:rPr>
                      <w:color w:val="auto"/>
                    </w:rPr>
                  </w:pPr>
                  <w:r>
                    <w:rPr>
                      <w:color w:val="auto"/>
                    </w:rPr>
                    <w:t>0.9</w:t>
                  </w:r>
                </w:p>
              </w:tc>
              <w:tc>
                <w:tcPr>
                  <w:tcW w:w="755" w:type="pct"/>
                  <w:tcBorders>
                    <w:tl2br w:val="nil"/>
                    <w:tr2bl w:val="nil"/>
                  </w:tcBorders>
                  <w:shd w:val="clear" w:color="auto" w:fill="auto"/>
                  <w:vAlign w:val="center"/>
                </w:tcPr>
                <w:p w14:paraId="467DCE1F">
                  <w:pPr>
                    <w:pStyle w:val="54"/>
                    <w:bidi w:val="0"/>
                    <w:rPr>
                      <w:color w:val="auto"/>
                    </w:rPr>
                  </w:pPr>
                  <w:r>
                    <w:rPr>
                      <w:rFonts w:hint="eastAsia"/>
                      <w:color w:val="auto"/>
                    </w:rPr>
                    <w:t>0.1949</w:t>
                  </w:r>
                </w:p>
              </w:tc>
            </w:tr>
            <w:tr w14:paraId="6E2DFD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57" w:type="pct"/>
                  <w:tcBorders>
                    <w:tl2br w:val="nil"/>
                    <w:tr2bl w:val="nil"/>
                  </w:tcBorders>
                  <w:shd w:val="clear" w:color="auto" w:fill="auto"/>
                  <w:vAlign w:val="center"/>
                </w:tcPr>
                <w:p w14:paraId="098295E3">
                  <w:pPr>
                    <w:pStyle w:val="54"/>
                    <w:bidi w:val="0"/>
                    <w:rPr>
                      <w:color w:val="auto"/>
                    </w:rPr>
                  </w:pPr>
                  <w:r>
                    <w:rPr>
                      <w:rFonts w:hint="eastAsia"/>
                      <w:color w:val="auto"/>
                    </w:rPr>
                    <w:t>危废库</w:t>
                  </w:r>
                </w:p>
              </w:tc>
              <w:tc>
                <w:tcPr>
                  <w:tcW w:w="694" w:type="pct"/>
                  <w:tcBorders>
                    <w:tl2br w:val="nil"/>
                    <w:tr2bl w:val="nil"/>
                  </w:tcBorders>
                  <w:shd w:val="clear" w:color="auto" w:fill="auto"/>
                  <w:vAlign w:val="center"/>
                </w:tcPr>
                <w:p w14:paraId="5B9D71EC">
                  <w:pPr>
                    <w:pStyle w:val="54"/>
                    <w:bidi w:val="0"/>
                    <w:rPr>
                      <w:color w:val="auto"/>
                    </w:rPr>
                  </w:pPr>
                  <w:r>
                    <w:rPr>
                      <w:rFonts w:hint="eastAsia"/>
                      <w:color w:val="auto"/>
                    </w:rPr>
                    <w:t>NMHC</w:t>
                  </w:r>
                </w:p>
              </w:tc>
              <w:tc>
                <w:tcPr>
                  <w:tcW w:w="1520" w:type="pct"/>
                  <w:tcBorders>
                    <w:tl2br w:val="nil"/>
                    <w:tr2bl w:val="nil"/>
                  </w:tcBorders>
                  <w:shd w:val="clear" w:color="auto" w:fill="auto"/>
                  <w:vAlign w:val="center"/>
                </w:tcPr>
                <w:p w14:paraId="3B0B7EA4">
                  <w:pPr>
                    <w:pStyle w:val="54"/>
                    <w:bidi w:val="0"/>
                    <w:rPr>
                      <w:color w:val="auto"/>
                    </w:rPr>
                  </w:pPr>
                  <w:r>
                    <w:rPr>
                      <w:rFonts w:hint="default"/>
                      <w:color w:val="auto"/>
                      <w:lang w:val="en-US" w:eastAsia="zh-CN"/>
                    </w:rPr>
                    <w:t xml:space="preserve">0.000016 </w:t>
                  </w:r>
                </w:p>
              </w:tc>
              <w:tc>
                <w:tcPr>
                  <w:tcW w:w="1472" w:type="pct"/>
                  <w:tcBorders>
                    <w:tl2br w:val="nil"/>
                    <w:tr2bl w:val="nil"/>
                  </w:tcBorders>
                  <w:shd w:val="clear" w:color="auto" w:fill="auto"/>
                  <w:vAlign w:val="center"/>
                </w:tcPr>
                <w:p w14:paraId="0A76408B">
                  <w:pPr>
                    <w:pStyle w:val="54"/>
                    <w:bidi w:val="0"/>
                    <w:rPr>
                      <w:color w:val="auto"/>
                    </w:rPr>
                  </w:pPr>
                  <w:r>
                    <w:rPr>
                      <w:rFonts w:hint="eastAsia"/>
                      <w:color w:val="auto"/>
                    </w:rPr>
                    <w:t>0.6</w:t>
                  </w:r>
                </w:p>
              </w:tc>
              <w:tc>
                <w:tcPr>
                  <w:tcW w:w="755" w:type="pct"/>
                  <w:tcBorders>
                    <w:tl2br w:val="nil"/>
                    <w:tr2bl w:val="nil"/>
                  </w:tcBorders>
                  <w:shd w:val="clear" w:color="auto" w:fill="auto"/>
                  <w:vAlign w:val="center"/>
                </w:tcPr>
                <w:p w14:paraId="7C5878CA">
                  <w:pPr>
                    <w:pStyle w:val="54"/>
                    <w:bidi w:val="0"/>
                    <w:rPr>
                      <w:rFonts w:hint="default"/>
                      <w:color w:val="auto"/>
                      <w:lang w:val="en-US" w:eastAsia="zh-CN"/>
                    </w:rPr>
                  </w:pPr>
                  <w:r>
                    <w:rPr>
                      <w:rFonts w:hint="default"/>
                      <w:color w:val="auto"/>
                      <w:lang w:val="en-US" w:eastAsia="zh-CN"/>
                    </w:rPr>
                    <w:t xml:space="preserve">0.00003 </w:t>
                  </w:r>
                </w:p>
              </w:tc>
            </w:tr>
            <w:tr w14:paraId="12C3A5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gridSpan w:val="5"/>
                  <w:tcBorders>
                    <w:tl2br w:val="nil"/>
                    <w:tr2bl w:val="nil"/>
                  </w:tcBorders>
                  <w:shd w:val="clear" w:color="auto" w:fill="auto"/>
                  <w:vAlign w:val="center"/>
                </w:tcPr>
                <w:p w14:paraId="492017B3">
                  <w:pPr>
                    <w:pStyle w:val="54"/>
                    <w:jc w:val="both"/>
                    <w:rPr>
                      <w:color w:val="auto"/>
                    </w:rPr>
                  </w:pPr>
                  <w:r>
                    <w:rPr>
                      <w:rFonts w:hint="eastAsia"/>
                      <w:color w:val="auto"/>
                    </w:rPr>
                    <w:t>注：1.</w:t>
                  </w:r>
                  <w:r>
                    <w:rPr>
                      <w:color w:val="auto"/>
                    </w:rPr>
                    <w:t>《环境空气质量标准》（GB 3095-2012）中规定颗粒物的二级标准日均值为0.3mg/m</w:t>
                  </w:r>
                  <w:r>
                    <w:rPr>
                      <w:color w:val="auto"/>
                      <w:vertAlign w:val="superscript"/>
                    </w:rPr>
                    <w:t>3</w:t>
                  </w:r>
                  <w:r>
                    <w:rPr>
                      <w:color w:val="auto"/>
                    </w:rPr>
                    <w:t>、，颗粒物取其二级标准日均值的三倍。</w:t>
                  </w:r>
                </w:p>
                <w:p w14:paraId="43A0AB9A">
                  <w:pPr>
                    <w:pStyle w:val="54"/>
                    <w:jc w:val="both"/>
                    <w:rPr>
                      <w:color w:val="auto"/>
                    </w:rPr>
                  </w:pPr>
                  <w:r>
                    <w:rPr>
                      <w:rFonts w:hint="eastAsia"/>
                      <w:color w:val="auto"/>
                    </w:rPr>
                    <w:t>2.</w:t>
                  </w:r>
                  <w:r>
                    <w:rPr>
                      <w:color w:val="auto"/>
                    </w:rPr>
                    <w:t>《环境影响评价技术导则 大气环境》（HJ 2.2-2018）中规定总挥发性有机物标准值为0.6mg/m</w:t>
                  </w:r>
                  <w:r>
                    <w:rPr>
                      <w:color w:val="auto"/>
                      <w:vertAlign w:val="superscript"/>
                    </w:rPr>
                    <w:t>3</w:t>
                  </w:r>
                  <w:r>
                    <w:rPr>
                      <w:color w:val="auto"/>
                    </w:rPr>
                    <w:t>，则NMHC的Cm取其值。</w:t>
                  </w:r>
                </w:p>
              </w:tc>
            </w:tr>
          </w:tbl>
          <w:p w14:paraId="1AD852ED">
            <w:pPr>
              <w:pStyle w:val="50"/>
              <w:ind w:firstLine="480"/>
              <w:rPr>
                <w:color w:val="auto"/>
              </w:rPr>
            </w:pPr>
            <w:bookmarkStart w:id="87" w:name="_Ref1438"/>
            <w:r>
              <w:rPr>
                <w:color w:val="auto"/>
              </w:rPr>
              <w:t>根据计算结果，本</w:t>
            </w:r>
            <w:r>
              <w:rPr>
                <w:rFonts w:hint="eastAsia"/>
                <w:color w:val="auto"/>
              </w:rPr>
              <w:t>扩建</w:t>
            </w:r>
            <w:r>
              <w:rPr>
                <w:color w:val="auto"/>
              </w:rPr>
              <w:t>项目</w:t>
            </w:r>
            <w:r>
              <w:rPr>
                <w:rFonts w:hint="eastAsia"/>
                <w:color w:val="auto"/>
              </w:rPr>
              <w:t>1#厂房选择基于颗粒物</w:t>
            </w:r>
            <w:r>
              <w:rPr>
                <w:color w:val="auto"/>
              </w:rPr>
              <w:t>计算卫生防护距离</w:t>
            </w:r>
            <w:r>
              <w:rPr>
                <w:rFonts w:hint="eastAsia"/>
                <w:color w:val="auto"/>
                <w:lang w:eastAsia="zh-CN"/>
              </w:rPr>
              <w:t>，</w:t>
            </w:r>
            <w:r>
              <w:rPr>
                <w:rFonts w:hint="eastAsia"/>
                <w:color w:val="auto"/>
              </w:rPr>
              <w:t>危废库选择基于NMHC计算卫生防护距离</w:t>
            </w:r>
            <w:r>
              <w:rPr>
                <w:color w:val="auto"/>
              </w:rPr>
              <w:t>。本</w:t>
            </w:r>
            <w:r>
              <w:rPr>
                <w:rFonts w:hint="eastAsia"/>
                <w:color w:val="auto"/>
              </w:rPr>
              <w:t>扩建</w:t>
            </w:r>
            <w:r>
              <w:rPr>
                <w:color w:val="auto"/>
              </w:rPr>
              <w:t>项目卫生防护距离计算见</w:t>
            </w:r>
            <w:r>
              <w:rPr>
                <w:color w:val="auto"/>
              </w:rPr>
              <w:fldChar w:fldCharType="begin"/>
            </w:r>
            <w:r>
              <w:rPr>
                <w:color w:val="auto"/>
              </w:rPr>
              <w:instrText xml:space="preserve"> REF _Ref6853 \h </w:instrText>
            </w:r>
            <w:r>
              <w:rPr>
                <w:color w:val="auto"/>
              </w:rPr>
              <w:fldChar w:fldCharType="separate"/>
            </w:r>
            <w:r>
              <w:rPr>
                <w:color w:val="auto"/>
              </w:rPr>
              <w:t>表4- 9</w:t>
            </w:r>
            <w:r>
              <w:rPr>
                <w:color w:val="auto"/>
              </w:rPr>
              <w:fldChar w:fldCharType="end"/>
            </w:r>
            <w:r>
              <w:rPr>
                <w:color w:val="auto"/>
              </w:rPr>
              <w:t>。</w:t>
            </w:r>
          </w:p>
          <w:p w14:paraId="3603D081">
            <w:pPr>
              <w:pStyle w:val="7"/>
              <w:rPr>
                <w:color w:val="auto"/>
              </w:rPr>
            </w:pPr>
            <w:bookmarkStart w:id="88" w:name="_Ref6853"/>
            <w:r>
              <w:rPr>
                <w:color w:val="auto"/>
              </w:rPr>
              <w:t xml:space="preserve">表4- </w:t>
            </w:r>
            <w:r>
              <w:rPr>
                <w:color w:val="auto"/>
              </w:rPr>
              <w:fldChar w:fldCharType="begin"/>
            </w:r>
            <w:r>
              <w:rPr>
                <w:color w:val="auto"/>
              </w:rPr>
              <w:instrText xml:space="preserve"> SEQ 表4- \* ARABIC </w:instrText>
            </w:r>
            <w:r>
              <w:rPr>
                <w:color w:val="auto"/>
              </w:rPr>
              <w:fldChar w:fldCharType="separate"/>
            </w:r>
            <w:r>
              <w:rPr>
                <w:color w:val="auto"/>
              </w:rPr>
              <w:t>9</w:t>
            </w:r>
            <w:r>
              <w:rPr>
                <w:color w:val="auto"/>
              </w:rPr>
              <w:fldChar w:fldCharType="end"/>
            </w:r>
            <w:bookmarkEnd w:id="87"/>
            <w:bookmarkEnd w:id="88"/>
            <w:r>
              <w:rPr>
                <w:color w:val="auto"/>
              </w:rPr>
              <w:t xml:space="preserve"> 项目卫生防护距离计算结果</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6"/>
              <w:gridCol w:w="1776"/>
              <w:gridCol w:w="1110"/>
              <w:gridCol w:w="1292"/>
              <w:gridCol w:w="1555"/>
              <w:gridCol w:w="1604"/>
            </w:tblGrid>
            <w:tr w14:paraId="1035F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650" w:type="pct"/>
                  <w:tcBorders>
                    <w:tl2br w:val="nil"/>
                    <w:tr2bl w:val="nil"/>
                  </w:tcBorders>
                  <w:shd w:val="clear" w:color="auto" w:fill="auto"/>
                  <w:vAlign w:val="center"/>
                </w:tcPr>
                <w:p w14:paraId="33888E9F">
                  <w:pPr>
                    <w:pStyle w:val="52"/>
                    <w:rPr>
                      <w:color w:val="auto"/>
                    </w:rPr>
                  </w:pPr>
                  <w:r>
                    <w:rPr>
                      <w:color w:val="auto"/>
                    </w:rPr>
                    <w:t>车间</w:t>
                  </w:r>
                </w:p>
              </w:tc>
              <w:tc>
                <w:tcPr>
                  <w:tcW w:w="1052" w:type="pct"/>
                  <w:tcBorders>
                    <w:tl2br w:val="nil"/>
                    <w:tr2bl w:val="nil"/>
                  </w:tcBorders>
                  <w:shd w:val="clear" w:color="auto" w:fill="auto"/>
                  <w:vAlign w:val="center"/>
                </w:tcPr>
                <w:p w14:paraId="2EA0949B">
                  <w:pPr>
                    <w:pStyle w:val="52"/>
                    <w:rPr>
                      <w:color w:val="auto"/>
                    </w:rPr>
                  </w:pPr>
                  <w:r>
                    <w:rPr>
                      <w:color w:val="auto"/>
                    </w:rPr>
                    <w:t>污染物</w:t>
                  </w:r>
                </w:p>
              </w:tc>
              <w:tc>
                <w:tcPr>
                  <w:tcW w:w="658" w:type="pct"/>
                  <w:tcBorders>
                    <w:tl2br w:val="nil"/>
                    <w:tr2bl w:val="nil"/>
                  </w:tcBorders>
                  <w:shd w:val="clear" w:color="auto" w:fill="auto"/>
                  <w:vAlign w:val="center"/>
                </w:tcPr>
                <w:p w14:paraId="7CE5E5EE">
                  <w:pPr>
                    <w:pStyle w:val="52"/>
                    <w:rPr>
                      <w:color w:val="auto"/>
                    </w:rPr>
                  </w:pPr>
                  <w:r>
                    <w:rPr>
                      <w:color w:val="auto"/>
                    </w:rPr>
                    <w:t>Q</w:t>
                  </w:r>
                  <w:r>
                    <w:rPr>
                      <w:color w:val="auto"/>
                      <w:vertAlign w:val="subscript"/>
                    </w:rPr>
                    <w:t>c</w:t>
                  </w:r>
                  <w:r>
                    <w:rPr>
                      <w:color w:val="auto"/>
                    </w:rPr>
                    <w:t>/C</w:t>
                  </w:r>
                  <w:r>
                    <w:rPr>
                      <w:color w:val="auto"/>
                      <w:vertAlign w:val="subscript"/>
                    </w:rPr>
                    <w:t>m</w:t>
                  </w:r>
                </w:p>
              </w:tc>
              <w:tc>
                <w:tcPr>
                  <w:tcW w:w="766" w:type="pct"/>
                  <w:tcBorders>
                    <w:tl2br w:val="nil"/>
                    <w:tr2bl w:val="nil"/>
                  </w:tcBorders>
                  <w:shd w:val="clear" w:color="auto" w:fill="auto"/>
                  <w:vAlign w:val="center"/>
                </w:tcPr>
                <w:p w14:paraId="49D5086B">
                  <w:pPr>
                    <w:pStyle w:val="52"/>
                    <w:rPr>
                      <w:color w:val="auto"/>
                    </w:rPr>
                  </w:pPr>
                  <w:r>
                    <w:rPr>
                      <w:color w:val="auto"/>
                    </w:rPr>
                    <w:t>等效半径r</w:t>
                  </w:r>
                </w:p>
                <w:p w14:paraId="7ABB8513">
                  <w:pPr>
                    <w:pStyle w:val="52"/>
                    <w:rPr>
                      <w:color w:val="auto"/>
                    </w:rPr>
                  </w:pPr>
                  <w:r>
                    <w:rPr>
                      <w:color w:val="auto"/>
                    </w:rPr>
                    <w:t>（m）</w:t>
                  </w:r>
                </w:p>
              </w:tc>
              <w:tc>
                <w:tcPr>
                  <w:tcW w:w="921" w:type="pct"/>
                  <w:tcBorders>
                    <w:tl2br w:val="nil"/>
                    <w:tr2bl w:val="nil"/>
                  </w:tcBorders>
                  <w:shd w:val="clear" w:color="auto" w:fill="auto"/>
                  <w:vAlign w:val="center"/>
                </w:tcPr>
                <w:p w14:paraId="66B71C93">
                  <w:pPr>
                    <w:pStyle w:val="52"/>
                    <w:rPr>
                      <w:color w:val="auto"/>
                    </w:rPr>
                  </w:pPr>
                  <w:r>
                    <w:rPr>
                      <w:color w:val="auto"/>
                    </w:rPr>
                    <w:t>卫生防护距离计算值L（m）</w:t>
                  </w:r>
                </w:p>
              </w:tc>
              <w:tc>
                <w:tcPr>
                  <w:tcW w:w="950" w:type="pct"/>
                  <w:tcBorders>
                    <w:tl2br w:val="nil"/>
                    <w:tr2bl w:val="nil"/>
                  </w:tcBorders>
                  <w:shd w:val="clear" w:color="auto" w:fill="auto"/>
                  <w:vAlign w:val="center"/>
                </w:tcPr>
                <w:p w14:paraId="0E1619D0">
                  <w:pPr>
                    <w:pStyle w:val="52"/>
                    <w:rPr>
                      <w:color w:val="auto"/>
                    </w:rPr>
                  </w:pPr>
                  <w:r>
                    <w:rPr>
                      <w:color w:val="auto"/>
                    </w:rPr>
                    <w:t>卫生防护距离</w:t>
                  </w:r>
                </w:p>
                <w:p w14:paraId="31359E83">
                  <w:pPr>
                    <w:pStyle w:val="52"/>
                    <w:rPr>
                      <w:color w:val="auto"/>
                    </w:rPr>
                  </w:pPr>
                  <w:r>
                    <w:rPr>
                      <w:color w:val="auto"/>
                    </w:rPr>
                    <w:t>确定值（m）</w:t>
                  </w:r>
                </w:p>
              </w:tc>
            </w:tr>
            <w:tr w14:paraId="4B5B3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0" w:type="pct"/>
                  <w:tcBorders>
                    <w:tl2br w:val="nil"/>
                    <w:tr2bl w:val="nil"/>
                  </w:tcBorders>
                  <w:shd w:val="clear" w:color="auto" w:fill="auto"/>
                  <w:vAlign w:val="center"/>
                </w:tcPr>
                <w:p w14:paraId="08E08492">
                  <w:pPr>
                    <w:pStyle w:val="54"/>
                    <w:bidi w:val="0"/>
                    <w:rPr>
                      <w:color w:val="auto"/>
                    </w:rPr>
                  </w:pPr>
                  <w:r>
                    <w:rPr>
                      <w:rFonts w:hint="eastAsia"/>
                      <w:color w:val="auto"/>
                    </w:rPr>
                    <w:t>1#厂房</w:t>
                  </w:r>
                </w:p>
              </w:tc>
              <w:tc>
                <w:tcPr>
                  <w:tcW w:w="1052" w:type="pct"/>
                  <w:tcBorders>
                    <w:tl2br w:val="nil"/>
                    <w:tr2bl w:val="nil"/>
                  </w:tcBorders>
                  <w:shd w:val="clear" w:color="auto" w:fill="auto"/>
                  <w:vAlign w:val="center"/>
                </w:tcPr>
                <w:p w14:paraId="345F8196">
                  <w:pPr>
                    <w:pStyle w:val="54"/>
                    <w:bidi w:val="0"/>
                    <w:rPr>
                      <w:color w:val="auto"/>
                    </w:rPr>
                  </w:pPr>
                  <w:r>
                    <w:rPr>
                      <w:rFonts w:hint="eastAsia"/>
                      <w:color w:val="auto"/>
                    </w:rPr>
                    <w:t>颗粒物</w:t>
                  </w:r>
                </w:p>
              </w:tc>
              <w:tc>
                <w:tcPr>
                  <w:tcW w:w="1111" w:type="dxa"/>
                  <w:tcBorders>
                    <w:tl2br w:val="nil"/>
                    <w:tr2bl w:val="nil"/>
                  </w:tcBorders>
                  <w:shd w:val="clear" w:color="auto" w:fill="auto"/>
                  <w:vAlign w:val="center"/>
                </w:tcPr>
                <w:p w14:paraId="5A738719">
                  <w:pPr>
                    <w:pStyle w:val="54"/>
                    <w:bidi w:val="0"/>
                    <w:rPr>
                      <w:color w:val="auto"/>
                    </w:rPr>
                  </w:pPr>
                  <w:r>
                    <w:rPr>
                      <w:rFonts w:hint="eastAsia"/>
                      <w:color w:val="auto"/>
                    </w:rPr>
                    <w:t>0.1949</w:t>
                  </w:r>
                </w:p>
              </w:tc>
              <w:tc>
                <w:tcPr>
                  <w:tcW w:w="766" w:type="pct"/>
                  <w:tcBorders>
                    <w:tl2br w:val="nil"/>
                    <w:tr2bl w:val="nil"/>
                  </w:tcBorders>
                  <w:shd w:val="clear" w:color="auto" w:fill="auto"/>
                  <w:vAlign w:val="center"/>
                </w:tcPr>
                <w:p w14:paraId="4B98CEBF">
                  <w:pPr>
                    <w:pStyle w:val="54"/>
                    <w:bidi w:val="0"/>
                    <w:rPr>
                      <w:color w:val="auto"/>
                    </w:rPr>
                  </w:pPr>
                  <w:r>
                    <w:rPr>
                      <w:rFonts w:hint="eastAsia"/>
                      <w:color w:val="auto"/>
                    </w:rPr>
                    <w:t>63.39</w:t>
                  </w:r>
                </w:p>
              </w:tc>
              <w:tc>
                <w:tcPr>
                  <w:tcW w:w="921" w:type="pct"/>
                  <w:tcBorders>
                    <w:tl2br w:val="nil"/>
                    <w:tr2bl w:val="nil"/>
                  </w:tcBorders>
                  <w:shd w:val="clear" w:color="auto" w:fill="auto"/>
                  <w:vAlign w:val="center"/>
                </w:tcPr>
                <w:p w14:paraId="411E167E">
                  <w:pPr>
                    <w:pStyle w:val="54"/>
                    <w:bidi w:val="0"/>
                    <w:rPr>
                      <w:color w:val="auto"/>
                    </w:rPr>
                  </w:pPr>
                  <w:r>
                    <w:rPr>
                      <w:rFonts w:hint="eastAsia"/>
                      <w:color w:val="auto"/>
                    </w:rPr>
                    <w:t>3.234</w:t>
                  </w:r>
                </w:p>
              </w:tc>
              <w:tc>
                <w:tcPr>
                  <w:tcW w:w="950" w:type="pct"/>
                  <w:tcBorders>
                    <w:tl2br w:val="nil"/>
                    <w:tr2bl w:val="nil"/>
                  </w:tcBorders>
                  <w:shd w:val="clear" w:color="auto" w:fill="auto"/>
                  <w:vAlign w:val="center"/>
                </w:tcPr>
                <w:p w14:paraId="6EA9DEFD">
                  <w:pPr>
                    <w:pStyle w:val="54"/>
                    <w:bidi w:val="0"/>
                    <w:rPr>
                      <w:color w:val="auto"/>
                    </w:rPr>
                  </w:pPr>
                  <w:r>
                    <w:rPr>
                      <w:color w:val="auto"/>
                    </w:rPr>
                    <w:t>50</w:t>
                  </w:r>
                </w:p>
              </w:tc>
            </w:tr>
            <w:tr w14:paraId="27AB7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0" w:type="pct"/>
                  <w:tcBorders>
                    <w:tl2br w:val="nil"/>
                    <w:tr2bl w:val="nil"/>
                  </w:tcBorders>
                  <w:shd w:val="clear" w:color="auto" w:fill="auto"/>
                  <w:vAlign w:val="center"/>
                </w:tcPr>
                <w:p w14:paraId="0EB24058">
                  <w:pPr>
                    <w:pStyle w:val="54"/>
                    <w:bidi w:val="0"/>
                    <w:rPr>
                      <w:color w:val="auto"/>
                    </w:rPr>
                  </w:pPr>
                  <w:r>
                    <w:rPr>
                      <w:rFonts w:hint="eastAsia"/>
                      <w:color w:val="auto"/>
                    </w:rPr>
                    <w:t>危废库</w:t>
                  </w:r>
                </w:p>
              </w:tc>
              <w:tc>
                <w:tcPr>
                  <w:tcW w:w="1052" w:type="pct"/>
                  <w:tcBorders>
                    <w:tl2br w:val="nil"/>
                    <w:tr2bl w:val="nil"/>
                  </w:tcBorders>
                  <w:shd w:val="clear" w:color="auto" w:fill="auto"/>
                  <w:vAlign w:val="center"/>
                </w:tcPr>
                <w:p w14:paraId="2F5CF8C0">
                  <w:pPr>
                    <w:pStyle w:val="54"/>
                    <w:bidi w:val="0"/>
                    <w:rPr>
                      <w:color w:val="auto"/>
                    </w:rPr>
                  </w:pPr>
                  <w:r>
                    <w:rPr>
                      <w:rFonts w:hint="eastAsia"/>
                      <w:color w:val="auto"/>
                    </w:rPr>
                    <w:t>NMHC</w:t>
                  </w:r>
                </w:p>
              </w:tc>
              <w:tc>
                <w:tcPr>
                  <w:tcW w:w="1111" w:type="dxa"/>
                  <w:tcBorders>
                    <w:tl2br w:val="nil"/>
                    <w:tr2bl w:val="nil"/>
                  </w:tcBorders>
                  <w:shd w:val="clear" w:color="auto" w:fill="auto"/>
                  <w:vAlign w:val="center"/>
                </w:tcPr>
                <w:p w14:paraId="177ABDEE">
                  <w:pPr>
                    <w:pStyle w:val="54"/>
                    <w:bidi w:val="0"/>
                    <w:rPr>
                      <w:color w:val="auto"/>
                    </w:rPr>
                  </w:pPr>
                  <w:r>
                    <w:rPr>
                      <w:rFonts w:hint="default"/>
                      <w:color w:val="auto"/>
                      <w:lang w:val="en-US" w:eastAsia="zh-CN"/>
                    </w:rPr>
                    <w:t xml:space="preserve">0.00003 </w:t>
                  </w:r>
                </w:p>
              </w:tc>
              <w:tc>
                <w:tcPr>
                  <w:tcW w:w="766" w:type="pct"/>
                  <w:tcBorders>
                    <w:tl2br w:val="nil"/>
                    <w:tr2bl w:val="nil"/>
                  </w:tcBorders>
                  <w:shd w:val="clear" w:color="auto" w:fill="auto"/>
                  <w:vAlign w:val="center"/>
                </w:tcPr>
                <w:p w14:paraId="075FDB6E">
                  <w:pPr>
                    <w:pStyle w:val="54"/>
                    <w:bidi w:val="0"/>
                    <w:rPr>
                      <w:color w:val="auto"/>
                    </w:rPr>
                  </w:pPr>
                  <w:r>
                    <w:rPr>
                      <w:rFonts w:hint="eastAsia"/>
                      <w:color w:val="auto"/>
                    </w:rPr>
                    <w:t>1.78</w:t>
                  </w:r>
                </w:p>
              </w:tc>
              <w:tc>
                <w:tcPr>
                  <w:tcW w:w="921" w:type="pct"/>
                  <w:tcBorders>
                    <w:tl2br w:val="nil"/>
                    <w:tr2bl w:val="nil"/>
                  </w:tcBorders>
                  <w:shd w:val="clear" w:color="auto" w:fill="auto"/>
                  <w:vAlign w:val="center"/>
                </w:tcPr>
                <w:p w14:paraId="0C5F0CC5">
                  <w:pPr>
                    <w:pStyle w:val="54"/>
                    <w:bidi w:val="0"/>
                    <w:rPr>
                      <w:color w:val="auto"/>
                    </w:rPr>
                  </w:pPr>
                  <w:r>
                    <w:rPr>
                      <w:rFonts w:hint="eastAsia"/>
                      <w:color w:val="auto"/>
                    </w:rPr>
                    <w:t>0.005</w:t>
                  </w:r>
                </w:p>
              </w:tc>
              <w:tc>
                <w:tcPr>
                  <w:tcW w:w="950" w:type="pct"/>
                  <w:tcBorders>
                    <w:tl2br w:val="nil"/>
                    <w:tr2bl w:val="nil"/>
                  </w:tcBorders>
                  <w:shd w:val="clear" w:color="auto" w:fill="auto"/>
                  <w:vAlign w:val="center"/>
                </w:tcPr>
                <w:p w14:paraId="08FB06B6">
                  <w:pPr>
                    <w:pStyle w:val="54"/>
                    <w:bidi w:val="0"/>
                    <w:rPr>
                      <w:color w:val="auto"/>
                    </w:rPr>
                  </w:pPr>
                  <w:r>
                    <w:rPr>
                      <w:rFonts w:hint="eastAsia"/>
                      <w:color w:val="auto"/>
                    </w:rPr>
                    <w:t>50</w:t>
                  </w:r>
                </w:p>
              </w:tc>
            </w:tr>
          </w:tbl>
          <w:p w14:paraId="67870B45">
            <w:pPr>
              <w:pStyle w:val="50"/>
              <w:ind w:firstLine="480"/>
              <w:rPr>
                <w:color w:val="auto"/>
              </w:rPr>
            </w:pPr>
            <w:r>
              <w:rPr>
                <w:rFonts w:hint="eastAsia"/>
                <w:color w:val="auto"/>
              </w:rPr>
              <w:t>现有项目</w:t>
            </w:r>
            <w:r>
              <w:rPr>
                <w:color w:val="auto"/>
              </w:rPr>
              <w:t>以</w:t>
            </w:r>
            <w:r>
              <w:rPr>
                <w:rFonts w:hint="eastAsia"/>
                <w:color w:val="auto"/>
              </w:rPr>
              <w:t>1#厂房向外50m设置卫生防护距离。</w:t>
            </w:r>
            <w:r>
              <w:rPr>
                <w:color w:val="auto"/>
              </w:rPr>
              <w:t>根据计算结果，</w:t>
            </w:r>
            <w:r>
              <w:rPr>
                <w:rFonts w:hint="eastAsia"/>
                <w:color w:val="auto"/>
              </w:rPr>
              <w:t>本扩建</w:t>
            </w:r>
            <w:r>
              <w:rPr>
                <w:color w:val="auto"/>
              </w:rPr>
              <w:t>项目需</w:t>
            </w:r>
            <w:r>
              <w:rPr>
                <w:rFonts w:hint="eastAsia"/>
                <w:color w:val="auto"/>
              </w:rPr>
              <w:t>以1#厂房外延和危废库外延50m形成的包络线作为卫生防护距离，因此本项目以1#厂房外延和危废库外延50m形成的包络线作为卫生防护距离即可。</w:t>
            </w:r>
            <w:r>
              <w:rPr>
                <w:color w:val="auto"/>
              </w:rPr>
              <w:t>根据现场踏勘，项目卫生防护距离范围内目前无居民点以及其他环境空气敏感保护点，今后在此范围内也不得建设居民点、学校、医院等环境敏感项目。在此条件下，对当地的环境空气质量影响较小，可满足环境管理要求。因此，本项目设置的卫生防护距离可以满足环境要求。</w:t>
            </w:r>
          </w:p>
          <w:p w14:paraId="63A3CBD9">
            <w:pPr>
              <w:pStyle w:val="50"/>
              <w:ind w:firstLine="482"/>
              <w:rPr>
                <w:b/>
                <w:bCs/>
                <w:color w:val="auto"/>
              </w:rPr>
            </w:pPr>
            <w:r>
              <w:rPr>
                <w:b/>
                <w:bCs/>
                <w:color w:val="auto"/>
              </w:rPr>
              <w:t>（6）废气监测计划</w:t>
            </w:r>
          </w:p>
          <w:p w14:paraId="360F5B80">
            <w:pPr>
              <w:pStyle w:val="50"/>
              <w:ind w:firstLine="480"/>
              <w:rPr>
                <w:color w:val="auto"/>
              </w:rPr>
            </w:pPr>
            <w:r>
              <w:rPr>
                <w:color w:val="auto"/>
              </w:rPr>
              <w:t>依据《排污单位自行监测技术指南 总则》（HJ819-2017）</w:t>
            </w:r>
            <w:r>
              <w:rPr>
                <w:rFonts w:hint="eastAsia"/>
                <w:color w:val="auto"/>
              </w:rPr>
              <w:t>、</w:t>
            </w:r>
            <w:r>
              <w:rPr>
                <w:color w:val="auto"/>
              </w:rPr>
              <w:t>《</w:t>
            </w:r>
            <w:r>
              <w:rPr>
                <w:rFonts w:hint="eastAsia"/>
                <w:color w:val="auto"/>
              </w:rPr>
              <w:t>排污许可证申请与核发技术规范 工业炉窑</w:t>
            </w:r>
            <w:r>
              <w:rPr>
                <w:color w:val="auto"/>
              </w:rPr>
              <w:t>》（</w:t>
            </w:r>
            <w:r>
              <w:rPr>
                <w:rFonts w:hint="eastAsia"/>
                <w:color w:val="auto"/>
              </w:rPr>
              <w:t>HJ 1121-2020</w:t>
            </w:r>
            <w:r>
              <w:rPr>
                <w:color w:val="auto"/>
              </w:rPr>
              <w:t>）等，本</w:t>
            </w:r>
            <w:r>
              <w:rPr>
                <w:rFonts w:hint="eastAsia"/>
                <w:color w:val="auto"/>
              </w:rPr>
              <w:t>扩建</w:t>
            </w:r>
            <w:r>
              <w:rPr>
                <w:color w:val="auto"/>
              </w:rPr>
              <w:t>项目运营期污染源自行监测计划详见</w:t>
            </w:r>
            <w:r>
              <w:rPr>
                <w:color w:val="auto"/>
              </w:rPr>
              <w:fldChar w:fldCharType="begin"/>
            </w:r>
            <w:r>
              <w:rPr>
                <w:color w:val="auto"/>
              </w:rPr>
              <w:instrText xml:space="preserve"> REF _Ref8857 \h </w:instrText>
            </w:r>
            <w:r>
              <w:rPr>
                <w:color w:val="auto"/>
              </w:rPr>
              <w:fldChar w:fldCharType="separate"/>
            </w:r>
            <w:r>
              <w:rPr>
                <w:color w:val="auto"/>
              </w:rPr>
              <w:t>表4- 10</w:t>
            </w:r>
            <w:r>
              <w:rPr>
                <w:color w:val="auto"/>
              </w:rPr>
              <w:fldChar w:fldCharType="end"/>
            </w:r>
            <w:r>
              <w:rPr>
                <w:color w:val="auto"/>
              </w:rPr>
              <w:t>。</w:t>
            </w:r>
          </w:p>
          <w:p w14:paraId="74764B1A">
            <w:pPr>
              <w:pStyle w:val="7"/>
              <w:rPr>
                <w:color w:val="auto"/>
              </w:rPr>
            </w:pPr>
            <w:bookmarkStart w:id="89" w:name="_Ref8857"/>
            <w:r>
              <w:rPr>
                <w:color w:val="auto"/>
              </w:rPr>
              <w:t xml:space="preserve">表4- </w:t>
            </w:r>
            <w:r>
              <w:rPr>
                <w:color w:val="auto"/>
              </w:rPr>
              <w:fldChar w:fldCharType="begin"/>
            </w:r>
            <w:r>
              <w:rPr>
                <w:color w:val="auto"/>
              </w:rPr>
              <w:instrText xml:space="preserve"> SEQ 表4- \* ARABIC </w:instrText>
            </w:r>
            <w:r>
              <w:rPr>
                <w:color w:val="auto"/>
              </w:rPr>
              <w:fldChar w:fldCharType="separate"/>
            </w:r>
            <w:r>
              <w:rPr>
                <w:color w:val="auto"/>
              </w:rPr>
              <w:t>10</w:t>
            </w:r>
            <w:r>
              <w:rPr>
                <w:color w:val="auto"/>
              </w:rPr>
              <w:fldChar w:fldCharType="end"/>
            </w:r>
            <w:bookmarkEnd w:id="89"/>
            <w:r>
              <w:rPr>
                <w:color w:val="auto"/>
              </w:rPr>
              <w:t xml:space="preserve"> 项目实施后废气监测计划</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1"/>
              <w:gridCol w:w="1287"/>
              <w:gridCol w:w="1443"/>
              <w:gridCol w:w="1443"/>
              <w:gridCol w:w="3319"/>
            </w:tblGrid>
            <w:tr w14:paraId="1E82A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557" w:type="pct"/>
                  <w:tcBorders>
                    <w:tl2br w:val="nil"/>
                    <w:tr2bl w:val="nil"/>
                  </w:tcBorders>
                  <w:shd w:val="clear" w:color="auto" w:fill="auto"/>
                  <w:vAlign w:val="center"/>
                </w:tcPr>
                <w:p w14:paraId="64DC33AA">
                  <w:pPr>
                    <w:pStyle w:val="52"/>
                    <w:rPr>
                      <w:color w:val="auto"/>
                    </w:rPr>
                  </w:pPr>
                  <w:r>
                    <w:rPr>
                      <w:color w:val="auto"/>
                    </w:rPr>
                    <w:t>项目</w:t>
                  </w:r>
                </w:p>
              </w:tc>
              <w:tc>
                <w:tcPr>
                  <w:tcW w:w="763" w:type="pct"/>
                  <w:tcBorders>
                    <w:tl2br w:val="nil"/>
                    <w:tr2bl w:val="nil"/>
                  </w:tcBorders>
                  <w:shd w:val="clear" w:color="auto" w:fill="auto"/>
                  <w:vAlign w:val="center"/>
                </w:tcPr>
                <w:p w14:paraId="5D95473D">
                  <w:pPr>
                    <w:pStyle w:val="52"/>
                    <w:rPr>
                      <w:color w:val="auto"/>
                    </w:rPr>
                  </w:pPr>
                  <w:r>
                    <w:rPr>
                      <w:color w:val="auto"/>
                    </w:rPr>
                    <w:t>监测点位</w:t>
                  </w:r>
                </w:p>
              </w:tc>
              <w:tc>
                <w:tcPr>
                  <w:tcW w:w="855" w:type="pct"/>
                  <w:tcBorders>
                    <w:tl2br w:val="nil"/>
                    <w:tr2bl w:val="nil"/>
                  </w:tcBorders>
                  <w:shd w:val="clear" w:color="auto" w:fill="auto"/>
                  <w:vAlign w:val="center"/>
                </w:tcPr>
                <w:p w14:paraId="7A11301E">
                  <w:pPr>
                    <w:pStyle w:val="52"/>
                    <w:rPr>
                      <w:color w:val="auto"/>
                    </w:rPr>
                  </w:pPr>
                  <w:r>
                    <w:rPr>
                      <w:color w:val="auto"/>
                    </w:rPr>
                    <w:t>监测因子</w:t>
                  </w:r>
                </w:p>
              </w:tc>
              <w:tc>
                <w:tcPr>
                  <w:tcW w:w="855" w:type="pct"/>
                  <w:tcBorders>
                    <w:tl2br w:val="nil"/>
                    <w:tr2bl w:val="nil"/>
                  </w:tcBorders>
                  <w:shd w:val="clear" w:color="auto" w:fill="auto"/>
                  <w:vAlign w:val="center"/>
                </w:tcPr>
                <w:p w14:paraId="0C7052A0">
                  <w:pPr>
                    <w:pStyle w:val="52"/>
                    <w:rPr>
                      <w:color w:val="auto"/>
                    </w:rPr>
                  </w:pPr>
                  <w:r>
                    <w:rPr>
                      <w:color w:val="auto"/>
                    </w:rPr>
                    <w:t>监测频次</w:t>
                  </w:r>
                </w:p>
              </w:tc>
              <w:tc>
                <w:tcPr>
                  <w:tcW w:w="1967" w:type="pct"/>
                  <w:tcBorders>
                    <w:tl2br w:val="nil"/>
                    <w:tr2bl w:val="nil"/>
                  </w:tcBorders>
                  <w:shd w:val="clear" w:color="auto" w:fill="auto"/>
                  <w:vAlign w:val="center"/>
                </w:tcPr>
                <w:p w14:paraId="62E04E51">
                  <w:pPr>
                    <w:pStyle w:val="52"/>
                    <w:rPr>
                      <w:color w:val="auto"/>
                    </w:rPr>
                  </w:pPr>
                  <w:r>
                    <w:rPr>
                      <w:color w:val="auto"/>
                    </w:rPr>
                    <w:t>执行标准</w:t>
                  </w:r>
                </w:p>
              </w:tc>
            </w:tr>
            <w:tr w14:paraId="3E47DC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57" w:type="pct"/>
                  <w:vMerge w:val="restart"/>
                  <w:tcBorders>
                    <w:tl2br w:val="nil"/>
                    <w:tr2bl w:val="nil"/>
                  </w:tcBorders>
                  <w:shd w:val="clear" w:color="auto" w:fill="auto"/>
                  <w:vAlign w:val="center"/>
                </w:tcPr>
                <w:p w14:paraId="1237ED1A">
                  <w:pPr>
                    <w:pStyle w:val="54"/>
                    <w:rPr>
                      <w:color w:val="auto"/>
                    </w:rPr>
                  </w:pPr>
                  <w:r>
                    <w:rPr>
                      <w:color w:val="auto"/>
                    </w:rPr>
                    <w:t>有组织</w:t>
                  </w:r>
                </w:p>
              </w:tc>
              <w:tc>
                <w:tcPr>
                  <w:tcW w:w="763" w:type="pct"/>
                  <w:tcBorders>
                    <w:tl2br w:val="nil"/>
                    <w:tr2bl w:val="nil"/>
                  </w:tcBorders>
                  <w:shd w:val="clear" w:color="auto" w:fill="auto"/>
                  <w:vAlign w:val="center"/>
                </w:tcPr>
                <w:p w14:paraId="4B786ED4">
                  <w:pPr>
                    <w:pStyle w:val="54"/>
                    <w:rPr>
                      <w:color w:val="auto"/>
                    </w:rPr>
                  </w:pPr>
                  <w:r>
                    <w:rPr>
                      <w:color w:val="auto"/>
                    </w:rPr>
                    <w:t>DA00</w:t>
                  </w:r>
                  <w:r>
                    <w:rPr>
                      <w:rFonts w:hint="eastAsia"/>
                      <w:color w:val="auto"/>
                    </w:rPr>
                    <w:t>3</w:t>
                  </w:r>
                </w:p>
              </w:tc>
              <w:tc>
                <w:tcPr>
                  <w:tcW w:w="855" w:type="pct"/>
                  <w:tcBorders>
                    <w:tl2br w:val="nil"/>
                    <w:tr2bl w:val="nil"/>
                  </w:tcBorders>
                  <w:shd w:val="clear" w:color="auto" w:fill="auto"/>
                  <w:vAlign w:val="center"/>
                </w:tcPr>
                <w:p w14:paraId="26EA0149">
                  <w:pPr>
                    <w:pStyle w:val="54"/>
                    <w:rPr>
                      <w:color w:val="auto"/>
                    </w:rPr>
                  </w:pPr>
                  <w:r>
                    <w:rPr>
                      <w:rFonts w:hint="eastAsia"/>
                      <w:color w:val="auto"/>
                    </w:rPr>
                    <w:t>颗粒物</w:t>
                  </w:r>
                </w:p>
              </w:tc>
              <w:tc>
                <w:tcPr>
                  <w:tcW w:w="855" w:type="pct"/>
                  <w:tcBorders>
                    <w:tl2br w:val="nil"/>
                    <w:tr2bl w:val="nil"/>
                  </w:tcBorders>
                  <w:shd w:val="clear" w:color="auto" w:fill="auto"/>
                  <w:vAlign w:val="center"/>
                </w:tcPr>
                <w:p w14:paraId="1DD0BD29">
                  <w:pPr>
                    <w:pStyle w:val="54"/>
                    <w:rPr>
                      <w:color w:val="auto"/>
                    </w:rPr>
                  </w:pPr>
                  <w:r>
                    <w:rPr>
                      <w:rFonts w:hint="eastAsia"/>
                      <w:color w:val="auto"/>
                    </w:rPr>
                    <w:t>1次/半年</w:t>
                  </w:r>
                </w:p>
              </w:tc>
              <w:tc>
                <w:tcPr>
                  <w:tcW w:w="1967" w:type="pct"/>
                  <w:tcBorders>
                    <w:tl2br w:val="nil"/>
                    <w:tr2bl w:val="nil"/>
                  </w:tcBorders>
                  <w:shd w:val="clear" w:color="auto" w:fill="auto"/>
                  <w:vAlign w:val="center"/>
                </w:tcPr>
                <w:p w14:paraId="79330729">
                  <w:pPr>
                    <w:pStyle w:val="54"/>
                    <w:rPr>
                      <w:color w:val="auto"/>
                    </w:rPr>
                  </w:pPr>
                  <w:r>
                    <w:rPr>
                      <w:color w:val="auto"/>
                    </w:rPr>
                    <w:t>《工业炉窑大气污染物排放标准》（DB 32/3728-2020）表1</w:t>
                  </w:r>
                </w:p>
              </w:tc>
            </w:tr>
            <w:tr w14:paraId="7F419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57" w:type="pct"/>
                  <w:vMerge w:val="continue"/>
                  <w:tcBorders>
                    <w:tl2br w:val="nil"/>
                    <w:tr2bl w:val="nil"/>
                  </w:tcBorders>
                  <w:shd w:val="clear" w:color="auto" w:fill="auto"/>
                  <w:vAlign w:val="center"/>
                </w:tcPr>
                <w:p w14:paraId="2D69B229">
                  <w:pPr>
                    <w:pStyle w:val="54"/>
                    <w:rPr>
                      <w:color w:val="auto"/>
                    </w:rPr>
                  </w:pPr>
                </w:p>
              </w:tc>
              <w:tc>
                <w:tcPr>
                  <w:tcW w:w="763" w:type="pct"/>
                  <w:tcBorders>
                    <w:tl2br w:val="nil"/>
                    <w:tr2bl w:val="nil"/>
                  </w:tcBorders>
                  <w:shd w:val="clear" w:color="auto" w:fill="auto"/>
                  <w:vAlign w:val="center"/>
                </w:tcPr>
                <w:p w14:paraId="7C7E54D2">
                  <w:pPr>
                    <w:pStyle w:val="54"/>
                    <w:rPr>
                      <w:color w:val="auto"/>
                    </w:rPr>
                  </w:pPr>
                  <w:r>
                    <w:rPr>
                      <w:rFonts w:hint="eastAsia"/>
                      <w:color w:val="auto"/>
                    </w:rPr>
                    <w:t>DA002</w:t>
                  </w:r>
                </w:p>
              </w:tc>
              <w:tc>
                <w:tcPr>
                  <w:tcW w:w="855" w:type="pct"/>
                  <w:tcBorders>
                    <w:tl2br w:val="nil"/>
                    <w:tr2bl w:val="nil"/>
                  </w:tcBorders>
                  <w:shd w:val="clear" w:color="auto" w:fill="auto"/>
                  <w:vAlign w:val="center"/>
                </w:tcPr>
                <w:p w14:paraId="64C9C635">
                  <w:pPr>
                    <w:pStyle w:val="54"/>
                    <w:rPr>
                      <w:color w:val="auto"/>
                    </w:rPr>
                  </w:pPr>
                  <w:r>
                    <w:rPr>
                      <w:rFonts w:hint="eastAsia"/>
                      <w:color w:val="auto"/>
                    </w:rPr>
                    <w:t>NMHC</w:t>
                  </w:r>
                </w:p>
              </w:tc>
              <w:tc>
                <w:tcPr>
                  <w:tcW w:w="855" w:type="pct"/>
                  <w:tcBorders>
                    <w:tl2br w:val="nil"/>
                    <w:tr2bl w:val="nil"/>
                  </w:tcBorders>
                  <w:shd w:val="clear" w:color="auto" w:fill="auto"/>
                  <w:vAlign w:val="center"/>
                </w:tcPr>
                <w:p w14:paraId="0569C1B5">
                  <w:pPr>
                    <w:pStyle w:val="54"/>
                    <w:rPr>
                      <w:color w:val="auto"/>
                    </w:rPr>
                  </w:pPr>
                  <w:r>
                    <w:rPr>
                      <w:rFonts w:hint="eastAsia"/>
                      <w:color w:val="auto"/>
                    </w:rPr>
                    <w:t>1次/半年</w:t>
                  </w:r>
                </w:p>
              </w:tc>
              <w:tc>
                <w:tcPr>
                  <w:tcW w:w="1967" w:type="pct"/>
                  <w:tcBorders>
                    <w:tl2br w:val="nil"/>
                    <w:tr2bl w:val="nil"/>
                  </w:tcBorders>
                  <w:shd w:val="clear" w:color="auto" w:fill="auto"/>
                  <w:vAlign w:val="center"/>
                </w:tcPr>
                <w:p w14:paraId="4BF8A287">
                  <w:pPr>
                    <w:pStyle w:val="54"/>
                    <w:rPr>
                      <w:color w:val="auto"/>
                    </w:rPr>
                  </w:pPr>
                  <w:r>
                    <w:rPr>
                      <w:color w:val="auto"/>
                    </w:rPr>
                    <w:t>《大气污染物综合排放标准》</w:t>
                  </w:r>
                </w:p>
                <w:p w14:paraId="242D41DA">
                  <w:pPr>
                    <w:pStyle w:val="54"/>
                    <w:rPr>
                      <w:color w:val="auto"/>
                    </w:rPr>
                  </w:pPr>
                  <w:r>
                    <w:rPr>
                      <w:color w:val="auto"/>
                    </w:rPr>
                    <w:t>（DB 32/4041-2021）表</w:t>
                  </w:r>
                  <w:r>
                    <w:rPr>
                      <w:rFonts w:hint="eastAsia"/>
                      <w:color w:val="auto"/>
                    </w:rPr>
                    <w:t>1</w:t>
                  </w:r>
                </w:p>
              </w:tc>
            </w:tr>
            <w:tr w14:paraId="0AD43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57" w:type="pct"/>
                  <w:vMerge w:val="restart"/>
                  <w:tcBorders>
                    <w:tl2br w:val="nil"/>
                    <w:tr2bl w:val="nil"/>
                  </w:tcBorders>
                  <w:shd w:val="clear" w:color="auto" w:fill="auto"/>
                  <w:vAlign w:val="center"/>
                </w:tcPr>
                <w:p w14:paraId="5CBC5646">
                  <w:pPr>
                    <w:pStyle w:val="54"/>
                    <w:rPr>
                      <w:color w:val="auto"/>
                    </w:rPr>
                  </w:pPr>
                  <w:r>
                    <w:rPr>
                      <w:color w:val="auto"/>
                    </w:rPr>
                    <w:t>无组织</w:t>
                  </w:r>
                </w:p>
              </w:tc>
              <w:tc>
                <w:tcPr>
                  <w:tcW w:w="763" w:type="pct"/>
                  <w:vMerge w:val="restart"/>
                  <w:tcBorders>
                    <w:tl2br w:val="nil"/>
                    <w:tr2bl w:val="nil"/>
                  </w:tcBorders>
                  <w:shd w:val="clear" w:color="auto" w:fill="auto"/>
                  <w:vAlign w:val="center"/>
                </w:tcPr>
                <w:p w14:paraId="3C6DB525">
                  <w:pPr>
                    <w:pStyle w:val="54"/>
                    <w:rPr>
                      <w:color w:val="auto"/>
                    </w:rPr>
                  </w:pPr>
                  <w:r>
                    <w:rPr>
                      <w:rFonts w:hint="eastAsia"/>
                      <w:color w:val="auto"/>
                    </w:rPr>
                    <w:t>厂界</w:t>
                  </w:r>
                </w:p>
              </w:tc>
              <w:tc>
                <w:tcPr>
                  <w:tcW w:w="855" w:type="pct"/>
                  <w:tcBorders>
                    <w:tl2br w:val="nil"/>
                    <w:tr2bl w:val="nil"/>
                  </w:tcBorders>
                  <w:shd w:val="clear" w:color="auto" w:fill="auto"/>
                  <w:vAlign w:val="center"/>
                </w:tcPr>
                <w:p w14:paraId="765A5DB4">
                  <w:pPr>
                    <w:pStyle w:val="54"/>
                    <w:rPr>
                      <w:color w:val="auto"/>
                    </w:rPr>
                  </w:pPr>
                  <w:r>
                    <w:rPr>
                      <w:rFonts w:hint="eastAsia"/>
                      <w:color w:val="auto"/>
                    </w:rPr>
                    <w:t>颗粒物</w:t>
                  </w:r>
                </w:p>
              </w:tc>
              <w:tc>
                <w:tcPr>
                  <w:tcW w:w="855" w:type="pct"/>
                  <w:tcBorders>
                    <w:tl2br w:val="nil"/>
                    <w:tr2bl w:val="nil"/>
                  </w:tcBorders>
                  <w:shd w:val="clear" w:color="auto" w:fill="auto"/>
                  <w:vAlign w:val="center"/>
                </w:tcPr>
                <w:p w14:paraId="7C931AEF">
                  <w:pPr>
                    <w:pStyle w:val="54"/>
                    <w:rPr>
                      <w:color w:val="auto"/>
                    </w:rPr>
                  </w:pPr>
                  <w:r>
                    <w:rPr>
                      <w:rFonts w:hint="eastAsia"/>
                      <w:color w:val="auto"/>
                    </w:rPr>
                    <w:t>1次/半年</w:t>
                  </w:r>
                </w:p>
              </w:tc>
              <w:tc>
                <w:tcPr>
                  <w:tcW w:w="1967" w:type="pct"/>
                  <w:vMerge w:val="restart"/>
                  <w:tcBorders>
                    <w:tl2br w:val="nil"/>
                    <w:tr2bl w:val="nil"/>
                  </w:tcBorders>
                  <w:shd w:val="clear" w:color="auto" w:fill="auto"/>
                  <w:vAlign w:val="center"/>
                </w:tcPr>
                <w:p w14:paraId="42E9A697">
                  <w:pPr>
                    <w:pStyle w:val="54"/>
                    <w:rPr>
                      <w:color w:val="auto"/>
                    </w:rPr>
                  </w:pPr>
                  <w:r>
                    <w:rPr>
                      <w:color w:val="auto"/>
                    </w:rPr>
                    <w:t>《大气污染物综合排放标准》</w:t>
                  </w:r>
                </w:p>
                <w:p w14:paraId="4B92AF71">
                  <w:pPr>
                    <w:pStyle w:val="54"/>
                    <w:rPr>
                      <w:color w:val="auto"/>
                    </w:rPr>
                  </w:pPr>
                  <w:r>
                    <w:rPr>
                      <w:color w:val="auto"/>
                    </w:rPr>
                    <w:t>（DB 32/4041-2021）表3</w:t>
                  </w:r>
                </w:p>
              </w:tc>
            </w:tr>
            <w:tr w14:paraId="6AD883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57" w:type="pct"/>
                  <w:vMerge w:val="continue"/>
                  <w:tcBorders>
                    <w:tl2br w:val="nil"/>
                    <w:tr2bl w:val="nil"/>
                  </w:tcBorders>
                  <w:shd w:val="clear" w:color="auto" w:fill="auto"/>
                  <w:vAlign w:val="center"/>
                </w:tcPr>
                <w:p w14:paraId="28648334">
                  <w:pPr>
                    <w:pStyle w:val="54"/>
                    <w:rPr>
                      <w:color w:val="auto"/>
                    </w:rPr>
                  </w:pPr>
                </w:p>
              </w:tc>
              <w:tc>
                <w:tcPr>
                  <w:tcW w:w="763" w:type="pct"/>
                  <w:vMerge w:val="continue"/>
                  <w:tcBorders>
                    <w:tl2br w:val="nil"/>
                    <w:tr2bl w:val="nil"/>
                  </w:tcBorders>
                  <w:shd w:val="clear" w:color="auto" w:fill="auto"/>
                  <w:vAlign w:val="center"/>
                </w:tcPr>
                <w:p w14:paraId="7CC9810C">
                  <w:pPr>
                    <w:pStyle w:val="54"/>
                    <w:rPr>
                      <w:color w:val="auto"/>
                    </w:rPr>
                  </w:pPr>
                </w:p>
              </w:tc>
              <w:tc>
                <w:tcPr>
                  <w:tcW w:w="855" w:type="pct"/>
                  <w:tcBorders>
                    <w:tl2br w:val="nil"/>
                    <w:tr2bl w:val="nil"/>
                  </w:tcBorders>
                  <w:shd w:val="clear" w:color="auto" w:fill="auto"/>
                  <w:vAlign w:val="center"/>
                </w:tcPr>
                <w:p w14:paraId="6FB28C54">
                  <w:pPr>
                    <w:pStyle w:val="54"/>
                    <w:rPr>
                      <w:color w:val="auto"/>
                    </w:rPr>
                  </w:pPr>
                  <w:r>
                    <w:rPr>
                      <w:rFonts w:hint="eastAsia"/>
                      <w:color w:val="auto"/>
                    </w:rPr>
                    <w:t>NMHC</w:t>
                  </w:r>
                </w:p>
              </w:tc>
              <w:tc>
                <w:tcPr>
                  <w:tcW w:w="855" w:type="pct"/>
                  <w:tcBorders>
                    <w:tl2br w:val="nil"/>
                    <w:tr2bl w:val="nil"/>
                  </w:tcBorders>
                  <w:shd w:val="clear" w:color="auto" w:fill="auto"/>
                  <w:vAlign w:val="center"/>
                </w:tcPr>
                <w:p w14:paraId="032F3E74">
                  <w:pPr>
                    <w:pStyle w:val="54"/>
                    <w:rPr>
                      <w:color w:val="auto"/>
                    </w:rPr>
                  </w:pPr>
                  <w:r>
                    <w:rPr>
                      <w:rFonts w:hint="eastAsia"/>
                      <w:color w:val="auto"/>
                    </w:rPr>
                    <w:t>1次/半年</w:t>
                  </w:r>
                </w:p>
              </w:tc>
              <w:tc>
                <w:tcPr>
                  <w:tcW w:w="1967" w:type="pct"/>
                  <w:vMerge w:val="continue"/>
                  <w:tcBorders>
                    <w:tl2br w:val="nil"/>
                    <w:tr2bl w:val="nil"/>
                  </w:tcBorders>
                  <w:shd w:val="clear" w:color="auto" w:fill="auto"/>
                  <w:vAlign w:val="center"/>
                </w:tcPr>
                <w:p w14:paraId="0A65E17C">
                  <w:pPr>
                    <w:pStyle w:val="54"/>
                    <w:rPr>
                      <w:color w:val="auto"/>
                    </w:rPr>
                  </w:pPr>
                </w:p>
              </w:tc>
            </w:tr>
            <w:tr w14:paraId="53863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57" w:type="pct"/>
                  <w:vMerge w:val="continue"/>
                  <w:tcBorders>
                    <w:tl2br w:val="nil"/>
                    <w:tr2bl w:val="nil"/>
                  </w:tcBorders>
                  <w:shd w:val="clear" w:color="auto" w:fill="auto"/>
                  <w:vAlign w:val="center"/>
                </w:tcPr>
                <w:p w14:paraId="1A092FEA">
                  <w:pPr>
                    <w:pStyle w:val="54"/>
                    <w:rPr>
                      <w:color w:val="auto"/>
                    </w:rPr>
                  </w:pPr>
                </w:p>
              </w:tc>
              <w:tc>
                <w:tcPr>
                  <w:tcW w:w="763" w:type="pct"/>
                  <w:tcBorders>
                    <w:tl2br w:val="nil"/>
                    <w:tr2bl w:val="nil"/>
                  </w:tcBorders>
                  <w:shd w:val="clear" w:color="auto" w:fill="auto"/>
                  <w:vAlign w:val="center"/>
                </w:tcPr>
                <w:p w14:paraId="62D93397">
                  <w:pPr>
                    <w:pStyle w:val="54"/>
                    <w:rPr>
                      <w:color w:val="auto"/>
                    </w:rPr>
                  </w:pPr>
                  <w:r>
                    <w:rPr>
                      <w:rFonts w:hint="eastAsia"/>
                      <w:color w:val="auto"/>
                    </w:rPr>
                    <w:t>厂区内</w:t>
                  </w:r>
                </w:p>
              </w:tc>
              <w:tc>
                <w:tcPr>
                  <w:tcW w:w="855" w:type="pct"/>
                  <w:tcBorders>
                    <w:tl2br w:val="nil"/>
                    <w:tr2bl w:val="nil"/>
                  </w:tcBorders>
                  <w:shd w:val="clear" w:color="auto" w:fill="auto"/>
                  <w:vAlign w:val="center"/>
                </w:tcPr>
                <w:p w14:paraId="25428274">
                  <w:pPr>
                    <w:pStyle w:val="54"/>
                    <w:rPr>
                      <w:color w:val="auto"/>
                    </w:rPr>
                  </w:pPr>
                  <w:r>
                    <w:rPr>
                      <w:rFonts w:hint="eastAsia"/>
                      <w:color w:val="auto"/>
                    </w:rPr>
                    <w:t>NMHC</w:t>
                  </w:r>
                </w:p>
              </w:tc>
              <w:tc>
                <w:tcPr>
                  <w:tcW w:w="855" w:type="pct"/>
                  <w:tcBorders>
                    <w:tl2br w:val="nil"/>
                    <w:tr2bl w:val="nil"/>
                  </w:tcBorders>
                  <w:shd w:val="clear" w:color="auto" w:fill="auto"/>
                  <w:vAlign w:val="center"/>
                </w:tcPr>
                <w:p w14:paraId="13D20A04">
                  <w:pPr>
                    <w:pStyle w:val="54"/>
                    <w:rPr>
                      <w:color w:val="auto"/>
                    </w:rPr>
                  </w:pPr>
                  <w:r>
                    <w:rPr>
                      <w:rFonts w:hint="eastAsia"/>
                      <w:color w:val="auto"/>
                    </w:rPr>
                    <w:t>1次/半年</w:t>
                  </w:r>
                </w:p>
              </w:tc>
              <w:tc>
                <w:tcPr>
                  <w:tcW w:w="1967" w:type="pct"/>
                  <w:tcBorders>
                    <w:tl2br w:val="nil"/>
                    <w:tr2bl w:val="nil"/>
                  </w:tcBorders>
                  <w:shd w:val="clear" w:color="auto" w:fill="auto"/>
                  <w:vAlign w:val="center"/>
                </w:tcPr>
                <w:p w14:paraId="5699152E">
                  <w:pPr>
                    <w:pStyle w:val="54"/>
                    <w:rPr>
                      <w:color w:val="auto"/>
                    </w:rPr>
                  </w:pPr>
                  <w:r>
                    <w:rPr>
                      <w:color w:val="auto"/>
                    </w:rPr>
                    <w:t>《大气污染物综合排放标准》</w:t>
                  </w:r>
                </w:p>
                <w:p w14:paraId="34A7347C">
                  <w:pPr>
                    <w:pStyle w:val="54"/>
                    <w:rPr>
                      <w:color w:val="auto"/>
                    </w:rPr>
                  </w:pPr>
                  <w:r>
                    <w:rPr>
                      <w:color w:val="auto"/>
                    </w:rPr>
                    <w:t>（DB 32/4041-2021）表</w:t>
                  </w:r>
                  <w:r>
                    <w:rPr>
                      <w:rFonts w:hint="eastAsia"/>
                      <w:color w:val="auto"/>
                    </w:rPr>
                    <w:t>2</w:t>
                  </w:r>
                </w:p>
              </w:tc>
            </w:tr>
          </w:tbl>
          <w:p w14:paraId="3A018CDE">
            <w:pPr>
              <w:pStyle w:val="50"/>
              <w:ind w:firstLine="482"/>
              <w:rPr>
                <w:b/>
                <w:bCs/>
                <w:color w:val="auto"/>
              </w:rPr>
            </w:pPr>
            <w:r>
              <w:rPr>
                <w:b/>
                <w:bCs/>
                <w:color w:val="auto"/>
              </w:rPr>
              <w:t>（7）大气环境影响评价结论</w:t>
            </w:r>
          </w:p>
          <w:p w14:paraId="45FC6F26">
            <w:pPr>
              <w:pStyle w:val="50"/>
              <w:ind w:firstLine="480"/>
              <w:rPr>
                <w:color w:val="auto"/>
              </w:rPr>
            </w:pPr>
            <w:r>
              <w:rPr>
                <w:color w:val="auto"/>
              </w:rPr>
              <w:t>根据现状调查数据，本</w:t>
            </w:r>
            <w:r>
              <w:rPr>
                <w:rFonts w:hint="eastAsia"/>
                <w:color w:val="auto"/>
              </w:rPr>
              <w:t>扩建</w:t>
            </w:r>
            <w:r>
              <w:rPr>
                <w:color w:val="auto"/>
              </w:rPr>
              <w:t>项目所在区域为不达标区域，超标因子为PM</w:t>
            </w:r>
            <w:r>
              <w:rPr>
                <w:color w:val="auto"/>
                <w:vertAlign w:val="subscript"/>
              </w:rPr>
              <w:t>2.5</w:t>
            </w:r>
            <w:r>
              <w:rPr>
                <w:color w:val="auto"/>
              </w:rPr>
              <w:t>、O</w:t>
            </w:r>
            <w:r>
              <w:rPr>
                <w:color w:val="auto"/>
                <w:vertAlign w:val="subscript"/>
              </w:rPr>
              <w:t>3</w:t>
            </w:r>
            <w:r>
              <w:rPr>
                <w:color w:val="auto"/>
              </w:rPr>
              <w:t>，但区域制定了大气整改措施，待各项措施落实后，区域大气环境质量可满足区域环境质量标准。本</w:t>
            </w:r>
            <w:r>
              <w:rPr>
                <w:rFonts w:hint="eastAsia"/>
                <w:color w:val="auto"/>
              </w:rPr>
              <w:t>扩建</w:t>
            </w:r>
            <w:r>
              <w:rPr>
                <w:color w:val="auto"/>
              </w:rPr>
              <w:t>项目采取的废气治理措施技术可行，废气污染物均可得到有效收集处理后达标排放，排放强度较小，且满足排放标准要求。</w:t>
            </w:r>
          </w:p>
          <w:p w14:paraId="2183A177">
            <w:pPr>
              <w:pStyle w:val="50"/>
              <w:ind w:firstLine="482"/>
              <w:rPr>
                <w:b/>
                <w:bCs/>
                <w:color w:val="auto"/>
              </w:rPr>
            </w:pPr>
            <w:r>
              <w:rPr>
                <w:b/>
                <w:bCs/>
                <w:color w:val="auto"/>
              </w:rPr>
              <w:t>2、运营期水环境影响和保护措施</w:t>
            </w:r>
          </w:p>
          <w:p w14:paraId="02106FFA">
            <w:pPr>
              <w:pStyle w:val="50"/>
              <w:ind w:firstLine="482"/>
              <w:rPr>
                <w:b/>
                <w:bCs/>
                <w:color w:val="auto"/>
              </w:rPr>
            </w:pPr>
            <w:r>
              <w:rPr>
                <w:b/>
                <w:bCs/>
                <w:color w:val="auto"/>
              </w:rPr>
              <w:t>（1）污染源分析</w:t>
            </w:r>
          </w:p>
          <w:p w14:paraId="0A8BF03A">
            <w:pPr>
              <w:pStyle w:val="50"/>
              <w:ind w:firstLine="480"/>
              <w:rPr>
                <w:color w:val="auto"/>
              </w:rPr>
            </w:pPr>
            <w:r>
              <w:rPr>
                <w:color w:val="auto"/>
              </w:rPr>
              <w:t>本</w:t>
            </w:r>
            <w:r>
              <w:rPr>
                <w:rFonts w:hint="eastAsia"/>
                <w:color w:val="auto"/>
              </w:rPr>
              <w:t>扩建</w:t>
            </w:r>
            <w:r>
              <w:rPr>
                <w:color w:val="auto"/>
              </w:rPr>
              <w:t>项目</w:t>
            </w:r>
            <w:r>
              <w:rPr>
                <w:rFonts w:hint="eastAsia"/>
                <w:color w:val="auto"/>
              </w:rPr>
              <w:t>新增</w:t>
            </w:r>
            <w:r>
              <w:rPr>
                <w:color w:val="auto"/>
              </w:rPr>
              <w:t>员工</w:t>
            </w:r>
            <w:r>
              <w:rPr>
                <w:rFonts w:hint="eastAsia"/>
                <w:color w:val="auto"/>
              </w:rPr>
              <w:t>30</w:t>
            </w:r>
            <w:r>
              <w:rPr>
                <w:color w:val="auto"/>
              </w:rPr>
              <w:t>人</w:t>
            </w:r>
            <w:r>
              <w:rPr>
                <w:rFonts w:hint="eastAsia"/>
                <w:color w:val="auto"/>
              </w:rPr>
              <w:t>，提供食堂和住宿；现有项目员工30人，无食堂和宿舍。扩建项目建成后全厂员工均使用食堂和宿舍。参考《省水利厅省市场监督管理局关于发布实施〈江苏省工业、建筑业、服务业、生活和农业用水定额（2025年修订）〉的通知》（苏水节〔2025〕2号）</w:t>
            </w:r>
            <w:r>
              <w:rPr>
                <w:color w:val="auto"/>
              </w:rPr>
              <w:t>，用水定额取</w:t>
            </w:r>
            <w:r>
              <w:rPr>
                <w:rFonts w:hint="eastAsia"/>
                <w:color w:val="auto"/>
              </w:rPr>
              <w:t>150</w:t>
            </w:r>
            <w:r>
              <w:rPr>
                <w:color w:val="auto"/>
              </w:rPr>
              <w:t>L/人·d，则职工生活用水量为</w:t>
            </w:r>
            <w:r>
              <w:rPr>
                <w:rFonts w:hint="eastAsia"/>
                <w:color w:val="auto"/>
                <w:lang w:val="en-US" w:eastAsia="zh-CN"/>
              </w:rPr>
              <w:t>2700</w:t>
            </w:r>
            <w:r>
              <w:rPr>
                <w:color w:val="auto"/>
              </w:rPr>
              <w:t>m</w:t>
            </w:r>
            <w:r>
              <w:rPr>
                <w:color w:val="auto"/>
                <w:vertAlign w:val="superscript"/>
              </w:rPr>
              <w:t>3</w:t>
            </w:r>
            <w:r>
              <w:rPr>
                <w:color w:val="auto"/>
              </w:rPr>
              <w:t>/a。职工生活用水产污系数为0.8，则职工生活污水产生量为</w:t>
            </w:r>
            <w:r>
              <w:rPr>
                <w:rFonts w:hint="eastAsia"/>
                <w:color w:val="auto"/>
              </w:rPr>
              <w:t>2160</w:t>
            </w:r>
            <w:r>
              <w:rPr>
                <w:color w:val="auto"/>
              </w:rPr>
              <w:t>m</w:t>
            </w:r>
            <w:r>
              <w:rPr>
                <w:color w:val="auto"/>
                <w:vertAlign w:val="superscript"/>
              </w:rPr>
              <w:t>3</w:t>
            </w:r>
            <w:r>
              <w:rPr>
                <w:color w:val="auto"/>
              </w:rPr>
              <w:t>/a。主要污染物及其产生浓度为：COD</w:t>
            </w:r>
            <w:r>
              <w:rPr>
                <w:rFonts w:hint="eastAsia"/>
                <w:color w:val="auto"/>
              </w:rPr>
              <w:t>400</w:t>
            </w:r>
            <w:r>
              <w:rPr>
                <w:color w:val="auto"/>
              </w:rPr>
              <w:t>mg/L、SS</w:t>
            </w:r>
            <w:r>
              <w:rPr>
                <w:rFonts w:hint="eastAsia"/>
                <w:color w:val="auto"/>
              </w:rPr>
              <w:t>250</w:t>
            </w:r>
            <w:r>
              <w:rPr>
                <w:color w:val="auto"/>
              </w:rPr>
              <w:t>mg/L、氨氮</w:t>
            </w:r>
            <w:r>
              <w:rPr>
                <w:rFonts w:hint="eastAsia"/>
                <w:color w:val="auto"/>
              </w:rPr>
              <w:t>30</w:t>
            </w:r>
            <w:r>
              <w:rPr>
                <w:color w:val="auto"/>
              </w:rPr>
              <w:t>mg/L、TN</w:t>
            </w:r>
            <w:r>
              <w:rPr>
                <w:rFonts w:hint="eastAsia"/>
                <w:color w:val="auto"/>
              </w:rPr>
              <w:t>40</w:t>
            </w:r>
            <w:r>
              <w:rPr>
                <w:color w:val="auto"/>
              </w:rPr>
              <w:t>mg/L、TP</w:t>
            </w:r>
            <w:r>
              <w:rPr>
                <w:rFonts w:hint="eastAsia"/>
                <w:color w:val="auto"/>
              </w:rPr>
              <w:t>3.5</w:t>
            </w:r>
            <w:r>
              <w:rPr>
                <w:color w:val="auto"/>
              </w:rPr>
              <w:t>mg/L</w:t>
            </w:r>
            <w:r>
              <w:rPr>
                <w:rFonts w:hint="eastAsia"/>
                <w:color w:val="auto"/>
              </w:rPr>
              <w:t>、动植物油50mg/L</w:t>
            </w:r>
            <w:r>
              <w:rPr>
                <w:color w:val="auto"/>
              </w:rPr>
              <w:t>。</w:t>
            </w:r>
          </w:p>
          <w:p w14:paraId="27B78CF0">
            <w:pPr>
              <w:pStyle w:val="50"/>
              <w:ind w:firstLine="480"/>
              <w:rPr>
                <w:color w:val="auto"/>
              </w:rPr>
            </w:pPr>
            <w:r>
              <w:rPr>
                <w:color w:val="auto"/>
              </w:rPr>
              <w:t>废水污染源源强核算结果及相关参数见</w:t>
            </w:r>
            <w:r>
              <w:rPr>
                <w:color w:val="auto"/>
              </w:rPr>
              <w:fldChar w:fldCharType="begin"/>
            </w:r>
            <w:r>
              <w:rPr>
                <w:color w:val="auto"/>
              </w:rPr>
              <w:instrText xml:space="preserve"> REF _Ref23743 \h </w:instrText>
            </w:r>
            <w:r>
              <w:rPr>
                <w:color w:val="auto"/>
              </w:rPr>
              <w:fldChar w:fldCharType="separate"/>
            </w:r>
            <w:r>
              <w:rPr>
                <w:color w:val="auto"/>
              </w:rPr>
              <w:t>表4- 11</w:t>
            </w:r>
            <w:r>
              <w:rPr>
                <w:color w:val="auto"/>
              </w:rPr>
              <w:fldChar w:fldCharType="end"/>
            </w:r>
            <w:r>
              <w:rPr>
                <w:color w:val="auto"/>
              </w:rPr>
              <w:t>。</w:t>
            </w:r>
          </w:p>
          <w:p w14:paraId="4363488F">
            <w:pPr>
              <w:pStyle w:val="7"/>
              <w:rPr>
                <w:color w:val="auto"/>
              </w:rPr>
            </w:pPr>
            <w:bookmarkStart w:id="90" w:name="_Ref23743"/>
            <w:r>
              <w:rPr>
                <w:color w:val="auto"/>
              </w:rPr>
              <w:t xml:space="preserve">表4- </w:t>
            </w:r>
            <w:r>
              <w:rPr>
                <w:color w:val="auto"/>
              </w:rPr>
              <w:fldChar w:fldCharType="begin"/>
            </w:r>
            <w:r>
              <w:rPr>
                <w:color w:val="auto"/>
              </w:rPr>
              <w:instrText xml:space="preserve"> SEQ 表4- \* ARABIC </w:instrText>
            </w:r>
            <w:r>
              <w:rPr>
                <w:color w:val="auto"/>
              </w:rPr>
              <w:fldChar w:fldCharType="separate"/>
            </w:r>
            <w:r>
              <w:rPr>
                <w:color w:val="auto"/>
              </w:rPr>
              <w:t>11</w:t>
            </w:r>
            <w:r>
              <w:rPr>
                <w:color w:val="auto"/>
              </w:rPr>
              <w:fldChar w:fldCharType="end"/>
            </w:r>
            <w:bookmarkEnd w:id="90"/>
            <w:r>
              <w:rPr>
                <w:color w:val="auto"/>
              </w:rPr>
              <w:t xml:space="preserve"> 污水污染源源强核算结果及相关参数一览表</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7"/>
              <w:gridCol w:w="682"/>
              <w:gridCol w:w="396"/>
              <w:gridCol w:w="927"/>
              <w:gridCol w:w="846"/>
              <w:gridCol w:w="860"/>
              <w:gridCol w:w="379"/>
              <w:gridCol w:w="713"/>
              <w:gridCol w:w="868"/>
              <w:gridCol w:w="899"/>
              <w:gridCol w:w="821"/>
              <w:gridCol w:w="685"/>
            </w:tblGrid>
            <w:tr w14:paraId="55D1F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11" w:type="pct"/>
                  <w:vMerge w:val="restart"/>
                  <w:tcBorders>
                    <w:tl2br w:val="nil"/>
                    <w:tr2bl w:val="nil"/>
                  </w:tcBorders>
                  <w:vAlign w:val="center"/>
                </w:tcPr>
                <w:p w14:paraId="2EAAA077">
                  <w:pPr>
                    <w:pStyle w:val="52"/>
                    <w:rPr>
                      <w:color w:val="auto"/>
                    </w:rPr>
                  </w:pPr>
                  <w:r>
                    <w:rPr>
                      <w:color w:val="auto"/>
                    </w:rPr>
                    <w:t>工序</w:t>
                  </w:r>
                </w:p>
              </w:tc>
              <w:tc>
                <w:tcPr>
                  <w:tcW w:w="404" w:type="pct"/>
                  <w:vMerge w:val="restart"/>
                  <w:tcBorders>
                    <w:tl2br w:val="nil"/>
                    <w:tr2bl w:val="nil"/>
                  </w:tcBorders>
                  <w:vAlign w:val="center"/>
                </w:tcPr>
                <w:p w14:paraId="786174FE">
                  <w:pPr>
                    <w:pStyle w:val="52"/>
                    <w:rPr>
                      <w:color w:val="auto"/>
                    </w:rPr>
                  </w:pPr>
                  <w:r>
                    <w:rPr>
                      <w:color w:val="auto"/>
                    </w:rPr>
                    <w:t>污染物名称</w:t>
                  </w:r>
                </w:p>
              </w:tc>
              <w:tc>
                <w:tcPr>
                  <w:tcW w:w="234" w:type="pct"/>
                  <w:vMerge w:val="restart"/>
                  <w:tcBorders>
                    <w:tl2br w:val="nil"/>
                    <w:tr2bl w:val="nil"/>
                  </w:tcBorders>
                  <w:vAlign w:val="center"/>
                </w:tcPr>
                <w:p w14:paraId="07CA8491">
                  <w:pPr>
                    <w:pStyle w:val="52"/>
                    <w:rPr>
                      <w:color w:val="auto"/>
                    </w:rPr>
                  </w:pPr>
                  <w:r>
                    <w:rPr>
                      <w:color w:val="auto"/>
                    </w:rPr>
                    <w:t>核算方法</w:t>
                  </w:r>
                </w:p>
              </w:tc>
              <w:tc>
                <w:tcPr>
                  <w:tcW w:w="1561" w:type="pct"/>
                  <w:gridSpan w:val="3"/>
                  <w:tcBorders>
                    <w:tl2br w:val="nil"/>
                    <w:tr2bl w:val="nil"/>
                  </w:tcBorders>
                  <w:shd w:val="clear" w:color="auto" w:fill="auto"/>
                  <w:vAlign w:val="center"/>
                </w:tcPr>
                <w:p w14:paraId="450796F5">
                  <w:pPr>
                    <w:pStyle w:val="52"/>
                    <w:rPr>
                      <w:rFonts w:ascii="Times New Roman" w:hAnsi="Times New Roman" w:eastAsia="宋体" w:cs="Times New Roman"/>
                      <w:b/>
                      <w:bCs/>
                      <w:color w:val="auto"/>
                      <w:kern w:val="2"/>
                      <w:sz w:val="21"/>
                      <w:szCs w:val="21"/>
                      <w:lang w:val="en-US" w:eastAsia="zh-CN" w:bidi="ar-SA"/>
                    </w:rPr>
                  </w:pPr>
                  <w:r>
                    <w:rPr>
                      <w:color w:val="auto"/>
                    </w:rPr>
                    <w:t>污染物产生</w:t>
                  </w:r>
                </w:p>
              </w:tc>
              <w:tc>
                <w:tcPr>
                  <w:tcW w:w="224" w:type="pct"/>
                  <w:vMerge w:val="restart"/>
                  <w:tcBorders>
                    <w:tl2br w:val="nil"/>
                    <w:tr2bl w:val="nil"/>
                  </w:tcBorders>
                  <w:vAlign w:val="center"/>
                </w:tcPr>
                <w:p w14:paraId="1AAF8443">
                  <w:pPr>
                    <w:pStyle w:val="52"/>
                    <w:rPr>
                      <w:color w:val="auto"/>
                    </w:rPr>
                  </w:pPr>
                  <w:r>
                    <w:rPr>
                      <w:color w:val="auto"/>
                    </w:rPr>
                    <w:t>治理措施</w:t>
                  </w:r>
                </w:p>
              </w:tc>
              <w:tc>
                <w:tcPr>
                  <w:tcW w:w="1957" w:type="pct"/>
                  <w:gridSpan w:val="4"/>
                  <w:tcBorders>
                    <w:tl2br w:val="nil"/>
                    <w:tr2bl w:val="nil"/>
                  </w:tcBorders>
                  <w:vAlign w:val="center"/>
                </w:tcPr>
                <w:p w14:paraId="2F5D9A85">
                  <w:pPr>
                    <w:pStyle w:val="52"/>
                    <w:rPr>
                      <w:color w:val="auto"/>
                    </w:rPr>
                  </w:pPr>
                  <w:r>
                    <w:rPr>
                      <w:color w:val="auto"/>
                    </w:rPr>
                    <w:t>污染物排放</w:t>
                  </w:r>
                </w:p>
              </w:tc>
              <w:tc>
                <w:tcPr>
                  <w:tcW w:w="406" w:type="pct"/>
                  <w:vMerge w:val="restart"/>
                  <w:tcBorders>
                    <w:tl2br w:val="nil"/>
                    <w:tr2bl w:val="nil"/>
                  </w:tcBorders>
                  <w:vAlign w:val="center"/>
                </w:tcPr>
                <w:p w14:paraId="52A15B46">
                  <w:pPr>
                    <w:pStyle w:val="52"/>
                    <w:rPr>
                      <w:color w:val="auto"/>
                    </w:rPr>
                  </w:pPr>
                  <w:r>
                    <w:rPr>
                      <w:color w:val="auto"/>
                    </w:rPr>
                    <w:t>去向</w:t>
                  </w:r>
                </w:p>
              </w:tc>
            </w:tr>
            <w:tr w14:paraId="5AAAC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11" w:type="pct"/>
                  <w:vMerge w:val="continue"/>
                  <w:tcBorders>
                    <w:tl2br w:val="nil"/>
                    <w:tr2bl w:val="nil"/>
                  </w:tcBorders>
                  <w:vAlign w:val="center"/>
                </w:tcPr>
                <w:p w14:paraId="4CDE5500">
                  <w:pPr>
                    <w:pStyle w:val="52"/>
                    <w:rPr>
                      <w:color w:val="auto"/>
                    </w:rPr>
                  </w:pPr>
                </w:p>
              </w:tc>
              <w:tc>
                <w:tcPr>
                  <w:tcW w:w="404" w:type="pct"/>
                  <w:vMerge w:val="continue"/>
                  <w:tcBorders>
                    <w:tl2br w:val="nil"/>
                    <w:tr2bl w:val="nil"/>
                  </w:tcBorders>
                  <w:vAlign w:val="center"/>
                </w:tcPr>
                <w:p w14:paraId="51F61875">
                  <w:pPr>
                    <w:pStyle w:val="52"/>
                    <w:rPr>
                      <w:color w:val="auto"/>
                    </w:rPr>
                  </w:pPr>
                </w:p>
              </w:tc>
              <w:tc>
                <w:tcPr>
                  <w:tcW w:w="234" w:type="pct"/>
                  <w:vMerge w:val="continue"/>
                  <w:tcBorders>
                    <w:tl2br w:val="nil"/>
                    <w:tr2bl w:val="nil"/>
                  </w:tcBorders>
                  <w:vAlign w:val="center"/>
                </w:tcPr>
                <w:p w14:paraId="088E9E7B">
                  <w:pPr>
                    <w:pStyle w:val="52"/>
                    <w:rPr>
                      <w:color w:val="auto"/>
                    </w:rPr>
                  </w:pPr>
                </w:p>
              </w:tc>
              <w:tc>
                <w:tcPr>
                  <w:tcW w:w="549" w:type="pct"/>
                  <w:tcBorders>
                    <w:tl2br w:val="nil"/>
                    <w:tr2bl w:val="nil"/>
                  </w:tcBorders>
                  <w:vAlign w:val="center"/>
                </w:tcPr>
                <w:p w14:paraId="2EB6EF8D">
                  <w:pPr>
                    <w:pStyle w:val="52"/>
                    <w:rPr>
                      <w:color w:val="auto"/>
                    </w:rPr>
                  </w:pPr>
                  <w:r>
                    <w:rPr>
                      <w:color w:val="auto"/>
                    </w:rPr>
                    <w:t>产生废水量</w:t>
                  </w:r>
                </w:p>
                <w:p w14:paraId="41DF27EE">
                  <w:pPr>
                    <w:pStyle w:val="52"/>
                    <w:rPr>
                      <w:color w:val="auto"/>
                    </w:rPr>
                  </w:pPr>
                  <w:r>
                    <w:rPr>
                      <w:rFonts w:hint="eastAsia"/>
                      <w:color w:val="auto"/>
                    </w:rPr>
                    <w:t>(</w:t>
                  </w:r>
                  <w:r>
                    <w:rPr>
                      <w:color w:val="auto"/>
                    </w:rPr>
                    <w:t>m</w:t>
                  </w:r>
                  <w:r>
                    <w:rPr>
                      <w:color w:val="auto"/>
                      <w:vertAlign w:val="superscript"/>
                    </w:rPr>
                    <w:t>3</w:t>
                  </w:r>
                  <w:r>
                    <w:rPr>
                      <w:color w:val="auto"/>
                    </w:rPr>
                    <w:t>/a</w:t>
                  </w:r>
                  <w:r>
                    <w:rPr>
                      <w:rFonts w:hint="eastAsia"/>
                      <w:color w:val="auto"/>
                    </w:rPr>
                    <w:t>)</w:t>
                  </w:r>
                </w:p>
              </w:tc>
              <w:tc>
                <w:tcPr>
                  <w:tcW w:w="501" w:type="pct"/>
                  <w:tcBorders>
                    <w:tl2br w:val="nil"/>
                    <w:tr2bl w:val="nil"/>
                  </w:tcBorders>
                  <w:vAlign w:val="center"/>
                </w:tcPr>
                <w:p w14:paraId="7CDEC6AB">
                  <w:pPr>
                    <w:pStyle w:val="52"/>
                    <w:rPr>
                      <w:color w:val="auto"/>
                    </w:rPr>
                  </w:pPr>
                  <w:r>
                    <w:rPr>
                      <w:color w:val="auto"/>
                    </w:rPr>
                    <w:t>产生</w:t>
                  </w:r>
                </w:p>
                <w:p w14:paraId="5296EF45">
                  <w:pPr>
                    <w:pStyle w:val="52"/>
                    <w:rPr>
                      <w:color w:val="auto"/>
                    </w:rPr>
                  </w:pPr>
                  <w:r>
                    <w:rPr>
                      <w:color w:val="auto"/>
                    </w:rPr>
                    <w:t>浓度</w:t>
                  </w:r>
                </w:p>
                <w:p w14:paraId="5467B2EE">
                  <w:pPr>
                    <w:pStyle w:val="52"/>
                    <w:rPr>
                      <w:color w:val="auto"/>
                    </w:rPr>
                  </w:pPr>
                  <w:r>
                    <w:rPr>
                      <w:rFonts w:hint="eastAsia"/>
                      <w:color w:val="auto"/>
                    </w:rPr>
                    <w:t>(</w:t>
                  </w:r>
                  <w:r>
                    <w:rPr>
                      <w:color w:val="auto"/>
                    </w:rPr>
                    <w:t>mg/L</w:t>
                  </w:r>
                  <w:r>
                    <w:rPr>
                      <w:rFonts w:hint="eastAsia"/>
                      <w:color w:val="auto"/>
                    </w:rPr>
                    <w:t>)</w:t>
                  </w:r>
                </w:p>
              </w:tc>
              <w:tc>
                <w:tcPr>
                  <w:tcW w:w="509" w:type="pct"/>
                  <w:tcBorders>
                    <w:tl2br w:val="nil"/>
                    <w:tr2bl w:val="nil"/>
                  </w:tcBorders>
                  <w:vAlign w:val="center"/>
                </w:tcPr>
                <w:p w14:paraId="679C5135">
                  <w:pPr>
                    <w:pStyle w:val="52"/>
                    <w:rPr>
                      <w:color w:val="auto"/>
                    </w:rPr>
                  </w:pPr>
                  <w:r>
                    <w:rPr>
                      <w:color w:val="auto"/>
                    </w:rPr>
                    <w:t>产生量</w:t>
                  </w:r>
                </w:p>
                <w:p w14:paraId="3BCAEE4C">
                  <w:pPr>
                    <w:pStyle w:val="52"/>
                    <w:rPr>
                      <w:color w:val="auto"/>
                    </w:rPr>
                  </w:pPr>
                  <w:r>
                    <w:rPr>
                      <w:rFonts w:hint="eastAsia"/>
                      <w:color w:val="auto"/>
                    </w:rPr>
                    <w:t>(</w:t>
                  </w:r>
                  <w:r>
                    <w:rPr>
                      <w:color w:val="auto"/>
                    </w:rPr>
                    <w:t>t/a</w:t>
                  </w:r>
                  <w:r>
                    <w:rPr>
                      <w:rFonts w:hint="eastAsia"/>
                      <w:color w:val="auto"/>
                    </w:rPr>
                    <w:t>)</w:t>
                  </w:r>
                </w:p>
              </w:tc>
              <w:tc>
                <w:tcPr>
                  <w:tcW w:w="224" w:type="pct"/>
                  <w:vMerge w:val="continue"/>
                  <w:tcBorders>
                    <w:tl2br w:val="nil"/>
                    <w:tr2bl w:val="nil"/>
                  </w:tcBorders>
                  <w:vAlign w:val="center"/>
                </w:tcPr>
                <w:p w14:paraId="1790947D">
                  <w:pPr>
                    <w:pStyle w:val="52"/>
                    <w:rPr>
                      <w:color w:val="auto"/>
                    </w:rPr>
                  </w:pPr>
                </w:p>
              </w:tc>
              <w:tc>
                <w:tcPr>
                  <w:tcW w:w="422" w:type="pct"/>
                  <w:tcBorders>
                    <w:tl2br w:val="nil"/>
                    <w:tr2bl w:val="nil"/>
                  </w:tcBorders>
                  <w:vAlign w:val="center"/>
                </w:tcPr>
                <w:p w14:paraId="0B921A8C">
                  <w:pPr>
                    <w:pStyle w:val="52"/>
                    <w:rPr>
                      <w:color w:val="auto"/>
                    </w:rPr>
                  </w:pPr>
                  <w:r>
                    <w:rPr>
                      <w:color w:val="auto"/>
                    </w:rPr>
                    <w:t>去除效率</w:t>
                  </w:r>
                </w:p>
                <w:p w14:paraId="2E977FDE">
                  <w:pPr>
                    <w:pStyle w:val="52"/>
                    <w:rPr>
                      <w:color w:val="auto"/>
                    </w:rPr>
                  </w:pPr>
                  <w:r>
                    <w:rPr>
                      <w:rFonts w:hint="eastAsia"/>
                      <w:color w:val="auto"/>
                    </w:rPr>
                    <w:t>(</w:t>
                  </w:r>
                  <w:r>
                    <w:rPr>
                      <w:color w:val="auto"/>
                    </w:rPr>
                    <w:t>%</w:t>
                  </w:r>
                  <w:r>
                    <w:rPr>
                      <w:rFonts w:hint="eastAsia"/>
                      <w:color w:val="auto"/>
                    </w:rPr>
                    <w:t>)</w:t>
                  </w:r>
                </w:p>
              </w:tc>
              <w:tc>
                <w:tcPr>
                  <w:tcW w:w="514" w:type="pct"/>
                  <w:tcBorders>
                    <w:tl2br w:val="nil"/>
                    <w:tr2bl w:val="nil"/>
                  </w:tcBorders>
                  <w:vAlign w:val="center"/>
                </w:tcPr>
                <w:p w14:paraId="3BD47D82">
                  <w:pPr>
                    <w:pStyle w:val="52"/>
                    <w:rPr>
                      <w:color w:val="auto"/>
                    </w:rPr>
                  </w:pPr>
                  <w:r>
                    <w:rPr>
                      <w:color w:val="auto"/>
                    </w:rPr>
                    <w:t>排放废水量</w:t>
                  </w:r>
                </w:p>
                <w:p w14:paraId="019E845E">
                  <w:pPr>
                    <w:pStyle w:val="52"/>
                    <w:rPr>
                      <w:color w:val="auto"/>
                    </w:rPr>
                  </w:pPr>
                  <w:r>
                    <w:rPr>
                      <w:rFonts w:hint="eastAsia"/>
                      <w:color w:val="auto"/>
                    </w:rPr>
                    <w:t>(</w:t>
                  </w:r>
                  <w:r>
                    <w:rPr>
                      <w:color w:val="auto"/>
                    </w:rPr>
                    <w:t>m</w:t>
                  </w:r>
                  <w:r>
                    <w:rPr>
                      <w:color w:val="auto"/>
                      <w:vertAlign w:val="superscript"/>
                    </w:rPr>
                    <w:t>3</w:t>
                  </w:r>
                  <w:r>
                    <w:rPr>
                      <w:color w:val="auto"/>
                    </w:rPr>
                    <w:t>/a</w:t>
                  </w:r>
                  <w:r>
                    <w:rPr>
                      <w:rFonts w:hint="eastAsia"/>
                      <w:color w:val="auto"/>
                    </w:rPr>
                    <w:t>)</w:t>
                  </w:r>
                </w:p>
              </w:tc>
              <w:tc>
                <w:tcPr>
                  <w:tcW w:w="533" w:type="pct"/>
                  <w:tcBorders>
                    <w:tl2br w:val="nil"/>
                    <w:tr2bl w:val="nil"/>
                  </w:tcBorders>
                  <w:vAlign w:val="center"/>
                </w:tcPr>
                <w:p w14:paraId="4F70C979">
                  <w:pPr>
                    <w:pStyle w:val="52"/>
                    <w:rPr>
                      <w:color w:val="auto"/>
                    </w:rPr>
                  </w:pPr>
                  <w:r>
                    <w:rPr>
                      <w:color w:val="auto"/>
                    </w:rPr>
                    <w:t>排放</w:t>
                  </w:r>
                </w:p>
                <w:p w14:paraId="7B045575">
                  <w:pPr>
                    <w:pStyle w:val="52"/>
                    <w:rPr>
                      <w:color w:val="auto"/>
                    </w:rPr>
                  </w:pPr>
                  <w:r>
                    <w:rPr>
                      <w:color w:val="auto"/>
                    </w:rPr>
                    <w:t>浓度</w:t>
                  </w:r>
                </w:p>
                <w:p w14:paraId="2D6681E5">
                  <w:pPr>
                    <w:pStyle w:val="52"/>
                    <w:rPr>
                      <w:color w:val="auto"/>
                    </w:rPr>
                  </w:pPr>
                  <w:r>
                    <w:rPr>
                      <w:rFonts w:hint="eastAsia"/>
                      <w:color w:val="auto"/>
                    </w:rPr>
                    <w:t>(</w:t>
                  </w:r>
                  <w:r>
                    <w:rPr>
                      <w:color w:val="auto"/>
                    </w:rPr>
                    <w:t>mg/L</w:t>
                  </w:r>
                  <w:r>
                    <w:rPr>
                      <w:rFonts w:hint="eastAsia"/>
                      <w:color w:val="auto"/>
                    </w:rPr>
                    <w:t>)</w:t>
                  </w:r>
                </w:p>
              </w:tc>
              <w:tc>
                <w:tcPr>
                  <w:tcW w:w="486" w:type="pct"/>
                  <w:tcBorders>
                    <w:tl2br w:val="nil"/>
                    <w:tr2bl w:val="nil"/>
                  </w:tcBorders>
                  <w:vAlign w:val="center"/>
                </w:tcPr>
                <w:p w14:paraId="34FB88A7">
                  <w:pPr>
                    <w:pStyle w:val="52"/>
                    <w:rPr>
                      <w:color w:val="auto"/>
                    </w:rPr>
                  </w:pPr>
                  <w:r>
                    <w:rPr>
                      <w:color w:val="auto"/>
                    </w:rPr>
                    <w:t>排放量</w:t>
                  </w:r>
                </w:p>
                <w:p w14:paraId="24A42E5B">
                  <w:pPr>
                    <w:pStyle w:val="52"/>
                    <w:rPr>
                      <w:color w:val="auto"/>
                    </w:rPr>
                  </w:pPr>
                  <w:r>
                    <w:rPr>
                      <w:rFonts w:hint="eastAsia"/>
                      <w:color w:val="auto"/>
                    </w:rPr>
                    <w:t>(</w:t>
                  </w:r>
                  <w:r>
                    <w:rPr>
                      <w:color w:val="auto"/>
                    </w:rPr>
                    <w:t>t/a</w:t>
                  </w:r>
                  <w:r>
                    <w:rPr>
                      <w:rFonts w:hint="eastAsia"/>
                      <w:color w:val="auto"/>
                    </w:rPr>
                    <w:t>)</w:t>
                  </w:r>
                </w:p>
              </w:tc>
              <w:tc>
                <w:tcPr>
                  <w:tcW w:w="406" w:type="pct"/>
                  <w:vMerge w:val="continue"/>
                  <w:tcBorders>
                    <w:tl2br w:val="nil"/>
                    <w:tr2bl w:val="nil"/>
                  </w:tcBorders>
                  <w:vAlign w:val="center"/>
                </w:tcPr>
                <w:p w14:paraId="6CC29F7E">
                  <w:pPr>
                    <w:rPr>
                      <w:color w:val="auto"/>
                    </w:rPr>
                  </w:pPr>
                </w:p>
              </w:tc>
            </w:tr>
            <w:tr w14:paraId="4961D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11" w:type="pct"/>
                  <w:vMerge w:val="restart"/>
                  <w:tcBorders>
                    <w:tl2br w:val="nil"/>
                    <w:tr2bl w:val="nil"/>
                  </w:tcBorders>
                  <w:vAlign w:val="center"/>
                </w:tcPr>
                <w:p w14:paraId="3519443C">
                  <w:pPr>
                    <w:pStyle w:val="54"/>
                    <w:rPr>
                      <w:color w:val="auto"/>
                    </w:rPr>
                  </w:pPr>
                  <w:r>
                    <w:rPr>
                      <w:color w:val="auto"/>
                    </w:rPr>
                    <w:t>职工生活</w:t>
                  </w:r>
                </w:p>
              </w:tc>
              <w:tc>
                <w:tcPr>
                  <w:tcW w:w="404" w:type="pct"/>
                  <w:tcBorders>
                    <w:tl2br w:val="nil"/>
                    <w:tr2bl w:val="nil"/>
                  </w:tcBorders>
                  <w:vAlign w:val="center"/>
                </w:tcPr>
                <w:p w14:paraId="0C0F1195">
                  <w:pPr>
                    <w:pStyle w:val="54"/>
                    <w:rPr>
                      <w:color w:val="auto"/>
                    </w:rPr>
                  </w:pPr>
                  <w:r>
                    <w:rPr>
                      <w:color w:val="auto"/>
                    </w:rPr>
                    <w:t>COD</w:t>
                  </w:r>
                </w:p>
              </w:tc>
              <w:tc>
                <w:tcPr>
                  <w:tcW w:w="234" w:type="pct"/>
                  <w:vMerge w:val="restart"/>
                  <w:tcBorders>
                    <w:tl2br w:val="nil"/>
                    <w:tr2bl w:val="nil"/>
                  </w:tcBorders>
                  <w:vAlign w:val="center"/>
                </w:tcPr>
                <w:p w14:paraId="40BFB111">
                  <w:pPr>
                    <w:pStyle w:val="54"/>
                    <w:rPr>
                      <w:color w:val="auto"/>
                    </w:rPr>
                  </w:pPr>
                  <w:r>
                    <w:rPr>
                      <w:color w:val="auto"/>
                    </w:rPr>
                    <w:t>类比法</w:t>
                  </w:r>
                </w:p>
              </w:tc>
              <w:tc>
                <w:tcPr>
                  <w:tcW w:w="549" w:type="pct"/>
                  <w:vMerge w:val="restart"/>
                  <w:tcBorders>
                    <w:tl2br w:val="nil"/>
                    <w:tr2bl w:val="nil"/>
                  </w:tcBorders>
                  <w:vAlign w:val="center"/>
                </w:tcPr>
                <w:p w14:paraId="6B0CC4CD">
                  <w:pPr>
                    <w:pStyle w:val="54"/>
                    <w:rPr>
                      <w:color w:val="auto"/>
                    </w:rPr>
                  </w:pPr>
                  <w:r>
                    <w:rPr>
                      <w:rFonts w:hint="eastAsia"/>
                      <w:color w:val="auto"/>
                    </w:rPr>
                    <w:t>2160</w:t>
                  </w:r>
                </w:p>
              </w:tc>
              <w:tc>
                <w:tcPr>
                  <w:tcW w:w="501" w:type="pct"/>
                  <w:tcBorders>
                    <w:tl2br w:val="nil"/>
                    <w:tr2bl w:val="nil"/>
                  </w:tcBorders>
                  <w:shd w:val="clear" w:color="auto" w:fill="auto"/>
                  <w:vAlign w:val="center"/>
                </w:tcPr>
                <w:p w14:paraId="7FDB3AD4">
                  <w:pPr>
                    <w:pStyle w:val="54"/>
                    <w:rPr>
                      <w:color w:val="auto"/>
                    </w:rPr>
                  </w:pPr>
                  <w:r>
                    <w:rPr>
                      <w:color w:val="auto"/>
                    </w:rPr>
                    <w:t>400</w:t>
                  </w:r>
                </w:p>
              </w:tc>
              <w:tc>
                <w:tcPr>
                  <w:tcW w:w="509" w:type="pct"/>
                  <w:tcBorders>
                    <w:tl2br w:val="nil"/>
                    <w:tr2bl w:val="nil"/>
                  </w:tcBorders>
                  <w:shd w:val="clear" w:color="auto" w:fill="auto"/>
                  <w:vAlign w:val="center"/>
                </w:tcPr>
                <w:p w14:paraId="37D32685">
                  <w:pPr>
                    <w:pStyle w:val="54"/>
                    <w:rPr>
                      <w:color w:val="auto"/>
                    </w:rPr>
                  </w:pPr>
                  <w:r>
                    <w:rPr>
                      <w:color w:val="auto"/>
                    </w:rPr>
                    <w:t>0.8640</w:t>
                  </w:r>
                </w:p>
              </w:tc>
              <w:tc>
                <w:tcPr>
                  <w:tcW w:w="224" w:type="pct"/>
                  <w:vMerge w:val="restart"/>
                  <w:tcBorders>
                    <w:tl2br w:val="nil"/>
                    <w:tr2bl w:val="nil"/>
                  </w:tcBorders>
                  <w:vAlign w:val="center"/>
                </w:tcPr>
                <w:p w14:paraId="3134559D">
                  <w:pPr>
                    <w:pStyle w:val="54"/>
                    <w:rPr>
                      <w:color w:val="auto"/>
                    </w:rPr>
                  </w:pPr>
                  <w:r>
                    <w:rPr>
                      <w:rFonts w:hint="eastAsia"/>
                      <w:color w:val="auto"/>
                    </w:rPr>
                    <w:t>化粪池</w:t>
                  </w:r>
                </w:p>
              </w:tc>
              <w:tc>
                <w:tcPr>
                  <w:tcW w:w="422" w:type="pct"/>
                  <w:tcBorders>
                    <w:tl2br w:val="nil"/>
                    <w:tr2bl w:val="nil"/>
                  </w:tcBorders>
                  <w:vAlign w:val="center"/>
                </w:tcPr>
                <w:p w14:paraId="148A3D3F">
                  <w:pPr>
                    <w:pStyle w:val="54"/>
                    <w:rPr>
                      <w:color w:val="auto"/>
                    </w:rPr>
                  </w:pPr>
                  <w:r>
                    <w:rPr>
                      <w:rFonts w:hint="eastAsia"/>
                      <w:color w:val="auto"/>
                    </w:rPr>
                    <w:t>25</w:t>
                  </w:r>
                </w:p>
              </w:tc>
              <w:tc>
                <w:tcPr>
                  <w:tcW w:w="514" w:type="pct"/>
                  <w:vMerge w:val="restart"/>
                  <w:tcBorders>
                    <w:tl2br w:val="nil"/>
                    <w:tr2bl w:val="nil"/>
                  </w:tcBorders>
                  <w:shd w:val="clear" w:color="auto" w:fill="auto"/>
                  <w:vAlign w:val="center"/>
                </w:tcPr>
                <w:p w14:paraId="7BF62DAC">
                  <w:pPr>
                    <w:pStyle w:val="54"/>
                    <w:rPr>
                      <w:color w:val="auto"/>
                    </w:rPr>
                  </w:pPr>
                  <w:r>
                    <w:rPr>
                      <w:rFonts w:hint="eastAsia"/>
                      <w:color w:val="auto"/>
                    </w:rPr>
                    <w:t>2160</w:t>
                  </w:r>
                </w:p>
              </w:tc>
              <w:tc>
                <w:tcPr>
                  <w:tcW w:w="533" w:type="pct"/>
                  <w:tcBorders>
                    <w:tl2br w:val="nil"/>
                    <w:tr2bl w:val="nil"/>
                  </w:tcBorders>
                  <w:vAlign w:val="center"/>
                </w:tcPr>
                <w:p w14:paraId="212AB01C">
                  <w:pPr>
                    <w:pStyle w:val="54"/>
                    <w:rPr>
                      <w:color w:val="auto"/>
                    </w:rPr>
                  </w:pPr>
                  <w:r>
                    <w:rPr>
                      <w:color w:val="auto"/>
                    </w:rPr>
                    <w:t>300</w:t>
                  </w:r>
                </w:p>
              </w:tc>
              <w:tc>
                <w:tcPr>
                  <w:tcW w:w="486" w:type="pct"/>
                  <w:tcBorders>
                    <w:tl2br w:val="nil"/>
                    <w:tr2bl w:val="nil"/>
                  </w:tcBorders>
                  <w:vAlign w:val="center"/>
                </w:tcPr>
                <w:p w14:paraId="298EE6D5">
                  <w:pPr>
                    <w:pStyle w:val="54"/>
                    <w:rPr>
                      <w:color w:val="auto"/>
                    </w:rPr>
                  </w:pPr>
                  <w:r>
                    <w:rPr>
                      <w:color w:val="auto"/>
                    </w:rPr>
                    <w:t xml:space="preserve">0.6480 </w:t>
                  </w:r>
                </w:p>
              </w:tc>
              <w:tc>
                <w:tcPr>
                  <w:tcW w:w="406" w:type="pct"/>
                  <w:vMerge w:val="restart"/>
                  <w:tcBorders>
                    <w:tl2br w:val="nil"/>
                    <w:tr2bl w:val="nil"/>
                  </w:tcBorders>
                  <w:vAlign w:val="center"/>
                </w:tcPr>
                <w:p w14:paraId="71335EF7">
                  <w:pPr>
                    <w:pStyle w:val="54"/>
                    <w:rPr>
                      <w:color w:val="auto"/>
                    </w:rPr>
                  </w:pPr>
                  <w:r>
                    <w:rPr>
                      <w:rFonts w:hint="eastAsia"/>
                      <w:color w:val="auto"/>
                    </w:rPr>
                    <w:t>王集镇污水处理厂</w:t>
                  </w:r>
                </w:p>
              </w:tc>
            </w:tr>
            <w:tr w14:paraId="1297C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11" w:type="pct"/>
                  <w:vMerge w:val="continue"/>
                  <w:tcBorders>
                    <w:tl2br w:val="nil"/>
                    <w:tr2bl w:val="nil"/>
                  </w:tcBorders>
                  <w:vAlign w:val="center"/>
                </w:tcPr>
                <w:p w14:paraId="467A58DE">
                  <w:pPr>
                    <w:pStyle w:val="54"/>
                    <w:rPr>
                      <w:color w:val="auto"/>
                    </w:rPr>
                  </w:pPr>
                </w:p>
              </w:tc>
              <w:tc>
                <w:tcPr>
                  <w:tcW w:w="404" w:type="pct"/>
                  <w:tcBorders>
                    <w:tl2br w:val="nil"/>
                    <w:tr2bl w:val="nil"/>
                  </w:tcBorders>
                  <w:vAlign w:val="center"/>
                </w:tcPr>
                <w:p w14:paraId="73990294">
                  <w:pPr>
                    <w:pStyle w:val="54"/>
                    <w:rPr>
                      <w:color w:val="auto"/>
                    </w:rPr>
                  </w:pPr>
                  <w:r>
                    <w:rPr>
                      <w:color w:val="auto"/>
                    </w:rPr>
                    <w:t>SS</w:t>
                  </w:r>
                </w:p>
              </w:tc>
              <w:tc>
                <w:tcPr>
                  <w:tcW w:w="234" w:type="pct"/>
                  <w:vMerge w:val="continue"/>
                  <w:tcBorders>
                    <w:tl2br w:val="nil"/>
                    <w:tr2bl w:val="nil"/>
                  </w:tcBorders>
                  <w:vAlign w:val="center"/>
                </w:tcPr>
                <w:p w14:paraId="440863AA">
                  <w:pPr>
                    <w:pStyle w:val="54"/>
                    <w:rPr>
                      <w:color w:val="auto"/>
                    </w:rPr>
                  </w:pPr>
                </w:p>
              </w:tc>
              <w:tc>
                <w:tcPr>
                  <w:tcW w:w="549" w:type="pct"/>
                  <w:vMerge w:val="continue"/>
                  <w:tcBorders>
                    <w:tl2br w:val="nil"/>
                    <w:tr2bl w:val="nil"/>
                  </w:tcBorders>
                  <w:vAlign w:val="center"/>
                </w:tcPr>
                <w:p w14:paraId="38016667">
                  <w:pPr>
                    <w:pStyle w:val="54"/>
                    <w:rPr>
                      <w:color w:val="auto"/>
                    </w:rPr>
                  </w:pPr>
                </w:p>
              </w:tc>
              <w:tc>
                <w:tcPr>
                  <w:tcW w:w="501" w:type="pct"/>
                  <w:tcBorders>
                    <w:tl2br w:val="nil"/>
                    <w:tr2bl w:val="nil"/>
                  </w:tcBorders>
                  <w:shd w:val="clear" w:color="auto" w:fill="auto"/>
                  <w:vAlign w:val="center"/>
                </w:tcPr>
                <w:p w14:paraId="48BAD3C1">
                  <w:pPr>
                    <w:pStyle w:val="54"/>
                    <w:rPr>
                      <w:color w:val="auto"/>
                    </w:rPr>
                  </w:pPr>
                  <w:r>
                    <w:rPr>
                      <w:color w:val="auto"/>
                    </w:rPr>
                    <w:t>250</w:t>
                  </w:r>
                </w:p>
              </w:tc>
              <w:tc>
                <w:tcPr>
                  <w:tcW w:w="509" w:type="pct"/>
                  <w:tcBorders>
                    <w:tl2br w:val="nil"/>
                    <w:tr2bl w:val="nil"/>
                  </w:tcBorders>
                  <w:shd w:val="clear" w:color="auto" w:fill="auto"/>
                  <w:vAlign w:val="center"/>
                </w:tcPr>
                <w:p w14:paraId="3DA308F7">
                  <w:pPr>
                    <w:pStyle w:val="54"/>
                    <w:rPr>
                      <w:color w:val="auto"/>
                    </w:rPr>
                  </w:pPr>
                  <w:r>
                    <w:rPr>
                      <w:color w:val="auto"/>
                    </w:rPr>
                    <w:t>0.5400</w:t>
                  </w:r>
                </w:p>
              </w:tc>
              <w:tc>
                <w:tcPr>
                  <w:tcW w:w="224" w:type="pct"/>
                  <w:vMerge w:val="continue"/>
                  <w:tcBorders>
                    <w:tl2br w:val="nil"/>
                    <w:tr2bl w:val="nil"/>
                  </w:tcBorders>
                  <w:vAlign w:val="center"/>
                </w:tcPr>
                <w:p w14:paraId="0D24DE14">
                  <w:pPr>
                    <w:pStyle w:val="54"/>
                    <w:rPr>
                      <w:color w:val="auto"/>
                    </w:rPr>
                  </w:pPr>
                </w:p>
              </w:tc>
              <w:tc>
                <w:tcPr>
                  <w:tcW w:w="422" w:type="pct"/>
                  <w:tcBorders>
                    <w:tl2br w:val="nil"/>
                    <w:tr2bl w:val="nil"/>
                  </w:tcBorders>
                  <w:vAlign w:val="center"/>
                </w:tcPr>
                <w:p w14:paraId="02EE2EFC">
                  <w:pPr>
                    <w:pStyle w:val="54"/>
                    <w:rPr>
                      <w:color w:val="auto"/>
                    </w:rPr>
                  </w:pPr>
                  <w:r>
                    <w:rPr>
                      <w:rFonts w:hint="eastAsia"/>
                      <w:color w:val="auto"/>
                    </w:rPr>
                    <w:t>40</w:t>
                  </w:r>
                </w:p>
              </w:tc>
              <w:tc>
                <w:tcPr>
                  <w:tcW w:w="514" w:type="pct"/>
                  <w:vMerge w:val="continue"/>
                  <w:tcBorders>
                    <w:tl2br w:val="nil"/>
                    <w:tr2bl w:val="nil"/>
                  </w:tcBorders>
                  <w:vAlign w:val="center"/>
                </w:tcPr>
                <w:p w14:paraId="696F8EF8">
                  <w:pPr>
                    <w:pStyle w:val="54"/>
                    <w:rPr>
                      <w:color w:val="auto"/>
                    </w:rPr>
                  </w:pPr>
                </w:p>
              </w:tc>
              <w:tc>
                <w:tcPr>
                  <w:tcW w:w="533" w:type="pct"/>
                  <w:tcBorders>
                    <w:tl2br w:val="nil"/>
                    <w:tr2bl w:val="nil"/>
                  </w:tcBorders>
                  <w:vAlign w:val="center"/>
                </w:tcPr>
                <w:p w14:paraId="15C719EA">
                  <w:pPr>
                    <w:pStyle w:val="54"/>
                    <w:rPr>
                      <w:color w:val="auto"/>
                    </w:rPr>
                  </w:pPr>
                  <w:r>
                    <w:rPr>
                      <w:color w:val="auto"/>
                    </w:rPr>
                    <w:t>150</w:t>
                  </w:r>
                </w:p>
              </w:tc>
              <w:tc>
                <w:tcPr>
                  <w:tcW w:w="486" w:type="pct"/>
                  <w:tcBorders>
                    <w:tl2br w:val="nil"/>
                    <w:tr2bl w:val="nil"/>
                  </w:tcBorders>
                  <w:vAlign w:val="center"/>
                </w:tcPr>
                <w:p w14:paraId="71EE41E1">
                  <w:pPr>
                    <w:pStyle w:val="54"/>
                    <w:rPr>
                      <w:color w:val="auto"/>
                    </w:rPr>
                  </w:pPr>
                  <w:r>
                    <w:rPr>
                      <w:color w:val="auto"/>
                    </w:rPr>
                    <w:t xml:space="preserve">0.3240 </w:t>
                  </w:r>
                </w:p>
              </w:tc>
              <w:tc>
                <w:tcPr>
                  <w:tcW w:w="406" w:type="pct"/>
                  <w:vMerge w:val="continue"/>
                  <w:tcBorders>
                    <w:tl2br w:val="nil"/>
                    <w:tr2bl w:val="nil"/>
                  </w:tcBorders>
                  <w:vAlign w:val="center"/>
                </w:tcPr>
                <w:p w14:paraId="61649D1A">
                  <w:pPr>
                    <w:pStyle w:val="54"/>
                    <w:rPr>
                      <w:color w:val="auto"/>
                    </w:rPr>
                  </w:pPr>
                </w:p>
              </w:tc>
            </w:tr>
            <w:tr w14:paraId="6B772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11" w:type="pct"/>
                  <w:vMerge w:val="continue"/>
                  <w:tcBorders>
                    <w:tl2br w:val="nil"/>
                    <w:tr2bl w:val="nil"/>
                  </w:tcBorders>
                  <w:vAlign w:val="center"/>
                </w:tcPr>
                <w:p w14:paraId="6548B16B">
                  <w:pPr>
                    <w:pStyle w:val="54"/>
                    <w:rPr>
                      <w:color w:val="auto"/>
                    </w:rPr>
                  </w:pPr>
                </w:p>
              </w:tc>
              <w:tc>
                <w:tcPr>
                  <w:tcW w:w="404" w:type="pct"/>
                  <w:tcBorders>
                    <w:tl2br w:val="nil"/>
                    <w:tr2bl w:val="nil"/>
                  </w:tcBorders>
                  <w:vAlign w:val="center"/>
                </w:tcPr>
                <w:p w14:paraId="06E92A1D">
                  <w:pPr>
                    <w:pStyle w:val="54"/>
                    <w:rPr>
                      <w:color w:val="auto"/>
                    </w:rPr>
                  </w:pPr>
                  <w:r>
                    <w:rPr>
                      <w:color w:val="auto"/>
                    </w:rPr>
                    <w:t>氨氮</w:t>
                  </w:r>
                </w:p>
              </w:tc>
              <w:tc>
                <w:tcPr>
                  <w:tcW w:w="234" w:type="pct"/>
                  <w:vMerge w:val="continue"/>
                  <w:tcBorders>
                    <w:tl2br w:val="nil"/>
                    <w:tr2bl w:val="nil"/>
                  </w:tcBorders>
                  <w:vAlign w:val="center"/>
                </w:tcPr>
                <w:p w14:paraId="03EE365C">
                  <w:pPr>
                    <w:pStyle w:val="54"/>
                    <w:rPr>
                      <w:color w:val="auto"/>
                    </w:rPr>
                  </w:pPr>
                </w:p>
              </w:tc>
              <w:tc>
                <w:tcPr>
                  <w:tcW w:w="549" w:type="pct"/>
                  <w:vMerge w:val="continue"/>
                  <w:tcBorders>
                    <w:tl2br w:val="nil"/>
                    <w:tr2bl w:val="nil"/>
                  </w:tcBorders>
                  <w:vAlign w:val="center"/>
                </w:tcPr>
                <w:p w14:paraId="5E117D99">
                  <w:pPr>
                    <w:pStyle w:val="54"/>
                    <w:rPr>
                      <w:color w:val="auto"/>
                    </w:rPr>
                  </w:pPr>
                </w:p>
              </w:tc>
              <w:tc>
                <w:tcPr>
                  <w:tcW w:w="501" w:type="pct"/>
                  <w:tcBorders>
                    <w:tl2br w:val="nil"/>
                    <w:tr2bl w:val="nil"/>
                  </w:tcBorders>
                  <w:shd w:val="clear" w:color="auto" w:fill="auto"/>
                  <w:vAlign w:val="center"/>
                </w:tcPr>
                <w:p w14:paraId="04D4C4A6">
                  <w:pPr>
                    <w:pStyle w:val="54"/>
                    <w:rPr>
                      <w:color w:val="auto"/>
                    </w:rPr>
                  </w:pPr>
                  <w:r>
                    <w:rPr>
                      <w:color w:val="auto"/>
                    </w:rPr>
                    <w:t>30</w:t>
                  </w:r>
                </w:p>
              </w:tc>
              <w:tc>
                <w:tcPr>
                  <w:tcW w:w="509" w:type="pct"/>
                  <w:tcBorders>
                    <w:tl2br w:val="nil"/>
                    <w:tr2bl w:val="nil"/>
                  </w:tcBorders>
                  <w:shd w:val="clear" w:color="auto" w:fill="auto"/>
                  <w:vAlign w:val="center"/>
                </w:tcPr>
                <w:p w14:paraId="7F9FEF7F">
                  <w:pPr>
                    <w:pStyle w:val="54"/>
                    <w:rPr>
                      <w:color w:val="auto"/>
                    </w:rPr>
                  </w:pPr>
                  <w:r>
                    <w:rPr>
                      <w:color w:val="auto"/>
                    </w:rPr>
                    <w:t>0.0648</w:t>
                  </w:r>
                </w:p>
              </w:tc>
              <w:tc>
                <w:tcPr>
                  <w:tcW w:w="224" w:type="pct"/>
                  <w:vMerge w:val="continue"/>
                  <w:tcBorders>
                    <w:tl2br w:val="nil"/>
                    <w:tr2bl w:val="nil"/>
                  </w:tcBorders>
                  <w:vAlign w:val="center"/>
                </w:tcPr>
                <w:p w14:paraId="63F2B89A">
                  <w:pPr>
                    <w:pStyle w:val="54"/>
                    <w:rPr>
                      <w:color w:val="auto"/>
                    </w:rPr>
                  </w:pPr>
                </w:p>
              </w:tc>
              <w:tc>
                <w:tcPr>
                  <w:tcW w:w="422" w:type="pct"/>
                  <w:tcBorders>
                    <w:tl2br w:val="nil"/>
                    <w:tr2bl w:val="nil"/>
                  </w:tcBorders>
                  <w:vAlign w:val="center"/>
                </w:tcPr>
                <w:p w14:paraId="18735735">
                  <w:pPr>
                    <w:pStyle w:val="54"/>
                    <w:rPr>
                      <w:color w:val="auto"/>
                    </w:rPr>
                  </w:pPr>
                  <w:r>
                    <w:rPr>
                      <w:rFonts w:hint="eastAsia"/>
                      <w:color w:val="auto"/>
                    </w:rPr>
                    <w:t>0</w:t>
                  </w:r>
                </w:p>
              </w:tc>
              <w:tc>
                <w:tcPr>
                  <w:tcW w:w="514" w:type="pct"/>
                  <w:vMerge w:val="continue"/>
                  <w:tcBorders>
                    <w:tl2br w:val="nil"/>
                    <w:tr2bl w:val="nil"/>
                  </w:tcBorders>
                  <w:vAlign w:val="center"/>
                </w:tcPr>
                <w:p w14:paraId="3626714D">
                  <w:pPr>
                    <w:pStyle w:val="54"/>
                    <w:rPr>
                      <w:color w:val="auto"/>
                    </w:rPr>
                  </w:pPr>
                </w:p>
              </w:tc>
              <w:tc>
                <w:tcPr>
                  <w:tcW w:w="533" w:type="pct"/>
                  <w:tcBorders>
                    <w:tl2br w:val="nil"/>
                    <w:tr2bl w:val="nil"/>
                  </w:tcBorders>
                  <w:vAlign w:val="center"/>
                </w:tcPr>
                <w:p w14:paraId="269FF216">
                  <w:pPr>
                    <w:pStyle w:val="54"/>
                    <w:rPr>
                      <w:color w:val="auto"/>
                    </w:rPr>
                  </w:pPr>
                  <w:r>
                    <w:rPr>
                      <w:color w:val="auto"/>
                    </w:rPr>
                    <w:t>30</w:t>
                  </w:r>
                </w:p>
              </w:tc>
              <w:tc>
                <w:tcPr>
                  <w:tcW w:w="486" w:type="pct"/>
                  <w:tcBorders>
                    <w:tl2br w:val="nil"/>
                    <w:tr2bl w:val="nil"/>
                  </w:tcBorders>
                  <w:vAlign w:val="center"/>
                </w:tcPr>
                <w:p w14:paraId="68E25EED">
                  <w:pPr>
                    <w:pStyle w:val="54"/>
                    <w:rPr>
                      <w:color w:val="auto"/>
                    </w:rPr>
                  </w:pPr>
                  <w:r>
                    <w:rPr>
                      <w:color w:val="auto"/>
                    </w:rPr>
                    <w:t xml:space="preserve">0.0648 </w:t>
                  </w:r>
                </w:p>
              </w:tc>
              <w:tc>
                <w:tcPr>
                  <w:tcW w:w="406" w:type="pct"/>
                  <w:vMerge w:val="continue"/>
                  <w:tcBorders>
                    <w:tl2br w:val="nil"/>
                    <w:tr2bl w:val="nil"/>
                  </w:tcBorders>
                  <w:vAlign w:val="center"/>
                </w:tcPr>
                <w:p w14:paraId="39A4F0D7">
                  <w:pPr>
                    <w:pStyle w:val="54"/>
                    <w:rPr>
                      <w:color w:val="auto"/>
                    </w:rPr>
                  </w:pPr>
                </w:p>
              </w:tc>
            </w:tr>
            <w:tr w14:paraId="4DA2D5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11" w:type="pct"/>
                  <w:vMerge w:val="continue"/>
                  <w:tcBorders>
                    <w:tl2br w:val="nil"/>
                    <w:tr2bl w:val="nil"/>
                  </w:tcBorders>
                  <w:vAlign w:val="center"/>
                </w:tcPr>
                <w:p w14:paraId="072BCCCC">
                  <w:pPr>
                    <w:pStyle w:val="54"/>
                    <w:rPr>
                      <w:color w:val="auto"/>
                    </w:rPr>
                  </w:pPr>
                </w:p>
              </w:tc>
              <w:tc>
                <w:tcPr>
                  <w:tcW w:w="404" w:type="pct"/>
                  <w:tcBorders>
                    <w:tl2br w:val="nil"/>
                    <w:tr2bl w:val="nil"/>
                  </w:tcBorders>
                  <w:vAlign w:val="center"/>
                </w:tcPr>
                <w:p w14:paraId="75201CDA">
                  <w:pPr>
                    <w:pStyle w:val="54"/>
                    <w:rPr>
                      <w:color w:val="auto"/>
                    </w:rPr>
                  </w:pPr>
                  <w:r>
                    <w:rPr>
                      <w:color w:val="auto"/>
                    </w:rPr>
                    <w:t>TP</w:t>
                  </w:r>
                </w:p>
              </w:tc>
              <w:tc>
                <w:tcPr>
                  <w:tcW w:w="234" w:type="pct"/>
                  <w:vMerge w:val="continue"/>
                  <w:tcBorders>
                    <w:tl2br w:val="nil"/>
                    <w:tr2bl w:val="nil"/>
                  </w:tcBorders>
                  <w:vAlign w:val="center"/>
                </w:tcPr>
                <w:p w14:paraId="406C7A31">
                  <w:pPr>
                    <w:pStyle w:val="54"/>
                    <w:rPr>
                      <w:color w:val="auto"/>
                    </w:rPr>
                  </w:pPr>
                </w:p>
              </w:tc>
              <w:tc>
                <w:tcPr>
                  <w:tcW w:w="549" w:type="pct"/>
                  <w:vMerge w:val="continue"/>
                  <w:tcBorders>
                    <w:tl2br w:val="nil"/>
                    <w:tr2bl w:val="nil"/>
                  </w:tcBorders>
                  <w:vAlign w:val="center"/>
                </w:tcPr>
                <w:p w14:paraId="4C991785">
                  <w:pPr>
                    <w:pStyle w:val="54"/>
                    <w:rPr>
                      <w:color w:val="auto"/>
                    </w:rPr>
                  </w:pPr>
                </w:p>
              </w:tc>
              <w:tc>
                <w:tcPr>
                  <w:tcW w:w="501" w:type="pct"/>
                  <w:tcBorders>
                    <w:tl2br w:val="nil"/>
                    <w:tr2bl w:val="nil"/>
                  </w:tcBorders>
                  <w:shd w:val="clear" w:color="auto" w:fill="auto"/>
                  <w:vAlign w:val="center"/>
                </w:tcPr>
                <w:p w14:paraId="0BA87F62">
                  <w:pPr>
                    <w:pStyle w:val="54"/>
                    <w:rPr>
                      <w:color w:val="auto"/>
                    </w:rPr>
                  </w:pPr>
                  <w:r>
                    <w:rPr>
                      <w:color w:val="auto"/>
                    </w:rPr>
                    <w:t>3.5</w:t>
                  </w:r>
                </w:p>
              </w:tc>
              <w:tc>
                <w:tcPr>
                  <w:tcW w:w="509" w:type="pct"/>
                  <w:tcBorders>
                    <w:tl2br w:val="nil"/>
                    <w:tr2bl w:val="nil"/>
                  </w:tcBorders>
                  <w:shd w:val="clear" w:color="auto" w:fill="auto"/>
                  <w:vAlign w:val="center"/>
                </w:tcPr>
                <w:p w14:paraId="58E603F8">
                  <w:pPr>
                    <w:pStyle w:val="54"/>
                    <w:rPr>
                      <w:color w:val="auto"/>
                    </w:rPr>
                  </w:pPr>
                  <w:r>
                    <w:rPr>
                      <w:color w:val="auto"/>
                    </w:rPr>
                    <w:t>0.0076</w:t>
                  </w:r>
                </w:p>
              </w:tc>
              <w:tc>
                <w:tcPr>
                  <w:tcW w:w="224" w:type="pct"/>
                  <w:vMerge w:val="continue"/>
                  <w:tcBorders>
                    <w:tl2br w:val="nil"/>
                    <w:tr2bl w:val="nil"/>
                  </w:tcBorders>
                  <w:vAlign w:val="center"/>
                </w:tcPr>
                <w:p w14:paraId="652BE839">
                  <w:pPr>
                    <w:pStyle w:val="54"/>
                    <w:rPr>
                      <w:color w:val="auto"/>
                    </w:rPr>
                  </w:pPr>
                </w:p>
              </w:tc>
              <w:tc>
                <w:tcPr>
                  <w:tcW w:w="422" w:type="pct"/>
                  <w:tcBorders>
                    <w:tl2br w:val="nil"/>
                    <w:tr2bl w:val="nil"/>
                  </w:tcBorders>
                  <w:vAlign w:val="center"/>
                </w:tcPr>
                <w:p w14:paraId="0DCDB4FC">
                  <w:pPr>
                    <w:pStyle w:val="54"/>
                    <w:rPr>
                      <w:color w:val="auto"/>
                    </w:rPr>
                  </w:pPr>
                  <w:r>
                    <w:rPr>
                      <w:rFonts w:hint="eastAsia"/>
                      <w:color w:val="auto"/>
                    </w:rPr>
                    <w:t>0</w:t>
                  </w:r>
                </w:p>
              </w:tc>
              <w:tc>
                <w:tcPr>
                  <w:tcW w:w="514" w:type="pct"/>
                  <w:vMerge w:val="continue"/>
                  <w:tcBorders>
                    <w:tl2br w:val="nil"/>
                    <w:tr2bl w:val="nil"/>
                  </w:tcBorders>
                  <w:vAlign w:val="center"/>
                </w:tcPr>
                <w:p w14:paraId="11F8AD2F">
                  <w:pPr>
                    <w:pStyle w:val="54"/>
                    <w:rPr>
                      <w:color w:val="auto"/>
                    </w:rPr>
                  </w:pPr>
                </w:p>
              </w:tc>
              <w:tc>
                <w:tcPr>
                  <w:tcW w:w="533" w:type="pct"/>
                  <w:tcBorders>
                    <w:tl2br w:val="nil"/>
                    <w:tr2bl w:val="nil"/>
                  </w:tcBorders>
                  <w:vAlign w:val="center"/>
                </w:tcPr>
                <w:p w14:paraId="22BA2E96">
                  <w:pPr>
                    <w:pStyle w:val="54"/>
                    <w:rPr>
                      <w:color w:val="auto"/>
                    </w:rPr>
                  </w:pPr>
                  <w:r>
                    <w:rPr>
                      <w:color w:val="auto"/>
                    </w:rPr>
                    <w:t>3.5</w:t>
                  </w:r>
                </w:p>
              </w:tc>
              <w:tc>
                <w:tcPr>
                  <w:tcW w:w="486" w:type="pct"/>
                  <w:tcBorders>
                    <w:tl2br w:val="nil"/>
                    <w:tr2bl w:val="nil"/>
                  </w:tcBorders>
                  <w:vAlign w:val="center"/>
                </w:tcPr>
                <w:p w14:paraId="6DB79513">
                  <w:pPr>
                    <w:pStyle w:val="54"/>
                    <w:rPr>
                      <w:color w:val="auto"/>
                    </w:rPr>
                  </w:pPr>
                  <w:r>
                    <w:rPr>
                      <w:color w:val="auto"/>
                    </w:rPr>
                    <w:t xml:space="preserve">0.0076 </w:t>
                  </w:r>
                </w:p>
              </w:tc>
              <w:tc>
                <w:tcPr>
                  <w:tcW w:w="406" w:type="pct"/>
                  <w:vMerge w:val="continue"/>
                  <w:tcBorders>
                    <w:tl2br w:val="nil"/>
                    <w:tr2bl w:val="nil"/>
                  </w:tcBorders>
                  <w:vAlign w:val="center"/>
                </w:tcPr>
                <w:p w14:paraId="474F08DF">
                  <w:pPr>
                    <w:pStyle w:val="54"/>
                    <w:rPr>
                      <w:color w:val="auto"/>
                    </w:rPr>
                  </w:pPr>
                </w:p>
              </w:tc>
            </w:tr>
            <w:tr w14:paraId="5EFCB2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11" w:type="pct"/>
                  <w:vMerge w:val="continue"/>
                  <w:tcBorders>
                    <w:tl2br w:val="nil"/>
                    <w:tr2bl w:val="nil"/>
                  </w:tcBorders>
                  <w:vAlign w:val="center"/>
                </w:tcPr>
                <w:p w14:paraId="0535CC2C">
                  <w:pPr>
                    <w:pStyle w:val="54"/>
                    <w:rPr>
                      <w:color w:val="auto"/>
                    </w:rPr>
                  </w:pPr>
                </w:p>
              </w:tc>
              <w:tc>
                <w:tcPr>
                  <w:tcW w:w="404" w:type="pct"/>
                  <w:tcBorders>
                    <w:tl2br w:val="nil"/>
                    <w:tr2bl w:val="nil"/>
                  </w:tcBorders>
                  <w:vAlign w:val="center"/>
                </w:tcPr>
                <w:p w14:paraId="4B44718A">
                  <w:pPr>
                    <w:pStyle w:val="54"/>
                    <w:rPr>
                      <w:color w:val="auto"/>
                    </w:rPr>
                  </w:pPr>
                  <w:r>
                    <w:rPr>
                      <w:color w:val="auto"/>
                    </w:rPr>
                    <w:t>TN</w:t>
                  </w:r>
                </w:p>
              </w:tc>
              <w:tc>
                <w:tcPr>
                  <w:tcW w:w="234" w:type="pct"/>
                  <w:vMerge w:val="continue"/>
                  <w:tcBorders>
                    <w:tl2br w:val="nil"/>
                    <w:tr2bl w:val="nil"/>
                  </w:tcBorders>
                  <w:vAlign w:val="center"/>
                </w:tcPr>
                <w:p w14:paraId="2E67A2CA">
                  <w:pPr>
                    <w:pStyle w:val="54"/>
                    <w:rPr>
                      <w:color w:val="auto"/>
                    </w:rPr>
                  </w:pPr>
                </w:p>
              </w:tc>
              <w:tc>
                <w:tcPr>
                  <w:tcW w:w="549" w:type="pct"/>
                  <w:vMerge w:val="continue"/>
                  <w:tcBorders>
                    <w:tl2br w:val="nil"/>
                    <w:tr2bl w:val="nil"/>
                  </w:tcBorders>
                  <w:vAlign w:val="center"/>
                </w:tcPr>
                <w:p w14:paraId="33EF81F9">
                  <w:pPr>
                    <w:pStyle w:val="54"/>
                    <w:rPr>
                      <w:color w:val="auto"/>
                    </w:rPr>
                  </w:pPr>
                </w:p>
              </w:tc>
              <w:tc>
                <w:tcPr>
                  <w:tcW w:w="501" w:type="pct"/>
                  <w:tcBorders>
                    <w:tl2br w:val="nil"/>
                    <w:tr2bl w:val="nil"/>
                  </w:tcBorders>
                  <w:shd w:val="clear" w:color="auto" w:fill="auto"/>
                  <w:vAlign w:val="center"/>
                </w:tcPr>
                <w:p w14:paraId="18A483A2">
                  <w:pPr>
                    <w:pStyle w:val="54"/>
                    <w:rPr>
                      <w:color w:val="auto"/>
                    </w:rPr>
                  </w:pPr>
                  <w:r>
                    <w:rPr>
                      <w:color w:val="auto"/>
                    </w:rPr>
                    <w:t>40</w:t>
                  </w:r>
                </w:p>
              </w:tc>
              <w:tc>
                <w:tcPr>
                  <w:tcW w:w="509" w:type="pct"/>
                  <w:tcBorders>
                    <w:tl2br w:val="nil"/>
                    <w:tr2bl w:val="nil"/>
                  </w:tcBorders>
                  <w:shd w:val="clear" w:color="auto" w:fill="auto"/>
                  <w:vAlign w:val="center"/>
                </w:tcPr>
                <w:p w14:paraId="040E0922">
                  <w:pPr>
                    <w:pStyle w:val="54"/>
                    <w:rPr>
                      <w:color w:val="auto"/>
                    </w:rPr>
                  </w:pPr>
                  <w:r>
                    <w:rPr>
                      <w:color w:val="auto"/>
                    </w:rPr>
                    <w:t>0.0864</w:t>
                  </w:r>
                </w:p>
              </w:tc>
              <w:tc>
                <w:tcPr>
                  <w:tcW w:w="224" w:type="pct"/>
                  <w:vMerge w:val="continue"/>
                  <w:tcBorders>
                    <w:tl2br w:val="nil"/>
                    <w:tr2bl w:val="nil"/>
                  </w:tcBorders>
                  <w:vAlign w:val="center"/>
                </w:tcPr>
                <w:p w14:paraId="1D1E4215">
                  <w:pPr>
                    <w:pStyle w:val="54"/>
                    <w:rPr>
                      <w:color w:val="auto"/>
                    </w:rPr>
                  </w:pPr>
                </w:p>
              </w:tc>
              <w:tc>
                <w:tcPr>
                  <w:tcW w:w="422" w:type="pct"/>
                  <w:tcBorders>
                    <w:tl2br w:val="nil"/>
                    <w:tr2bl w:val="nil"/>
                  </w:tcBorders>
                  <w:vAlign w:val="center"/>
                </w:tcPr>
                <w:p w14:paraId="04061BD9">
                  <w:pPr>
                    <w:pStyle w:val="54"/>
                    <w:rPr>
                      <w:color w:val="auto"/>
                    </w:rPr>
                  </w:pPr>
                  <w:r>
                    <w:rPr>
                      <w:rFonts w:hint="eastAsia"/>
                      <w:color w:val="auto"/>
                    </w:rPr>
                    <w:t>0</w:t>
                  </w:r>
                </w:p>
              </w:tc>
              <w:tc>
                <w:tcPr>
                  <w:tcW w:w="514" w:type="pct"/>
                  <w:vMerge w:val="continue"/>
                  <w:tcBorders>
                    <w:tl2br w:val="nil"/>
                    <w:tr2bl w:val="nil"/>
                  </w:tcBorders>
                  <w:vAlign w:val="center"/>
                </w:tcPr>
                <w:p w14:paraId="5461655B">
                  <w:pPr>
                    <w:pStyle w:val="54"/>
                    <w:rPr>
                      <w:color w:val="auto"/>
                    </w:rPr>
                  </w:pPr>
                </w:p>
              </w:tc>
              <w:tc>
                <w:tcPr>
                  <w:tcW w:w="533" w:type="pct"/>
                  <w:tcBorders>
                    <w:tl2br w:val="nil"/>
                    <w:tr2bl w:val="nil"/>
                  </w:tcBorders>
                  <w:vAlign w:val="center"/>
                </w:tcPr>
                <w:p w14:paraId="0101C7F4">
                  <w:pPr>
                    <w:pStyle w:val="54"/>
                    <w:rPr>
                      <w:color w:val="auto"/>
                    </w:rPr>
                  </w:pPr>
                  <w:r>
                    <w:rPr>
                      <w:color w:val="auto"/>
                    </w:rPr>
                    <w:t>40</w:t>
                  </w:r>
                </w:p>
              </w:tc>
              <w:tc>
                <w:tcPr>
                  <w:tcW w:w="486" w:type="pct"/>
                  <w:tcBorders>
                    <w:tl2br w:val="nil"/>
                    <w:tr2bl w:val="nil"/>
                  </w:tcBorders>
                  <w:vAlign w:val="center"/>
                </w:tcPr>
                <w:p w14:paraId="54799226">
                  <w:pPr>
                    <w:pStyle w:val="54"/>
                    <w:rPr>
                      <w:color w:val="auto"/>
                    </w:rPr>
                  </w:pPr>
                  <w:r>
                    <w:rPr>
                      <w:color w:val="auto"/>
                    </w:rPr>
                    <w:t xml:space="preserve">0.0864 </w:t>
                  </w:r>
                </w:p>
              </w:tc>
              <w:tc>
                <w:tcPr>
                  <w:tcW w:w="406" w:type="pct"/>
                  <w:vMerge w:val="continue"/>
                  <w:tcBorders>
                    <w:tl2br w:val="nil"/>
                    <w:tr2bl w:val="nil"/>
                  </w:tcBorders>
                  <w:vAlign w:val="center"/>
                </w:tcPr>
                <w:p w14:paraId="7390EB0E">
                  <w:pPr>
                    <w:pStyle w:val="54"/>
                    <w:rPr>
                      <w:color w:val="auto"/>
                    </w:rPr>
                  </w:pPr>
                </w:p>
              </w:tc>
            </w:tr>
            <w:tr w14:paraId="2B4F3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11" w:type="pct"/>
                  <w:vMerge w:val="continue"/>
                  <w:tcBorders>
                    <w:tl2br w:val="nil"/>
                    <w:tr2bl w:val="nil"/>
                  </w:tcBorders>
                  <w:vAlign w:val="center"/>
                </w:tcPr>
                <w:p w14:paraId="6A9F0723">
                  <w:pPr>
                    <w:pStyle w:val="54"/>
                    <w:rPr>
                      <w:color w:val="auto"/>
                    </w:rPr>
                  </w:pPr>
                </w:p>
              </w:tc>
              <w:tc>
                <w:tcPr>
                  <w:tcW w:w="404" w:type="pct"/>
                  <w:tcBorders>
                    <w:tl2br w:val="nil"/>
                    <w:tr2bl w:val="nil"/>
                  </w:tcBorders>
                  <w:vAlign w:val="center"/>
                </w:tcPr>
                <w:p w14:paraId="06719A76">
                  <w:pPr>
                    <w:pStyle w:val="54"/>
                    <w:rPr>
                      <w:color w:val="auto"/>
                    </w:rPr>
                  </w:pPr>
                  <w:r>
                    <w:rPr>
                      <w:rFonts w:hint="eastAsia"/>
                      <w:color w:val="auto"/>
                    </w:rPr>
                    <w:t>动植物油</w:t>
                  </w:r>
                </w:p>
              </w:tc>
              <w:tc>
                <w:tcPr>
                  <w:tcW w:w="234" w:type="pct"/>
                  <w:vMerge w:val="continue"/>
                  <w:tcBorders>
                    <w:tl2br w:val="nil"/>
                    <w:tr2bl w:val="nil"/>
                  </w:tcBorders>
                  <w:vAlign w:val="center"/>
                </w:tcPr>
                <w:p w14:paraId="35F3E15A">
                  <w:pPr>
                    <w:pStyle w:val="54"/>
                    <w:rPr>
                      <w:color w:val="auto"/>
                    </w:rPr>
                  </w:pPr>
                </w:p>
              </w:tc>
              <w:tc>
                <w:tcPr>
                  <w:tcW w:w="549" w:type="pct"/>
                  <w:vMerge w:val="continue"/>
                  <w:tcBorders>
                    <w:tl2br w:val="nil"/>
                    <w:tr2bl w:val="nil"/>
                  </w:tcBorders>
                  <w:vAlign w:val="center"/>
                </w:tcPr>
                <w:p w14:paraId="75F27A4A">
                  <w:pPr>
                    <w:pStyle w:val="54"/>
                    <w:rPr>
                      <w:color w:val="auto"/>
                    </w:rPr>
                  </w:pPr>
                </w:p>
              </w:tc>
              <w:tc>
                <w:tcPr>
                  <w:tcW w:w="501" w:type="pct"/>
                  <w:tcBorders>
                    <w:tl2br w:val="nil"/>
                    <w:tr2bl w:val="nil"/>
                  </w:tcBorders>
                  <w:shd w:val="clear" w:color="auto" w:fill="auto"/>
                  <w:vAlign w:val="center"/>
                </w:tcPr>
                <w:p w14:paraId="7D149355">
                  <w:pPr>
                    <w:pStyle w:val="54"/>
                    <w:rPr>
                      <w:color w:val="auto"/>
                    </w:rPr>
                  </w:pPr>
                  <w:r>
                    <w:rPr>
                      <w:rFonts w:hint="eastAsia"/>
                      <w:color w:val="auto"/>
                    </w:rPr>
                    <w:t>50</w:t>
                  </w:r>
                </w:p>
              </w:tc>
              <w:tc>
                <w:tcPr>
                  <w:tcW w:w="509" w:type="pct"/>
                  <w:tcBorders>
                    <w:tl2br w:val="nil"/>
                    <w:tr2bl w:val="nil"/>
                  </w:tcBorders>
                  <w:shd w:val="clear" w:color="auto" w:fill="auto"/>
                  <w:vAlign w:val="center"/>
                </w:tcPr>
                <w:p w14:paraId="7A5E357D">
                  <w:pPr>
                    <w:pStyle w:val="54"/>
                    <w:rPr>
                      <w:color w:val="auto"/>
                    </w:rPr>
                  </w:pPr>
                  <w:r>
                    <w:rPr>
                      <w:color w:val="auto"/>
                    </w:rPr>
                    <w:t>0.1080</w:t>
                  </w:r>
                </w:p>
              </w:tc>
              <w:tc>
                <w:tcPr>
                  <w:tcW w:w="224" w:type="pct"/>
                  <w:vMerge w:val="continue"/>
                  <w:tcBorders>
                    <w:tl2br w:val="nil"/>
                    <w:tr2bl w:val="nil"/>
                  </w:tcBorders>
                  <w:vAlign w:val="center"/>
                </w:tcPr>
                <w:p w14:paraId="221B986D">
                  <w:pPr>
                    <w:pStyle w:val="54"/>
                    <w:rPr>
                      <w:color w:val="auto"/>
                    </w:rPr>
                  </w:pPr>
                </w:p>
              </w:tc>
              <w:tc>
                <w:tcPr>
                  <w:tcW w:w="422" w:type="pct"/>
                  <w:tcBorders>
                    <w:tl2br w:val="nil"/>
                    <w:tr2bl w:val="nil"/>
                  </w:tcBorders>
                  <w:vAlign w:val="center"/>
                </w:tcPr>
                <w:p w14:paraId="67C241AC">
                  <w:pPr>
                    <w:pStyle w:val="54"/>
                    <w:rPr>
                      <w:color w:val="auto"/>
                    </w:rPr>
                  </w:pPr>
                  <w:r>
                    <w:rPr>
                      <w:rFonts w:hint="eastAsia"/>
                      <w:color w:val="auto"/>
                    </w:rPr>
                    <w:t>0</w:t>
                  </w:r>
                </w:p>
              </w:tc>
              <w:tc>
                <w:tcPr>
                  <w:tcW w:w="514" w:type="pct"/>
                  <w:vMerge w:val="continue"/>
                  <w:tcBorders>
                    <w:tl2br w:val="nil"/>
                    <w:tr2bl w:val="nil"/>
                  </w:tcBorders>
                  <w:vAlign w:val="center"/>
                </w:tcPr>
                <w:p w14:paraId="3DF49374">
                  <w:pPr>
                    <w:pStyle w:val="54"/>
                    <w:rPr>
                      <w:color w:val="auto"/>
                    </w:rPr>
                  </w:pPr>
                </w:p>
              </w:tc>
              <w:tc>
                <w:tcPr>
                  <w:tcW w:w="533" w:type="pct"/>
                  <w:tcBorders>
                    <w:tl2br w:val="nil"/>
                    <w:tr2bl w:val="nil"/>
                  </w:tcBorders>
                  <w:vAlign w:val="center"/>
                </w:tcPr>
                <w:p w14:paraId="722EB768">
                  <w:pPr>
                    <w:pStyle w:val="54"/>
                    <w:rPr>
                      <w:color w:val="auto"/>
                    </w:rPr>
                  </w:pPr>
                  <w:r>
                    <w:rPr>
                      <w:rFonts w:hint="eastAsia"/>
                      <w:color w:val="auto"/>
                    </w:rPr>
                    <w:t>50</w:t>
                  </w:r>
                </w:p>
              </w:tc>
              <w:tc>
                <w:tcPr>
                  <w:tcW w:w="486" w:type="pct"/>
                  <w:tcBorders>
                    <w:tl2br w:val="nil"/>
                    <w:tr2bl w:val="nil"/>
                  </w:tcBorders>
                  <w:vAlign w:val="center"/>
                </w:tcPr>
                <w:p w14:paraId="77069D2C">
                  <w:pPr>
                    <w:pStyle w:val="54"/>
                    <w:rPr>
                      <w:color w:val="auto"/>
                    </w:rPr>
                  </w:pPr>
                  <w:r>
                    <w:rPr>
                      <w:color w:val="auto"/>
                    </w:rPr>
                    <w:t xml:space="preserve">0.1080 </w:t>
                  </w:r>
                </w:p>
              </w:tc>
              <w:tc>
                <w:tcPr>
                  <w:tcW w:w="406" w:type="pct"/>
                  <w:vMerge w:val="continue"/>
                  <w:tcBorders>
                    <w:tl2br w:val="nil"/>
                    <w:tr2bl w:val="nil"/>
                  </w:tcBorders>
                  <w:vAlign w:val="center"/>
                </w:tcPr>
                <w:p w14:paraId="4D790DAE">
                  <w:pPr>
                    <w:pStyle w:val="54"/>
                    <w:rPr>
                      <w:color w:val="auto"/>
                    </w:rPr>
                  </w:pPr>
                </w:p>
              </w:tc>
            </w:tr>
          </w:tbl>
          <w:p w14:paraId="623C3C72">
            <w:pPr>
              <w:pStyle w:val="50"/>
              <w:ind w:firstLine="482"/>
              <w:rPr>
                <w:b/>
                <w:bCs/>
                <w:color w:val="auto"/>
              </w:rPr>
            </w:pPr>
            <w:r>
              <w:rPr>
                <w:b/>
                <w:bCs/>
                <w:color w:val="auto"/>
              </w:rPr>
              <w:t>（2）废水排放口基本情况</w:t>
            </w:r>
            <w:r>
              <w:rPr>
                <w:b/>
                <w:bCs/>
                <w:color w:val="auto"/>
              </w:rPr>
              <w:tab/>
            </w:r>
          </w:p>
          <w:p w14:paraId="5C5817A3">
            <w:pPr>
              <w:pStyle w:val="50"/>
              <w:ind w:firstLine="480"/>
              <w:rPr>
                <w:color w:val="auto"/>
              </w:rPr>
            </w:pPr>
            <w:r>
              <w:rPr>
                <w:color w:val="auto"/>
              </w:rPr>
              <w:t>本</w:t>
            </w:r>
            <w:r>
              <w:rPr>
                <w:rFonts w:hint="eastAsia"/>
                <w:color w:val="auto"/>
              </w:rPr>
              <w:t>扩建</w:t>
            </w:r>
            <w:r>
              <w:rPr>
                <w:color w:val="auto"/>
              </w:rPr>
              <w:t>项目废水类别、污染物及污染治理设施信息见</w:t>
            </w:r>
            <w:r>
              <w:rPr>
                <w:color w:val="auto"/>
              </w:rPr>
              <w:fldChar w:fldCharType="begin"/>
            </w:r>
            <w:r>
              <w:rPr>
                <w:color w:val="auto"/>
              </w:rPr>
              <w:instrText xml:space="preserve"> REF _Ref25380 \h </w:instrText>
            </w:r>
            <w:r>
              <w:rPr>
                <w:color w:val="auto"/>
              </w:rPr>
              <w:fldChar w:fldCharType="separate"/>
            </w:r>
            <w:r>
              <w:rPr>
                <w:color w:val="auto"/>
              </w:rPr>
              <w:t>表4- 12</w:t>
            </w:r>
            <w:r>
              <w:rPr>
                <w:color w:val="auto"/>
              </w:rPr>
              <w:fldChar w:fldCharType="end"/>
            </w:r>
            <w:r>
              <w:rPr>
                <w:color w:val="auto"/>
              </w:rPr>
              <w:t>，厂区污水排放口基本信息见</w:t>
            </w:r>
            <w:r>
              <w:rPr>
                <w:rFonts w:hint="default"/>
                <w:color w:val="auto"/>
                <w:lang w:val="en-US"/>
              </w:rPr>
              <w:fldChar w:fldCharType="begin"/>
            </w:r>
            <w:r>
              <w:rPr>
                <w:rFonts w:hint="default"/>
                <w:color w:val="auto"/>
                <w:lang w:val="en-US"/>
              </w:rPr>
              <w:instrText xml:space="preserve"> REF _Ref25078 \h </w:instrText>
            </w:r>
            <w:r>
              <w:rPr>
                <w:rFonts w:hint="default"/>
                <w:color w:val="auto"/>
                <w:lang w:val="en-US"/>
              </w:rPr>
              <w:fldChar w:fldCharType="separate"/>
            </w:r>
            <w:r>
              <w:rPr>
                <w:color w:val="auto"/>
              </w:rPr>
              <w:t>表4- 13</w:t>
            </w:r>
            <w:r>
              <w:rPr>
                <w:rFonts w:hint="default"/>
                <w:color w:val="auto"/>
                <w:lang w:val="en-US"/>
              </w:rPr>
              <w:fldChar w:fldCharType="end"/>
            </w:r>
            <w:r>
              <w:rPr>
                <w:color w:val="auto"/>
              </w:rPr>
              <w:t>。</w:t>
            </w:r>
          </w:p>
          <w:p w14:paraId="6572865A">
            <w:pPr>
              <w:pStyle w:val="7"/>
              <w:rPr>
                <w:color w:val="auto"/>
              </w:rPr>
            </w:pPr>
            <w:bookmarkStart w:id="91" w:name="_Ref428"/>
            <w:bookmarkStart w:id="92" w:name="_Ref4753"/>
            <w:bookmarkStart w:id="93" w:name="_Ref9352"/>
            <w:bookmarkStart w:id="94" w:name="_Ref25380"/>
            <w:bookmarkStart w:id="95" w:name="_Ref3439"/>
            <w:r>
              <w:rPr>
                <w:color w:val="auto"/>
              </w:rPr>
              <w:t xml:space="preserve">表4- </w:t>
            </w:r>
            <w:r>
              <w:rPr>
                <w:color w:val="auto"/>
              </w:rPr>
              <w:fldChar w:fldCharType="begin"/>
            </w:r>
            <w:r>
              <w:rPr>
                <w:color w:val="auto"/>
              </w:rPr>
              <w:instrText xml:space="preserve"> SEQ 表4- \* ARABIC </w:instrText>
            </w:r>
            <w:r>
              <w:rPr>
                <w:color w:val="auto"/>
              </w:rPr>
              <w:fldChar w:fldCharType="separate"/>
            </w:r>
            <w:r>
              <w:rPr>
                <w:color w:val="auto"/>
              </w:rPr>
              <w:t>12</w:t>
            </w:r>
            <w:r>
              <w:rPr>
                <w:color w:val="auto"/>
              </w:rPr>
              <w:fldChar w:fldCharType="end"/>
            </w:r>
            <w:bookmarkEnd w:id="91"/>
            <w:bookmarkEnd w:id="92"/>
            <w:bookmarkEnd w:id="93"/>
            <w:bookmarkEnd w:id="94"/>
            <w:r>
              <w:rPr>
                <w:color w:val="auto"/>
              </w:rPr>
              <w:t xml:space="preserve"> 废水类别、污染物及污染治理设施信息表</w:t>
            </w:r>
            <w:bookmarkEnd w:id="95"/>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7"/>
              <w:gridCol w:w="1099"/>
              <w:gridCol w:w="768"/>
              <w:gridCol w:w="1089"/>
              <w:gridCol w:w="866"/>
              <w:gridCol w:w="896"/>
              <w:gridCol w:w="878"/>
              <w:gridCol w:w="652"/>
              <w:gridCol w:w="866"/>
              <w:gridCol w:w="652"/>
            </w:tblGrid>
            <w:tr w14:paraId="1A7AD4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95" w:type="pct"/>
                  <w:vMerge w:val="restart"/>
                  <w:tcBorders>
                    <w:tl2br w:val="nil"/>
                    <w:tr2bl w:val="nil"/>
                  </w:tcBorders>
                  <w:vAlign w:val="center"/>
                </w:tcPr>
                <w:p w14:paraId="17BAEE63">
                  <w:pPr>
                    <w:pStyle w:val="52"/>
                    <w:rPr>
                      <w:color w:val="auto"/>
                    </w:rPr>
                  </w:pPr>
                  <w:r>
                    <w:rPr>
                      <w:color w:val="auto"/>
                    </w:rPr>
                    <w:t>废水类别</w:t>
                  </w:r>
                </w:p>
              </w:tc>
              <w:tc>
                <w:tcPr>
                  <w:tcW w:w="651" w:type="pct"/>
                  <w:vMerge w:val="restart"/>
                  <w:tcBorders>
                    <w:tl2br w:val="nil"/>
                    <w:tr2bl w:val="nil"/>
                  </w:tcBorders>
                  <w:vAlign w:val="center"/>
                </w:tcPr>
                <w:p w14:paraId="4A7F9BDE">
                  <w:pPr>
                    <w:pStyle w:val="52"/>
                    <w:rPr>
                      <w:color w:val="auto"/>
                    </w:rPr>
                  </w:pPr>
                  <w:r>
                    <w:rPr>
                      <w:color w:val="auto"/>
                    </w:rPr>
                    <w:t>污染物</w:t>
                  </w:r>
                </w:p>
                <w:p w14:paraId="45B70A95">
                  <w:pPr>
                    <w:pStyle w:val="52"/>
                    <w:rPr>
                      <w:color w:val="auto"/>
                    </w:rPr>
                  </w:pPr>
                  <w:r>
                    <w:rPr>
                      <w:color w:val="auto"/>
                    </w:rPr>
                    <w:t>种类</w:t>
                  </w:r>
                </w:p>
              </w:tc>
              <w:tc>
                <w:tcPr>
                  <w:tcW w:w="455" w:type="pct"/>
                  <w:vMerge w:val="restart"/>
                  <w:tcBorders>
                    <w:tl2br w:val="nil"/>
                    <w:tr2bl w:val="nil"/>
                  </w:tcBorders>
                  <w:vAlign w:val="center"/>
                </w:tcPr>
                <w:p w14:paraId="7676BC05">
                  <w:pPr>
                    <w:pStyle w:val="52"/>
                    <w:rPr>
                      <w:color w:val="auto"/>
                    </w:rPr>
                  </w:pPr>
                  <w:r>
                    <w:rPr>
                      <w:color w:val="auto"/>
                    </w:rPr>
                    <w:t>排放去向</w:t>
                  </w:r>
                </w:p>
              </w:tc>
              <w:tc>
                <w:tcPr>
                  <w:tcW w:w="645" w:type="pct"/>
                  <w:vMerge w:val="restart"/>
                  <w:tcBorders>
                    <w:tl2br w:val="nil"/>
                    <w:tr2bl w:val="nil"/>
                  </w:tcBorders>
                  <w:vAlign w:val="center"/>
                </w:tcPr>
                <w:p w14:paraId="1C36D2CA">
                  <w:pPr>
                    <w:pStyle w:val="52"/>
                    <w:rPr>
                      <w:color w:val="auto"/>
                    </w:rPr>
                  </w:pPr>
                  <w:r>
                    <w:rPr>
                      <w:color w:val="auto"/>
                    </w:rPr>
                    <w:t>排放</w:t>
                  </w:r>
                </w:p>
                <w:p w14:paraId="038172FD">
                  <w:pPr>
                    <w:pStyle w:val="52"/>
                    <w:rPr>
                      <w:color w:val="auto"/>
                    </w:rPr>
                  </w:pPr>
                  <w:r>
                    <w:rPr>
                      <w:color w:val="auto"/>
                    </w:rPr>
                    <w:t>规律</w:t>
                  </w:r>
                </w:p>
              </w:tc>
              <w:tc>
                <w:tcPr>
                  <w:tcW w:w="1565" w:type="pct"/>
                  <w:gridSpan w:val="3"/>
                  <w:tcBorders>
                    <w:tl2br w:val="nil"/>
                    <w:tr2bl w:val="nil"/>
                  </w:tcBorders>
                  <w:vAlign w:val="center"/>
                </w:tcPr>
                <w:p w14:paraId="0C6E6AD7">
                  <w:pPr>
                    <w:pStyle w:val="52"/>
                    <w:rPr>
                      <w:color w:val="auto"/>
                    </w:rPr>
                  </w:pPr>
                  <w:r>
                    <w:rPr>
                      <w:color w:val="auto"/>
                    </w:rPr>
                    <w:t>污染治理设施</w:t>
                  </w:r>
                </w:p>
              </w:tc>
              <w:tc>
                <w:tcPr>
                  <w:tcW w:w="386" w:type="pct"/>
                  <w:vMerge w:val="restart"/>
                  <w:tcBorders>
                    <w:tl2br w:val="nil"/>
                    <w:tr2bl w:val="nil"/>
                  </w:tcBorders>
                  <w:vAlign w:val="center"/>
                </w:tcPr>
                <w:p w14:paraId="738D5B2A">
                  <w:pPr>
                    <w:pStyle w:val="52"/>
                    <w:rPr>
                      <w:color w:val="auto"/>
                    </w:rPr>
                  </w:pPr>
                  <w:r>
                    <w:rPr>
                      <w:color w:val="auto"/>
                    </w:rPr>
                    <w:t>排放口编号</w:t>
                  </w:r>
                </w:p>
              </w:tc>
              <w:tc>
                <w:tcPr>
                  <w:tcW w:w="513" w:type="pct"/>
                  <w:vMerge w:val="restart"/>
                  <w:tcBorders>
                    <w:tl2br w:val="nil"/>
                    <w:tr2bl w:val="nil"/>
                  </w:tcBorders>
                  <w:vAlign w:val="center"/>
                </w:tcPr>
                <w:p w14:paraId="7AF4655E">
                  <w:pPr>
                    <w:pStyle w:val="52"/>
                    <w:rPr>
                      <w:color w:val="auto"/>
                    </w:rPr>
                  </w:pPr>
                  <w:r>
                    <w:rPr>
                      <w:color w:val="auto"/>
                    </w:rPr>
                    <w:t>排放口设置是否满足要求</w:t>
                  </w:r>
                </w:p>
              </w:tc>
              <w:tc>
                <w:tcPr>
                  <w:tcW w:w="386" w:type="pct"/>
                  <w:vMerge w:val="restart"/>
                  <w:tcBorders>
                    <w:tl2br w:val="nil"/>
                    <w:tr2bl w:val="nil"/>
                  </w:tcBorders>
                  <w:vAlign w:val="center"/>
                </w:tcPr>
                <w:p w14:paraId="2895BC42">
                  <w:pPr>
                    <w:pStyle w:val="52"/>
                    <w:rPr>
                      <w:color w:val="auto"/>
                    </w:rPr>
                  </w:pPr>
                  <w:r>
                    <w:rPr>
                      <w:color w:val="auto"/>
                    </w:rPr>
                    <w:t>排放口类型</w:t>
                  </w:r>
                </w:p>
              </w:tc>
            </w:tr>
            <w:tr w14:paraId="25ADA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395" w:type="pct"/>
                  <w:vMerge w:val="continue"/>
                  <w:tcBorders>
                    <w:tl2br w:val="nil"/>
                    <w:tr2bl w:val="nil"/>
                  </w:tcBorders>
                  <w:vAlign w:val="center"/>
                </w:tcPr>
                <w:p w14:paraId="2983DCF7">
                  <w:pPr>
                    <w:pStyle w:val="52"/>
                    <w:rPr>
                      <w:color w:val="auto"/>
                    </w:rPr>
                  </w:pPr>
                </w:p>
              </w:tc>
              <w:tc>
                <w:tcPr>
                  <w:tcW w:w="651" w:type="pct"/>
                  <w:vMerge w:val="continue"/>
                  <w:tcBorders>
                    <w:tl2br w:val="nil"/>
                    <w:tr2bl w:val="nil"/>
                  </w:tcBorders>
                  <w:vAlign w:val="center"/>
                </w:tcPr>
                <w:p w14:paraId="0EFE6BFC">
                  <w:pPr>
                    <w:pStyle w:val="52"/>
                    <w:rPr>
                      <w:color w:val="auto"/>
                    </w:rPr>
                  </w:pPr>
                </w:p>
              </w:tc>
              <w:tc>
                <w:tcPr>
                  <w:tcW w:w="455" w:type="pct"/>
                  <w:vMerge w:val="continue"/>
                  <w:tcBorders>
                    <w:tl2br w:val="nil"/>
                    <w:tr2bl w:val="nil"/>
                  </w:tcBorders>
                  <w:vAlign w:val="center"/>
                </w:tcPr>
                <w:p w14:paraId="0301C603">
                  <w:pPr>
                    <w:pStyle w:val="52"/>
                    <w:rPr>
                      <w:color w:val="auto"/>
                    </w:rPr>
                  </w:pPr>
                </w:p>
              </w:tc>
              <w:tc>
                <w:tcPr>
                  <w:tcW w:w="645" w:type="pct"/>
                  <w:vMerge w:val="continue"/>
                  <w:tcBorders>
                    <w:tl2br w:val="nil"/>
                    <w:tr2bl w:val="nil"/>
                  </w:tcBorders>
                  <w:vAlign w:val="center"/>
                </w:tcPr>
                <w:p w14:paraId="21166C1F">
                  <w:pPr>
                    <w:pStyle w:val="52"/>
                    <w:rPr>
                      <w:color w:val="auto"/>
                    </w:rPr>
                  </w:pPr>
                </w:p>
              </w:tc>
              <w:tc>
                <w:tcPr>
                  <w:tcW w:w="513" w:type="pct"/>
                  <w:tcBorders>
                    <w:tl2br w:val="nil"/>
                    <w:tr2bl w:val="nil"/>
                  </w:tcBorders>
                  <w:vAlign w:val="center"/>
                </w:tcPr>
                <w:p w14:paraId="5B9BCF8C">
                  <w:pPr>
                    <w:pStyle w:val="52"/>
                    <w:rPr>
                      <w:color w:val="auto"/>
                    </w:rPr>
                  </w:pPr>
                  <w:r>
                    <w:rPr>
                      <w:color w:val="auto"/>
                    </w:rPr>
                    <w:t>污染治理设施编号</w:t>
                  </w:r>
                </w:p>
              </w:tc>
              <w:tc>
                <w:tcPr>
                  <w:tcW w:w="531" w:type="pct"/>
                  <w:tcBorders>
                    <w:tl2br w:val="nil"/>
                    <w:tr2bl w:val="nil"/>
                  </w:tcBorders>
                  <w:vAlign w:val="center"/>
                </w:tcPr>
                <w:p w14:paraId="4434B95F">
                  <w:pPr>
                    <w:pStyle w:val="52"/>
                    <w:rPr>
                      <w:color w:val="auto"/>
                    </w:rPr>
                  </w:pPr>
                  <w:r>
                    <w:rPr>
                      <w:color w:val="auto"/>
                    </w:rPr>
                    <w:t>污染治理设施名称</w:t>
                  </w:r>
                </w:p>
              </w:tc>
              <w:tc>
                <w:tcPr>
                  <w:tcW w:w="520" w:type="pct"/>
                  <w:tcBorders>
                    <w:tl2br w:val="nil"/>
                    <w:tr2bl w:val="nil"/>
                  </w:tcBorders>
                  <w:vAlign w:val="center"/>
                </w:tcPr>
                <w:p w14:paraId="0443C313">
                  <w:pPr>
                    <w:pStyle w:val="52"/>
                    <w:rPr>
                      <w:color w:val="auto"/>
                    </w:rPr>
                  </w:pPr>
                  <w:r>
                    <w:rPr>
                      <w:color w:val="auto"/>
                    </w:rPr>
                    <w:t>污染治理设施工艺</w:t>
                  </w:r>
                </w:p>
              </w:tc>
              <w:tc>
                <w:tcPr>
                  <w:tcW w:w="386" w:type="pct"/>
                  <w:vMerge w:val="continue"/>
                  <w:tcBorders>
                    <w:tl2br w:val="nil"/>
                    <w:tr2bl w:val="nil"/>
                  </w:tcBorders>
                  <w:vAlign w:val="center"/>
                </w:tcPr>
                <w:p w14:paraId="6194F706">
                  <w:pPr>
                    <w:rPr>
                      <w:color w:val="auto"/>
                    </w:rPr>
                  </w:pPr>
                </w:p>
              </w:tc>
              <w:tc>
                <w:tcPr>
                  <w:tcW w:w="513" w:type="pct"/>
                  <w:vMerge w:val="continue"/>
                  <w:tcBorders>
                    <w:tl2br w:val="nil"/>
                    <w:tr2bl w:val="nil"/>
                  </w:tcBorders>
                  <w:vAlign w:val="center"/>
                </w:tcPr>
                <w:p w14:paraId="7C2EE8DA">
                  <w:pPr>
                    <w:rPr>
                      <w:color w:val="auto"/>
                    </w:rPr>
                  </w:pPr>
                </w:p>
              </w:tc>
              <w:tc>
                <w:tcPr>
                  <w:tcW w:w="386" w:type="pct"/>
                  <w:vMerge w:val="continue"/>
                  <w:tcBorders>
                    <w:tl2br w:val="nil"/>
                    <w:tr2bl w:val="nil"/>
                  </w:tcBorders>
                  <w:vAlign w:val="center"/>
                </w:tcPr>
                <w:p w14:paraId="27D6B84C">
                  <w:pPr>
                    <w:rPr>
                      <w:color w:val="auto"/>
                    </w:rPr>
                  </w:pPr>
                </w:p>
              </w:tc>
            </w:tr>
            <w:tr w14:paraId="3DFFAC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5" w:type="pct"/>
                  <w:tcBorders>
                    <w:tl2br w:val="nil"/>
                    <w:tr2bl w:val="nil"/>
                  </w:tcBorders>
                  <w:vAlign w:val="center"/>
                </w:tcPr>
                <w:p w14:paraId="75069979">
                  <w:pPr>
                    <w:pStyle w:val="54"/>
                    <w:rPr>
                      <w:color w:val="auto"/>
                    </w:rPr>
                  </w:pPr>
                  <w:r>
                    <w:rPr>
                      <w:color w:val="auto"/>
                    </w:rPr>
                    <w:t>职工生活污水水</w:t>
                  </w:r>
                </w:p>
              </w:tc>
              <w:tc>
                <w:tcPr>
                  <w:tcW w:w="651" w:type="pct"/>
                  <w:tcBorders>
                    <w:tl2br w:val="nil"/>
                    <w:tr2bl w:val="nil"/>
                  </w:tcBorders>
                  <w:vAlign w:val="center"/>
                </w:tcPr>
                <w:p w14:paraId="2F811078">
                  <w:pPr>
                    <w:pStyle w:val="54"/>
                    <w:rPr>
                      <w:color w:val="auto"/>
                    </w:rPr>
                  </w:pPr>
                  <w:r>
                    <w:rPr>
                      <w:color w:val="auto"/>
                    </w:rPr>
                    <w:t>COD</w:t>
                  </w:r>
                </w:p>
                <w:p w14:paraId="072F6E5C">
                  <w:pPr>
                    <w:pStyle w:val="54"/>
                    <w:rPr>
                      <w:color w:val="auto"/>
                    </w:rPr>
                  </w:pPr>
                  <w:r>
                    <w:rPr>
                      <w:color w:val="auto"/>
                    </w:rPr>
                    <w:t>SS</w:t>
                  </w:r>
                </w:p>
                <w:p w14:paraId="6379C98B">
                  <w:pPr>
                    <w:pStyle w:val="54"/>
                    <w:rPr>
                      <w:color w:val="auto"/>
                    </w:rPr>
                  </w:pPr>
                  <w:r>
                    <w:rPr>
                      <w:color w:val="auto"/>
                    </w:rPr>
                    <w:t>氨氮</w:t>
                  </w:r>
                </w:p>
                <w:p w14:paraId="19AD2F76">
                  <w:pPr>
                    <w:pStyle w:val="54"/>
                    <w:rPr>
                      <w:color w:val="auto"/>
                    </w:rPr>
                  </w:pPr>
                  <w:r>
                    <w:rPr>
                      <w:color w:val="auto"/>
                    </w:rPr>
                    <w:t>TP</w:t>
                  </w:r>
                </w:p>
                <w:p w14:paraId="716C8B78">
                  <w:pPr>
                    <w:pStyle w:val="54"/>
                    <w:rPr>
                      <w:color w:val="auto"/>
                    </w:rPr>
                  </w:pPr>
                  <w:r>
                    <w:rPr>
                      <w:color w:val="auto"/>
                    </w:rPr>
                    <w:t>TN</w:t>
                  </w:r>
                </w:p>
                <w:p w14:paraId="0DD1122C">
                  <w:pPr>
                    <w:pStyle w:val="54"/>
                    <w:rPr>
                      <w:color w:val="auto"/>
                    </w:rPr>
                  </w:pPr>
                  <w:r>
                    <w:rPr>
                      <w:rFonts w:hint="eastAsia"/>
                      <w:color w:val="auto"/>
                    </w:rPr>
                    <w:t>动植物油</w:t>
                  </w:r>
                </w:p>
              </w:tc>
              <w:tc>
                <w:tcPr>
                  <w:tcW w:w="455" w:type="pct"/>
                  <w:tcBorders>
                    <w:tl2br w:val="nil"/>
                    <w:tr2bl w:val="nil"/>
                  </w:tcBorders>
                  <w:vAlign w:val="center"/>
                </w:tcPr>
                <w:p w14:paraId="401B2781">
                  <w:pPr>
                    <w:pStyle w:val="54"/>
                    <w:rPr>
                      <w:color w:val="auto"/>
                    </w:rPr>
                  </w:pPr>
                  <w:r>
                    <w:rPr>
                      <w:rFonts w:hint="eastAsia"/>
                      <w:color w:val="auto"/>
                    </w:rPr>
                    <w:t>王集镇污水处理厂</w:t>
                  </w:r>
                </w:p>
              </w:tc>
              <w:tc>
                <w:tcPr>
                  <w:tcW w:w="645" w:type="pct"/>
                  <w:tcBorders>
                    <w:tl2br w:val="nil"/>
                    <w:tr2bl w:val="nil"/>
                  </w:tcBorders>
                  <w:vAlign w:val="center"/>
                </w:tcPr>
                <w:p w14:paraId="46FA5108">
                  <w:pPr>
                    <w:pStyle w:val="54"/>
                    <w:rPr>
                      <w:color w:val="auto"/>
                    </w:rPr>
                  </w:pPr>
                  <w:r>
                    <w:rPr>
                      <w:color w:val="auto"/>
                    </w:rPr>
                    <w:t>间断排放，排放期间流量不稳定且无规律</w:t>
                  </w:r>
                </w:p>
              </w:tc>
              <w:tc>
                <w:tcPr>
                  <w:tcW w:w="513" w:type="pct"/>
                  <w:tcBorders>
                    <w:tl2br w:val="nil"/>
                    <w:tr2bl w:val="nil"/>
                  </w:tcBorders>
                  <w:vAlign w:val="center"/>
                </w:tcPr>
                <w:p w14:paraId="5D79B28B">
                  <w:pPr>
                    <w:pStyle w:val="54"/>
                    <w:rPr>
                      <w:color w:val="auto"/>
                    </w:rPr>
                  </w:pPr>
                  <w:r>
                    <w:rPr>
                      <w:color w:val="auto"/>
                    </w:rPr>
                    <w:t>TW</w:t>
                  </w:r>
                </w:p>
                <w:p w14:paraId="62E20B3B">
                  <w:pPr>
                    <w:pStyle w:val="54"/>
                    <w:rPr>
                      <w:color w:val="auto"/>
                    </w:rPr>
                  </w:pPr>
                  <w:r>
                    <w:rPr>
                      <w:color w:val="auto"/>
                    </w:rPr>
                    <w:t>001</w:t>
                  </w:r>
                </w:p>
              </w:tc>
              <w:tc>
                <w:tcPr>
                  <w:tcW w:w="531" w:type="pct"/>
                  <w:tcBorders>
                    <w:tl2br w:val="nil"/>
                    <w:tr2bl w:val="nil"/>
                  </w:tcBorders>
                  <w:vAlign w:val="center"/>
                </w:tcPr>
                <w:p w14:paraId="39F4D04B">
                  <w:pPr>
                    <w:pStyle w:val="54"/>
                    <w:rPr>
                      <w:color w:val="auto"/>
                    </w:rPr>
                  </w:pPr>
                  <w:r>
                    <w:rPr>
                      <w:rFonts w:hint="eastAsia"/>
                      <w:color w:val="auto"/>
                    </w:rPr>
                    <w:t>化粪池</w:t>
                  </w:r>
                </w:p>
              </w:tc>
              <w:tc>
                <w:tcPr>
                  <w:tcW w:w="520" w:type="pct"/>
                  <w:tcBorders>
                    <w:tl2br w:val="nil"/>
                    <w:tr2bl w:val="nil"/>
                  </w:tcBorders>
                  <w:vAlign w:val="center"/>
                </w:tcPr>
                <w:p w14:paraId="080FF60C">
                  <w:pPr>
                    <w:pStyle w:val="54"/>
                    <w:rPr>
                      <w:color w:val="auto"/>
                    </w:rPr>
                  </w:pPr>
                  <w:r>
                    <w:rPr>
                      <w:rFonts w:hint="eastAsia"/>
                      <w:color w:val="auto"/>
                    </w:rPr>
                    <w:t>化粪池</w:t>
                  </w:r>
                </w:p>
              </w:tc>
              <w:tc>
                <w:tcPr>
                  <w:tcW w:w="386" w:type="pct"/>
                  <w:tcBorders>
                    <w:tl2br w:val="nil"/>
                    <w:tr2bl w:val="nil"/>
                  </w:tcBorders>
                  <w:vAlign w:val="center"/>
                </w:tcPr>
                <w:p w14:paraId="2B34DEA0">
                  <w:pPr>
                    <w:pStyle w:val="54"/>
                    <w:rPr>
                      <w:color w:val="auto"/>
                    </w:rPr>
                  </w:pPr>
                  <w:r>
                    <w:rPr>
                      <w:color w:val="auto"/>
                    </w:rPr>
                    <w:t>DW</w:t>
                  </w:r>
                </w:p>
                <w:p w14:paraId="38689651">
                  <w:pPr>
                    <w:pStyle w:val="54"/>
                    <w:rPr>
                      <w:color w:val="auto"/>
                    </w:rPr>
                  </w:pPr>
                  <w:r>
                    <w:rPr>
                      <w:color w:val="auto"/>
                    </w:rPr>
                    <w:t>001</w:t>
                  </w:r>
                </w:p>
              </w:tc>
              <w:tc>
                <w:tcPr>
                  <w:tcW w:w="513" w:type="pct"/>
                  <w:tcBorders>
                    <w:tl2br w:val="nil"/>
                    <w:tr2bl w:val="nil"/>
                  </w:tcBorders>
                  <w:vAlign w:val="center"/>
                </w:tcPr>
                <w:p w14:paraId="483CDA93">
                  <w:pPr>
                    <w:pStyle w:val="54"/>
                    <w:rPr>
                      <w:color w:val="auto"/>
                    </w:rPr>
                  </w:pPr>
                  <w:r>
                    <w:rPr>
                      <w:color w:val="auto"/>
                    </w:rPr>
                    <w:t>是</w:t>
                  </w:r>
                </w:p>
              </w:tc>
              <w:tc>
                <w:tcPr>
                  <w:tcW w:w="386" w:type="pct"/>
                  <w:tcBorders>
                    <w:tl2br w:val="nil"/>
                    <w:tr2bl w:val="nil"/>
                  </w:tcBorders>
                  <w:vAlign w:val="center"/>
                </w:tcPr>
                <w:p w14:paraId="12824272">
                  <w:pPr>
                    <w:pStyle w:val="54"/>
                    <w:rPr>
                      <w:color w:val="auto"/>
                    </w:rPr>
                  </w:pPr>
                  <w:r>
                    <w:rPr>
                      <w:color w:val="auto"/>
                    </w:rPr>
                    <w:t>企业总排</w:t>
                  </w:r>
                </w:p>
              </w:tc>
            </w:tr>
          </w:tbl>
          <w:p w14:paraId="57531783">
            <w:pPr>
              <w:pStyle w:val="7"/>
              <w:rPr>
                <w:color w:val="auto"/>
                <w:lang w:bidi="ar"/>
              </w:rPr>
            </w:pPr>
            <w:bookmarkStart w:id="96" w:name="_Ref4795"/>
            <w:bookmarkStart w:id="97" w:name="_Ref23861"/>
            <w:bookmarkStart w:id="98" w:name="_Ref21741"/>
            <w:bookmarkStart w:id="99" w:name="_Ref25078"/>
            <w:bookmarkStart w:id="100" w:name="_Ref15317"/>
            <w:bookmarkStart w:id="101" w:name="_Ref25038"/>
            <w:bookmarkStart w:id="102" w:name="_Ref13650"/>
            <w:bookmarkStart w:id="103" w:name="_Ref3488"/>
            <w:r>
              <w:rPr>
                <w:color w:val="auto"/>
              </w:rPr>
              <w:t xml:space="preserve">表4- </w:t>
            </w:r>
            <w:r>
              <w:rPr>
                <w:color w:val="auto"/>
              </w:rPr>
              <w:fldChar w:fldCharType="begin"/>
            </w:r>
            <w:r>
              <w:rPr>
                <w:color w:val="auto"/>
              </w:rPr>
              <w:instrText xml:space="preserve"> SEQ 表4- \* ARABIC </w:instrText>
            </w:r>
            <w:r>
              <w:rPr>
                <w:color w:val="auto"/>
              </w:rPr>
              <w:fldChar w:fldCharType="separate"/>
            </w:r>
            <w:r>
              <w:rPr>
                <w:color w:val="auto"/>
              </w:rPr>
              <w:t>13</w:t>
            </w:r>
            <w:r>
              <w:rPr>
                <w:color w:val="auto"/>
              </w:rPr>
              <w:fldChar w:fldCharType="end"/>
            </w:r>
            <w:bookmarkEnd w:id="96"/>
            <w:bookmarkEnd w:id="97"/>
            <w:bookmarkEnd w:id="98"/>
            <w:bookmarkEnd w:id="99"/>
            <w:bookmarkEnd w:id="100"/>
            <w:bookmarkEnd w:id="101"/>
            <w:bookmarkEnd w:id="102"/>
            <w:bookmarkEnd w:id="103"/>
            <w:r>
              <w:rPr>
                <w:color w:val="auto"/>
              </w:rPr>
              <w:t xml:space="preserve"> </w:t>
            </w:r>
            <w:r>
              <w:rPr>
                <w:color w:val="auto"/>
                <w:lang w:bidi="ar"/>
              </w:rPr>
              <w:t>废水间接排放口基本信息表</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669"/>
              <w:gridCol w:w="916"/>
              <w:gridCol w:w="1012"/>
              <w:gridCol w:w="888"/>
              <w:gridCol w:w="630"/>
              <w:gridCol w:w="749"/>
              <w:gridCol w:w="545"/>
              <w:gridCol w:w="595"/>
              <w:gridCol w:w="781"/>
              <w:gridCol w:w="1648"/>
            </w:tblGrid>
            <w:tr w14:paraId="5B45C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396" w:type="pct"/>
                  <w:vMerge w:val="restart"/>
                  <w:shd w:val="clear" w:color="auto" w:fill="auto"/>
                  <w:vAlign w:val="center"/>
                </w:tcPr>
                <w:p w14:paraId="07DCD1FE">
                  <w:pPr>
                    <w:pStyle w:val="52"/>
                    <w:rPr>
                      <w:color w:val="auto"/>
                    </w:rPr>
                  </w:pPr>
                  <w:r>
                    <w:rPr>
                      <w:color w:val="auto"/>
                    </w:rPr>
                    <w:t>排放口编号</w:t>
                  </w:r>
                </w:p>
              </w:tc>
              <w:tc>
                <w:tcPr>
                  <w:tcW w:w="1143" w:type="pct"/>
                  <w:gridSpan w:val="2"/>
                  <w:shd w:val="clear" w:color="auto" w:fill="auto"/>
                  <w:vAlign w:val="center"/>
                </w:tcPr>
                <w:p w14:paraId="7C221242">
                  <w:pPr>
                    <w:pStyle w:val="52"/>
                    <w:rPr>
                      <w:color w:val="auto"/>
                    </w:rPr>
                  </w:pPr>
                  <w:r>
                    <w:rPr>
                      <w:color w:val="auto"/>
                    </w:rPr>
                    <w:t>排放口地理坐标（a）</w:t>
                  </w:r>
                </w:p>
              </w:tc>
              <w:tc>
                <w:tcPr>
                  <w:tcW w:w="526" w:type="pct"/>
                  <w:vMerge w:val="restart"/>
                  <w:shd w:val="clear" w:color="auto" w:fill="auto"/>
                  <w:vAlign w:val="center"/>
                </w:tcPr>
                <w:p w14:paraId="74225A14">
                  <w:pPr>
                    <w:pStyle w:val="52"/>
                    <w:rPr>
                      <w:color w:val="auto"/>
                    </w:rPr>
                  </w:pPr>
                  <w:r>
                    <w:rPr>
                      <w:color w:val="auto"/>
                    </w:rPr>
                    <w:t>废水排放量</w:t>
                  </w:r>
                </w:p>
                <w:p w14:paraId="3DF4DA3D">
                  <w:pPr>
                    <w:pStyle w:val="52"/>
                    <w:rPr>
                      <w:color w:val="auto"/>
                    </w:rPr>
                  </w:pPr>
                  <w:r>
                    <w:rPr>
                      <w:color w:val="auto"/>
                    </w:rPr>
                    <w:t>（万t/a）</w:t>
                  </w:r>
                </w:p>
              </w:tc>
              <w:tc>
                <w:tcPr>
                  <w:tcW w:w="373" w:type="pct"/>
                  <w:vMerge w:val="restart"/>
                  <w:shd w:val="clear" w:color="auto" w:fill="auto"/>
                  <w:vAlign w:val="center"/>
                </w:tcPr>
                <w:p w14:paraId="48216EF0">
                  <w:pPr>
                    <w:pStyle w:val="52"/>
                    <w:rPr>
                      <w:color w:val="auto"/>
                    </w:rPr>
                  </w:pPr>
                  <w:r>
                    <w:rPr>
                      <w:color w:val="auto"/>
                    </w:rPr>
                    <w:t>排放</w:t>
                  </w:r>
                </w:p>
                <w:p w14:paraId="38BE5D3A">
                  <w:pPr>
                    <w:pStyle w:val="52"/>
                    <w:rPr>
                      <w:color w:val="auto"/>
                    </w:rPr>
                  </w:pPr>
                  <w:r>
                    <w:rPr>
                      <w:color w:val="auto"/>
                    </w:rPr>
                    <w:t>去向</w:t>
                  </w:r>
                </w:p>
              </w:tc>
              <w:tc>
                <w:tcPr>
                  <w:tcW w:w="444" w:type="pct"/>
                  <w:vMerge w:val="restart"/>
                  <w:shd w:val="clear" w:color="auto" w:fill="auto"/>
                  <w:vAlign w:val="center"/>
                </w:tcPr>
                <w:p w14:paraId="3A04A548">
                  <w:pPr>
                    <w:pStyle w:val="52"/>
                    <w:rPr>
                      <w:color w:val="auto"/>
                    </w:rPr>
                  </w:pPr>
                  <w:r>
                    <w:rPr>
                      <w:color w:val="auto"/>
                    </w:rPr>
                    <w:t>排放</w:t>
                  </w:r>
                </w:p>
                <w:p w14:paraId="3EAF8D29">
                  <w:pPr>
                    <w:pStyle w:val="52"/>
                    <w:rPr>
                      <w:color w:val="auto"/>
                    </w:rPr>
                  </w:pPr>
                  <w:r>
                    <w:rPr>
                      <w:color w:val="auto"/>
                    </w:rPr>
                    <w:t>规律</w:t>
                  </w:r>
                </w:p>
              </w:tc>
              <w:tc>
                <w:tcPr>
                  <w:tcW w:w="323" w:type="pct"/>
                  <w:vMerge w:val="restart"/>
                  <w:shd w:val="clear" w:color="auto" w:fill="auto"/>
                  <w:vAlign w:val="center"/>
                </w:tcPr>
                <w:p w14:paraId="78F8A75A">
                  <w:pPr>
                    <w:pStyle w:val="52"/>
                    <w:rPr>
                      <w:color w:val="auto"/>
                    </w:rPr>
                  </w:pPr>
                  <w:r>
                    <w:rPr>
                      <w:color w:val="auto"/>
                    </w:rPr>
                    <w:t>间歇排放时段</w:t>
                  </w:r>
                </w:p>
              </w:tc>
              <w:tc>
                <w:tcPr>
                  <w:tcW w:w="1792" w:type="pct"/>
                  <w:gridSpan w:val="3"/>
                  <w:shd w:val="clear" w:color="auto" w:fill="auto"/>
                  <w:vAlign w:val="center"/>
                </w:tcPr>
                <w:p w14:paraId="30F60F42">
                  <w:pPr>
                    <w:pStyle w:val="52"/>
                    <w:rPr>
                      <w:color w:val="auto"/>
                    </w:rPr>
                  </w:pPr>
                  <w:r>
                    <w:rPr>
                      <w:color w:val="auto"/>
                    </w:rPr>
                    <w:t>受纳污水处理厂信息</w:t>
                  </w:r>
                </w:p>
              </w:tc>
            </w:tr>
            <w:tr w14:paraId="34BCC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396" w:type="pct"/>
                  <w:vMerge w:val="continue"/>
                  <w:shd w:val="clear" w:color="auto" w:fill="auto"/>
                  <w:vAlign w:val="center"/>
                </w:tcPr>
                <w:p w14:paraId="3F02437D">
                  <w:pPr>
                    <w:pStyle w:val="52"/>
                    <w:rPr>
                      <w:color w:val="auto"/>
                    </w:rPr>
                  </w:pPr>
                </w:p>
              </w:tc>
              <w:tc>
                <w:tcPr>
                  <w:tcW w:w="543" w:type="pct"/>
                  <w:shd w:val="clear" w:color="auto" w:fill="auto"/>
                  <w:vAlign w:val="center"/>
                </w:tcPr>
                <w:p w14:paraId="18050347">
                  <w:pPr>
                    <w:pStyle w:val="52"/>
                    <w:rPr>
                      <w:color w:val="auto"/>
                    </w:rPr>
                  </w:pPr>
                  <w:r>
                    <w:rPr>
                      <w:color w:val="auto"/>
                    </w:rPr>
                    <w:t>经度（E）</w:t>
                  </w:r>
                </w:p>
              </w:tc>
              <w:tc>
                <w:tcPr>
                  <w:tcW w:w="600" w:type="pct"/>
                  <w:shd w:val="clear" w:color="auto" w:fill="auto"/>
                  <w:vAlign w:val="center"/>
                </w:tcPr>
                <w:p w14:paraId="269117E3">
                  <w:pPr>
                    <w:pStyle w:val="52"/>
                    <w:rPr>
                      <w:color w:val="auto"/>
                    </w:rPr>
                  </w:pPr>
                  <w:r>
                    <w:rPr>
                      <w:color w:val="auto"/>
                    </w:rPr>
                    <w:t>纬度（N）</w:t>
                  </w:r>
                </w:p>
              </w:tc>
              <w:tc>
                <w:tcPr>
                  <w:tcW w:w="526" w:type="pct"/>
                  <w:vMerge w:val="continue"/>
                  <w:shd w:val="clear" w:color="auto" w:fill="auto"/>
                  <w:vAlign w:val="center"/>
                </w:tcPr>
                <w:p w14:paraId="1DF0C081">
                  <w:pPr>
                    <w:pStyle w:val="52"/>
                    <w:rPr>
                      <w:color w:val="auto"/>
                    </w:rPr>
                  </w:pPr>
                </w:p>
              </w:tc>
              <w:tc>
                <w:tcPr>
                  <w:tcW w:w="373" w:type="pct"/>
                  <w:vMerge w:val="continue"/>
                  <w:shd w:val="clear" w:color="auto" w:fill="auto"/>
                  <w:vAlign w:val="center"/>
                </w:tcPr>
                <w:p w14:paraId="399C5C6F">
                  <w:pPr>
                    <w:pStyle w:val="52"/>
                    <w:rPr>
                      <w:color w:val="auto"/>
                    </w:rPr>
                  </w:pPr>
                </w:p>
              </w:tc>
              <w:tc>
                <w:tcPr>
                  <w:tcW w:w="444" w:type="pct"/>
                  <w:vMerge w:val="continue"/>
                  <w:shd w:val="clear" w:color="auto" w:fill="auto"/>
                  <w:vAlign w:val="center"/>
                </w:tcPr>
                <w:p w14:paraId="481302F2">
                  <w:pPr>
                    <w:pStyle w:val="52"/>
                    <w:rPr>
                      <w:color w:val="auto"/>
                    </w:rPr>
                  </w:pPr>
                </w:p>
              </w:tc>
              <w:tc>
                <w:tcPr>
                  <w:tcW w:w="323" w:type="pct"/>
                  <w:vMerge w:val="continue"/>
                  <w:shd w:val="clear" w:color="auto" w:fill="auto"/>
                  <w:vAlign w:val="center"/>
                </w:tcPr>
                <w:p w14:paraId="5F04F0B4">
                  <w:pPr>
                    <w:pStyle w:val="52"/>
                    <w:rPr>
                      <w:color w:val="auto"/>
                    </w:rPr>
                  </w:pPr>
                </w:p>
              </w:tc>
              <w:tc>
                <w:tcPr>
                  <w:tcW w:w="352" w:type="pct"/>
                  <w:shd w:val="clear" w:color="auto" w:fill="auto"/>
                  <w:vAlign w:val="center"/>
                </w:tcPr>
                <w:p w14:paraId="453B0DCD">
                  <w:pPr>
                    <w:pStyle w:val="52"/>
                    <w:rPr>
                      <w:color w:val="auto"/>
                    </w:rPr>
                  </w:pPr>
                  <w:r>
                    <w:rPr>
                      <w:color w:val="auto"/>
                    </w:rPr>
                    <w:t>名称</w:t>
                  </w:r>
                </w:p>
              </w:tc>
              <w:tc>
                <w:tcPr>
                  <w:tcW w:w="463" w:type="pct"/>
                  <w:shd w:val="clear" w:color="auto" w:fill="auto"/>
                  <w:vAlign w:val="center"/>
                </w:tcPr>
                <w:p w14:paraId="4710BB57">
                  <w:pPr>
                    <w:pStyle w:val="52"/>
                    <w:rPr>
                      <w:color w:val="auto"/>
                    </w:rPr>
                  </w:pPr>
                  <w:r>
                    <w:rPr>
                      <w:color w:val="auto"/>
                    </w:rPr>
                    <w:t>污染物种类</w:t>
                  </w:r>
                </w:p>
              </w:tc>
              <w:tc>
                <w:tcPr>
                  <w:tcW w:w="977" w:type="pct"/>
                  <w:shd w:val="clear" w:color="auto" w:fill="auto"/>
                  <w:vAlign w:val="center"/>
                </w:tcPr>
                <w:p w14:paraId="72FE4CF7">
                  <w:pPr>
                    <w:pStyle w:val="52"/>
                    <w:rPr>
                      <w:color w:val="auto"/>
                    </w:rPr>
                  </w:pPr>
                  <w:r>
                    <w:rPr>
                      <w:color w:val="auto"/>
                    </w:rPr>
                    <w:t>污染物排放标准浓度限值（mg/L）</w:t>
                  </w:r>
                </w:p>
              </w:tc>
            </w:tr>
            <w:tr w14:paraId="0BE139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396" w:type="pct"/>
                  <w:vMerge w:val="restart"/>
                  <w:shd w:val="clear" w:color="auto" w:fill="auto"/>
                  <w:vAlign w:val="center"/>
                </w:tcPr>
                <w:p w14:paraId="05DF7F6A">
                  <w:pPr>
                    <w:pStyle w:val="54"/>
                    <w:rPr>
                      <w:color w:val="auto"/>
                    </w:rPr>
                  </w:pPr>
                  <w:r>
                    <w:rPr>
                      <w:color w:val="auto"/>
                    </w:rPr>
                    <w:t>DW</w:t>
                  </w:r>
                </w:p>
                <w:p w14:paraId="3A5FFCAD">
                  <w:pPr>
                    <w:pStyle w:val="54"/>
                    <w:rPr>
                      <w:color w:val="auto"/>
                    </w:rPr>
                  </w:pPr>
                  <w:r>
                    <w:rPr>
                      <w:color w:val="auto"/>
                    </w:rPr>
                    <w:t>001</w:t>
                  </w:r>
                </w:p>
              </w:tc>
              <w:tc>
                <w:tcPr>
                  <w:tcW w:w="543" w:type="pct"/>
                  <w:vMerge w:val="restart"/>
                  <w:shd w:val="clear" w:color="auto" w:fill="auto"/>
                  <w:vAlign w:val="center"/>
                </w:tcPr>
                <w:p w14:paraId="06FA34CC">
                  <w:pPr>
                    <w:pStyle w:val="54"/>
                    <w:rPr>
                      <w:color w:val="auto"/>
                    </w:rPr>
                  </w:pPr>
                  <w:r>
                    <w:rPr>
                      <w:color w:val="auto"/>
                    </w:rPr>
                    <w:t>118°44′40.312″</w:t>
                  </w:r>
                </w:p>
              </w:tc>
              <w:tc>
                <w:tcPr>
                  <w:tcW w:w="600" w:type="pct"/>
                  <w:vMerge w:val="restart"/>
                  <w:shd w:val="clear" w:color="auto" w:fill="auto"/>
                  <w:vAlign w:val="center"/>
                </w:tcPr>
                <w:p w14:paraId="7E08530A">
                  <w:pPr>
                    <w:pStyle w:val="54"/>
                    <w:rPr>
                      <w:color w:val="auto"/>
                    </w:rPr>
                  </w:pPr>
                  <w:r>
                    <w:rPr>
                      <w:color w:val="auto"/>
                    </w:rPr>
                    <w:t>33°50′46.024″</w:t>
                  </w:r>
                </w:p>
              </w:tc>
              <w:tc>
                <w:tcPr>
                  <w:tcW w:w="526" w:type="pct"/>
                  <w:vMerge w:val="restart"/>
                  <w:shd w:val="clear" w:color="auto" w:fill="auto"/>
                  <w:vAlign w:val="center"/>
                </w:tcPr>
                <w:p w14:paraId="76476890">
                  <w:pPr>
                    <w:pStyle w:val="54"/>
                    <w:rPr>
                      <w:color w:val="auto"/>
                    </w:rPr>
                  </w:pPr>
                  <w:r>
                    <w:rPr>
                      <w:rFonts w:hint="eastAsia"/>
                      <w:color w:val="auto"/>
                    </w:rPr>
                    <w:t>0.108</w:t>
                  </w:r>
                </w:p>
              </w:tc>
              <w:tc>
                <w:tcPr>
                  <w:tcW w:w="373" w:type="pct"/>
                  <w:vMerge w:val="restart"/>
                  <w:shd w:val="clear" w:color="auto" w:fill="auto"/>
                  <w:vAlign w:val="center"/>
                </w:tcPr>
                <w:p w14:paraId="738BEBAA">
                  <w:pPr>
                    <w:pStyle w:val="54"/>
                    <w:rPr>
                      <w:color w:val="auto"/>
                    </w:rPr>
                  </w:pPr>
                  <w:r>
                    <w:rPr>
                      <w:rFonts w:hint="eastAsia"/>
                      <w:color w:val="auto"/>
                    </w:rPr>
                    <w:t>王集镇污水处理厂</w:t>
                  </w:r>
                </w:p>
              </w:tc>
              <w:tc>
                <w:tcPr>
                  <w:tcW w:w="444" w:type="pct"/>
                  <w:vMerge w:val="restart"/>
                  <w:shd w:val="clear" w:color="auto" w:fill="auto"/>
                  <w:vAlign w:val="center"/>
                </w:tcPr>
                <w:p w14:paraId="54FD048D">
                  <w:pPr>
                    <w:pStyle w:val="54"/>
                    <w:rPr>
                      <w:color w:val="auto"/>
                    </w:rPr>
                  </w:pPr>
                  <w:r>
                    <w:rPr>
                      <w:color w:val="auto"/>
                    </w:rPr>
                    <w:t>间断排放，排放期间流量不稳定且无规律</w:t>
                  </w:r>
                </w:p>
              </w:tc>
              <w:tc>
                <w:tcPr>
                  <w:tcW w:w="323" w:type="pct"/>
                  <w:vMerge w:val="restart"/>
                  <w:shd w:val="clear" w:color="auto" w:fill="auto"/>
                  <w:vAlign w:val="center"/>
                </w:tcPr>
                <w:p w14:paraId="782321B4">
                  <w:pPr>
                    <w:pStyle w:val="54"/>
                    <w:rPr>
                      <w:color w:val="auto"/>
                    </w:rPr>
                  </w:pPr>
                  <w:r>
                    <w:rPr>
                      <w:color w:val="auto"/>
                    </w:rPr>
                    <w:t>/</w:t>
                  </w:r>
                </w:p>
              </w:tc>
              <w:tc>
                <w:tcPr>
                  <w:tcW w:w="352" w:type="pct"/>
                  <w:vMerge w:val="restart"/>
                  <w:shd w:val="clear" w:color="auto" w:fill="auto"/>
                  <w:vAlign w:val="center"/>
                </w:tcPr>
                <w:p w14:paraId="36C80E72">
                  <w:pPr>
                    <w:pStyle w:val="54"/>
                    <w:rPr>
                      <w:color w:val="auto"/>
                    </w:rPr>
                  </w:pPr>
                  <w:r>
                    <w:rPr>
                      <w:rFonts w:hint="eastAsia"/>
                      <w:color w:val="auto"/>
                    </w:rPr>
                    <w:t>王集镇污水处理厂</w:t>
                  </w:r>
                </w:p>
              </w:tc>
              <w:tc>
                <w:tcPr>
                  <w:tcW w:w="463" w:type="pct"/>
                  <w:shd w:val="clear" w:color="auto" w:fill="auto"/>
                  <w:vAlign w:val="center"/>
                </w:tcPr>
                <w:p w14:paraId="44266ADD">
                  <w:pPr>
                    <w:pStyle w:val="54"/>
                    <w:rPr>
                      <w:color w:val="auto"/>
                    </w:rPr>
                  </w:pPr>
                  <w:r>
                    <w:rPr>
                      <w:rFonts w:hint="eastAsia"/>
                      <w:color w:val="auto"/>
                    </w:rPr>
                    <w:t>pH</w:t>
                  </w:r>
                </w:p>
              </w:tc>
              <w:tc>
                <w:tcPr>
                  <w:tcW w:w="977" w:type="pct"/>
                  <w:shd w:val="clear" w:color="auto" w:fill="auto"/>
                  <w:vAlign w:val="center"/>
                </w:tcPr>
                <w:p w14:paraId="3B3E30B4">
                  <w:pPr>
                    <w:pStyle w:val="54"/>
                    <w:rPr>
                      <w:color w:val="auto"/>
                    </w:rPr>
                  </w:pPr>
                  <w:r>
                    <w:rPr>
                      <w:rFonts w:hint="eastAsia"/>
                      <w:color w:val="auto"/>
                    </w:rPr>
                    <w:t>6~9</w:t>
                  </w:r>
                </w:p>
              </w:tc>
            </w:tr>
            <w:tr w14:paraId="4229F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396" w:type="pct"/>
                  <w:vMerge w:val="continue"/>
                  <w:shd w:val="clear" w:color="auto" w:fill="auto"/>
                  <w:vAlign w:val="center"/>
                </w:tcPr>
                <w:p w14:paraId="09FDA385">
                  <w:pPr>
                    <w:pStyle w:val="54"/>
                    <w:rPr>
                      <w:color w:val="auto"/>
                    </w:rPr>
                  </w:pPr>
                </w:p>
              </w:tc>
              <w:tc>
                <w:tcPr>
                  <w:tcW w:w="543" w:type="pct"/>
                  <w:vMerge w:val="continue"/>
                  <w:shd w:val="clear" w:color="auto" w:fill="auto"/>
                  <w:vAlign w:val="center"/>
                </w:tcPr>
                <w:p w14:paraId="70A97F6E">
                  <w:pPr>
                    <w:pStyle w:val="54"/>
                    <w:rPr>
                      <w:color w:val="auto"/>
                    </w:rPr>
                  </w:pPr>
                </w:p>
              </w:tc>
              <w:tc>
                <w:tcPr>
                  <w:tcW w:w="600" w:type="pct"/>
                  <w:vMerge w:val="continue"/>
                  <w:shd w:val="clear" w:color="auto" w:fill="auto"/>
                  <w:vAlign w:val="center"/>
                </w:tcPr>
                <w:p w14:paraId="0D9DDBF2">
                  <w:pPr>
                    <w:pStyle w:val="54"/>
                    <w:rPr>
                      <w:color w:val="auto"/>
                    </w:rPr>
                  </w:pPr>
                </w:p>
              </w:tc>
              <w:tc>
                <w:tcPr>
                  <w:tcW w:w="526" w:type="pct"/>
                  <w:vMerge w:val="continue"/>
                  <w:shd w:val="clear" w:color="auto" w:fill="auto"/>
                  <w:vAlign w:val="center"/>
                </w:tcPr>
                <w:p w14:paraId="04F78DAC">
                  <w:pPr>
                    <w:pStyle w:val="54"/>
                    <w:rPr>
                      <w:color w:val="auto"/>
                    </w:rPr>
                  </w:pPr>
                </w:p>
              </w:tc>
              <w:tc>
                <w:tcPr>
                  <w:tcW w:w="373" w:type="pct"/>
                  <w:vMerge w:val="continue"/>
                  <w:shd w:val="clear" w:color="auto" w:fill="auto"/>
                  <w:vAlign w:val="center"/>
                </w:tcPr>
                <w:p w14:paraId="54D5A737">
                  <w:pPr>
                    <w:pStyle w:val="54"/>
                    <w:rPr>
                      <w:color w:val="auto"/>
                    </w:rPr>
                  </w:pPr>
                </w:p>
              </w:tc>
              <w:tc>
                <w:tcPr>
                  <w:tcW w:w="444" w:type="pct"/>
                  <w:vMerge w:val="continue"/>
                  <w:shd w:val="clear" w:color="auto" w:fill="auto"/>
                  <w:vAlign w:val="center"/>
                </w:tcPr>
                <w:p w14:paraId="492A987B">
                  <w:pPr>
                    <w:pStyle w:val="54"/>
                    <w:rPr>
                      <w:color w:val="auto"/>
                    </w:rPr>
                  </w:pPr>
                </w:p>
              </w:tc>
              <w:tc>
                <w:tcPr>
                  <w:tcW w:w="323" w:type="pct"/>
                  <w:vMerge w:val="continue"/>
                  <w:shd w:val="clear" w:color="auto" w:fill="auto"/>
                  <w:vAlign w:val="center"/>
                </w:tcPr>
                <w:p w14:paraId="6333F9B7">
                  <w:pPr>
                    <w:pStyle w:val="54"/>
                    <w:rPr>
                      <w:color w:val="auto"/>
                    </w:rPr>
                  </w:pPr>
                </w:p>
              </w:tc>
              <w:tc>
                <w:tcPr>
                  <w:tcW w:w="352" w:type="pct"/>
                  <w:vMerge w:val="continue"/>
                  <w:shd w:val="clear" w:color="auto" w:fill="auto"/>
                  <w:vAlign w:val="center"/>
                </w:tcPr>
                <w:p w14:paraId="361E304E">
                  <w:pPr>
                    <w:pStyle w:val="54"/>
                    <w:rPr>
                      <w:color w:val="auto"/>
                    </w:rPr>
                  </w:pPr>
                </w:p>
              </w:tc>
              <w:tc>
                <w:tcPr>
                  <w:tcW w:w="463" w:type="pct"/>
                  <w:shd w:val="clear" w:color="auto" w:fill="auto"/>
                  <w:vAlign w:val="center"/>
                </w:tcPr>
                <w:p w14:paraId="71259B38">
                  <w:pPr>
                    <w:pStyle w:val="54"/>
                    <w:rPr>
                      <w:color w:val="auto"/>
                    </w:rPr>
                  </w:pPr>
                  <w:r>
                    <w:rPr>
                      <w:color w:val="auto"/>
                    </w:rPr>
                    <w:t>COD</w:t>
                  </w:r>
                </w:p>
              </w:tc>
              <w:tc>
                <w:tcPr>
                  <w:tcW w:w="977" w:type="pct"/>
                  <w:shd w:val="clear" w:color="auto" w:fill="auto"/>
                  <w:vAlign w:val="center"/>
                </w:tcPr>
                <w:p w14:paraId="5D96F4D8">
                  <w:pPr>
                    <w:pStyle w:val="54"/>
                    <w:rPr>
                      <w:color w:val="auto"/>
                    </w:rPr>
                  </w:pPr>
                  <w:r>
                    <w:rPr>
                      <w:color w:val="auto"/>
                    </w:rPr>
                    <w:t>≤5</w:t>
                  </w:r>
                  <w:r>
                    <w:rPr>
                      <w:rFonts w:hint="eastAsia"/>
                      <w:color w:val="auto"/>
                    </w:rPr>
                    <w:t>0</w:t>
                  </w:r>
                </w:p>
              </w:tc>
            </w:tr>
            <w:tr w14:paraId="6B31A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396" w:type="pct"/>
                  <w:vMerge w:val="continue"/>
                  <w:shd w:val="clear" w:color="auto" w:fill="auto"/>
                  <w:vAlign w:val="center"/>
                </w:tcPr>
                <w:p w14:paraId="0D8CFA35">
                  <w:pPr>
                    <w:pStyle w:val="54"/>
                    <w:rPr>
                      <w:color w:val="auto"/>
                    </w:rPr>
                  </w:pPr>
                </w:p>
              </w:tc>
              <w:tc>
                <w:tcPr>
                  <w:tcW w:w="543" w:type="pct"/>
                  <w:vMerge w:val="continue"/>
                  <w:shd w:val="clear" w:color="auto" w:fill="auto"/>
                  <w:vAlign w:val="center"/>
                </w:tcPr>
                <w:p w14:paraId="422D31CE">
                  <w:pPr>
                    <w:pStyle w:val="54"/>
                    <w:rPr>
                      <w:color w:val="auto"/>
                    </w:rPr>
                  </w:pPr>
                </w:p>
              </w:tc>
              <w:tc>
                <w:tcPr>
                  <w:tcW w:w="600" w:type="pct"/>
                  <w:vMerge w:val="continue"/>
                  <w:shd w:val="clear" w:color="auto" w:fill="auto"/>
                  <w:vAlign w:val="center"/>
                </w:tcPr>
                <w:p w14:paraId="2C2FAEE6">
                  <w:pPr>
                    <w:pStyle w:val="54"/>
                    <w:rPr>
                      <w:color w:val="auto"/>
                    </w:rPr>
                  </w:pPr>
                </w:p>
              </w:tc>
              <w:tc>
                <w:tcPr>
                  <w:tcW w:w="526" w:type="pct"/>
                  <w:vMerge w:val="continue"/>
                  <w:shd w:val="clear" w:color="auto" w:fill="auto"/>
                  <w:vAlign w:val="center"/>
                </w:tcPr>
                <w:p w14:paraId="67A47AA3">
                  <w:pPr>
                    <w:pStyle w:val="54"/>
                    <w:rPr>
                      <w:color w:val="auto"/>
                    </w:rPr>
                  </w:pPr>
                </w:p>
              </w:tc>
              <w:tc>
                <w:tcPr>
                  <w:tcW w:w="373" w:type="pct"/>
                  <w:vMerge w:val="continue"/>
                  <w:shd w:val="clear" w:color="auto" w:fill="auto"/>
                  <w:vAlign w:val="center"/>
                </w:tcPr>
                <w:p w14:paraId="216FB058">
                  <w:pPr>
                    <w:pStyle w:val="54"/>
                    <w:rPr>
                      <w:color w:val="auto"/>
                    </w:rPr>
                  </w:pPr>
                </w:p>
              </w:tc>
              <w:tc>
                <w:tcPr>
                  <w:tcW w:w="444" w:type="pct"/>
                  <w:vMerge w:val="continue"/>
                  <w:shd w:val="clear" w:color="auto" w:fill="auto"/>
                  <w:vAlign w:val="center"/>
                </w:tcPr>
                <w:p w14:paraId="554DA28E">
                  <w:pPr>
                    <w:pStyle w:val="54"/>
                    <w:rPr>
                      <w:color w:val="auto"/>
                    </w:rPr>
                  </w:pPr>
                </w:p>
              </w:tc>
              <w:tc>
                <w:tcPr>
                  <w:tcW w:w="323" w:type="pct"/>
                  <w:vMerge w:val="continue"/>
                  <w:shd w:val="clear" w:color="auto" w:fill="auto"/>
                  <w:vAlign w:val="center"/>
                </w:tcPr>
                <w:p w14:paraId="12855E19">
                  <w:pPr>
                    <w:pStyle w:val="54"/>
                    <w:rPr>
                      <w:color w:val="auto"/>
                    </w:rPr>
                  </w:pPr>
                </w:p>
              </w:tc>
              <w:tc>
                <w:tcPr>
                  <w:tcW w:w="352" w:type="pct"/>
                  <w:vMerge w:val="continue"/>
                  <w:shd w:val="clear" w:color="auto" w:fill="auto"/>
                  <w:vAlign w:val="center"/>
                </w:tcPr>
                <w:p w14:paraId="4E41A97B">
                  <w:pPr>
                    <w:pStyle w:val="54"/>
                    <w:rPr>
                      <w:color w:val="auto"/>
                    </w:rPr>
                  </w:pPr>
                </w:p>
              </w:tc>
              <w:tc>
                <w:tcPr>
                  <w:tcW w:w="463" w:type="pct"/>
                  <w:shd w:val="clear" w:color="auto" w:fill="auto"/>
                  <w:vAlign w:val="center"/>
                </w:tcPr>
                <w:p w14:paraId="4AD7293B">
                  <w:pPr>
                    <w:pStyle w:val="54"/>
                    <w:rPr>
                      <w:color w:val="auto"/>
                    </w:rPr>
                  </w:pPr>
                  <w:r>
                    <w:rPr>
                      <w:color w:val="auto"/>
                    </w:rPr>
                    <w:t>SS</w:t>
                  </w:r>
                </w:p>
              </w:tc>
              <w:tc>
                <w:tcPr>
                  <w:tcW w:w="977" w:type="pct"/>
                  <w:shd w:val="clear" w:color="auto" w:fill="auto"/>
                  <w:vAlign w:val="center"/>
                </w:tcPr>
                <w:p w14:paraId="635E3EBC">
                  <w:pPr>
                    <w:pStyle w:val="54"/>
                    <w:rPr>
                      <w:color w:val="auto"/>
                    </w:rPr>
                  </w:pPr>
                  <w:r>
                    <w:rPr>
                      <w:color w:val="auto"/>
                    </w:rPr>
                    <w:t>≤10</w:t>
                  </w:r>
                </w:p>
              </w:tc>
            </w:tr>
            <w:tr w14:paraId="393F3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396" w:type="pct"/>
                  <w:vMerge w:val="continue"/>
                  <w:shd w:val="clear" w:color="auto" w:fill="auto"/>
                  <w:vAlign w:val="center"/>
                </w:tcPr>
                <w:p w14:paraId="41D55427">
                  <w:pPr>
                    <w:pStyle w:val="54"/>
                    <w:rPr>
                      <w:color w:val="auto"/>
                    </w:rPr>
                  </w:pPr>
                </w:p>
              </w:tc>
              <w:tc>
                <w:tcPr>
                  <w:tcW w:w="543" w:type="pct"/>
                  <w:vMerge w:val="continue"/>
                  <w:shd w:val="clear" w:color="auto" w:fill="auto"/>
                  <w:vAlign w:val="center"/>
                </w:tcPr>
                <w:p w14:paraId="5B35A95D">
                  <w:pPr>
                    <w:pStyle w:val="54"/>
                    <w:rPr>
                      <w:color w:val="auto"/>
                    </w:rPr>
                  </w:pPr>
                </w:p>
              </w:tc>
              <w:tc>
                <w:tcPr>
                  <w:tcW w:w="600" w:type="pct"/>
                  <w:vMerge w:val="continue"/>
                  <w:shd w:val="clear" w:color="auto" w:fill="auto"/>
                  <w:vAlign w:val="center"/>
                </w:tcPr>
                <w:p w14:paraId="1BF87AE5">
                  <w:pPr>
                    <w:pStyle w:val="54"/>
                    <w:rPr>
                      <w:color w:val="auto"/>
                    </w:rPr>
                  </w:pPr>
                </w:p>
              </w:tc>
              <w:tc>
                <w:tcPr>
                  <w:tcW w:w="526" w:type="pct"/>
                  <w:vMerge w:val="continue"/>
                  <w:shd w:val="clear" w:color="auto" w:fill="auto"/>
                  <w:vAlign w:val="center"/>
                </w:tcPr>
                <w:p w14:paraId="60FF97AE">
                  <w:pPr>
                    <w:pStyle w:val="54"/>
                    <w:rPr>
                      <w:color w:val="auto"/>
                    </w:rPr>
                  </w:pPr>
                </w:p>
              </w:tc>
              <w:tc>
                <w:tcPr>
                  <w:tcW w:w="373" w:type="pct"/>
                  <w:vMerge w:val="continue"/>
                  <w:shd w:val="clear" w:color="auto" w:fill="auto"/>
                  <w:vAlign w:val="center"/>
                </w:tcPr>
                <w:p w14:paraId="183F4711">
                  <w:pPr>
                    <w:pStyle w:val="54"/>
                    <w:rPr>
                      <w:color w:val="auto"/>
                    </w:rPr>
                  </w:pPr>
                </w:p>
              </w:tc>
              <w:tc>
                <w:tcPr>
                  <w:tcW w:w="444" w:type="pct"/>
                  <w:vMerge w:val="continue"/>
                  <w:shd w:val="clear" w:color="auto" w:fill="auto"/>
                  <w:vAlign w:val="center"/>
                </w:tcPr>
                <w:p w14:paraId="76C3B51F">
                  <w:pPr>
                    <w:pStyle w:val="54"/>
                    <w:rPr>
                      <w:color w:val="auto"/>
                    </w:rPr>
                  </w:pPr>
                </w:p>
              </w:tc>
              <w:tc>
                <w:tcPr>
                  <w:tcW w:w="323" w:type="pct"/>
                  <w:vMerge w:val="continue"/>
                  <w:shd w:val="clear" w:color="auto" w:fill="auto"/>
                  <w:vAlign w:val="center"/>
                </w:tcPr>
                <w:p w14:paraId="29D1FDD8">
                  <w:pPr>
                    <w:pStyle w:val="54"/>
                    <w:rPr>
                      <w:color w:val="auto"/>
                    </w:rPr>
                  </w:pPr>
                </w:p>
              </w:tc>
              <w:tc>
                <w:tcPr>
                  <w:tcW w:w="352" w:type="pct"/>
                  <w:vMerge w:val="continue"/>
                  <w:shd w:val="clear" w:color="auto" w:fill="auto"/>
                  <w:vAlign w:val="center"/>
                </w:tcPr>
                <w:p w14:paraId="40EEDAB2">
                  <w:pPr>
                    <w:pStyle w:val="54"/>
                    <w:rPr>
                      <w:color w:val="auto"/>
                    </w:rPr>
                  </w:pPr>
                </w:p>
              </w:tc>
              <w:tc>
                <w:tcPr>
                  <w:tcW w:w="463" w:type="pct"/>
                  <w:shd w:val="clear" w:color="auto" w:fill="auto"/>
                  <w:vAlign w:val="center"/>
                </w:tcPr>
                <w:p w14:paraId="0B13673E">
                  <w:pPr>
                    <w:pStyle w:val="54"/>
                    <w:rPr>
                      <w:color w:val="auto"/>
                    </w:rPr>
                  </w:pPr>
                  <w:r>
                    <w:rPr>
                      <w:color w:val="auto"/>
                    </w:rPr>
                    <w:t>氨氮</w:t>
                  </w:r>
                </w:p>
              </w:tc>
              <w:tc>
                <w:tcPr>
                  <w:tcW w:w="977" w:type="pct"/>
                  <w:shd w:val="clear" w:color="auto" w:fill="auto"/>
                  <w:vAlign w:val="center"/>
                </w:tcPr>
                <w:p w14:paraId="09DAA19E">
                  <w:pPr>
                    <w:pStyle w:val="54"/>
                    <w:rPr>
                      <w:color w:val="auto"/>
                    </w:rPr>
                  </w:pPr>
                  <w:r>
                    <w:rPr>
                      <w:color w:val="auto"/>
                    </w:rPr>
                    <w:t>≤5</w:t>
                  </w:r>
                  <w:r>
                    <w:rPr>
                      <w:rFonts w:hint="eastAsia"/>
                      <w:color w:val="auto"/>
                    </w:rPr>
                    <w:t>（</w:t>
                  </w:r>
                  <w:r>
                    <w:rPr>
                      <w:color w:val="auto"/>
                    </w:rPr>
                    <w:t>8）</w:t>
                  </w:r>
                </w:p>
              </w:tc>
            </w:tr>
            <w:tr w14:paraId="56634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396" w:type="pct"/>
                  <w:vMerge w:val="continue"/>
                  <w:shd w:val="clear" w:color="auto" w:fill="auto"/>
                  <w:vAlign w:val="center"/>
                </w:tcPr>
                <w:p w14:paraId="66C6A98E">
                  <w:pPr>
                    <w:pStyle w:val="54"/>
                    <w:rPr>
                      <w:color w:val="auto"/>
                    </w:rPr>
                  </w:pPr>
                </w:p>
              </w:tc>
              <w:tc>
                <w:tcPr>
                  <w:tcW w:w="543" w:type="pct"/>
                  <w:vMerge w:val="continue"/>
                  <w:shd w:val="clear" w:color="auto" w:fill="auto"/>
                  <w:vAlign w:val="center"/>
                </w:tcPr>
                <w:p w14:paraId="7B9AB645">
                  <w:pPr>
                    <w:pStyle w:val="54"/>
                    <w:rPr>
                      <w:color w:val="auto"/>
                    </w:rPr>
                  </w:pPr>
                </w:p>
              </w:tc>
              <w:tc>
                <w:tcPr>
                  <w:tcW w:w="600" w:type="pct"/>
                  <w:vMerge w:val="continue"/>
                  <w:shd w:val="clear" w:color="auto" w:fill="auto"/>
                  <w:vAlign w:val="center"/>
                </w:tcPr>
                <w:p w14:paraId="26F59E93">
                  <w:pPr>
                    <w:pStyle w:val="54"/>
                    <w:rPr>
                      <w:color w:val="auto"/>
                    </w:rPr>
                  </w:pPr>
                </w:p>
              </w:tc>
              <w:tc>
                <w:tcPr>
                  <w:tcW w:w="526" w:type="pct"/>
                  <w:vMerge w:val="continue"/>
                  <w:shd w:val="clear" w:color="auto" w:fill="auto"/>
                  <w:vAlign w:val="center"/>
                </w:tcPr>
                <w:p w14:paraId="3F0DB5F8">
                  <w:pPr>
                    <w:pStyle w:val="54"/>
                    <w:rPr>
                      <w:color w:val="auto"/>
                    </w:rPr>
                  </w:pPr>
                </w:p>
              </w:tc>
              <w:tc>
                <w:tcPr>
                  <w:tcW w:w="373" w:type="pct"/>
                  <w:vMerge w:val="continue"/>
                  <w:shd w:val="clear" w:color="auto" w:fill="auto"/>
                  <w:vAlign w:val="center"/>
                </w:tcPr>
                <w:p w14:paraId="54CAA067">
                  <w:pPr>
                    <w:pStyle w:val="54"/>
                    <w:rPr>
                      <w:color w:val="auto"/>
                    </w:rPr>
                  </w:pPr>
                </w:p>
              </w:tc>
              <w:tc>
                <w:tcPr>
                  <w:tcW w:w="444" w:type="pct"/>
                  <w:vMerge w:val="continue"/>
                  <w:shd w:val="clear" w:color="auto" w:fill="auto"/>
                  <w:vAlign w:val="center"/>
                </w:tcPr>
                <w:p w14:paraId="6CADA60A">
                  <w:pPr>
                    <w:pStyle w:val="54"/>
                    <w:rPr>
                      <w:color w:val="auto"/>
                    </w:rPr>
                  </w:pPr>
                </w:p>
              </w:tc>
              <w:tc>
                <w:tcPr>
                  <w:tcW w:w="323" w:type="pct"/>
                  <w:vMerge w:val="continue"/>
                  <w:shd w:val="clear" w:color="auto" w:fill="auto"/>
                  <w:vAlign w:val="center"/>
                </w:tcPr>
                <w:p w14:paraId="24ABE7EC">
                  <w:pPr>
                    <w:pStyle w:val="54"/>
                    <w:rPr>
                      <w:color w:val="auto"/>
                    </w:rPr>
                  </w:pPr>
                </w:p>
              </w:tc>
              <w:tc>
                <w:tcPr>
                  <w:tcW w:w="352" w:type="pct"/>
                  <w:vMerge w:val="continue"/>
                  <w:shd w:val="clear" w:color="auto" w:fill="auto"/>
                  <w:vAlign w:val="center"/>
                </w:tcPr>
                <w:p w14:paraId="0C1D08E8">
                  <w:pPr>
                    <w:pStyle w:val="54"/>
                    <w:rPr>
                      <w:color w:val="auto"/>
                    </w:rPr>
                  </w:pPr>
                </w:p>
              </w:tc>
              <w:tc>
                <w:tcPr>
                  <w:tcW w:w="463" w:type="pct"/>
                  <w:shd w:val="clear" w:color="auto" w:fill="auto"/>
                  <w:vAlign w:val="center"/>
                </w:tcPr>
                <w:p w14:paraId="65ABD58D">
                  <w:pPr>
                    <w:pStyle w:val="54"/>
                    <w:rPr>
                      <w:color w:val="auto"/>
                    </w:rPr>
                  </w:pPr>
                  <w:r>
                    <w:rPr>
                      <w:color w:val="auto"/>
                    </w:rPr>
                    <w:t>TN</w:t>
                  </w:r>
                </w:p>
              </w:tc>
              <w:tc>
                <w:tcPr>
                  <w:tcW w:w="977" w:type="pct"/>
                  <w:shd w:val="clear" w:color="auto" w:fill="auto"/>
                  <w:vAlign w:val="center"/>
                </w:tcPr>
                <w:p w14:paraId="55E4A0B5">
                  <w:pPr>
                    <w:pStyle w:val="54"/>
                    <w:rPr>
                      <w:color w:val="auto"/>
                    </w:rPr>
                  </w:pPr>
                  <w:r>
                    <w:rPr>
                      <w:color w:val="auto"/>
                    </w:rPr>
                    <w:t>≤15</w:t>
                  </w:r>
                </w:p>
              </w:tc>
            </w:tr>
            <w:tr w14:paraId="63FDD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396" w:type="pct"/>
                  <w:vMerge w:val="continue"/>
                  <w:shd w:val="clear" w:color="auto" w:fill="auto"/>
                  <w:vAlign w:val="center"/>
                </w:tcPr>
                <w:p w14:paraId="381B1F98">
                  <w:pPr>
                    <w:pStyle w:val="54"/>
                    <w:rPr>
                      <w:color w:val="auto"/>
                    </w:rPr>
                  </w:pPr>
                </w:p>
              </w:tc>
              <w:tc>
                <w:tcPr>
                  <w:tcW w:w="543" w:type="pct"/>
                  <w:vMerge w:val="continue"/>
                  <w:shd w:val="clear" w:color="auto" w:fill="auto"/>
                  <w:vAlign w:val="center"/>
                </w:tcPr>
                <w:p w14:paraId="2C537368">
                  <w:pPr>
                    <w:pStyle w:val="54"/>
                    <w:rPr>
                      <w:color w:val="auto"/>
                    </w:rPr>
                  </w:pPr>
                </w:p>
              </w:tc>
              <w:tc>
                <w:tcPr>
                  <w:tcW w:w="600" w:type="pct"/>
                  <w:vMerge w:val="continue"/>
                  <w:shd w:val="clear" w:color="auto" w:fill="auto"/>
                  <w:vAlign w:val="center"/>
                </w:tcPr>
                <w:p w14:paraId="2D3E78CE">
                  <w:pPr>
                    <w:pStyle w:val="54"/>
                    <w:rPr>
                      <w:color w:val="auto"/>
                    </w:rPr>
                  </w:pPr>
                </w:p>
              </w:tc>
              <w:tc>
                <w:tcPr>
                  <w:tcW w:w="526" w:type="pct"/>
                  <w:vMerge w:val="continue"/>
                  <w:shd w:val="clear" w:color="auto" w:fill="auto"/>
                  <w:vAlign w:val="center"/>
                </w:tcPr>
                <w:p w14:paraId="0CC6D9A7">
                  <w:pPr>
                    <w:pStyle w:val="54"/>
                    <w:rPr>
                      <w:color w:val="auto"/>
                    </w:rPr>
                  </w:pPr>
                </w:p>
              </w:tc>
              <w:tc>
                <w:tcPr>
                  <w:tcW w:w="373" w:type="pct"/>
                  <w:vMerge w:val="continue"/>
                  <w:shd w:val="clear" w:color="auto" w:fill="auto"/>
                  <w:vAlign w:val="center"/>
                </w:tcPr>
                <w:p w14:paraId="71041B39">
                  <w:pPr>
                    <w:pStyle w:val="54"/>
                    <w:rPr>
                      <w:color w:val="auto"/>
                    </w:rPr>
                  </w:pPr>
                </w:p>
              </w:tc>
              <w:tc>
                <w:tcPr>
                  <w:tcW w:w="444" w:type="pct"/>
                  <w:vMerge w:val="continue"/>
                  <w:shd w:val="clear" w:color="auto" w:fill="auto"/>
                  <w:vAlign w:val="center"/>
                </w:tcPr>
                <w:p w14:paraId="21E92FFF">
                  <w:pPr>
                    <w:pStyle w:val="54"/>
                    <w:rPr>
                      <w:color w:val="auto"/>
                    </w:rPr>
                  </w:pPr>
                </w:p>
              </w:tc>
              <w:tc>
                <w:tcPr>
                  <w:tcW w:w="323" w:type="pct"/>
                  <w:vMerge w:val="continue"/>
                  <w:shd w:val="clear" w:color="auto" w:fill="auto"/>
                  <w:vAlign w:val="center"/>
                </w:tcPr>
                <w:p w14:paraId="2E388A60">
                  <w:pPr>
                    <w:pStyle w:val="54"/>
                    <w:rPr>
                      <w:color w:val="auto"/>
                    </w:rPr>
                  </w:pPr>
                </w:p>
              </w:tc>
              <w:tc>
                <w:tcPr>
                  <w:tcW w:w="352" w:type="pct"/>
                  <w:vMerge w:val="continue"/>
                  <w:shd w:val="clear" w:color="auto" w:fill="auto"/>
                  <w:vAlign w:val="center"/>
                </w:tcPr>
                <w:p w14:paraId="2A278EAC">
                  <w:pPr>
                    <w:pStyle w:val="54"/>
                    <w:rPr>
                      <w:color w:val="auto"/>
                    </w:rPr>
                  </w:pPr>
                </w:p>
              </w:tc>
              <w:tc>
                <w:tcPr>
                  <w:tcW w:w="463" w:type="pct"/>
                  <w:shd w:val="clear" w:color="auto" w:fill="auto"/>
                  <w:vAlign w:val="center"/>
                </w:tcPr>
                <w:p w14:paraId="3F1A808D">
                  <w:pPr>
                    <w:pStyle w:val="54"/>
                    <w:rPr>
                      <w:color w:val="auto"/>
                    </w:rPr>
                  </w:pPr>
                  <w:r>
                    <w:rPr>
                      <w:color w:val="auto"/>
                    </w:rPr>
                    <w:t>TP</w:t>
                  </w:r>
                </w:p>
              </w:tc>
              <w:tc>
                <w:tcPr>
                  <w:tcW w:w="977" w:type="pct"/>
                  <w:shd w:val="clear" w:color="auto" w:fill="auto"/>
                  <w:vAlign w:val="center"/>
                </w:tcPr>
                <w:p w14:paraId="52CB7B78">
                  <w:pPr>
                    <w:pStyle w:val="54"/>
                    <w:rPr>
                      <w:color w:val="auto"/>
                    </w:rPr>
                  </w:pPr>
                  <w:r>
                    <w:rPr>
                      <w:color w:val="auto"/>
                    </w:rPr>
                    <w:t>≤0.5</w:t>
                  </w:r>
                </w:p>
              </w:tc>
            </w:tr>
            <w:tr w14:paraId="0FB4DE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396" w:type="pct"/>
                  <w:vMerge w:val="continue"/>
                  <w:shd w:val="clear" w:color="auto" w:fill="auto"/>
                  <w:vAlign w:val="center"/>
                </w:tcPr>
                <w:p w14:paraId="660DBAB6">
                  <w:pPr>
                    <w:pStyle w:val="54"/>
                    <w:rPr>
                      <w:color w:val="auto"/>
                    </w:rPr>
                  </w:pPr>
                </w:p>
              </w:tc>
              <w:tc>
                <w:tcPr>
                  <w:tcW w:w="543" w:type="pct"/>
                  <w:vMerge w:val="continue"/>
                  <w:shd w:val="clear" w:color="auto" w:fill="auto"/>
                  <w:vAlign w:val="center"/>
                </w:tcPr>
                <w:p w14:paraId="73D0AAA3">
                  <w:pPr>
                    <w:pStyle w:val="54"/>
                    <w:rPr>
                      <w:color w:val="auto"/>
                    </w:rPr>
                  </w:pPr>
                </w:p>
              </w:tc>
              <w:tc>
                <w:tcPr>
                  <w:tcW w:w="600" w:type="pct"/>
                  <w:vMerge w:val="continue"/>
                  <w:shd w:val="clear" w:color="auto" w:fill="auto"/>
                  <w:vAlign w:val="center"/>
                </w:tcPr>
                <w:p w14:paraId="0B356336">
                  <w:pPr>
                    <w:pStyle w:val="54"/>
                    <w:rPr>
                      <w:color w:val="auto"/>
                    </w:rPr>
                  </w:pPr>
                </w:p>
              </w:tc>
              <w:tc>
                <w:tcPr>
                  <w:tcW w:w="526" w:type="pct"/>
                  <w:vMerge w:val="continue"/>
                  <w:shd w:val="clear" w:color="auto" w:fill="auto"/>
                  <w:vAlign w:val="center"/>
                </w:tcPr>
                <w:p w14:paraId="57E2FA91">
                  <w:pPr>
                    <w:pStyle w:val="54"/>
                    <w:rPr>
                      <w:color w:val="auto"/>
                    </w:rPr>
                  </w:pPr>
                </w:p>
              </w:tc>
              <w:tc>
                <w:tcPr>
                  <w:tcW w:w="373" w:type="pct"/>
                  <w:vMerge w:val="continue"/>
                  <w:shd w:val="clear" w:color="auto" w:fill="auto"/>
                  <w:vAlign w:val="center"/>
                </w:tcPr>
                <w:p w14:paraId="11B43158">
                  <w:pPr>
                    <w:pStyle w:val="54"/>
                    <w:rPr>
                      <w:color w:val="auto"/>
                    </w:rPr>
                  </w:pPr>
                </w:p>
              </w:tc>
              <w:tc>
                <w:tcPr>
                  <w:tcW w:w="444" w:type="pct"/>
                  <w:vMerge w:val="continue"/>
                  <w:shd w:val="clear" w:color="auto" w:fill="auto"/>
                  <w:vAlign w:val="center"/>
                </w:tcPr>
                <w:p w14:paraId="3799CCF2">
                  <w:pPr>
                    <w:pStyle w:val="54"/>
                    <w:rPr>
                      <w:color w:val="auto"/>
                    </w:rPr>
                  </w:pPr>
                </w:p>
              </w:tc>
              <w:tc>
                <w:tcPr>
                  <w:tcW w:w="323" w:type="pct"/>
                  <w:vMerge w:val="continue"/>
                  <w:shd w:val="clear" w:color="auto" w:fill="auto"/>
                  <w:vAlign w:val="center"/>
                </w:tcPr>
                <w:p w14:paraId="5F3378B8">
                  <w:pPr>
                    <w:pStyle w:val="54"/>
                    <w:rPr>
                      <w:color w:val="auto"/>
                    </w:rPr>
                  </w:pPr>
                </w:p>
              </w:tc>
              <w:tc>
                <w:tcPr>
                  <w:tcW w:w="352" w:type="pct"/>
                  <w:vMerge w:val="continue"/>
                  <w:shd w:val="clear" w:color="auto" w:fill="auto"/>
                  <w:vAlign w:val="center"/>
                </w:tcPr>
                <w:p w14:paraId="3BB48C9F">
                  <w:pPr>
                    <w:pStyle w:val="54"/>
                    <w:rPr>
                      <w:color w:val="auto"/>
                    </w:rPr>
                  </w:pPr>
                </w:p>
              </w:tc>
              <w:tc>
                <w:tcPr>
                  <w:tcW w:w="463" w:type="pct"/>
                  <w:shd w:val="clear" w:color="auto" w:fill="auto"/>
                  <w:vAlign w:val="center"/>
                </w:tcPr>
                <w:p w14:paraId="5AC69FF7">
                  <w:pPr>
                    <w:pStyle w:val="54"/>
                    <w:rPr>
                      <w:rFonts w:hint="eastAsia"/>
                      <w:color w:val="auto"/>
                    </w:rPr>
                  </w:pPr>
                  <w:r>
                    <w:rPr>
                      <w:rFonts w:hint="eastAsia"/>
                      <w:color w:val="auto"/>
                    </w:rPr>
                    <w:t>动植</w:t>
                  </w:r>
                </w:p>
                <w:p w14:paraId="0D0C5442">
                  <w:pPr>
                    <w:pStyle w:val="54"/>
                    <w:rPr>
                      <w:color w:val="auto"/>
                    </w:rPr>
                  </w:pPr>
                  <w:r>
                    <w:rPr>
                      <w:rFonts w:hint="eastAsia"/>
                      <w:color w:val="auto"/>
                    </w:rPr>
                    <w:t>物油</w:t>
                  </w:r>
                </w:p>
              </w:tc>
              <w:tc>
                <w:tcPr>
                  <w:tcW w:w="977" w:type="pct"/>
                  <w:shd w:val="clear" w:color="auto" w:fill="auto"/>
                  <w:vAlign w:val="center"/>
                </w:tcPr>
                <w:p w14:paraId="64FCE75A">
                  <w:pPr>
                    <w:pStyle w:val="54"/>
                    <w:rPr>
                      <w:color w:val="auto"/>
                    </w:rPr>
                  </w:pPr>
                  <w:r>
                    <w:rPr>
                      <w:color w:val="auto"/>
                    </w:rPr>
                    <w:t>≤</w:t>
                  </w:r>
                  <w:r>
                    <w:rPr>
                      <w:rFonts w:hint="eastAsia"/>
                      <w:color w:val="auto"/>
                    </w:rPr>
                    <w:t>1</w:t>
                  </w:r>
                </w:p>
              </w:tc>
            </w:tr>
          </w:tbl>
          <w:p w14:paraId="049F8432">
            <w:pPr>
              <w:pStyle w:val="50"/>
              <w:ind w:firstLine="482"/>
              <w:rPr>
                <w:b/>
                <w:bCs/>
                <w:color w:val="auto"/>
              </w:rPr>
            </w:pPr>
            <w:r>
              <w:rPr>
                <w:b/>
                <w:bCs/>
                <w:color w:val="auto"/>
              </w:rPr>
              <w:t>（3）</w:t>
            </w:r>
            <w:bookmarkStart w:id="104" w:name="_Hlk45806872"/>
            <w:r>
              <w:rPr>
                <w:b/>
                <w:bCs/>
                <w:color w:val="auto"/>
              </w:rPr>
              <w:t>污染治理设施可行性分析</w:t>
            </w:r>
          </w:p>
          <w:p w14:paraId="31898189">
            <w:pPr>
              <w:pStyle w:val="50"/>
              <w:ind w:firstLine="482"/>
              <w:rPr>
                <w:b/>
                <w:bCs/>
                <w:color w:val="auto"/>
              </w:rPr>
            </w:pPr>
            <w:r>
              <w:rPr>
                <w:rFonts w:hint="eastAsia" w:ascii="宋体" w:hAnsi="宋体" w:cs="宋体"/>
                <w:b/>
                <w:bCs/>
                <w:color w:val="auto"/>
              </w:rPr>
              <w:t>①</w:t>
            </w:r>
            <w:r>
              <w:rPr>
                <w:b/>
                <w:bCs/>
                <w:color w:val="auto"/>
              </w:rPr>
              <w:t>治理设施技术分析</w:t>
            </w:r>
          </w:p>
          <w:p w14:paraId="1F4B40AF">
            <w:pPr>
              <w:pStyle w:val="50"/>
              <w:ind w:firstLine="480"/>
              <w:rPr>
                <w:color w:val="auto"/>
              </w:rPr>
            </w:pPr>
            <w:r>
              <w:rPr>
                <w:rFonts w:hint="eastAsia"/>
                <w:color w:val="auto"/>
              </w:rPr>
              <w:t>本</w:t>
            </w:r>
            <w:r>
              <w:rPr>
                <w:color w:val="auto"/>
              </w:rPr>
              <w:t>项目生活污水采用化粪池</w:t>
            </w:r>
            <w:r>
              <w:rPr>
                <w:rFonts w:hint="eastAsia"/>
                <w:color w:val="auto"/>
              </w:rPr>
              <w:t>预</w:t>
            </w:r>
            <w:r>
              <w:rPr>
                <w:color w:val="auto"/>
              </w:rPr>
              <w:t>处理，化粪池是处理粪便并加以过滤沉淀的设备，其原理是固化物在池底分解，上层的水化物进入管道流走，防止了管道堵塞，给固化物体（粪便等垃圾）有充足的时间水解。化粪池能够有效避免生活污水在环境中的扩散；在厌氧腐化作用下，能够杀灭蚊虫卵；生活污水经沉淀杂质后，大分子有机物得到部分的水解，能够改善后续的污水处理，实践证明化粪池是生活污水的有效预处理设施。</w:t>
            </w:r>
          </w:p>
          <w:p w14:paraId="36FCE0CC">
            <w:pPr>
              <w:pStyle w:val="50"/>
              <w:ind w:firstLine="482"/>
              <w:rPr>
                <w:b/>
                <w:bCs/>
                <w:color w:val="auto"/>
              </w:rPr>
            </w:pPr>
            <w:r>
              <w:rPr>
                <w:b/>
                <w:bCs/>
                <w:color w:val="auto"/>
              </w:rPr>
              <w:t>②依托王集镇污水处理厂可行性分析</w:t>
            </w:r>
          </w:p>
          <w:p w14:paraId="54C70424">
            <w:pPr>
              <w:pStyle w:val="50"/>
              <w:ind w:firstLine="480"/>
              <w:rPr>
                <w:color w:val="auto"/>
              </w:rPr>
            </w:pPr>
            <w:r>
              <w:rPr>
                <w:rFonts w:hint="eastAsia"/>
                <w:color w:val="auto"/>
                <w:szCs w:val="24"/>
                <w:shd w:val="clear" w:color="auto" w:fill="FFFFFF"/>
              </w:rPr>
              <w:t>王集</w:t>
            </w:r>
            <w:r>
              <w:rPr>
                <w:color w:val="auto"/>
                <w:szCs w:val="24"/>
                <w:shd w:val="clear" w:color="auto" w:fill="FFFFFF"/>
              </w:rPr>
              <w:t>镇污水处理厂设计处理规模为</w:t>
            </w:r>
            <w:r>
              <w:rPr>
                <w:rFonts w:hint="eastAsia"/>
                <w:color w:val="auto"/>
                <w:szCs w:val="24"/>
                <w:shd w:val="clear" w:color="auto" w:fill="FFFFFF"/>
              </w:rPr>
              <w:t>4000</w:t>
            </w:r>
            <w:r>
              <w:rPr>
                <w:color w:val="auto"/>
                <w:szCs w:val="24"/>
                <w:shd w:val="clear" w:color="auto" w:fill="FFFFFF"/>
              </w:rPr>
              <w:t>t/d，</w:t>
            </w:r>
            <w:r>
              <w:rPr>
                <w:color w:val="auto"/>
                <w:shd w:val="clear" w:color="auto" w:fill="FFFFFF"/>
              </w:rPr>
              <w:t>主要接收经济开发区生活污水及工业废水</w:t>
            </w:r>
            <w:r>
              <w:rPr>
                <w:rFonts w:hint="eastAsia"/>
                <w:color w:val="auto"/>
                <w:shd w:val="clear" w:color="auto" w:fill="FFFFFF"/>
              </w:rPr>
              <w:t>。</w:t>
            </w:r>
            <w:r>
              <w:rPr>
                <w:color w:val="auto"/>
                <w:shd w:val="clear" w:color="auto" w:fill="FFFFFF"/>
              </w:rPr>
              <w:t>根据用水量预测分析可知，至规划期末，区内废水接管处理量为</w:t>
            </w:r>
            <w:r>
              <w:rPr>
                <w:rFonts w:hint="eastAsia"/>
                <w:color w:val="auto"/>
                <w:shd w:val="clear" w:color="auto" w:fill="FFFFFF"/>
              </w:rPr>
              <w:t>3019.96</w:t>
            </w:r>
            <w:r>
              <w:rPr>
                <w:color w:val="auto"/>
                <w:shd w:val="clear" w:color="auto" w:fill="FFFFFF"/>
              </w:rPr>
              <w:t>t/d，占污水处理厂设计规模</w:t>
            </w:r>
            <w:r>
              <w:rPr>
                <w:rFonts w:hint="eastAsia"/>
                <w:color w:val="auto"/>
                <w:shd w:val="clear" w:color="auto" w:fill="FFFFFF"/>
              </w:rPr>
              <w:t>75.50</w:t>
            </w:r>
            <w:r>
              <w:rPr>
                <w:color w:val="auto"/>
                <w:shd w:val="clear" w:color="auto" w:fill="FFFFFF"/>
              </w:rPr>
              <w:t>%</w:t>
            </w:r>
            <w:r>
              <w:rPr>
                <w:rFonts w:hint="eastAsia"/>
                <w:color w:val="auto"/>
                <w:shd w:val="clear" w:color="auto" w:fill="FFFFFF"/>
              </w:rPr>
              <w:t>。王集镇污水处理厂处理工艺为“格栅+沉砂池+多功能预处理池+生物转盘+滤布滤池+消毒”组合工艺，工程设计出水按《城镇污水处理厂污染物排放标准》（GB18918-2002）表1中一级A标准限值</w:t>
            </w:r>
            <w:r>
              <w:rPr>
                <w:color w:val="auto"/>
              </w:rPr>
              <w:t>，</w:t>
            </w:r>
            <w:r>
              <w:rPr>
                <w:rFonts w:hint="eastAsia"/>
                <w:color w:val="auto"/>
              </w:rPr>
              <w:t>经</w:t>
            </w:r>
            <w:r>
              <w:rPr>
                <w:color w:val="auto"/>
              </w:rPr>
              <w:t>小刘河</w:t>
            </w:r>
            <w:r>
              <w:rPr>
                <w:rFonts w:hint="eastAsia"/>
                <w:color w:val="auto"/>
              </w:rPr>
              <w:t>排入六塘河</w:t>
            </w:r>
            <w:r>
              <w:rPr>
                <w:color w:val="auto"/>
              </w:rPr>
              <w:t>。</w:t>
            </w:r>
          </w:p>
          <w:bookmarkEnd w:id="104"/>
          <w:p w14:paraId="2395A191">
            <w:pPr>
              <w:pStyle w:val="50"/>
              <w:ind w:firstLine="480"/>
              <w:rPr>
                <w:color w:val="auto"/>
              </w:rPr>
            </w:pPr>
            <w:r>
              <w:rPr>
                <w:color w:val="auto"/>
              </w:rPr>
              <w:t>本项目</w:t>
            </w:r>
            <w:r>
              <w:rPr>
                <w:rFonts w:hint="eastAsia"/>
                <w:color w:val="auto"/>
                <w:lang w:eastAsia="zh-CN"/>
              </w:rPr>
              <w:t>废水</w:t>
            </w:r>
            <w:r>
              <w:rPr>
                <w:color w:val="auto"/>
              </w:rPr>
              <w:t>排放量</w:t>
            </w:r>
            <w:r>
              <w:rPr>
                <w:rFonts w:hint="eastAsia"/>
                <w:color w:val="auto"/>
                <w:lang w:val="en-US" w:eastAsia="zh-CN"/>
              </w:rPr>
              <w:t>为</w:t>
            </w:r>
            <w:r>
              <w:rPr>
                <w:rFonts w:hint="eastAsia"/>
                <w:color w:val="auto"/>
              </w:rPr>
              <w:t>7.2</w:t>
            </w:r>
            <w:r>
              <w:rPr>
                <w:color w:val="auto"/>
              </w:rPr>
              <w:t>m</w:t>
            </w:r>
            <w:r>
              <w:rPr>
                <w:color w:val="auto"/>
                <w:vertAlign w:val="superscript"/>
              </w:rPr>
              <w:t>3</w:t>
            </w:r>
            <w:r>
              <w:rPr>
                <w:color w:val="auto"/>
              </w:rPr>
              <w:t>/d，约占其剩余处理规模的</w:t>
            </w:r>
            <w:r>
              <w:rPr>
                <w:rFonts w:hint="eastAsia"/>
                <w:color w:val="auto"/>
              </w:rPr>
              <w:t>0.73</w:t>
            </w:r>
            <w:r>
              <w:rPr>
                <w:color w:val="auto"/>
              </w:rPr>
              <w:t>%，</w:t>
            </w:r>
            <w:r>
              <w:rPr>
                <w:rFonts w:hint="eastAsia"/>
                <w:color w:val="auto"/>
                <w:szCs w:val="24"/>
                <w:shd w:val="clear" w:color="auto" w:fill="FFFFFF"/>
              </w:rPr>
              <w:t>王集</w:t>
            </w:r>
            <w:r>
              <w:rPr>
                <w:color w:val="auto"/>
                <w:szCs w:val="24"/>
                <w:shd w:val="clear" w:color="auto" w:fill="FFFFFF"/>
              </w:rPr>
              <w:t>镇污水处理厂</w:t>
            </w:r>
            <w:r>
              <w:rPr>
                <w:color w:val="auto"/>
              </w:rPr>
              <w:t>有足够容量接纳本</w:t>
            </w:r>
            <w:r>
              <w:rPr>
                <w:rFonts w:hint="eastAsia"/>
                <w:color w:val="auto"/>
                <w:lang w:val="en-US" w:eastAsia="zh-CN"/>
              </w:rPr>
              <w:t>扩建</w:t>
            </w:r>
            <w:r>
              <w:rPr>
                <w:color w:val="auto"/>
              </w:rPr>
              <w:t>项目的污水。项目污水经厂区内化粪池预处理后接管浓度分别为COD</w:t>
            </w:r>
            <w:r>
              <w:rPr>
                <w:rFonts w:hint="eastAsia"/>
                <w:color w:val="auto"/>
              </w:rPr>
              <w:t>300</w:t>
            </w:r>
            <w:r>
              <w:rPr>
                <w:color w:val="auto"/>
              </w:rPr>
              <w:t>mg/L、SS150mg/L、氨氮</w:t>
            </w:r>
            <w:r>
              <w:rPr>
                <w:rFonts w:hint="eastAsia"/>
                <w:color w:val="auto"/>
              </w:rPr>
              <w:t>3</w:t>
            </w:r>
            <w:r>
              <w:rPr>
                <w:color w:val="auto"/>
              </w:rPr>
              <w:t>0mg/L、TN</w:t>
            </w:r>
            <w:r>
              <w:rPr>
                <w:rFonts w:hint="eastAsia"/>
                <w:color w:val="auto"/>
              </w:rPr>
              <w:t>40</w:t>
            </w:r>
            <w:r>
              <w:rPr>
                <w:color w:val="auto"/>
              </w:rPr>
              <w:t>mg/L、TP</w:t>
            </w:r>
            <w:r>
              <w:rPr>
                <w:rFonts w:hint="eastAsia"/>
                <w:color w:val="auto"/>
              </w:rPr>
              <w:t>3.5</w:t>
            </w:r>
            <w:r>
              <w:rPr>
                <w:color w:val="auto"/>
              </w:rPr>
              <w:t>mg/L</w:t>
            </w:r>
            <w:r>
              <w:rPr>
                <w:rFonts w:hint="eastAsia"/>
                <w:color w:val="auto"/>
              </w:rPr>
              <w:t>、动植物油50mg/L</w:t>
            </w:r>
            <w:r>
              <w:rPr>
                <w:color w:val="auto"/>
              </w:rPr>
              <w:t>，从水质角度分析，均能达到</w:t>
            </w:r>
            <w:r>
              <w:rPr>
                <w:rFonts w:hint="eastAsia"/>
                <w:color w:val="auto"/>
                <w:szCs w:val="24"/>
                <w:shd w:val="clear" w:color="auto" w:fill="FFFFFF"/>
              </w:rPr>
              <w:t>王集</w:t>
            </w:r>
            <w:r>
              <w:rPr>
                <w:color w:val="auto"/>
                <w:szCs w:val="24"/>
                <w:shd w:val="clear" w:color="auto" w:fill="FFFFFF"/>
              </w:rPr>
              <w:t>镇污水处理厂</w:t>
            </w:r>
            <w:r>
              <w:rPr>
                <w:color w:val="auto"/>
              </w:rPr>
              <w:t>的接管标准。</w:t>
            </w:r>
            <w:r>
              <w:rPr>
                <w:rFonts w:hint="eastAsia"/>
                <w:color w:val="auto"/>
                <w:szCs w:val="24"/>
                <w:shd w:val="clear" w:color="auto" w:fill="FFFFFF"/>
              </w:rPr>
              <w:t>王集</w:t>
            </w:r>
            <w:r>
              <w:rPr>
                <w:color w:val="auto"/>
                <w:szCs w:val="24"/>
                <w:shd w:val="clear" w:color="auto" w:fill="FFFFFF"/>
              </w:rPr>
              <w:t>镇污水处理厂</w:t>
            </w:r>
            <w:r>
              <w:rPr>
                <w:color w:val="auto"/>
              </w:rPr>
              <w:t>的污水管网已经铺设到项目所在地。因此，从水量、水质以及接管范围来看，本</w:t>
            </w:r>
            <w:r>
              <w:rPr>
                <w:rFonts w:hint="eastAsia"/>
                <w:color w:val="auto"/>
                <w:lang w:val="en-US" w:eastAsia="zh-CN"/>
              </w:rPr>
              <w:t>扩建</w:t>
            </w:r>
            <w:r>
              <w:rPr>
                <w:color w:val="auto"/>
              </w:rPr>
              <w:t>项目污水排放至</w:t>
            </w:r>
            <w:r>
              <w:rPr>
                <w:rFonts w:hint="eastAsia"/>
                <w:color w:val="auto"/>
                <w:szCs w:val="24"/>
                <w:shd w:val="clear" w:color="auto" w:fill="FFFFFF"/>
              </w:rPr>
              <w:t>王集</w:t>
            </w:r>
            <w:r>
              <w:rPr>
                <w:color w:val="auto"/>
                <w:szCs w:val="24"/>
                <w:shd w:val="clear" w:color="auto" w:fill="FFFFFF"/>
              </w:rPr>
              <w:t>镇</w:t>
            </w:r>
            <w:r>
              <w:rPr>
                <w:color w:val="auto"/>
              </w:rPr>
              <w:t>污水处理厂是可行的。</w:t>
            </w:r>
          </w:p>
          <w:p w14:paraId="521F8B1B">
            <w:pPr>
              <w:pStyle w:val="50"/>
              <w:ind w:firstLine="482"/>
              <w:rPr>
                <w:b/>
                <w:bCs/>
                <w:color w:val="auto"/>
              </w:rPr>
            </w:pPr>
            <w:r>
              <w:rPr>
                <w:b/>
                <w:bCs/>
                <w:color w:val="auto"/>
              </w:rPr>
              <w:t>（4）排放口设置情况及监测计划</w:t>
            </w:r>
          </w:p>
          <w:p w14:paraId="74C24C83">
            <w:pPr>
              <w:pStyle w:val="50"/>
              <w:ind w:firstLine="480"/>
              <w:rPr>
                <w:color w:val="auto"/>
              </w:rPr>
            </w:pPr>
            <w:r>
              <w:rPr>
                <w:color w:val="auto"/>
              </w:rPr>
              <w:t>项目污水接管口需根据原江苏省环保厅《江苏省排污口设置及规范化整治管理办法》进行规范化设计，原则上项目只能设置一个污水接排口和一个雨水排口，同时应在排放口设置明显规范化环保标识牌。</w:t>
            </w:r>
            <w:r>
              <w:rPr>
                <w:rFonts w:hint="eastAsia"/>
                <w:color w:val="auto"/>
              </w:rPr>
              <w:t>本扩建项目污水排口、雨水排口均依托现有项目。</w:t>
            </w:r>
          </w:p>
          <w:p w14:paraId="644E7980">
            <w:pPr>
              <w:pStyle w:val="50"/>
              <w:ind w:firstLine="480"/>
              <w:rPr>
                <w:color w:val="auto"/>
              </w:rPr>
            </w:pPr>
            <w:r>
              <w:rPr>
                <w:rFonts w:hint="eastAsia"/>
                <w:color w:val="auto"/>
              </w:rPr>
              <w:t>根据</w:t>
            </w:r>
            <w:r>
              <w:rPr>
                <w:color w:val="auto"/>
              </w:rPr>
              <w:t>《排污单位自行监测技术指南 总则》（HJ</w:t>
            </w:r>
            <w:r>
              <w:rPr>
                <w:rFonts w:hint="eastAsia"/>
                <w:color w:val="auto"/>
              </w:rPr>
              <w:t xml:space="preserve"> </w:t>
            </w:r>
            <w:r>
              <w:rPr>
                <w:color w:val="auto"/>
              </w:rPr>
              <w:t>819-2017）</w:t>
            </w:r>
            <w:r>
              <w:rPr>
                <w:rFonts w:hint="eastAsia"/>
                <w:color w:val="auto"/>
              </w:rPr>
              <w:t>、</w:t>
            </w:r>
            <w:r>
              <w:rPr>
                <w:color w:val="auto"/>
              </w:rPr>
              <w:t>《排污许可证申请与核发技术规范 工业炉窑》（HJ</w:t>
            </w:r>
            <w:r>
              <w:rPr>
                <w:rFonts w:hint="eastAsia"/>
                <w:color w:val="auto"/>
              </w:rPr>
              <w:t xml:space="preserve"> </w:t>
            </w:r>
            <w:r>
              <w:rPr>
                <w:color w:val="auto"/>
              </w:rPr>
              <w:t>1121-2020）</w:t>
            </w:r>
            <w:r>
              <w:rPr>
                <w:rFonts w:hint="eastAsia"/>
                <w:color w:val="auto"/>
              </w:rPr>
              <w:t>，</w:t>
            </w:r>
            <w:r>
              <w:rPr>
                <w:color w:val="auto"/>
              </w:rPr>
              <w:t>本项目</w:t>
            </w:r>
            <w:r>
              <w:rPr>
                <w:rFonts w:hint="eastAsia"/>
                <w:color w:val="auto"/>
              </w:rPr>
              <w:t>仅外排职工生活污水，因此无需开展例行监测。</w:t>
            </w:r>
          </w:p>
          <w:p w14:paraId="612384E3">
            <w:pPr>
              <w:pStyle w:val="50"/>
              <w:ind w:firstLine="482"/>
              <w:rPr>
                <w:b/>
                <w:bCs/>
                <w:color w:val="auto"/>
              </w:rPr>
            </w:pPr>
            <w:r>
              <w:rPr>
                <w:b/>
                <w:bCs/>
                <w:color w:val="auto"/>
              </w:rPr>
              <w:t>（5）地表水环境影响评价结论</w:t>
            </w:r>
          </w:p>
          <w:p w14:paraId="7B4FB62B">
            <w:pPr>
              <w:pStyle w:val="50"/>
              <w:ind w:firstLine="480"/>
              <w:rPr>
                <w:color w:val="auto"/>
              </w:rPr>
            </w:pPr>
            <w:r>
              <w:rPr>
                <w:color w:val="auto"/>
              </w:rPr>
              <w:t>本</w:t>
            </w:r>
            <w:r>
              <w:rPr>
                <w:rFonts w:hint="eastAsia"/>
                <w:color w:val="auto"/>
              </w:rPr>
              <w:t>扩建</w:t>
            </w:r>
            <w:r>
              <w:rPr>
                <w:color w:val="auto"/>
              </w:rPr>
              <w:t>项目营运期产生的</w:t>
            </w:r>
            <w:r>
              <w:rPr>
                <w:rFonts w:hint="eastAsia"/>
                <w:color w:val="auto"/>
              </w:rPr>
              <w:t>职工生活污水</w:t>
            </w:r>
            <w:r>
              <w:rPr>
                <w:color w:val="auto"/>
              </w:rPr>
              <w:t>经厂区</w:t>
            </w:r>
            <w:r>
              <w:rPr>
                <w:rFonts w:hint="eastAsia"/>
                <w:color w:val="auto"/>
              </w:rPr>
              <w:t>内化粪池</w:t>
            </w:r>
            <w:r>
              <w:rPr>
                <w:color w:val="auto"/>
              </w:rPr>
              <w:t>预处理达标后接管至</w:t>
            </w:r>
            <w:r>
              <w:rPr>
                <w:rFonts w:hint="eastAsia"/>
                <w:color w:val="auto"/>
              </w:rPr>
              <w:t>王集镇污水处理厂集中处理</w:t>
            </w:r>
            <w:r>
              <w:rPr>
                <w:color w:val="auto"/>
              </w:rPr>
              <w:t>，尾水</w:t>
            </w:r>
            <w:r>
              <w:rPr>
                <w:rFonts w:hint="eastAsia"/>
                <w:color w:val="auto"/>
              </w:rPr>
              <w:t>达到</w:t>
            </w:r>
            <w:r>
              <w:rPr>
                <w:color w:val="auto"/>
              </w:rPr>
              <w:t>《城镇污水处理厂污染物排放标准》（GB</w:t>
            </w:r>
            <w:r>
              <w:rPr>
                <w:rFonts w:hint="eastAsia"/>
                <w:color w:val="auto"/>
              </w:rPr>
              <w:t xml:space="preserve"> </w:t>
            </w:r>
            <w:r>
              <w:rPr>
                <w:color w:val="auto"/>
              </w:rPr>
              <w:t>18918-2002）表1中一级A标准后</w:t>
            </w:r>
            <w:r>
              <w:rPr>
                <w:rFonts w:hint="eastAsia"/>
                <w:color w:val="auto"/>
              </w:rPr>
              <w:t>，经</w:t>
            </w:r>
            <w:r>
              <w:rPr>
                <w:color w:val="auto"/>
              </w:rPr>
              <w:t>小刘河</w:t>
            </w:r>
            <w:r>
              <w:rPr>
                <w:rFonts w:hint="eastAsia"/>
                <w:color w:val="auto"/>
              </w:rPr>
              <w:t>排入六塘河</w:t>
            </w:r>
            <w:r>
              <w:rPr>
                <w:color w:val="auto"/>
              </w:rPr>
              <w:t>，对区域地表水环境影响较小。因此，本</w:t>
            </w:r>
            <w:r>
              <w:rPr>
                <w:rFonts w:hint="eastAsia"/>
                <w:color w:val="auto"/>
              </w:rPr>
              <w:t>扩建</w:t>
            </w:r>
            <w:r>
              <w:rPr>
                <w:color w:val="auto"/>
              </w:rPr>
              <w:t>项目对地表水环境的影响可以接受。</w:t>
            </w:r>
          </w:p>
          <w:p w14:paraId="284B74AA">
            <w:pPr>
              <w:pStyle w:val="50"/>
              <w:ind w:firstLine="482"/>
              <w:rPr>
                <w:b/>
                <w:bCs/>
                <w:color w:val="auto"/>
              </w:rPr>
            </w:pPr>
            <w:r>
              <w:rPr>
                <w:b/>
                <w:bCs/>
                <w:color w:val="auto"/>
              </w:rPr>
              <w:t>3、噪声环境影响和治理措施</w:t>
            </w:r>
          </w:p>
          <w:p w14:paraId="72DCE94F">
            <w:pPr>
              <w:pStyle w:val="50"/>
              <w:ind w:firstLine="482"/>
              <w:rPr>
                <w:b/>
                <w:bCs/>
                <w:color w:val="auto"/>
              </w:rPr>
            </w:pPr>
            <w:r>
              <w:rPr>
                <w:b/>
                <w:bCs/>
                <w:color w:val="auto"/>
              </w:rPr>
              <w:t>（1）噪声源</w:t>
            </w:r>
          </w:p>
          <w:p w14:paraId="7DE2D5B7">
            <w:pPr>
              <w:pStyle w:val="50"/>
              <w:ind w:firstLine="480"/>
              <w:rPr>
                <w:color w:val="auto"/>
              </w:rPr>
            </w:pPr>
            <w:r>
              <w:rPr>
                <w:color w:val="auto"/>
              </w:rPr>
              <w:t>本</w:t>
            </w:r>
            <w:r>
              <w:rPr>
                <w:rFonts w:hint="eastAsia"/>
                <w:color w:val="auto"/>
              </w:rPr>
              <w:t>扩建</w:t>
            </w:r>
            <w:r>
              <w:rPr>
                <w:color w:val="auto"/>
              </w:rPr>
              <w:t>项目产生噪声的设备主要是设备，据类比调查，噪声源强在</w:t>
            </w:r>
            <w:r>
              <w:rPr>
                <w:rFonts w:hint="eastAsia"/>
                <w:color w:val="auto"/>
              </w:rPr>
              <w:t>70</w:t>
            </w:r>
            <w:r>
              <w:rPr>
                <w:color w:val="auto"/>
              </w:rPr>
              <w:t>~</w:t>
            </w:r>
            <w:r>
              <w:rPr>
                <w:rFonts w:hint="eastAsia"/>
                <w:color w:val="auto"/>
              </w:rPr>
              <w:t>85</w:t>
            </w:r>
            <w:r>
              <w:rPr>
                <w:color w:val="auto"/>
              </w:rPr>
              <w:t>dB（A）之间，项目以厂界西南角为坐标原点（0，0）、以西厂界为X轴、以南厂界为Y轴，运营期主要噪声源强及排放特征参见</w:t>
            </w:r>
            <w:r>
              <w:rPr>
                <w:color w:val="auto"/>
              </w:rPr>
              <w:fldChar w:fldCharType="begin"/>
            </w:r>
            <w:r>
              <w:rPr>
                <w:color w:val="auto"/>
              </w:rPr>
              <w:instrText xml:space="preserve"> REF _Ref12631 \h </w:instrText>
            </w:r>
            <w:r>
              <w:rPr>
                <w:color w:val="auto"/>
              </w:rPr>
              <w:fldChar w:fldCharType="separate"/>
            </w:r>
            <w:r>
              <w:rPr>
                <w:color w:val="auto"/>
              </w:rPr>
              <w:t>表4- 14</w:t>
            </w:r>
            <w:r>
              <w:rPr>
                <w:color w:val="auto"/>
              </w:rPr>
              <w:fldChar w:fldCharType="end"/>
            </w:r>
            <w:r>
              <w:rPr>
                <w:color w:val="auto"/>
              </w:rPr>
              <w:t>、</w:t>
            </w:r>
            <w:r>
              <w:rPr>
                <w:color w:val="auto"/>
              </w:rPr>
              <w:fldChar w:fldCharType="begin"/>
            </w:r>
            <w:r>
              <w:rPr>
                <w:color w:val="auto"/>
              </w:rPr>
              <w:instrText xml:space="preserve"> REF _Ref24169 \h </w:instrText>
            </w:r>
            <w:r>
              <w:rPr>
                <w:color w:val="auto"/>
              </w:rPr>
              <w:fldChar w:fldCharType="separate"/>
            </w:r>
            <w:r>
              <w:rPr>
                <w:color w:val="auto"/>
              </w:rPr>
              <w:t>表4- 15</w:t>
            </w:r>
            <w:r>
              <w:rPr>
                <w:color w:val="auto"/>
              </w:rPr>
              <w:fldChar w:fldCharType="end"/>
            </w:r>
            <w:r>
              <w:rPr>
                <w:color w:val="auto"/>
              </w:rPr>
              <w:t>。</w:t>
            </w:r>
          </w:p>
          <w:p w14:paraId="412E810D">
            <w:pPr>
              <w:pStyle w:val="7"/>
              <w:ind w:firstLine="480"/>
              <w:rPr>
                <w:color w:val="auto"/>
              </w:rPr>
            </w:pPr>
            <w:bookmarkStart w:id="105" w:name="_Ref13207"/>
            <w:bookmarkStart w:id="106" w:name="_Ref12631"/>
            <w:r>
              <w:rPr>
                <w:color w:val="auto"/>
              </w:rPr>
              <w:t xml:space="preserve">表4- </w:t>
            </w:r>
            <w:r>
              <w:rPr>
                <w:color w:val="auto"/>
              </w:rPr>
              <w:fldChar w:fldCharType="begin"/>
            </w:r>
            <w:r>
              <w:rPr>
                <w:color w:val="auto"/>
              </w:rPr>
              <w:instrText xml:space="preserve"> SEQ 表4- \* ARABIC </w:instrText>
            </w:r>
            <w:r>
              <w:rPr>
                <w:color w:val="auto"/>
              </w:rPr>
              <w:fldChar w:fldCharType="separate"/>
            </w:r>
            <w:r>
              <w:rPr>
                <w:color w:val="auto"/>
              </w:rPr>
              <w:t>14</w:t>
            </w:r>
            <w:r>
              <w:rPr>
                <w:color w:val="auto"/>
              </w:rPr>
              <w:fldChar w:fldCharType="end"/>
            </w:r>
            <w:bookmarkEnd w:id="105"/>
            <w:bookmarkEnd w:id="106"/>
            <w:r>
              <w:rPr>
                <w:color w:val="auto"/>
              </w:rPr>
              <w:t xml:space="preserve"> 工业企业噪声源强调查清单（室外声源）</w:t>
            </w:r>
          </w:p>
          <w:tbl>
            <w:tblPr>
              <w:tblStyle w:val="17"/>
              <w:tblW w:w="4985"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25"/>
              <w:gridCol w:w="744"/>
              <w:gridCol w:w="815"/>
              <w:gridCol w:w="815"/>
              <w:gridCol w:w="816"/>
              <w:gridCol w:w="1432"/>
              <w:gridCol w:w="1688"/>
              <w:gridCol w:w="1177"/>
            </w:tblGrid>
            <w:tr w14:paraId="79EDFC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926" w:type="dxa"/>
                  <w:vMerge w:val="restart"/>
                  <w:tcBorders>
                    <w:tl2br w:val="nil"/>
                    <w:tr2bl w:val="nil"/>
                  </w:tcBorders>
                  <w:vAlign w:val="center"/>
                </w:tcPr>
                <w:p w14:paraId="6B0D5510">
                  <w:pPr>
                    <w:pStyle w:val="52"/>
                    <w:rPr>
                      <w:color w:val="auto"/>
                    </w:rPr>
                  </w:pPr>
                  <w:r>
                    <w:rPr>
                      <w:color w:val="auto"/>
                    </w:rPr>
                    <w:t>声源名称</w:t>
                  </w:r>
                </w:p>
              </w:tc>
              <w:tc>
                <w:tcPr>
                  <w:tcW w:w="745" w:type="dxa"/>
                  <w:vMerge w:val="restart"/>
                  <w:tcBorders>
                    <w:tl2br w:val="nil"/>
                    <w:tr2bl w:val="nil"/>
                  </w:tcBorders>
                  <w:vAlign w:val="center"/>
                </w:tcPr>
                <w:p w14:paraId="7C9427BC">
                  <w:pPr>
                    <w:pStyle w:val="52"/>
                    <w:rPr>
                      <w:color w:val="auto"/>
                    </w:rPr>
                  </w:pPr>
                  <w:r>
                    <w:rPr>
                      <w:color w:val="auto"/>
                    </w:rPr>
                    <w:t>型号</w:t>
                  </w:r>
                </w:p>
              </w:tc>
              <w:tc>
                <w:tcPr>
                  <w:tcW w:w="2446" w:type="dxa"/>
                  <w:gridSpan w:val="3"/>
                  <w:tcBorders>
                    <w:tl2br w:val="nil"/>
                    <w:tr2bl w:val="nil"/>
                  </w:tcBorders>
                  <w:vAlign w:val="center"/>
                </w:tcPr>
                <w:p w14:paraId="1290269A">
                  <w:pPr>
                    <w:pStyle w:val="52"/>
                    <w:rPr>
                      <w:color w:val="auto"/>
                    </w:rPr>
                  </w:pPr>
                  <w:r>
                    <w:rPr>
                      <w:color w:val="auto"/>
                    </w:rPr>
                    <w:t>空间相对位置/m</w:t>
                  </w:r>
                </w:p>
              </w:tc>
              <w:tc>
                <w:tcPr>
                  <w:tcW w:w="1432" w:type="dxa"/>
                  <w:vMerge w:val="restart"/>
                  <w:tcBorders>
                    <w:tl2br w:val="nil"/>
                    <w:tr2bl w:val="nil"/>
                  </w:tcBorders>
                  <w:vAlign w:val="center"/>
                </w:tcPr>
                <w:p w14:paraId="07FB58E0">
                  <w:pPr>
                    <w:pStyle w:val="52"/>
                    <w:rPr>
                      <w:color w:val="auto"/>
                    </w:rPr>
                  </w:pPr>
                  <w:r>
                    <w:rPr>
                      <w:color w:val="auto"/>
                    </w:rPr>
                    <w:t>声压级/dB(A)</w:t>
                  </w:r>
                </w:p>
              </w:tc>
              <w:tc>
                <w:tcPr>
                  <w:tcW w:w="1688" w:type="dxa"/>
                  <w:vMerge w:val="restart"/>
                  <w:tcBorders>
                    <w:tl2br w:val="nil"/>
                    <w:tr2bl w:val="nil"/>
                  </w:tcBorders>
                  <w:vAlign w:val="center"/>
                </w:tcPr>
                <w:p w14:paraId="29D1897B">
                  <w:pPr>
                    <w:pStyle w:val="52"/>
                    <w:rPr>
                      <w:color w:val="auto"/>
                    </w:rPr>
                  </w:pPr>
                  <w:r>
                    <w:rPr>
                      <w:color w:val="auto"/>
                    </w:rPr>
                    <w:t>声源控制措施</w:t>
                  </w:r>
                </w:p>
              </w:tc>
              <w:tc>
                <w:tcPr>
                  <w:tcW w:w="1177" w:type="dxa"/>
                  <w:vMerge w:val="restart"/>
                  <w:tcBorders>
                    <w:tl2br w:val="nil"/>
                    <w:tr2bl w:val="nil"/>
                  </w:tcBorders>
                  <w:vAlign w:val="center"/>
                </w:tcPr>
                <w:p w14:paraId="694CD52A">
                  <w:pPr>
                    <w:pStyle w:val="52"/>
                    <w:rPr>
                      <w:color w:val="auto"/>
                    </w:rPr>
                  </w:pPr>
                  <w:r>
                    <w:rPr>
                      <w:color w:val="auto"/>
                    </w:rPr>
                    <w:t>运行时段</w:t>
                  </w:r>
                </w:p>
              </w:tc>
            </w:tr>
            <w:tr w14:paraId="401905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926" w:type="dxa"/>
                  <w:vMerge w:val="continue"/>
                  <w:tcBorders>
                    <w:tl2br w:val="nil"/>
                    <w:tr2bl w:val="nil"/>
                  </w:tcBorders>
                  <w:vAlign w:val="center"/>
                </w:tcPr>
                <w:p w14:paraId="7DE7BE79">
                  <w:pPr>
                    <w:pStyle w:val="52"/>
                    <w:rPr>
                      <w:color w:val="auto"/>
                      <w:lang w:eastAsia="en-US"/>
                    </w:rPr>
                  </w:pPr>
                </w:p>
              </w:tc>
              <w:tc>
                <w:tcPr>
                  <w:tcW w:w="745" w:type="dxa"/>
                  <w:vMerge w:val="continue"/>
                  <w:tcBorders>
                    <w:tl2br w:val="nil"/>
                    <w:tr2bl w:val="nil"/>
                  </w:tcBorders>
                  <w:vAlign w:val="center"/>
                </w:tcPr>
                <w:p w14:paraId="2D080400">
                  <w:pPr>
                    <w:pStyle w:val="52"/>
                    <w:rPr>
                      <w:color w:val="auto"/>
                      <w:lang w:eastAsia="en-US"/>
                    </w:rPr>
                  </w:pPr>
                </w:p>
              </w:tc>
              <w:tc>
                <w:tcPr>
                  <w:tcW w:w="815" w:type="dxa"/>
                  <w:tcBorders>
                    <w:tl2br w:val="nil"/>
                    <w:tr2bl w:val="nil"/>
                  </w:tcBorders>
                  <w:vAlign w:val="center"/>
                </w:tcPr>
                <w:p w14:paraId="0FB72FEA">
                  <w:pPr>
                    <w:pStyle w:val="52"/>
                    <w:rPr>
                      <w:color w:val="auto"/>
                    </w:rPr>
                  </w:pPr>
                  <w:r>
                    <w:rPr>
                      <w:color w:val="auto"/>
                    </w:rPr>
                    <w:t>X</w:t>
                  </w:r>
                </w:p>
              </w:tc>
              <w:tc>
                <w:tcPr>
                  <w:tcW w:w="815" w:type="dxa"/>
                  <w:tcBorders>
                    <w:tl2br w:val="nil"/>
                    <w:tr2bl w:val="nil"/>
                  </w:tcBorders>
                  <w:vAlign w:val="center"/>
                </w:tcPr>
                <w:p w14:paraId="09264B7C">
                  <w:pPr>
                    <w:pStyle w:val="52"/>
                    <w:rPr>
                      <w:color w:val="auto"/>
                    </w:rPr>
                  </w:pPr>
                  <w:r>
                    <w:rPr>
                      <w:color w:val="auto"/>
                    </w:rPr>
                    <w:t>Y</w:t>
                  </w:r>
                </w:p>
              </w:tc>
              <w:tc>
                <w:tcPr>
                  <w:tcW w:w="816" w:type="dxa"/>
                  <w:tcBorders>
                    <w:tl2br w:val="nil"/>
                    <w:tr2bl w:val="nil"/>
                  </w:tcBorders>
                  <w:vAlign w:val="center"/>
                </w:tcPr>
                <w:p w14:paraId="380433E5">
                  <w:pPr>
                    <w:pStyle w:val="52"/>
                    <w:rPr>
                      <w:color w:val="auto"/>
                    </w:rPr>
                  </w:pPr>
                  <w:r>
                    <w:rPr>
                      <w:color w:val="auto"/>
                    </w:rPr>
                    <w:t>Z</w:t>
                  </w:r>
                </w:p>
              </w:tc>
              <w:tc>
                <w:tcPr>
                  <w:tcW w:w="1432" w:type="dxa"/>
                  <w:vMerge w:val="continue"/>
                  <w:tcBorders>
                    <w:bottom w:val="single" w:color="auto" w:sz="4" w:space="0"/>
                    <w:tl2br w:val="nil"/>
                    <w:tr2bl w:val="nil"/>
                  </w:tcBorders>
                  <w:vAlign w:val="center"/>
                </w:tcPr>
                <w:p w14:paraId="3648EEB6">
                  <w:pPr>
                    <w:rPr>
                      <w:color w:val="auto"/>
                      <w:lang w:eastAsia="en-US"/>
                    </w:rPr>
                  </w:pPr>
                </w:p>
              </w:tc>
              <w:tc>
                <w:tcPr>
                  <w:tcW w:w="1688" w:type="dxa"/>
                  <w:vMerge w:val="continue"/>
                  <w:tcBorders>
                    <w:bottom w:val="single" w:color="auto" w:sz="4" w:space="0"/>
                    <w:tl2br w:val="nil"/>
                    <w:tr2bl w:val="nil"/>
                  </w:tcBorders>
                  <w:vAlign w:val="center"/>
                </w:tcPr>
                <w:p w14:paraId="36B5F402">
                  <w:pPr>
                    <w:rPr>
                      <w:color w:val="auto"/>
                      <w:lang w:eastAsia="en-US"/>
                    </w:rPr>
                  </w:pPr>
                </w:p>
              </w:tc>
              <w:tc>
                <w:tcPr>
                  <w:tcW w:w="1177" w:type="dxa"/>
                  <w:vMerge w:val="continue"/>
                  <w:tcBorders>
                    <w:bottom w:val="single" w:color="auto" w:sz="4" w:space="0"/>
                    <w:tl2br w:val="nil"/>
                    <w:tr2bl w:val="nil"/>
                  </w:tcBorders>
                  <w:vAlign w:val="center"/>
                </w:tcPr>
                <w:p w14:paraId="56BA40FB">
                  <w:pPr>
                    <w:rPr>
                      <w:color w:val="auto"/>
                    </w:rPr>
                  </w:pPr>
                </w:p>
              </w:tc>
            </w:tr>
            <w:tr w14:paraId="3A423B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926" w:type="dxa"/>
                  <w:tcBorders>
                    <w:tl2br w:val="nil"/>
                    <w:tr2bl w:val="nil"/>
                  </w:tcBorders>
                  <w:vAlign w:val="center"/>
                </w:tcPr>
                <w:p w14:paraId="0CCD88DA">
                  <w:pPr>
                    <w:pStyle w:val="54"/>
                    <w:rPr>
                      <w:color w:val="auto"/>
                    </w:rPr>
                  </w:pPr>
                  <w:r>
                    <w:rPr>
                      <w:rFonts w:hint="eastAsia"/>
                      <w:color w:val="auto"/>
                    </w:rPr>
                    <w:t>风机</w:t>
                  </w:r>
                </w:p>
              </w:tc>
              <w:tc>
                <w:tcPr>
                  <w:tcW w:w="745" w:type="dxa"/>
                  <w:tcBorders>
                    <w:tl2br w:val="nil"/>
                    <w:tr2bl w:val="nil"/>
                  </w:tcBorders>
                  <w:vAlign w:val="center"/>
                </w:tcPr>
                <w:p w14:paraId="1867D089">
                  <w:pPr>
                    <w:pStyle w:val="54"/>
                    <w:rPr>
                      <w:color w:val="auto"/>
                    </w:rPr>
                  </w:pPr>
                  <w:r>
                    <w:rPr>
                      <w:rFonts w:hint="eastAsia"/>
                      <w:color w:val="auto"/>
                    </w:rPr>
                    <w:t>/</w:t>
                  </w:r>
                </w:p>
              </w:tc>
              <w:tc>
                <w:tcPr>
                  <w:tcW w:w="815" w:type="dxa"/>
                  <w:tcBorders>
                    <w:tl2br w:val="nil"/>
                    <w:tr2bl w:val="nil"/>
                  </w:tcBorders>
                  <w:shd w:val="clear" w:color="auto" w:fill="auto"/>
                  <w:vAlign w:val="center"/>
                </w:tcPr>
                <w:p w14:paraId="34C1301A">
                  <w:pPr>
                    <w:pStyle w:val="54"/>
                    <w:rPr>
                      <w:color w:val="auto"/>
                    </w:rPr>
                  </w:pPr>
                  <w:r>
                    <w:rPr>
                      <w:rFonts w:hint="eastAsia"/>
                      <w:color w:val="auto"/>
                    </w:rPr>
                    <w:t>136</w:t>
                  </w:r>
                </w:p>
              </w:tc>
              <w:tc>
                <w:tcPr>
                  <w:tcW w:w="815" w:type="dxa"/>
                  <w:tcBorders>
                    <w:tl2br w:val="nil"/>
                    <w:tr2bl w:val="nil"/>
                  </w:tcBorders>
                  <w:shd w:val="clear" w:color="auto" w:fill="auto"/>
                  <w:vAlign w:val="center"/>
                </w:tcPr>
                <w:p w14:paraId="2CE4F955">
                  <w:pPr>
                    <w:pStyle w:val="54"/>
                    <w:rPr>
                      <w:color w:val="auto"/>
                    </w:rPr>
                  </w:pPr>
                  <w:r>
                    <w:rPr>
                      <w:rFonts w:hint="eastAsia"/>
                      <w:color w:val="auto"/>
                    </w:rPr>
                    <w:t>133</w:t>
                  </w:r>
                </w:p>
              </w:tc>
              <w:tc>
                <w:tcPr>
                  <w:tcW w:w="816" w:type="dxa"/>
                  <w:tcBorders>
                    <w:tl2br w:val="nil"/>
                    <w:tr2bl w:val="nil"/>
                  </w:tcBorders>
                  <w:vAlign w:val="center"/>
                </w:tcPr>
                <w:p w14:paraId="256B4074">
                  <w:pPr>
                    <w:pStyle w:val="54"/>
                    <w:rPr>
                      <w:color w:val="auto"/>
                    </w:rPr>
                  </w:pPr>
                  <w:r>
                    <w:rPr>
                      <w:rFonts w:hint="eastAsia"/>
                      <w:color w:val="auto"/>
                    </w:rPr>
                    <w:t>1</w:t>
                  </w:r>
                </w:p>
              </w:tc>
              <w:tc>
                <w:tcPr>
                  <w:tcW w:w="1432" w:type="dxa"/>
                  <w:tcBorders>
                    <w:top w:val="single" w:color="auto" w:sz="4" w:space="0"/>
                    <w:tl2br w:val="nil"/>
                    <w:tr2bl w:val="nil"/>
                  </w:tcBorders>
                  <w:vAlign w:val="center"/>
                </w:tcPr>
                <w:p w14:paraId="6C7E5EDA">
                  <w:pPr>
                    <w:pStyle w:val="54"/>
                    <w:rPr>
                      <w:color w:val="auto"/>
                    </w:rPr>
                  </w:pPr>
                  <w:r>
                    <w:rPr>
                      <w:rFonts w:hint="eastAsia"/>
                      <w:color w:val="auto"/>
                    </w:rPr>
                    <w:t>80</w:t>
                  </w:r>
                  <w:r>
                    <w:rPr>
                      <w:color w:val="auto"/>
                    </w:rPr>
                    <w:t>（点声源组等效后</w:t>
                  </w:r>
                  <w:r>
                    <w:rPr>
                      <w:rFonts w:hint="eastAsia"/>
                      <w:color w:val="auto"/>
                    </w:rPr>
                    <w:t>80</w:t>
                  </w:r>
                  <w:r>
                    <w:rPr>
                      <w:color w:val="auto"/>
                    </w:rPr>
                    <w:t>）</w:t>
                  </w:r>
                </w:p>
              </w:tc>
              <w:tc>
                <w:tcPr>
                  <w:tcW w:w="1688" w:type="dxa"/>
                  <w:tcBorders>
                    <w:top w:val="single" w:color="auto" w:sz="4" w:space="0"/>
                    <w:tl2br w:val="nil"/>
                    <w:tr2bl w:val="nil"/>
                  </w:tcBorders>
                  <w:vAlign w:val="center"/>
                </w:tcPr>
                <w:p w14:paraId="496833B0">
                  <w:pPr>
                    <w:pStyle w:val="54"/>
                    <w:rPr>
                      <w:color w:val="auto"/>
                    </w:rPr>
                  </w:pPr>
                  <w:r>
                    <w:rPr>
                      <w:color w:val="auto"/>
                    </w:rPr>
                    <w:t>选用低噪声设备、减振、绿化隔声</w:t>
                  </w:r>
                </w:p>
              </w:tc>
              <w:tc>
                <w:tcPr>
                  <w:tcW w:w="1177" w:type="dxa"/>
                  <w:tcBorders>
                    <w:top w:val="single" w:color="auto" w:sz="4" w:space="0"/>
                    <w:tl2br w:val="nil"/>
                    <w:tr2bl w:val="nil"/>
                  </w:tcBorders>
                  <w:vAlign w:val="center"/>
                </w:tcPr>
                <w:p w14:paraId="6E2917DF">
                  <w:pPr>
                    <w:pStyle w:val="54"/>
                    <w:rPr>
                      <w:color w:val="auto"/>
                    </w:rPr>
                  </w:pPr>
                  <w:r>
                    <w:rPr>
                      <w:color w:val="auto"/>
                    </w:rPr>
                    <w:t>工作时间段</w:t>
                  </w:r>
                </w:p>
              </w:tc>
            </w:tr>
          </w:tbl>
          <w:p w14:paraId="16412412">
            <w:pPr>
              <w:pStyle w:val="50"/>
              <w:ind w:firstLine="480"/>
              <w:rPr>
                <w:color w:val="auto"/>
              </w:rPr>
            </w:pPr>
          </w:p>
          <w:p w14:paraId="72D0A72D">
            <w:pPr>
              <w:pStyle w:val="50"/>
              <w:ind w:firstLine="480"/>
              <w:rPr>
                <w:color w:val="auto"/>
              </w:rPr>
            </w:pPr>
          </w:p>
          <w:p w14:paraId="6BA3FC5B">
            <w:pPr>
              <w:pStyle w:val="50"/>
              <w:ind w:firstLine="480"/>
              <w:rPr>
                <w:color w:val="auto"/>
              </w:rPr>
            </w:pPr>
          </w:p>
          <w:p w14:paraId="092D4C9A">
            <w:pPr>
              <w:pStyle w:val="50"/>
              <w:ind w:firstLine="480"/>
              <w:rPr>
                <w:color w:val="auto"/>
              </w:rPr>
            </w:pPr>
          </w:p>
          <w:p w14:paraId="58653664">
            <w:pPr>
              <w:pStyle w:val="50"/>
              <w:ind w:firstLine="480"/>
              <w:rPr>
                <w:color w:val="auto"/>
              </w:rPr>
            </w:pPr>
          </w:p>
          <w:p w14:paraId="6779C25A">
            <w:pPr>
              <w:pStyle w:val="50"/>
              <w:ind w:firstLine="480"/>
              <w:rPr>
                <w:color w:val="auto"/>
              </w:rPr>
            </w:pPr>
          </w:p>
          <w:p w14:paraId="7DB663CF">
            <w:pPr>
              <w:pStyle w:val="50"/>
              <w:ind w:firstLine="480"/>
              <w:rPr>
                <w:color w:val="auto"/>
              </w:rPr>
            </w:pPr>
          </w:p>
          <w:p w14:paraId="4058EBC7">
            <w:pPr>
              <w:pStyle w:val="50"/>
              <w:ind w:firstLine="480"/>
              <w:rPr>
                <w:color w:val="auto"/>
              </w:rPr>
            </w:pPr>
          </w:p>
          <w:p w14:paraId="05D50DA8">
            <w:pPr>
              <w:pStyle w:val="50"/>
              <w:ind w:firstLine="480"/>
              <w:rPr>
                <w:color w:val="auto"/>
              </w:rPr>
            </w:pPr>
          </w:p>
          <w:p w14:paraId="61A6C3AD">
            <w:pPr>
              <w:pStyle w:val="50"/>
              <w:ind w:firstLine="480"/>
              <w:rPr>
                <w:color w:val="auto"/>
              </w:rPr>
            </w:pPr>
          </w:p>
          <w:p w14:paraId="7E678E7C">
            <w:pPr>
              <w:pStyle w:val="50"/>
              <w:ind w:firstLine="480"/>
              <w:rPr>
                <w:color w:val="auto"/>
              </w:rPr>
            </w:pPr>
          </w:p>
          <w:p w14:paraId="32869C23">
            <w:pPr>
              <w:pStyle w:val="50"/>
              <w:ind w:firstLine="480"/>
              <w:rPr>
                <w:color w:val="auto"/>
              </w:rPr>
            </w:pPr>
          </w:p>
          <w:p w14:paraId="48354094">
            <w:pPr>
              <w:pStyle w:val="50"/>
              <w:ind w:firstLine="480"/>
              <w:rPr>
                <w:color w:val="auto"/>
              </w:rPr>
            </w:pPr>
          </w:p>
        </w:tc>
      </w:tr>
    </w:tbl>
    <w:p w14:paraId="286D3701">
      <w:pPr>
        <w:pStyle w:val="54"/>
        <w:rPr>
          <w:color w:val="auto"/>
        </w:rPr>
        <w:sectPr>
          <w:pgSz w:w="11906" w:h="16838"/>
          <w:pgMar w:top="1701" w:right="1417" w:bottom="1701" w:left="1417" w:header="851" w:footer="851" w:gutter="0"/>
          <w:cols w:space="720" w:num="1"/>
          <w:docGrid w:linePitch="312" w:charSpace="0"/>
        </w:sectPr>
      </w:pPr>
    </w:p>
    <w:tbl>
      <w:tblPr>
        <w:tblStyle w:val="17"/>
        <w:tblW w:w="5255" w:type="pct"/>
        <w:tblInd w:w="-1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3"/>
        <w:gridCol w:w="13565"/>
      </w:tblGrid>
      <w:tr w14:paraId="74A233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9" w:hRule="atLeast"/>
        </w:trPr>
        <w:tc>
          <w:tcPr>
            <w:tcW w:w="273" w:type="pct"/>
            <w:vAlign w:val="center"/>
          </w:tcPr>
          <w:p w14:paraId="3E1844C5">
            <w:pPr>
              <w:jc w:val="center"/>
              <w:rPr>
                <w:rFonts w:eastAsia="黑体"/>
                <w:snapToGrid w:val="0"/>
                <w:color w:val="auto"/>
                <w:sz w:val="36"/>
                <w:szCs w:val="36"/>
              </w:rPr>
            </w:pPr>
            <w:r>
              <w:rPr>
                <w:rFonts w:eastAsiaTheme="minorEastAsia"/>
                <w:color w:val="auto"/>
                <w:sz w:val="24"/>
              </w:rPr>
              <w:t>运营期环境影响和保护措施</w:t>
            </w:r>
          </w:p>
        </w:tc>
        <w:tc>
          <w:tcPr>
            <w:tcW w:w="4726" w:type="pct"/>
          </w:tcPr>
          <w:p w14:paraId="70C5C297">
            <w:pPr>
              <w:pStyle w:val="7"/>
              <w:rPr>
                <w:color w:val="auto"/>
                <w:szCs w:val="24"/>
              </w:rPr>
            </w:pPr>
            <w:bookmarkStart w:id="107" w:name="_Ref24169"/>
            <w:r>
              <w:rPr>
                <w:color w:val="auto"/>
              </w:rPr>
              <w:t xml:space="preserve">表4- </w:t>
            </w:r>
            <w:r>
              <w:rPr>
                <w:color w:val="auto"/>
              </w:rPr>
              <w:fldChar w:fldCharType="begin"/>
            </w:r>
            <w:r>
              <w:rPr>
                <w:color w:val="auto"/>
              </w:rPr>
              <w:instrText xml:space="preserve"> SEQ 表4- \* ARABIC </w:instrText>
            </w:r>
            <w:r>
              <w:rPr>
                <w:color w:val="auto"/>
              </w:rPr>
              <w:fldChar w:fldCharType="separate"/>
            </w:r>
            <w:r>
              <w:rPr>
                <w:color w:val="auto"/>
              </w:rPr>
              <w:t>15</w:t>
            </w:r>
            <w:r>
              <w:rPr>
                <w:color w:val="auto"/>
              </w:rPr>
              <w:fldChar w:fldCharType="end"/>
            </w:r>
            <w:bookmarkEnd w:id="107"/>
            <w:r>
              <w:rPr>
                <w:color w:val="auto"/>
              </w:rPr>
              <w:t xml:space="preserve"> </w:t>
            </w:r>
            <w:r>
              <w:rPr>
                <w:color w:val="auto"/>
                <w:szCs w:val="24"/>
              </w:rPr>
              <w:t>工业企业噪声源强调查清单（室内声源）</w:t>
            </w:r>
          </w:p>
          <w:tbl>
            <w:tblPr>
              <w:tblStyle w:val="1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53"/>
              <w:gridCol w:w="633"/>
              <w:gridCol w:w="1039"/>
              <w:gridCol w:w="653"/>
              <w:gridCol w:w="913"/>
              <w:gridCol w:w="775"/>
              <w:gridCol w:w="429"/>
              <w:gridCol w:w="429"/>
              <w:gridCol w:w="429"/>
              <w:gridCol w:w="393"/>
              <w:gridCol w:w="393"/>
              <w:gridCol w:w="393"/>
              <w:gridCol w:w="396"/>
              <w:gridCol w:w="540"/>
              <w:gridCol w:w="540"/>
              <w:gridCol w:w="540"/>
              <w:gridCol w:w="543"/>
              <w:gridCol w:w="525"/>
              <w:gridCol w:w="862"/>
              <w:gridCol w:w="496"/>
              <w:gridCol w:w="496"/>
              <w:gridCol w:w="496"/>
              <w:gridCol w:w="497"/>
              <w:gridCol w:w="573"/>
            </w:tblGrid>
            <w:tr w14:paraId="20992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 w:hRule="atLeast"/>
                <w:jc w:val="center"/>
              </w:trPr>
              <w:tc>
                <w:tcPr>
                  <w:tcW w:w="132" w:type="pct"/>
                  <w:vMerge w:val="restart"/>
                  <w:tcBorders>
                    <w:tl2br w:val="nil"/>
                    <w:tr2bl w:val="nil"/>
                  </w:tcBorders>
                  <w:vAlign w:val="center"/>
                </w:tcPr>
                <w:p w14:paraId="5222F5DA">
                  <w:pPr>
                    <w:pStyle w:val="52"/>
                    <w:rPr>
                      <w:color w:val="auto"/>
                    </w:rPr>
                  </w:pPr>
                  <w:r>
                    <w:rPr>
                      <w:color w:val="auto"/>
                    </w:rPr>
                    <w:t>序号</w:t>
                  </w:r>
                </w:p>
              </w:tc>
              <w:tc>
                <w:tcPr>
                  <w:tcW w:w="237" w:type="pct"/>
                  <w:vMerge w:val="restart"/>
                  <w:tcBorders>
                    <w:tl2br w:val="nil"/>
                    <w:tr2bl w:val="nil"/>
                  </w:tcBorders>
                  <w:vAlign w:val="center"/>
                </w:tcPr>
                <w:p w14:paraId="4C6BFCE9">
                  <w:pPr>
                    <w:pStyle w:val="52"/>
                    <w:rPr>
                      <w:color w:val="auto"/>
                    </w:rPr>
                  </w:pPr>
                  <w:r>
                    <w:rPr>
                      <w:color w:val="auto"/>
                    </w:rPr>
                    <w:t>建筑物名称</w:t>
                  </w:r>
                </w:p>
              </w:tc>
              <w:tc>
                <w:tcPr>
                  <w:tcW w:w="389" w:type="pct"/>
                  <w:vMerge w:val="restart"/>
                  <w:tcBorders>
                    <w:tl2br w:val="nil"/>
                    <w:tr2bl w:val="nil"/>
                  </w:tcBorders>
                  <w:vAlign w:val="center"/>
                </w:tcPr>
                <w:p w14:paraId="25F386ED">
                  <w:pPr>
                    <w:pStyle w:val="52"/>
                    <w:rPr>
                      <w:color w:val="auto"/>
                    </w:rPr>
                  </w:pPr>
                  <w:r>
                    <w:rPr>
                      <w:color w:val="auto"/>
                    </w:rPr>
                    <w:t>声源名称</w:t>
                  </w:r>
                </w:p>
              </w:tc>
              <w:tc>
                <w:tcPr>
                  <w:tcW w:w="244" w:type="pct"/>
                  <w:vMerge w:val="restart"/>
                  <w:tcBorders>
                    <w:tl2br w:val="nil"/>
                    <w:tr2bl w:val="nil"/>
                  </w:tcBorders>
                  <w:vAlign w:val="center"/>
                </w:tcPr>
                <w:p w14:paraId="2B6E0487">
                  <w:pPr>
                    <w:pStyle w:val="52"/>
                    <w:rPr>
                      <w:color w:val="auto"/>
                    </w:rPr>
                  </w:pPr>
                  <w:r>
                    <w:rPr>
                      <w:rFonts w:hint="eastAsia"/>
                      <w:color w:val="auto"/>
                    </w:rPr>
                    <w:t>型号</w:t>
                  </w:r>
                </w:p>
              </w:tc>
              <w:tc>
                <w:tcPr>
                  <w:tcW w:w="342" w:type="pct"/>
                  <w:vMerge w:val="restart"/>
                  <w:tcBorders>
                    <w:tl2br w:val="nil"/>
                    <w:tr2bl w:val="nil"/>
                  </w:tcBorders>
                  <w:vAlign w:val="center"/>
                </w:tcPr>
                <w:p w14:paraId="6DDD075C">
                  <w:pPr>
                    <w:pStyle w:val="52"/>
                    <w:rPr>
                      <w:color w:val="auto"/>
                    </w:rPr>
                  </w:pPr>
                  <w:r>
                    <w:rPr>
                      <w:color w:val="auto"/>
                    </w:rPr>
                    <w:t>声压级</w:t>
                  </w:r>
                </w:p>
                <w:p w14:paraId="4613CA5C">
                  <w:pPr>
                    <w:pStyle w:val="52"/>
                    <w:rPr>
                      <w:color w:val="auto"/>
                    </w:rPr>
                  </w:pPr>
                  <w:r>
                    <w:rPr>
                      <w:color w:val="auto"/>
                    </w:rPr>
                    <w:t>/dB(A)</w:t>
                  </w:r>
                </w:p>
              </w:tc>
              <w:tc>
                <w:tcPr>
                  <w:tcW w:w="290" w:type="pct"/>
                  <w:vMerge w:val="restart"/>
                  <w:tcBorders>
                    <w:tl2br w:val="nil"/>
                    <w:tr2bl w:val="nil"/>
                  </w:tcBorders>
                  <w:vAlign w:val="center"/>
                </w:tcPr>
                <w:p w14:paraId="71917E9A">
                  <w:pPr>
                    <w:pStyle w:val="52"/>
                    <w:rPr>
                      <w:color w:val="auto"/>
                    </w:rPr>
                  </w:pPr>
                  <w:r>
                    <w:rPr>
                      <w:color w:val="auto"/>
                    </w:rPr>
                    <w:t>声源控制措施</w:t>
                  </w:r>
                </w:p>
              </w:tc>
              <w:tc>
                <w:tcPr>
                  <w:tcW w:w="482" w:type="pct"/>
                  <w:gridSpan w:val="3"/>
                  <w:tcBorders>
                    <w:tl2br w:val="nil"/>
                    <w:tr2bl w:val="nil"/>
                  </w:tcBorders>
                  <w:vAlign w:val="center"/>
                </w:tcPr>
                <w:p w14:paraId="0526F3FB">
                  <w:pPr>
                    <w:pStyle w:val="52"/>
                    <w:rPr>
                      <w:color w:val="auto"/>
                    </w:rPr>
                  </w:pPr>
                  <w:r>
                    <w:rPr>
                      <w:color w:val="auto"/>
                    </w:rPr>
                    <w:t>空间相对位置（m）</w:t>
                  </w:r>
                </w:p>
              </w:tc>
              <w:tc>
                <w:tcPr>
                  <w:tcW w:w="590" w:type="pct"/>
                  <w:gridSpan w:val="4"/>
                  <w:tcBorders>
                    <w:tl2br w:val="nil"/>
                    <w:tr2bl w:val="nil"/>
                  </w:tcBorders>
                  <w:vAlign w:val="center"/>
                </w:tcPr>
                <w:p w14:paraId="2ADDF64C">
                  <w:pPr>
                    <w:pStyle w:val="52"/>
                    <w:rPr>
                      <w:color w:val="auto"/>
                    </w:rPr>
                  </w:pPr>
                  <w:r>
                    <w:rPr>
                      <w:color w:val="auto"/>
                    </w:rPr>
                    <w:t>距室内边界距离（m）</w:t>
                  </w:r>
                </w:p>
              </w:tc>
              <w:tc>
                <w:tcPr>
                  <w:tcW w:w="810" w:type="pct"/>
                  <w:gridSpan w:val="4"/>
                  <w:tcBorders>
                    <w:tl2br w:val="nil"/>
                    <w:tr2bl w:val="nil"/>
                  </w:tcBorders>
                  <w:vAlign w:val="center"/>
                </w:tcPr>
                <w:p w14:paraId="54ED79E8">
                  <w:pPr>
                    <w:pStyle w:val="52"/>
                    <w:rPr>
                      <w:color w:val="auto"/>
                    </w:rPr>
                  </w:pPr>
                  <w:r>
                    <w:rPr>
                      <w:color w:val="auto"/>
                    </w:rPr>
                    <w:t>室内边界声级/dB(A)</w:t>
                  </w:r>
                </w:p>
              </w:tc>
              <w:tc>
                <w:tcPr>
                  <w:tcW w:w="196" w:type="pct"/>
                  <w:vMerge w:val="restart"/>
                  <w:tcBorders>
                    <w:tl2br w:val="nil"/>
                    <w:tr2bl w:val="nil"/>
                  </w:tcBorders>
                  <w:vAlign w:val="center"/>
                </w:tcPr>
                <w:p w14:paraId="614E9F2E">
                  <w:pPr>
                    <w:pStyle w:val="52"/>
                    <w:rPr>
                      <w:color w:val="auto"/>
                    </w:rPr>
                  </w:pPr>
                  <w:r>
                    <w:rPr>
                      <w:color w:val="auto"/>
                    </w:rPr>
                    <w:t>运行</w:t>
                  </w:r>
                </w:p>
                <w:p w14:paraId="6D2021BF">
                  <w:pPr>
                    <w:pStyle w:val="52"/>
                    <w:rPr>
                      <w:color w:val="auto"/>
                    </w:rPr>
                  </w:pPr>
                  <w:r>
                    <w:rPr>
                      <w:color w:val="auto"/>
                    </w:rPr>
                    <w:t>时段</w:t>
                  </w:r>
                </w:p>
              </w:tc>
              <w:tc>
                <w:tcPr>
                  <w:tcW w:w="323" w:type="pct"/>
                  <w:vMerge w:val="restart"/>
                  <w:tcBorders>
                    <w:tl2br w:val="nil"/>
                    <w:tr2bl w:val="nil"/>
                  </w:tcBorders>
                  <w:vAlign w:val="center"/>
                </w:tcPr>
                <w:p w14:paraId="11293AB2">
                  <w:pPr>
                    <w:pStyle w:val="52"/>
                    <w:rPr>
                      <w:color w:val="auto"/>
                    </w:rPr>
                  </w:pPr>
                  <w:r>
                    <w:rPr>
                      <w:color w:val="auto"/>
                    </w:rPr>
                    <w:t>建筑物插入损失</w:t>
                  </w:r>
                </w:p>
                <w:p w14:paraId="2D3ED37F">
                  <w:pPr>
                    <w:pStyle w:val="52"/>
                    <w:rPr>
                      <w:color w:val="auto"/>
                    </w:rPr>
                  </w:pPr>
                  <w:r>
                    <w:rPr>
                      <w:color w:val="auto"/>
                    </w:rPr>
                    <w:t>/dB(A)</w:t>
                  </w:r>
                </w:p>
              </w:tc>
              <w:tc>
                <w:tcPr>
                  <w:tcW w:w="744" w:type="pct"/>
                  <w:gridSpan w:val="4"/>
                  <w:tcBorders>
                    <w:tl2br w:val="nil"/>
                    <w:tr2bl w:val="nil"/>
                  </w:tcBorders>
                  <w:vAlign w:val="center"/>
                </w:tcPr>
                <w:p w14:paraId="1EEE114D">
                  <w:pPr>
                    <w:pStyle w:val="52"/>
                    <w:rPr>
                      <w:color w:val="auto"/>
                    </w:rPr>
                  </w:pPr>
                  <w:r>
                    <w:rPr>
                      <w:color w:val="auto"/>
                    </w:rPr>
                    <w:t>建筑物外噪声</w:t>
                  </w:r>
                </w:p>
                <w:p w14:paraId="2788A35B">
                  <w:pPr>
                    <w:pStyle w:val="52"/>
                    <w:rPr>
                      <w:color w:val="auto"/>
                    </w:rPr>
                  </w:pPr>
                  <w:r>
                    <w:rPr>
                      <w:color w:val="auto"/>
                    </w:rPr>
                    <w:t>声压级/dB(A)</w:t>
                  </w:r>
                </w:p>
              </w:tc>
              <w:tc>
                <w:tcPr>
                  <w:tcW w:w="214" w:type="pct"/>
                  <w:vMerge w:val="restart"/>
                  <w:tcBorders>
                    <w:tl2br w:val="nil"/>
                    <w:tr2bl w:val="nil"/>
                  </w:tcBorders>
                  <w:vAlign w:val="center"/>
                </w:tcPr>
                <w:p w14:paraId="6385AD87">
                  <w:pPr>
                    <w:pStyle w:val="52"/>
                    <w:rPr>
                      <w:color w:val="auto"/>
                    </w:rPr>
                  </w:pPr>
                  <w:r>
                    <w:rPr>
                      <w:color w:val="auto"/>
                    </w:rPr>
                    <w:t>建筑物外距离</w:t>
                  </w:r>
                </w:p>
              </w:tc>
            </w:tr>
            <w:tr w14:paraId="26517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32" w:type="pct"/>
                  <w:vMerge w:val="continue"/>
                  <w:tcBorders>
                    <w:tl2br w:val="nil"/>
                    <w:tr2bl w:val="nil"/>
                  </w:tcBorders>
                  <w:vAlign w:val="center"/>
                </w:tcPr>
                <w:p w14:paraId="53ABE081">
                  <w:pPr>
                    <w:pStyle w:val="52"/>
                    <w:rPr>
                      <w:color w:val="auto"/>
                      <w:lang w:eastAsia="en-US"/>
                    </w:rPr>
                  </w:pPr>
                </w:p>
              </w:tc>
              <w:tc>
                <w:tcPr>
                  <w:tcW w:w="237" w:type="pct"/>
                  <w:vMerge w:val="continue"/>
                  <w:tcBorders>
                    <w:tl2br w:val="nil"/>
                    <w:tr2bl w:val="nil"/>
                  </w:tcBorders>
                  <w:vAlign w:val="center"/>
                </w:tcPr>
                <w:p w14:paraId="4BFB729E">
                  <w:pPr>
                    <w:pStyle w:val="52"/>
                    <w:rPr>
                      <w:color w:val="auto"/>
                      <w:lang w:eastAsia="en-US"/>
                    </w:rPr>
                  </w:pPr>
                </w:p>
              </w:tc>
              <w:tc>
                <w:tcPr>
                  <w:tcW w:w="389" w:type="pct"/>
                  <w:vMerge w:val="continue"/>
                  <w:tcBorders>
                    <w:tl2br w:val="nil"/>
                    <w:tr2bl w:val="nil"/>
                  </w:tcBorders>
                  <w:vAlign w:val="center"/>
                </w:tcPr>
                <w:p w14:paraId="125B0907">
                  <w:pPr>
                    <w:pStyle w:val="52"/>
                    <w:rPr>
                      <w:color w:val="auto"/>
                      <w:lang w:eastAsia="en-US"/>
                    </w:rPr>
                  </w:pPr>
                </w:p>
              </w:tc>
              <w:tc>
                <w:tcPr>
                  <w:tcW w:w="244" w:type="pct"/>
                  <w:vMerge w:val="continue"/>
                  <w:tcBorders>
                    <w:tl2br w:val="nil"/>
                    <w:tr2bl w:val="nil"/>
                  </w:tcBorders>
                  <w:vAlign w:val="center"/>
                </w:tcPr>
                <w:p w14:paraId="38651DB4">
                  <w:pPr>
                    <w:pStyle w:val="52"/>
                    <w:rPr>
                      <w:color w:val="auto"/>
                      <w:lang w:eastAsia="en-US"/>
                    </w:rPr>
                  </w:pPr>
                </w:p>
              </w:tc>
              <w:tc>
                <w:tcPr>
                  <w:tcW w:w="342" w:type="pct"/>
                  <w:vMerge w:val="continue"/>
                  <w:tcBorders>
                    <w:tl2br w:val="nil"/>
                    <w:tr2bl w:val="nil"/>
                  </w:tcBorders>
                  <w:vAlign w:val="center"/>
                </w:tcPr>
                <w:p w14:paraId="5BE62B76">
                  <w:pPr>
                    <w:pStyle w:val="52"/>
                    <w:rPr>
                      <w:color w:val="auto"/>
                    </w:rPr>
                  </w:pPr>
                </w:p>
              </w:tc>
              <w:tc>
                <w:tcPr>
                  <w:tcW w:w="290" w:type="pct"/>
                  <w:vMerge w:val="continue"/>
                  <w:tcBorders>
                    <w:tl2br w:val="nil"/>
                    <w:tr2bl w:val="nil"/>
                  </w:tcBorders>
                  <w:vAlign w:val="center"/>
                </w:tcPr>
                <w:p w14:paraId="0BB6CD7B">
                  <w:pPr>
                    <w:pStyle w:val="52"/>
                    <w:rPr>
                      <w:color w:val="auto"/>
                      <w:lang w:eastAsia="en-US"/>
                    </w:rPr>
                  </w:pPr>
                </w:p>
              </w:tc>
              <w:tc>
                <w:tcPr>
                  <w:tcW w:w="160" w:type="pct"/>
                  <w:tcBorders>
                    <w:tl2br w:val="nil"/>
                    <w:tr2bl w:val="nil"/>
                  </w:tcBorders>
                  <w:vAlign w:val="center"/>
                </w:tcPr>
                <w:p w14:paraId="3BB35BDB">
                  <w:pPr>
                    <w:pStyle w:val="52"/>
                    <w:rPr>
                      <w:color w:val="auto"/>
                    </w:rPr>
                  </w:pPr>
                  <w:r>
                    <w:rPr>
                      <w:color w:val="auto"/>
                    </w:rPr>
                    <w:t>X</w:t>
                  </w:r>
                </w:p>
              </w:tc>
              <w:tc>
                <w:tcPr>
                  <w:tcW w:w="160" w:type="pct"/>
                  <w:tcBorders>
                    <w:tl2br w:val="nil"/>
                    <w:tr2bl w:val="nil"/>
                  </w:tcBorders>
                  <w:vAlign w:val="center"/>
                </w:tcPr>
                <w:p w14:paraId="12863E6F">
                  <w:pPr>
                    <w:pStyle w:val="52"/>
                    <w:rPr>
                      <w:color w:val="auto"/>
                    </w:rPr>
                  </w:pPr>
                  <w:r>
                    <w:rPr>
                      <w:color w:val="auto"/>
                    </w:rPr>
                    <w:t>Y</w:t>
                  </w:r>
                </w:p>
              </w:tc>
              <w:tc>
                <w:tcPr>
                  <w:tcW w:w="160" w:type="pct"/>
                  <w:tcBorders>
                    <w:tl2br w:val="nil"/>
                    <w:tr2bl w:val="nil"/>
                  </w:tcBorders>
                  <w:vAlign w:val="center"/>
                </w:tcPr>
                <w:p w14:paraId="433FC6BA">
                  <w:pPr>
                    <w:pStyle w:val="52"/>
                    <w:rPr>
                      <w:color w:val="auto"/>
                    </w:rPr>
                  </w:pPr>
                  <w:r>
                    <w:rPr>
                      <w:color w:val="auto"/>
                    </w:rPr>
                    <w:t>Z</w:t>
                  </w:r>
                </w:p>
              </w:tc>
              <w:tc>
                <w:tcPr>
                  <w:tcW w:w="147" w:type="pct"/>
                  <w:tcBorders>
                    <w:tl2br w:val="nil"/>
                    <w:tr2bl w:val="nil"/>
                  </w:tcBorders>
                  <w:vAlign w:val="center"/>
                </w:tcPr>
                <w:p w14:paraId="54BE2CF8">
                  <w:pPr>
                    <w:pStyle w:val="52"/>
                    <w:rPr>
                      <w:color w:val="auto"/>
                    </w:rPr>
                  </w:pPr>
                  <w:r>
                    <w:rPr>
                      <w:color w:val="auto"/>
                    </w:rPr>
                    <w:t>东</w:t>
                  </w:r>
                </w:p>
              </w:tc>
              <w:tc>
                <w:tcPr>
                  <w:tcW w:w="147" w:type="pct"/>
                  <w:tcBorders>
                    <w:tl2br w:val="nil"/>
                    <w:tr2bl w:val="nil"/>
                  </w:tcBorders>
                  <w:vAlign w:val="center"/>
                </w:tcPr>
                <w:p w14:paraId="6E0B2D8D">
                  <w:pPr>
                    <w:pStyle w:val="52"/>
                    <w:rPr>
                      <w:color w:val="auto"/>
                    </w:rPr>
                  </w:pPr>
                  <w:r>
                    <w:rPr>
                      <w:color w:val="auto"/>
                    </w:rPr>
                    <w:t>南</w:t>
                  </w:r>
                </w:p>
              </w:tc>
              <w:tc>
                <w:tcPr>
                  <w:tcW w:w="147" w:type="pct"/>
                  <w:tcBorders>
                    <w:tl2br w:val="nil"/>
                    <w:tr2bl w:val="nil"/>
                  </w:tcBorders>
                  <w:vAlign w:val="center"/>
                </w:tcPr>
                <w:p w14:paraId="5BB56F7E">
                  <w:pPr>
                    <w:pStyle w:val="52"/>
                    <w:rPr>
                      <w:color w:val="auto"/>
                    </w:rPr>
                  </w:pPr>
                  <w:r>
                    <w:rPr>
                      <w:color w:val="auto"/>
                    </w:rPr>
                    <w:t>西</w:t>
                  </w:r>
                </w:p>
              </w:tc>
              <w:tc>
                <w:tcPr>
                  <w:tcW w:w="148" w:type="pct"/>
                  <w:tcBorders>
                    <w:tl2br w:val="nil"/>
                    <w:tr2bl w:val="nil"/>
                  </w:tcBorders>
                  <w:vAlign w:val="center"/>
                </w:tcPr>
                <w:p w14:paraId="4CDAC581">
                  <w:pPr>
                    <w:pStyle w:val="52"/>
                    <w:rPr>
                      <w:color w:val="auto"/>
                    </w:rPr>
                  </w:pPr>
                  <w:r>
                    <w:rPr>
                      <w:color w:val="auto"/>
                    </w:rPr>
                    <w:t>北</w:t>
                  </w:r>
                </w:p>
              </w:tc>
              <w:tc>
                <w:tcPr>
                  <w:tcW w:w="202" w:type="pct"/>
                  <w:tcBorders>
                    <w:tl2br w:val="nil"/>
                    <w:tr2bl w:val="nil"/>
                  </w:tcBorders>
                  <w:vAlign w:val="center"/>
                </w:tcPr>
                <w:p w14:paraId="52067B6B">
                  <w:pPr>
                    <w:pStyle w:val="52"/>
                    <w:rPr>
                      <w:color w:val="auto"/>
                      <w:lang w:eastAsia="en-US"/>
                    </w:rPr>
                  </w:pPr>
                  <w:r>
                    <w:rPr>
                      <w:color w:val="auto"/>
                    </w:rPr>
                    <w:t>东</w:t>
                  </w:r>
                </w:p>
              </w:tc>
              <w:tc>
                <w:tcPr>
                  <w:tcW w:w="202" w:type="pct"/>
                  <w:tcBorders>
                    <w:tl2br w:val="nil"/>
                    <w:tr2bl w:val="nil"/>
                  </w:tcBorders>
                  <w:vAlign w:val="center"/>
                </w:tcPr>
                <w:p w14:paraId="07BF1B6D">
                  <w:pPr>
                    <w:pStyle w:val="52"/>
                    <w:rPr>
                      <w:color w:val="auto"/>
                      <w:lang w:eastAsia="en-US"/>
                    </w:rPr>
                  </w:pPr>
                  <w:r>
                    <w:rPr>
                      <w:color w:val="auto"/>
                    </w:rPr>
                    <w:t>南</w:t>
                  </w:r>
                </w:p>
              </w:tc>
              <w:tc>
                <w:tcPr>
                  <w:tcW w:w="202" w:type="pct"/>
                  <w:tcBorders>
                    <w:tl2br w:val="nil"/>
                    <w:tr2bl w:val="nil"/>
                  </w:tcBorders>
                  <w:vAlign w:val="center"/>
                </w:tcPr>
                <w:p w14:paraId="0D3B3414">
                  <w:pPr>
                    <w:pStyle w:val="52"/>
                    <w:rPr>
                      <w:color w:val="auto"/>
                      <w:lang w:eastAsia="en-US"/>
                    </w:rPr>
                  </w:pPr>
                  <w:r>
                    <w:rPr>
                      <w:color w:val="auto"/>
                    </w:rPr>
                    <w:t>西</w:t>
                  </w:r>
                </w:p>
              </w:tc>
              <w:tc>
                <w:tcPr>
                  <w:tcW w:w="203" w:type="pct"/>
                  <w:tcBorders>
                    <w:tl2br w:val="nil"/>
                    <w:tr2bl w:val="nil"/>
                  </w:tcBorders>
                  <w:vAlign w:val="center"/>
                </w:tcPr>
                <w:p w14:paraId="11FC1794">
                  <w:pPr>
                    <w:pStyle w:val="52"/>
                    <w:rPr>
                      <w:color w:val="auto"/>
                      <w:lang w:eastAsia="en-US"/>
                    </w:rPr>
                  </w:pPr>
                  <w:r>
                    <w:rPr>
                      <w:color w:val="auto"/>
                    </w:rPr>
                    <w:t>北</w:t>
                  </w:r>
                </w:p>
              </w:tc>
              <w:tc>
                <w:tcPr>
                  <w:tcW w:w="196" w:type="pct"/>
                  <w:vMerge w:val="continue"/>
                  <w:tcBorders>
                    <w:tl2br w:val="nil"/>
                    <w:tr2bl w:val="nil"/>
                  </w:tcBorders>
                  <w:vAlign w:val="center"/>
                </w:tcPr>
                <w:p w14:paraId="783B6A13">
                  <w:pPr>
                    <w:pStyle w:val="52"/>
                    <w:rPr>
                      <w:color w:val="auto"/>
                      <w:lang w:eastAsia="en-US"/>
                    </w:rPr>
                  </w:pPr>
                </w:p>
              </w:tc>
              <w:tc>
                <w:tcPr>
                  <w:tcW w:w="323" w:type="pct"/>
                  <w:vMerge w:val="continue"/>
                  <w:tcBorders>
                    <w:tl2br w:val="nil"/>
                    <w:tr2bl w:val="nil"/>
                  </w:tcBorders>
                  <w:vAlign w:val="center"/>
                </w:tcPr>
                <w:p w14:paraId="2C15EB68">
                  <w:pPr>
                    <w:pStyle w:val="52"/>
                    <w:rPr>
                      <w:color w:val="auto"/>
                      <w:lang w:eastAsia="en-US"/>
                    </w:rPr>
                  </w:pPr>
                </w:p>
              </w:tc>
              <w:tc>
                <w:tcPr>
                  <w:tcW w:w="185" w:type="pct"/>
                  <w:tcBorders>
                    <w:tl2br w:val="nil"/>
                    <w:tr2bl w:val="nil"/>
                  </w:tcBorders>
                  <w:vAlign w:val="center"/>
                </w:tcPr>
                <w:p w14:paraId="6BD24AD0">
                  <w:pPr>
                    <w:pStyle w:val="52"/>
                    <w:rPr>
                      <w:color w:val="auto"/>
                      <w:lang w:eastAsia="en-US"/>
                    </w:rPr>
                  </w:pPr>
                  <w:r>
                    <w:rPr>
                      <w:color w:val="auto"/>
                    </w:rPr>
                    <w:t>东</w:t>
                  </w:r>
                </w:p>
              </w:tc>
              <w:tc>
                <w:tcPr>
                  <w:tcW w:w="185" w:type="pct"/>
                  <w:tcBorders>
                    <w:tl2br w:val="nil"/>
                    <w:tr2bl w:val="nil"/>
                  </w:tcBorders>
                  <w:vAlign w:val="center"/>
                </w:tcPr>
                <w:p w14:paraId="31D22DD2">
                  <w:pPr>
                    <w:pStyle w:val="52"/>
                    <w:rPr>
                      <w:color w:val="auto"/>
                      <w:lang w:eastAsia="en-US"/>
                    </w:rPr>
                  </w:pPr>
                  <w:r>
                    <w:rPr>
                      <w:color w:val="auto"/>
                    </w:rPr>
                    <w:t>南</w:t>
                  </w:r>
                </w:p>
              </w:tc>
              <w:tc>
                <w:tcPr>
                  <w:tcW w:w="185" w:type="pct"/>
                  <w:tcBorders>
                    <w:tl2br w:val="nil"/>
                    <w:tr2bl w:val="nil"/>
                  </w:tcBorders>
                  <w:vAlign w:val="center"/>
                </w:tcPr>
                <w:p w14:paraId="1AB12AED">
                  <w:pPr>
                    <w:pStyle w:val="52"/>
                    <w:rPr>
                      <w:color w:val="auto"/>
                      <w:lang w:eastAsia="en-US"/>
                    </w:rPr>
                  </w:pPr>
                  <w:r>
                    <w:rPr>
                      <w:color w:val="auto"/>
                    </w:rPr>
                    <w:t>西</w:t>
                  </w:r>
                </w:p>
              </w:tc>
              <w:tc>
                <w:tcPr>
                  <w:tcW w:w="186" w:type="pct"/>
                  <w:tcBorders>
                    <w:tl2br w:val="nil"/>
                    <w:tr2bl w:val="nil"/>
                  </w:tcBorders>
                  <w:vAlign w:val="center"/>
                </w:tcPr>
                <w:p w14:paraId="25503C4C">
                  <w:pPr>
                    <w:pStyle w:val="52"/>
                    <w:rPr>
                      <w:color w:val="auto"/>
                      <w:lang w:eastAsia="en-US"/>
                    </w:rPr>
                  </w:pPr>
                  <w:r>
                    <w:rPr>
                      <w:color w:val="auto"/>
                    </w:rPr>
                    <w:t>北</w:t>
                  </w:r>
                </w:p>
              </w:tc>
              <w:tc>
                <w:tcPr>
                  <w:tcW w:w="214" w:type="pct"/>
                  <w:vMerge w:val="continue"/>
                  <w:tcBorders>
                    <w:tl2br w:val="nil"/>
                    <w:tr2bl w:val="nil"/>
                  </w:tcBorders>
                  <w:vAlign w:val="center"/>
                </w:tcPr>
                <w:p w14:paraId="7A015D4F">
                  <w:pPr>
                    <w:rPr>
                      <w:color w:val="auto"/>
                    </w:rPr>
                  </w:pPr>
                </w:p>
              </w:tc>
            </w:tr>
            <w:tr w14:paraId="67294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7" w:hRule="atLeast"/>
                <w:jc w:val="center"/>
              </w:trPr>
              <w:tc>
                <w:tcPr>
                  <w:tcW w:w="132" w:type="pct"/>
                  <w:tcBorders>
                    <w:tl2br w:val="nil"/>
                    <w:tr2bl w:val="nil"/>
                  </w:tcBorders>
                  <w:vAlign w:val="center"/>
                </w:tcPr>
                <w:p w14:paraId="1AB8FC79">
                  <w:pPr>
                    <w:pStyle w:val="54"/>
                    <w:rPr>
                      <w:color w:val="auto"/>
                    </w:rPr>
                  </w:pPr>
                  <w:r>
                    <w:rPr>
                      <w:color w:val="auto"/>
                    </w:rPr>
                    <w:t>1</w:t>
                  </w:r>
                </w:p>
              </w:tc>
              <w:tc>
                <w:tcPr>
                  <w:tcW w:w="237" w:type="pct"/>
                  <w:tcBorders>
                    <w:tl2br w:val="nil"/>
                    <w:tr2bl w:val="nil"/>
                  </w:tcBorders>
                  <w:vAlign w:val="center"/>
                </w:tcPr>
                <w:p w14:paraId="518CFB2A">
                  <w:pPr>
                    <w:pStyle w:val="54"/>
                    <w:rPr>
                      <w:color w:val="auto"/>
                    </w:rPr>
                  </w:pPr>
                  <w:r>
                    <w:rPr>
                      <w:color w:val="auto"/>
                    </w:rPr>
                    <w:t>1#厂房</w:t>
                  </w:r>
                </w:p>
              </w:tc>
              <w:tc>
                <w:tcPr>
                  <w:tcW w:w="389" w:type="pct"/>
                  <w:tcBorders>
                    <w:tl2br w:val="nil"/>
                    <w:tr2bl w:val="nil"/>
                  </w:tcBorders>
                  <w:vAlign w:val="center"/>
                </w:tcPr>
                <w:p w14:paraId="019B08CB">
                  <w:pPr>
                    <w:pStyle w:val="54"/>
                    <w:rPr>
                      <w:color w:val="auto"/>
                    </w:rPr>
                  </w:pPr>
                  <w:r>
                    <w:rPr>
                      <w:color w:val="auto"/>
                    </w:rPr>
                    <w:t>上引法无氧铜杆连铸机组</w:t>
                  </w:r>
                </w:p>
              </w:tc>
              <w:tc>
                <w:tcPr>
                  <w:tcW w:w="244" w:type="pct"/>
                  <w:tcBorders>
                    <w:tl2br w:val="nil"/>
                    <w:tr2bl w:val="nil"/>
                  </w:tcBorders>
                  <w:vAlign w:val="center"/>
                </w:tcPr>
                <w:p w14:paraId="7BD2F274">
                  <w:pPr>
                    <w:pStyle w:val="54"/>
                    <w:rPr>
                      <w:color w:val="auto"/>
                    </w:rPr>
                  </w:pPr>
                  <w:r>
                    <w:rPr>
                      <w:color w:val="auto"/>
                    </w:rPr>
                    <w:t>SL16-Q-S-B-12.5/20</w:t>
                  </w:r>
                </w:p>
              </w:tc>
              <w:tc>
                <w:tcPr>
                  <w:tcW w:w="342" w:type="pct"/>
                  <w:tcBorders>
                    <w:tl2br w:val="nil"/>
                    <w:tr2bl w:val="nil"/>
                  </w:tcBorders>
                  <w:vAlign w:val="center"/>
                </w:tcPr>
                <w:p w14:paraId="0EA6848C">
                  <w:pPr>
                    <w:pStyle w:val="54"/>
                    <w:rPr>
                      <w:color w:val="auto"/>
                    </w:rPr>
                  </w:pPr>
                  <w:r>
                    <w:rPr>
                      <w:color w:val="auto"/>
                    </w:rPr>
                    <w:t>88（点声源组等效后9</w:t>
                  </w:r>
                  <w:r>
                    <w:rPr>
                      <w:rFonts w:hint="eastAsia"/>
                      <w:color w:val="auto"/>
                    </w:rPr>
                    <w:t>4</w:t>
                  </w:r>
                  <w:r>
                    <w:rPr>
                      <w:color w:val="auto"/>
                    </w:rPr>
                    <w:t>）</w:t>
                  </w:r>
                </w:p>
              </w:tc>
              <w:tc>
                <w:tcPr>
                  <w:tcW w:w="290" w:type="pct"/>
                  <w:tcBorders>
                    <w:tl2br w:val="nil"/>
                    <w:tr2bl w:val="nil"/>
                  </w:tcBorders>
                  <w:vAlign w:val="center"/>
                </w:tcPr>
                <w:p w14:paraId="1ABADD75">
                  <w:pPr>
                    <w:pStyle w:val="54"/>
                    <w:rPr>
                      <w:color w:val="auto"/>
                    </w:rPr>
                  </w:pPr>
                  <w:r>
                    <w:rPr>
                      <w:color w:val="auto"/>
                    </w:rPr>
                    <w:t>合理选型、减振、隔声</w:t>
                  </w:r>
                </w:p>
              </w:tc>
              <w:tc>
                <w:tcPr>
                  <w:tcW w:w="160" w:type="pct"/>
                  <w:tcBorders>
                    <w:tl2br w:val="nil"/>
                    <w:tr2bl w:val="nil"/>
                  </w:tcBorders>
                  <w:vAlign w:val="center"/>
                </w:tcPr>
                <w:p w14:paraId="4DC55419">
                  <w:pPr>
                    <w:pStyle w:val="54"/>
                    <w:rPr>
                      <w:color w:val="auto"/>
                    </w:rPr>
                  </w:pPr>
                  <w:r>
                    <w:rPr>
                      <w:rFonts w:hint="eastAsia"/>
                      <w:color w:val="auto"/>
                    </w:rPr>
                    <w:t>132</w:t>
                  </w:r>
                </w:p>
              </w:tc>
              <w:tc>
                <w:tcPr>
                  <w:tcW w:w="160" w:type="pct"/>
                  <w:tcBorders>
                    <w:tl2br w:val="nil"/>
                    <w:tr2bl w:val="nil"/>
                  </w:tcBorders>
                  <w:vAlign w:val="center"/>
                </w:tcPr>
                <w:p w14:paraId="23F639BE">
                  <w:pPr>
                    <w:pStyle w:val="54"/>
                    <w:rPr>
                      <w:color w:val="auto"/>
                    </w:rPr>
                  </w:pPr>
                  <w:r>
                    <w:rPr>
                      <w:rFonts w:hint="eastAsia"/>
                      <w:color w:val="auto"/>
                    </w:rPr>
                    <w:t>45</w:t>
                  </w:r>
                </w:p>
              </w:tc>
              <w:tc>
                <w:tcPr>
                  <w:tcW w:w="160" w:type="pct"/>
                  <w:tcBorders>
                    <w:tl2br w:val="nil"/>
                    <w:tr2bl w:val="nil"/>
                  </w:tcBorders>
                  <w:vAlign w:val="center"/>
                </w:tcPr>
                <w:p w14:paraId="7B8AD840">
                  <w:pPr>
                    <w:pStyle w:val="54"/>
                    <w:rPr>
                      <w:color w:val="auto"/>
                    </w:rPr>
                  </w:pPr>
                  <w:r>
                    <w:rPr>
                      <w:rFonts w:hint="eastAsia"/>
                      <w:color w:val="auto"/>
                    </w:rPr>
                    <w:t>1</w:t>
                  </w:r>
                </w:p>
              </w:tc>
              <w:tc>
                <w:tcPr>
                  <w:tcW w:w="147" w:type="pct"/>
                  <w:tcBorders>
                    <w:tl2br w:val="nil"/>
                    <w:tr2bl w:val="nil"/>
                  </w:tcBorders>
                  <w:vAlign w:val="center"/>
                </w:tcPr>
                <w:p w14:paraId="3E4E8878">
                  <w:pPr>
                    <w:pStyle w:val="54"/>
                    <w:rPr>
                      <w:color w:val="auto"/>
                    </w:rPr>
                  </w:pPr>
                  <w:r>
                    <w:rPr>
                      <w:rFonts w:hint="eastAsia"/>
                      <w:color w:val="auto"/>
                    </w:rPr>
                    <w:t>90</w:t>
                  </w:r>
                </w:p>
              </w:tc>
              <w:tc>
                <w:tcPr>
                  <w:tcW w:w="147" w:type="pct"/>
                  <w:tcBorders>
                    <w:tl2br w:val="nil"/>
                    <w:tr2bl w:val="nil"/>
                  </w:tcBorders>
                  <w:vAlign w:val="center"/>
                </w:tcPr>
                <w:p w14:paraId="060948FA">
                  <w:pPr>
                    <w:pStyle w:val="54"/>
                    <w:rPr>
                      <w:color w:val="auto"/>
                    </w:rPr>
                  </w:pPr>
                  <w:r>
                    <w:rPr>
                      <w:rFonts w:hint="eastAsia"/>
                      <w:color w:val="auto"/>
                    </w:rPr>
                    <w:t>90</w:t>
                  </w:r>
                </w:p>
              </w:tc>
              <w:tc>
                <w:tcPr>
                  <w:tcW w:w="147" w:type="pct"/>
                  <w:tcBorders>
                    <w:tl2br w:val="nil"/>
                    <w:tr2bl w:val="nil"/>
                  </w:tcBorders>
                  <w:vAlign w:val="center"/>
                </w:tcPr>
                <w:p w14:paraId="41C49420">
                  <w:pPr>
                    <w:pStyle w:val="54"/>
                    <w:rPr>
                      <w:color w:val="auto"/>
                    </w:rPr>
                  </w:pPr>
                  <w:r>
                    <w:rPr>
                      <w:rFonts w:hint="eastAsia"/>
                      <w:color w:val="auto"/>
                    </w:rPr>
                    <w:t>30</w:t>
                  </w:r>
                </w:p>
              </w:tc>
              <w:tc>
                <w:tcPr>
                  <w:tcW w:w="148" w:type="pct"/>
                  <w:tcBorders>
                    <w:tl2br w:val="nil"/>
                    <w:tr2bl w:val="nil"/>
                  </w:tcBorders>
                  <w:vAlign w:val="center"/>
                </w:tcPr>
                <w:p w14:paraId="695FD0D3">
                  <w:pPr>
                    <w:pStyle w:val="54"/>
                    <w:rPr>
                      <w:color w:val="auto"/>
                    </w:rPr>
                  </w:pPr>
                  <w:r>
                    <w:rPr>
                      <w:rFonts w:hint="eastAsia"/>
                      <w:color w:val="auto"/>
                    </w:rPr>
                    <w:t>40</w:t>
                  </w:r>
                </w:p>
              </w:tc>
              <w:tc>
                <w:tcPr>
                  <w:tcW w:w="202" w:type="pct"/>
                  <w:tcBorders>
                    <w:tl2br w:val="nil"/>
                    <w:tr2bl w:val="nil"/>
                  </w:tcBorders>
                  <w:vAlign w:val="center"/>
                </w:tcPr>
                <w:p w14:paraId="256C5AE5">
                  <w:pPr>
                    <w:pStyle w:val="54"/>
                    <w:rPr>
                      <w:color w:val="auto"/>
                    </w:rPr>
                  </w:pPr>
                  <w:r>
                    <w:rPr>
                      <w:color w:val="auto"/>
                    </w:rPr>
                    <w:t xml:space="preserve">80.76 </w:t>
                  </w:r>
                </w:p>
              </w:tc>
              <w:tc>
                <w:tcPr>
                  <w:tcW w:w="202" w:type="pct"/>
                  <w:tcBorders>
                    <w:tl2br w:val="nil"/>
                    <w:tr2bl w:val="nil"/>
                  </w:tcBorders>
                  <w:vAlign w:val="center"/>
                </w:tcPr>
                <w:p w14:paraId="42F35DED">
                  <w:pPr>
                    <w:pStyle w:val="54"/>
                    <w:rPr>
                      <w:color w:val="auto"/>
                    </w:rPr>
                  </w:pPr>
                  <w:r>
                    <w:rPr>
                      <w:color w:val="auto"/>
                    </w:rPr>
                    <w:t xml:space="preserve">80.76 </w:t>
                  </w:r>
                </w:p>
              </w:tc>
              <w:tc>
                <w:tcPr>
                  <w:tcW w:w="202" w:type="pct"/>
                  <w:tcBorders>
                    <w:tl2br w:val="nil"/>
                    <w:tr2bl w:val="nil"/>
                  </w:tcBorders>
                  <w:vAlign w:val="center"/>
                </w:tcPr>
                <w:p w14:paraId="33018B7D">
                  <w:pPr>
                    <w:pStyle w:val="54"/>
                    <w:rPr>
                      <w:color w:val="auto"/>
                    </w:rPr>
                  </w:pPr>
                  <w:r>
                    <w:rPr>
                      <w:color w:val="auto"/>
                    </w:rPr>
                    <w:t xml:space="preserve">80.76 </w:t>
                  </w:r>
                </w:p>
              </w:tc>
              <w:tc>
                <w:tcPr>
                  <w:tcW w:w="203" w:type="pct"/>
                  <w:tcBorders>
                    <w:tl2br w:val="nil"/>
                    <w:tr2bl w:val="nil"/>
                  </w:tcBorders>
                  <w:vAlign w:val="center"/>
                </w:tcPr>
                <w:p w14:paraId="6BFDEA21">
                  <w:pPr>
                    <w:pStyle w:val="54"/>
                    <w:rPr>
                      <w:color w:val="auto"/>
                    </w:rPr>
                  </w:pPr>
                  <w:r>
                    <w:rPr>
                      <w:color w:val="auto"/>
                    </w:rPr>
                    <w:t xml:space="preserve">80.76 </w:t>
                  </w:r>
                </w:p>
              </w:tc>
              <w:tc>
                <w:tcPr>
                  <w:tcW w:w="196" w:type="pct"/>
                  <w:tcBorders>
                    <w:tl2br w:val="nil"/>
                    <w:tr2bl w:val="nil"/>
                  </w:tcBorders>
                  <w:vAlign w:val="center"/>
                </w:tcPr>
                <w:p w14:paraId="5F59F13E">
                  <w:pPr>
                    <w:pStyle w:val="54"/>
                    <w:rPr>
                      <w:color w:val="auto"/>
                    </w:rPr>
                  </w:pPr>
                  <w:r>
                    <w:rPr>
                      <w:color w:val="auto"/>
                    </w:rPr>
                    <w:t>24小时</w:t>
                  </w:r>
                </w:p>
              </w:tc>
              <w:tc>
                <w:tcPr>
                  <w:tcW w:w="323" w:type="pct"/>
                  <w:tcBorders>
                    <w:tl2br w:val="nil"/>
                    <w:tr2bl w:val="nil"/>
                  </w:tcBorders>
                  <w:vAlign w:val="center"/>
                </w:tcPr>
                <w:p w14:paraId="3E0868C4">
                  <w:pPr>
                    <w:pStyle w:val="54"/>
                    <w:rPr>
                      <w:color w:val="auto"/>
                    </w:rPr>
                  </w:pPr>
                  <w:r>
                    <w:rPr>
                      <w:color w:val="auto"/>
                    </w:rPr>
                    <w:t>20</w:t>
                  </w:r>
                </w:p>
              </w:tc>
              <w:tc>
                <w:tcPr>
                  <w:tcW w:w="185" w:type="pct"/>
                  <w:tcBorders>
                    <w:tl2br w:val="nil"/>
                    <w:tr2bl w:val="nil"/>
                  </w:tcBorders>
                  <w:vAlign w:val="center"/>
                </w:tcPr>
                <w:p w14:paraId="22C07C04">
                  <w:pPr>
                    <w:pStyle w:val="54"/>
                    <w:rPr>
                      <w:color w:val="auto"/>
                    </w:rPr>
                  </w:pPr>
                  <w:r>
                    <w:rPr>
                      <w:color w:val="auto"/>
                    </w:rPr>
                    <w:t xml:space="preserve">54.76 </w:t>
                  </w:r>
                </w:p>
              </w:tc>
              <w:tc>
                <w:tcPr>
                  <w:tcW w:w="185" w:type="pct"/>
                  <w:tcBorders>
                    <w:tl2br w:val="nil"/>
                    <w:tr2bl w:val="nil"/>
                  </w:tcBorders>
                  <w:vAlign w:val="center"/>
                </w:tcPr>
                <w:p w14:paraId="69838B02">
                  <w:pPr>
                    <w:pStyle w:val="54"/>
                    <w:rPr>
                      <w:color w:val="auto"/>
                    </w:rPr>
                  </w:pPr>
                  <w:r>
                    <w:rPr>
                      <w:color w:val="auto"/>
                    </w:rPr>
                    <w:t xml:space="preserve">54.76 </w:t>
                  </w:r>
                </w:p>
              </w:tc>
              <w:tc>
                <w:tcPr>
                  <w:tcW w:w="185" w:type="pct"/>
                  <w:tcBorders>
                    <w:tl2br w:val="nil"/>
                    <w:tr2bl w:val="nil"/>
                  </w:tcBorders>
                  <w:vAlign w:val="center"/>
                </w:tcPr>
                <w:p w14:paraId="23BBD5B0">
                  <w:pPr>
                    <w:pStyle w:val="54"/>
                    <w:rPr>
                      <w:color w:val="auto"/>
                    </w:rPr>
                  </w:pPr>
                  <w:r>
                    <w:rPr>
                      <w:color w:val="auto"/>
                    </w:rPr>
                    <w:t xml:space="preserve">54.76 </w:t>
                  </w:r>
                </w:p>
              </w:tc>
              <w:tc>
                <w:tcPr>
                  <w:tcW w:w="186" w:type="pct"/>
                  <w:tcBorders>
                    <w:tl2br w:val="nil"/>
                    <w:tr2bl w:val="nil"/>
                  </w:tcBorders>
                  <w:vAlign w:val="center"/>
                </w:tcPr>
                <w:p w14:paraId="599961F9">
                  <w:pPr>
                    <w:pStyle w:val="54"/>
                    <w:rPr>
                      <w:color w:val="auto"/>
                    </w:rPr>
                  </w:pPr>
                  <w:r>
                    <w:rPr>
                      <w:color w:val="auto"/>
                    </w:rPr>
                    <w:t xml:space="preserve">54.76 </w:t>
                  </w:r>
                </w:p>
              </w:tc>
              <w:tc>
                <w:tcPr>
                  <w:tcW w:w="214" w:type="pct"/>
                  <w:tcBorders>
                    <w:tl2br w:val="nil"/>
                    <w:tr2bl w:val="nil"/>
                  </w:tcBorders>
                  <w:vAlign w:val="center"/>
                </w:tcPr>
                <w:p w14:paraId="1C9504E3">
                  <w:pPr>
                    <w:pStyle w:val="54"/>
                    <w:rPr>
                      <w:color w:val="auto"/>
                    </w:rPr>
                  </w:pPr>
                  <w:r>
                    <w:rPr>
                      <w:color w:val="auto"/>
                    </w:rPr>
                    <w:t>1m</w:t>
                  </w:r>
                </w:p>
              </w:tc>
            </w:tr>
          </w:tbl>
          <w:p w14:paraId="1F9EB753">
            <w:pPr>
              <w:pStyle w:val="50"/>
              <w:ind w:firstLine="480"/>
              <w:rPr>
                <w:color w:val="auto"/>
              </w:rPr>
            </w:pPr>
          </w:p>
          <w:p w14:paraId="60ED1F79">
            <w:pPr>
              <w:pStyle w:val="50"/>
              <w:ind w:firstLine="480"/>
              <w:rPr>
                <w:color w:val="auto"/>
              </w:rPr>
            </w:pPr>
          </w:p>
          <w:p w14:paraId="5718D5DD">
            <w:pPr>
              <w:pStyle w:val="50"/>
              <w:ind w:firstLine="480"/>
              <w:rPr>
                <w:color w:val="auto"/>
              </w:rPr>
            </w:pPr>
          </w:p>
          <w:p w14:paraId="75A83169">
            <w:pPr>
              <w:pStyle w:val="50"/>
              <w:ind w:firstLine="480"/>
              <w:rPr>
                <w:color w:val="auto"/>
              </w:rPr>
            </w:pPr>
          </w:p>
          <w:p w14:paraId="6143C6BD">
            <w:pPr>
              <w:pStyle w:val="50"/>
              <w:ind w:firstLine="480"/>
              <w:rPr>
                <w:color w:val="auto"/>
              </w:rPr>
            </w:pPr>
          </w:p>
          <w:p w14:paraId="6A0BA16A">
            <w:pPr>
              <w:pStyle w:val="50"/>
              <w:ind w:firstLine="480"/>
              <w:rPr>
                <w:color w:val="auto"/>
              </w:rPr>
            </w:pPr>
          </w:p>
          <w:p w14:paraId="685FFA83">
            <w:pPr>
              <w:pStyle w:val="50"/>
              <w:ind w:firstLine="480"/>
              <w:rPr>
                <w:color w:val="auto"/>
              </w:rPr>
            </w:pPr>
          </w:p>
          <w:p w14:paraId="2AF9A40A">
            <w:pPr>
              <w:pStyle w:val="50"/>
              <w:ind w:firstLine="480"/>
              <w:rPr>
                <w:color w:val="auto"/>
              </w:rPr>
            </w:pPr>
          </w:p>
          <w:p w14:paraId="4BB9DD72">
            <w:pPr>
              <w:pStyle w:val="50"/>
              <w:ind w:firstLine="480"/>
              <w:rPr>
                <w:color w:val="auto"/>
              </w:rPr>
            </w:pPr>
          </w:p>
          <w:p w14:paraId="44ED9B81">
            <w:pPr>
              <w:pStyle w:val="50"/>
              <w:ind w:firstLine="480"/>
              <w:rPr>
                <w:color w:val="auto"/>
              </w:rPr>
            </w:pPr>
          </w:p>
          <w:p w14:paraId="0DB86712">
            <w:pPr>
              <w:pStyle w:val="50"/>
              <w:ind w:firstLine="480"/>
              <w:rPr>
                <w:color w:val="auto"/>
              </w:rPr>
            </w:pPr>
          </w:p>
          <w:p w14:paraId="61C07E1E">
            <w:pPr>
              <w:pStyle w:val="50"/>
              <w:ind w:firstLine="480"/>
              <w:rPr>
                <w:color w:val="auto"/>
              </w:rPr>
            </w:pPr>
          </w:p>
          <w:p w14:paraId="60BD0895">
            <w:pPr>
              <w:pStyle w:val="50"/>
              <w:ind w:firstLine="480"/>
              <w:rPr>
                <w:color w:val="auto"/>
              </w:rPr>
            </w:pPr>
          </w:p>
          <w:p w14:paraId="0DFDFE65">
            <w:pPr>
              <w:pStyle w:val="50"/>
              <w:ind w:firstLine="480"/>
              <w:rPr>
                <w:color w:val="auto"/>
              </w:rPr>
            </w:pPr>
          </w:p>
          <w:p w14:paraId="2CB983D8">
            <w:pPr>
              <w:pStyle w:val="50"/>
              <w:ind w:firstLine="480"/>
              <w:rPr>
                <w:color w:val="auto"/>
              </w:rPr>
            </w:pPr>
          </w:p>
          <w:p w14:paraId="610B263A">
            <w:pPr>
              <w:pStyle w:val="50"/>
              <w:ind w:firstLine="480"/>
              <w:rPr>
                <w:color w:val="auto"/>
              </w:rPr>
            </w:pPr>
          </w:p>
          <w:p w14:paraId="486AC3ED">
            <w:pPr>
              <w:pStyle w:val="50"/>
              <w:ind w:firstLine="480"/>
              <w:rPr>
                <w:color w:val="auto"/>
              </w:rPr>
            </w:pPr>
          </w:p>
        </w:tc>
      </w:tr>
    </w:tbl>
    <w:p w14:paraId="2E62EFA8">
      <w:pPr>
        <w:spacing w:before="120" w:after="120"/>
        <w:ind w:right="105" w:firstLine="120"/>
        <w:rPr>
          <w:color w:val="auto"/>
        </w:rPr>
        <w:sectPr>
          <w:pgSz w:w="16838" w:h="11906" w:orient="landscape"/>
          <w:pgMar w:top="1417" w:right="1701" w:bottom="1417" w:left="1701" w:header="851" w:footer="851" w:gutter="0"/>
          <w:cols w:space="720" w:num="1"/>
          <w:docGrid w:linePitch="312" w:charSpace="0"/>
        </w:sectPr>
      </w:pPr>
    </w:p>
    <w:tbl>
      <w:tblPr>
        <w:tblStyle w:val="17"/>
        <w:tblW w:w="95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
        <w:gridCol w:w="8634"/>
      </w:tblGrid>
      <w:tr w14:paraId="5C2DF8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92" w:hRule="atLeast"/>
          <w:jc w:val="center"/>
        </w:trPr>
        <w:tc>
          <w:tcPr>
            <w:tcW w:w="850" w:type="dxa"/>
            <w:vAlign w:val="center"/>
          </w:tcPr>
          <w:p w14:paraId="1CF677EE">
            <w:pPr>
              <w:jc w:val="center"/>
              <w:rPr>
                <w:rFonts w:eastAsiaTheme="minorEastAsia"/>
                <w:color w:val="auto"/>
                <w:sz w:val="24"/>
              </w:rPr>
            </w:pPr>
            <w:r>
              <w:rPr>
                <w:rFonts w:eastAsiaTheme="minorEastAsia"/>
                <w:color w:val="auto"/>
                <w:sz w:val="24"/>
              </w:rPr>
              <w:t>运营</w:t>
            </w:r>
          </w:p>
          <w:p w14:paraId="509AA160">
            <w:pPr>
              <w:jc w:val="center"/>
              <w:rPr>
                <w:rFonts w:eastAsiaTheme="minorEastAsia"/>
                <w:color w:val="auto"/>
                <w:sz w:val="24"/>
              </w:rPr>
            </w:pPr>
            <w:r>
              <w:rPr>
                <w:rFonts w:eastAsiaTheme="minorEastAsia"/>
                <w:color w:val="auto"/>
                <w:sz w:val="24"/>
              </w:rPr>
              <w:t>期环</w:t>
            </w:r>
          </w:p>
          <w:p w14:paraId="0B003428">
            <w:pPr>
              <w:jc w:val="center"/>
              <w:rPr>
                <w:rFonts w:eastAsiaTheme="minorEastAsia"/>
                <w:color w:val="auto"/>
                <w:sz w:val="24"/>
              </w:rPr>
            </w:pPr>
            <w:r>
              <w:rPr>
                <w:rFonts w:eastAsiaTheme="minorEastAsia"/>
                <w:color w:val="auto"/>
                <w:sz w:val="24"/>
              </w:rPr>
              <w:t>境影</w:t>
            </w:r>
          </w:p>
          <w:p w14:paraId="42A6BF9E">
            <w:pPr>
              <w:jc w:val="center"/>
              <w:rPr>
                <w:rFonts w:eastAsiaTheme="minorEastAsia"/>
                <w:color w:val="auto"/>
                <w:sz w:val="24"/>
              </w:rPr>
            </w:pPr>
            <w:r>
              <w:rPr>
                <w:rFonts w:eastAsiaTheme="minorEastAsia"/>
                <w:color w:val="auto"/>
                <w:sz w:val="24"/>
              </w:rPr>
              <w:t>响和</w:t>
            </w:r>
          </w:p>
          <w:p w14:paraId="2F9323D3">
            <w:pPr>
              <w:jc w:val="center"/>
              <w:rPr>
                <w:rFonts w:eastAsiaTheme="minorEastAsia"/>
                <w:color w:val="auto"/>
                <w:sz w:val="24"/>
              </w:rPr>
            </w:pPr>
            <w:r>
              <w:rPr>
                <w:rFonts w:eastAsiaTheme="minorEastAsia"/>
                <w:color w:val="auto"/>
                <w:sz w:val="24"/>
              </w:rPr>
              <w:t>保护</w:t>
            </w:r>
          </w:p>
          <w:p w14:paraId="5E08DFE1">
            <w:pPr>
              <w:jc w:val="center"/>
              <w:rPr>
                <w:snapToGrid w:val="0"/>
                <w:color w:val="auto"/>
                <w:sz w:val="30"/>
              </w:rPr>
            </w:pPr>
            <w:r>
              <w:rPr>
                <w:rFonts w:eastAsiaTheme="minorEastAsia"/>
                <w:color w:val="auto"/>
                <w:sz w:val="24"/>
              </w:rPr>
              <w:t>措施</w:t>
            </w:r>
          </w:p>
        </w:tc>
        <w:tc>
          <w:tcPr>
            <w:tcW w:w="8244" w:type="dxa"/>
          </w:tcPr>
          <w:p w14:paraId="009A3B89">
            <w:pPr>
              <w:pStyle w:val="50"/>
              <w:ind w:firstLine="482"/>
              <w:rPr>
                <w:b/>
                <w:bCs/>
                <w:color w:val="auto"/>
              </w:rPr>
            </w:pPr>
            <w:bookmarkStart w:id="108" w:name="_Ref6115"/>
            <w:r>
              <w:rPr>
                <w:b/>
                <w:bCs/>
                <w:color w:val="auto"/>
              </w:rPr>
              <w:t>（2）噪声污染治理措施</w:t>
            </w:r>
          </w:p>
          <w:p w14:paraId="3714AE5A">
            <w:pPr>
              <w:pStyle w:val="50"/>
              <w:ind w:firstLine="480"/>
              <w:rPr>
                <w:color w:val="auto"/>
              </w:rPr>
            </w:pPr>
            <w:r>
              <w:rPr>
                <w:color w:val="auto"/>
              </w:rPr>
              <w:t>本</w:t>
            </w:r>
            <w:r>
              <w:rPr>
                <w:rFonts w:hint="eastAsia"/>
                <w:color w:val="auto"/>
              </w:rPr>
              <w:t>扩建</w:t>
            </w:r>
            <w:r>
              <w:rPr>
                <w:color w:val="auto"/>
              </w:rPr>
              <w:t>项目采取的噪声防治措施如下：</w:t>
            </w:r>
          </w:p>
          <w:p w14:paraId="00AF978D">
            <w:pPr>
              <w:pStyle w:val="50"/>
              <w:ind w:firstLine="480"/>
              <w:rPr>
                <w:color w:val="auto"/>
              </w:rPr>
            </w:pPr>
            <w:r>
              <w:rPr>
                <w:color w:val="auto"/>
              </w:rPr>
              <w:t>①对车间内部进行合理布局，将高噪声设备尽可能布置在远离厂界位置；</w:t>
            </w:r>
          </w:p>
          <w:p w14:paraId="213792FE">
            <w:pPr>
              <w:pStyle w:val="50"/>
              <w:ind w:firstLine="480"/>
              <w:rPr>
                <w:color w:val="auto"/>
              </w:rPr>
            </w:pPr>
            <w:r>
              <w:rPr>
                <w:color w:val="auto"/>
              </w:rPr>
              <w:t>②采购时尽量选择低噪声水平的设备，从源头上减少噪声排放；</w:t>
            </w:r>
          </w:p>
          <w:p w14:paraId="1F62B78B">
            <w:pPr>
              <w:pStyle w:val="50"/>
              <w:ind w:firstLine="480"/>
              <w:rPr>
                <w:color w:val="auto"/>
              </w:rPr>
            </w:pPr>
            <w:r>
              <w:rPr>
                <w:color w:val="auto"/>
              </w:rPr>
              <w:t>③对设备进行定期维修，保持设备良好的运转状态，降低噪声；</w:t>
            </w:r>
          </w:p>
          <w:p w14:paraId="6C5FFD89">
            <w:pPr>
              <w:pStyle w:val="50"/>
              <w:ind w:firstLine="480"/>
              <w:rPr>
                <w:color w:val="auto"/>
              </w:rPr>
            </w:pPr>
            <w:r>
              <w:rPr>
                <w:color w:val="auto"/>
              </w:rPr>
              <w:t>④设备采取基座加减振垫隔振、消声等处理措施。</w:t>
            </w:r>
          </w:p>
          <w:p w14:paraId="79C0035F">
            <w:pPr>
              <w:pStyle w:val="50"/>
              <w:ind w:firstLine="480"/>
              <w:rPr>
                <w:b/>
                <w:bCs/>
                <w:color w:val="auto"/>
              </w:rPr>
            </w:pPr>
            <w:r>
              <w:rPr>
                <w:color w:val="auto"/>
              </w:rPr>
              <w:t>经合理布局设备、采用低噪声设备，对高噪声设备采取减振、绿化隔声等各项治理措施后，降噪量≥20dB（A）。</w:t>
            </w:r>
          </w:p>
          <w:p w14:paraId="248C1B30">
            <w:pPr>
              <w:pStyle w:val="50"/>
              <w:ind w:firstLine="482"/>
              <w:rPr>
                <w:b/>
                <w:bCs/>
                <w:color w:val="auto"/>
              </w:rPr>
            </w:pPr>
            <w:r>
              <w:rPr>
                <w:b/>
                <w:bCs/>
                <w:color w:val="auto"/>
              </w:rPr>
              <w:t>（3）声环境影响分析</w:t>
            </w:r>
          </w:p>
          <w:p w14:paraId="189DE863">
            <w:pPr>
              <w:pStyle w:val="50"/>
              <w:ind w:firstLine="480"/>
              <w:rPr>
                <w:color w:val="auto"/>
              </w:rPr>
            </w:pPr>
            <w:r>
              <w:rPr>
                <w:color w:val="auto"/>
              </w:rPr>
              <w:t>根据《环境影响评价技术导则 声环境》（HJ2.4-2021）的规定，选取预测模式，应用过程中将根据具体情况做必要简化，计算过程如下：</w:t>
            </w:r>
          </w:p>
          <w:p w14:paraId="51A20FB4">
            <w:pPr>
              <w:pStyle w:val="50"/>
              <w:ind w:firstLine="482"/>
              <w:rPr>
                <w:b/>
                <w:bCs/>
                <w:color w:val="auto"/>
              </w:rPr>
            </w:pPr>
            <w:r>
              <w:rPr>
                <w:b/>
                <w:bCs/>
                <w:color w:val="auto"/>
              </w:rPr>
              <w:t>①室外声源计算方法</w:t>
            </w:r>
          </w:p>
          <w:p w14:paraId="71DC91C6">
            <w:pPr>
              <w:pStyle w:val="50"/>
              <w:ind w:firstLine="480"/>
              <w:rPr>
                <w:b/>
                <w:bCs/>
                <w:color w:val="auto"/>
              </w:rPr>
            </w:pPr>
            <w:r>
              <w:rPr>
                <w:color w:val="auto"/>
              </w:rPr>
              <w:t>为了简化计算条件并能考虑到最不利因素，计算时只考虑噪声随距离的衰减。</w:t>
            </w:r>
          </w:p>
          <w:p w14:paraId="675D6D7C">
            <w:pPr>
              <w:pStyle w:val="50"/>
              <w:ind w:firstLine="482"/>
              <w:rPr>
                <w:b/>
                <w:bCs/>
                <w:color w:val="auto"/>
              </w:rPr>
            </w:pPr>
            <w:r>
              <w:rPr>
                <w:b/>
                <w:bCs/>
                <w:color w:val="auto"/>
              </w:rPr>
              <w:t>②室内声源等效室外声源声功率级计算方法</w:t>
            </w:r>
          </w:p>
          <w:p w14:paraId="7DE44891">
            <w:pPr>
              <w:pStyle w:val="50"/>
              <w:ind w:firstLine="480"/>
              <w:rPr>
                <w:color w:val="auto"/>
              </w:rPr>
            </w:pPr>
            <w:r>
              <w:rPr>
                <w:color w:val="auto"/>
              </w:rPr>
              <w:t>按下计算某一室内声源靠近围护结构处产生的倍频带声压级或A声级：</w:t>
            </w:r>
          </w:p>
          <w:p w14:paraId="3C97FB4F">
            <w:pPr>
              <w:pStyle w:val="50"/>
              <w:ind w:firstLine="0" w:firstLineChars="0"/>
              <w:jc w:val="center"/>
              <w:rPr>
                <w:color w:val="auto"/>
                <w:lang w:bidi="ar"/>
              </w:rPr>
            </w:pPr>
            <w:r>
              <w:rPr>
                <w:color w:val="auto"/>
                <w:lang w:bidi="ar"/>
              </w:rPr>
              <w:object>
                <v:shape id="_x0000_i1027" o:spt="75" type="#_x0000_t75" style="height:32.8pt;width:144.55pt;" o:ole="t" filled="f" o:preferrelative="t" stroked="f" coordsize="21600,21600">
                  <v:path/>
                  <v:fill on="f" focussize="0,0"/>
                  <v:stroke on="f" joinstyle="miter"/>
                  <v:imagedata r:id="rId19" o:title=""/>
                  <o:lock v:ext="edit" aspectratio="t"/>
                  <w10:wrap type="none"/>
                  <w10:anchorlock/>
                </v:shape>
                <o:OLEObject Type="Embed" ProgID="Equation.3" ShapeID="_x0000_i1027" DrawAspect="Content" ObjectID="_1468075727" r:id="rId18">
                  <o:LockedField>false</o:LockedField>
                </o:OLEObject>
              </w:object>
            </w:r>
          </w:p>
          <w:p w14:paraId="7B2D7B56">
            <w:pPr>
              <w:pStyle w:val="50"/>
              <w:ind w:firstLine="480"/>
              <w:rPr>
                <w:color w:val="auto"/>
              </w:rPr>
            </w:pPr>
            <w:r>
              <w:rPr>
                <w:color w:val="auto"/>
              </w:rPr>
              <w:t>式中：L</w:t>
            </w:r>
            <w:r>
              <w:rPr>
                <w:color w:val="auto"/>
                <w:vertAlign w:val="subscript"/>
              </w:rPr>
              <w:t>P1</w:t>
            </w:r>
            <w:r>
              <w:rPr>
                <w:color w:val="auto"/>
              </w:rPr>
              <w:t xml:space="preserve">——靠近开口处（或窗户）室内某倍频带的声压级或A声级，dB； </w:t>
            </w:r>
          </w:p>
          <w:p w14:paraId="35F41FD5">
            <w:pPr>
              <w:pStyle w:val="50"/>
              <w:ind w:left="1155" w:leftChars="550" w:firstLine="0" w:firstLineChars="0"/>
              <w:rPr>
                <w:color w:val="auto"/>
              </w:rPr>
            </w:pPr>
            <w:r>
              <w:rPr>
                <w:color w:val="auto"/>
              </w:rPr>
              <w:t>L</w:t>
            </w:r>
            <w:r>
              <w:rPr>
                <w:color w:val="auto"/>
                <w:vertAlign w:val="subscript"/>
              </w:rPr>
              <w:t>W</w:t>
            </w:r>
            <w:r>
              <w:rPr>
                <w:color w:val="auto"/>
              </w:rPr>
              <w:t>——点声源声功率级（A计权或倍频带），dB；</w:t>
            </w:r>
          </w:p>
          <w:p w14:paraId="46030EB2">
            <w:pPr>
              <w:pStyle w:val="50"/>
              <w:ind w:left="1155" w:leftChars="550" w:firstLine="0" w:firstLineChars="0"/>
              <w:rPr>
                <w:color w:val="auto"/>
              </w:rPr>
            </w:pPr>
            <w:r>
              <w:rPr>
                <w:color w:val="auto"/>
              </w:rPr>
              <w:t>Q——指向性因数；通常对无指向性声源，当声源放在房间中心时，Q=1；当放在一面墙的中心时，Q=2；当放在两面墙夹角处时，Q=4；当放在三面墙夹角处时，Q=8；</w:t>
            </w:r>
          </w:p>
          <w:p w14:paraId="50CD8AAC">
            <w:pPr>
              <w:pStyle w:val="50"/>
              <w:ind w:left="1155" w:leftChars="550" w:firstLine="0" w:firstLineChars="0"/>
              <w:rPr>
                <w:color w:val="auto"/>
              </w:rPr>
            </w:pPr>
            <w:r>
              <w:rPr>
                <w:color w:val="auto"/>
              </w:rPr>
              <w:t>R——房间常数；R=Sα /（1-α），S为房间内表面面积，m</w:t>
            </w:r>
            <w:r>
              <w:rPr>
                <w:color w:val="auto"/>
                <w:vertAlign w:val="superscript"/>
              </w:rPr>
              <w:t>2</w:t>
            </w:r>
            <w:r>
              <w:rPr>
                <w:color w:val="auto"/>
              </w:rPr>
              <w:t>；α为平均吸声系数；</w:t>
            </w:r>
          </w:p>
          <w:p w14:paraId="4C887F1F">
            <w:pPr>
              <w:pStyle w:val="50"/>
              <w:ind w:left="1155" w:leftChars="550" w:firstLine="0" w:firstLineChars="0"/>
              <w:rPr>
                <w:color w:val="auto"/>
              </w:rPr>
            </w:pPr>
            <w:r>
              <w:rPr>
                <w:color w:val="auto"/>
              </w:rPr>
              <w:t>r——声源到靠近围护结构某点处的距离，m。</w:t>
            </w:r>
          </w:p>
          <w:p w14:paraId="7B570B23">
            <w:pPr>
              <w:pStyle w:val="50"/>
              <w:ind w:firstLine="480"/>
              <w:rPr>
                <w:color w:val="auto"/>
              </w:rPr>
            </w:pPr>
            <w:r>
              <w:rPr>
                <w:color w:val="auto"/>
              </w:rPr>
              <w:t>在室内近似为扩散声场时，按下式计算出靠近室外围护结构处的声压级：</w:t>
            </w:r>
          </w:p>
          <w:p w14:paraId="734F048C">
            <w:pPr>
              <w:pStyle w:val="50"/>
              <w:ind w:firstLine="0" w:firstLineChars="0"/>
              <w:jc w:val="center"/>
              <w:rPr>
                <w:color w:val="auto"/>
                <w:lang w:bidi="ar"/>
              </w:rPr>
            </w:pPr>
            <w:r>
              <w:rPr>
                <w:color w:val="auto"/>
                <w:lang w:bidi="ar"/>
              </w:rPr>
              <w:object>
                <v:shape id="_x0000_i1028" o:spt="75" type="#_x0000_t75" style="height:20.65pt;width:150.25pt;" o:ole="t" filled="f" o:preferrelative="t" stroked="f" coordsize="21600,21600">
                  <v:path/>
                  <v:fill on="f" focussize="0,0"/>
                  <v:stroke on="f" joinstyle="miter"/>
                  <v:imagedata r:id="rId21" o:title=""/>
                  <o:lock v:ext="edit" aspectratio="t"/>
                  <w10:wrap type="none"/>
                  <w10:anchorlock/>
                </v:shape>
                <o:OLEObject Type="Embed" ProgID="Equation.3" ShapeID="_x0000_i1028" DrawAspect="Content" ObjectID="_1468075728" r:id="rId20">
                  <o:LockedField>false</o:LockedField>
                </o:OLEObject>
              </w:object>
            </w:r>
          </w:p>
          <w:p w14:paraId="2544D8D5">
            <w:pPr>
              <w:pStyle w:val="50"/>
              <w:ind w:firstLine="480"/>
              <w:rPr>
                <w:color w:val="auto"/>
              </w:rPr>
            </w:pPr>
            <w:r>
              <w:rPr>
                <w:color w:val="auto"/>
              </w:rPr>
              <w:t>式中：L</w:t>
            </w:r>
            <w:r>
              <w:rPr>
                <w:color w:val="auto"/>
                <w:vertAlign w:val="subscript"/>
              </w:rPr>
              <w:t>p2i(T)</w:t>
            </w:r>
            <w:r>
              <w:rPr>
                <w:color w:val="auto"/>
              </w:rPr>
              <w:t>——靠近围护结构处室外N个声源i倍频带的叠加声压级，dB；</w:t>
            </w:r>
          </w:p>
          <w:p w14:paraId="09BF4611">
            <w:pPr>
              <w:pStyle w:val="50"/>
              <w:ind w:left="1155" w:leftChars="550" w:firstLine="0" w:firstLineChars="0"/>
              <w:rPr>
                <w:color w:val="auto"/>
              </w:rPr>
            </w:pPr>
            <w:r>
              <w:rPr>
                <w:color w:val="auto"/>
              </w:rPr>
              <w:t>L</w:t>
            </w:r>
            <w:r>
              <w:rPr>
                <w:color w:val="auto"/>
                <w:vertAlign w:val="subscript"/>
              </w:rPr>
              <w:t>p1i(T)</w:t>
            </w:r>
            <w:r>
              <w:rPr>
                <w:color w:val="auto"/>
              </w:rPr>
              <w:t>——靠近围护结构处室内N个声源i倍频带的叠加声压级，dB；</w:t>
            </w:r>
          </w:p>
          <w:p w14:paraId="6E11CC81">
            <w:pPr>
              <w:pStyle w:val="50"/>
              <w:ind w:left="1155" w:leftChars="550" w:firstLine="0" w:firstLineChars="0"/>
              <w:rPr>
                <w:color w:val="auto"/>
              </w:rPr>
            </w:pPr>
            <w:r>
              <w:rPr>
                <w:color w:val="auto"/>
              </w:rPr>
              <w:t>T</w:t>
            </w:r>
            <w:r>
              <w:rPr>
                <w:color w:val="auto"/>
                <w:vertAlign w:val="subscript"/>
              </w:rPr>
              <w:t>Li</w:t>
            </w:r>
            <w:r>
              <w:rPr>
                <w:color w:val="auto"/>
              </w:rPr>
              <w:t>——围护结构i倍频带的隔声量，dB。</w:t>
            </w:r>
          </w:p>
          <w:p w14:paraId="68E2E042">
            <w:pPr>
              <w:pStyle w:val="50"/>
              <w:ind w:firstLine="480"/>
              <w:rPr>
                <w:color w:val="auto"/>
              </w:rPr>
            </w:pPr>
            <w:r>
              <w:rPr>
                <w:color w:val="auto"/>
              </w:rPr>
              <w:t>然后按下式计算出所有室内声源在围护结构处产生的i倍频带叠加声压级：</w:t>
            </w:r>
          </w:p>
          <w:p w14:paraId="379870AB">
            <w:pPr>
              <w:pStyle w:val="50"/>
              <w:ind w:firstLine="0" w:firstLineChars="0"/>
              <w:jc w:val="center"/>
              <w:rPr>
                <w:color w:val="auto"/>
                <w:lang w:bidi="ar"/>
              </w:rPr>
            </w:pPr>
            <w:r>
              <w:rPr>
                <w:color w:val="auto"/>
                <w:lang w:bidi="ar"/>
              </w:rPr>
              <w:object>
                <v:shape id="_x0000_i1029" o:spt="75" type="#_x0000_t75" style="height:36.85pt;width:141.75pt;" o:ole="t" filled="f" o:preferrelative="t" stroked="f" coordsize="21600,21600">
                  <v:path/>
                  <v:fill on="f" focussize="0,0"/>
                  <v:stroke on="f" joinstyle="miter"/>
                  <v:imagedata r:id="rId23" o:title=""/>
                  <o:lock v:ext="edit" aspectratio="t"/>
                  <w10:wrap type="none"/>
                  <w10:anchorlock/>
                </v:shape>
                <o:OLEObject Type="Embed" ProgID="Equation.3" ShapeID="_x0000_i1029" DrawAspect="Content" ObjectID="_1468075729" r:id="rId22">
                  <o:LockedField>false</o:LockedField>
                </o:OLEObject>
              </w:object>
            </w:r>
          </w:p>
          <w:p w14:paraId="6B6F181A">
            <w:pPr>
              <w:pStyle w:val="50"/>
              <w:ind w:firstLine="480"/>
              <w:rPr>
                <w:color w:val="auto"/>
              </w:rPr>
            </w:pPr>
            <w:r>
              <w:rPr>
                <w:color w:val="auto"/>
              </w:rPr>
              <w:t>式中：L</w:t>
            </w:r>
            <w:r>
              <w:rPr>
                <w:color w:val="auto"/>
                <w:vertAlign w:val="subscript"/>
              </w:rPr>
              <w:t>p1i(T)</w:t>
            </w:r>
            <w:r>
              <w:rPr>
                <w:color w:val="auto"/>
              </w:rPr>
              <w:t>——靠近围护结构处室内N个声源i倍频带的叠加声压级，dB；</w:t>
            </w:r>
          </w:p>
          <w:p w14:paraId="4CD98115">
            <w:pPr>
              <w:pStyle w:val="50"/>
              <w:ind w:left="1155" w:leftChars="550" w:firstLine="0" w:firstLineChars="0"/>
              <w:rPr>
                <w:color w:val="auto"/>
              </w:rPr>
            </w:pPr>
            <w:r>
              <w:rPr>
                <w:color w:val="auto"/>
              </w:rPr>
              <w:t>L</w:t>
            </w:r>
            <w:r>
              <w:rPr>
                <w:color w:val="auto"/>
                <w:vertAlign w:val="subscript"/>
              </w:rPr>
              <w:t>p1ij</w:t>
            </w:r>
            <w:r>
              <w:rPr>
                <w:color w:val="auto"/>
              </w:rPr>
              <w:t>——室内j声源i倍频带的声压级，dB；</w:t>
            </w:r>
          </w:p>
          <w:p w14:paraId="53431A7C">
            <w:pPr>
              <w:pStyle w:val="50"/>
              <w:ind w:left="1155" w:leftChars="550" w:firstLine="0" w:firstLineChars="0"/>
              <w:rPr>
                <w:color w:val="auto"/>
              </w:rPr>
            </w:pPr>
            <w:r>
              <w:rPr>
                <w:color w:val="auto"/>
              </w:rPr>
              <w:t>N——室内声源总数。</w:t>
            </w:r>
          </w:p>
          <w:p w14:paraId="169D239E">
            <w:pPr>
              <w:pStyle w:val="50"/>
              <w:ind w:firstLine="482"/>
              <w:rPr>
                <w:b/>
                <w:bCs/>
                <w:color w:val="auto"/>
              </w:rPr>
            </w:pPr>
            <w:r>
              <w:rPr>
                <w:b/>
                <w:bCs/>
                <w:color w:val="auto"/>
              </w:rPr>
              <w:t>③噪声贡献值</w:t>
            </w:r>
          </w:p>
          <w:p w14:paraId="5AC3A22C">
            <w:pPr>
              <w:pStyle w:val="50"/>
              <w:ind w:firstLine="480"/>
              <w:rPr>
                <w:color w:val="auto"/>
              </w:rPr>
            </w:pPr>
            <w:r>
              <w:rPr>
                <w:color w:val="auto"/>
              </w:rPr>
              <w:t>设第i个室外声源在预测点产生的A声级为L</w:t>
            </w:r>
            <w:r>
              <w:rPr>
                <w:color w:val="auto"/>
                <w:vertAlign w:val="subscript"/>
              </w:rPr>
              <w:t>Ai</w:t>
            </w:r>
            <w:r>
              <w:rPr>
                <w:color w:val="auto"/>
              </w:rPr>
              <w:t>，在T时间内该声源工作时间为t</w:t>
            </w:r>
            <w:r>
              <w:rPr>
                <w:color w:val="auto"/>
                <w:vertAlign w:val="subscript"/>
              </w:rPr>
              <w:t>i</w:t>
            </w:r>
            <w:r>
              <w:rPr>
                <w:color w:val="auto"/>
              </w:rPr>
              <w:t>；第j个等效室外声源在预测点产生的A声级为L</w:t>
            </w:r>
            <w:r>
              <w:rPr>
                <w:color w:val="auto"/>
                <w:vertAlign w:val="subscript"/>
              </w:rPr>
              <w:t>Aj</w:t>
            </w:r>
            <w:r>
              <w:rPr>
                <w:color w:val="auto"/>
              </w:rPr>
              <w:t>，在T时间内该声源工作时间为t</w:t>
            </w:r>
            <w:r>
              <w:rPr>
                <w:color w:val="auto"/>
                <w:vertAlign w:val="subscript"/>
              </w:rPr>
              <w:t>j</w:t>
            </w:r>
            <w:r>
              <w:rPr>
                <w:color w:val="auto"/>
              </w:rPr>
              <w:t>，则拟建工程声源对预测点产生的贡献值为：</w:t>
            </w:r>
          </w:p>
          <w:p w14:paraId="6D02462F">
            <w:pPr>
              <w:pStyle w:val="50"/>
              <w:ind w:firstLine="0" w:firstLineChars="0"/>
              <w:jc w:val="center"/>
              <w:rPr>
                <w:color w:val="auto"/>
                <w:lang w:bidi="ar"/>
              </w:rPr>
            </w:pPr>
            <w:r>
              <w:rPr>
                <w:color w:val="auto"/>
                <w:lang w:bidi="ar"/>
              </w:rPr>
              <w:object>
                <v:shape id="_x0000_i1030" o:spt="75" type="#_x0000_t75" style="height:39.7pt;width:201.25pt;" o:ole="t" filled="f" o:preferrelative="t" stroked="f" coordsize="21600,21600">
                  <v:path/>
                  <v:fill on="f" focussize="0,0"/>
                  <v:stroke on="f" joinstyle="miter"/>
                  <v:imagedata r:id="rId25" o:title=""/>
                  <o:lock v:ext="edit" aspectratio="t"/>
                  <w10:wrap type="none"/>
                  <w10:anchorlock/>
                </v:shape>
                <o:OLEObject Type="Embed" ProgID="Equation.3" ShapeID="_x0000_i1030" DrawAspect="Content" ObjectID="_1468075730" r:id="rId24">
                  <o:LockedField>false</o:LockedField>
                </o:OLEObject>
              </w:object>
            </w:r>
          </w:p>
          <w:p w14:paraId="19BF6C8E">
            <w:pPr>
              <w:pStyle w:val="50"/>
              <w:ind w:firstLine="480"/>
              <w:rPr>
                <w:color w:val="auto"/>
              </w:rPr>
            </w:pPr>
            <w:r>
              <w:rPr>
                <w:color w:val="auto"/>
              </w:rPr>
              <w:t>式中：Leqg——建设项目声源在预测点产生的噪声贡献值，dB；</w:t>
            </w:r>
          </w:p>
          <w:p w14:paraId="606AFD98">
            <w:pPr>
              <w:pStyle w:val="50"/>
              <w:ind w:left="1155" w:leftChars="550" w:firstLine="0" w:firstLineChars="0"/>
              <w:rPr>
                <w:color w:val="auto"/>
              </w:rPr>
            </w:pPr>
            <w:r>
              <w:rPr>
                <w:color w:val="auto"/>
              </w:rPr>
              <w:t>T—用于计算等效声级的时间，s；</w:t>
            </w:r>
          </w:p>
          <w:p w14:paraId="6ABD0A3E">
            <w:pPr>
              <w:pStyle w:val="50"/>
              <w:ind w:left="1155" w:leftChars="550" w:firstLine="0" w:firstLineChars="0"/>
              <w:rPr>
                <w:color w:val="auto"/>
              </w:rPr>
            </w:pPr>
            <w:r>
              <w:rPr>
                <w:color w:val="auto"/>
              </w:rPr>
              <w:t>N—室外声源个数；</w:t>
            </w:r>
          </w:p>
          <w:p w14:paraId="0BDE8BBE">
            <w:pPr>
              <w:pStyle w:val="50"/>
              <w:ind w:left="1155" w:leftChars="550" w:firstLine="0" w:firstLineChars="0"/>
              <w:rPr>
                <w:color w:val="auto"/>
              </w:rPr>
            </w:pPr>
            <w:r>
              <w:rPr>
                <w:color w:val="auto"/>
              </w:rPr>
              <w:t>t</w:t>
            </w:r>
            <w:r>
              <w:rPr>
                <w:color w:val="auto"/>
                <w:vertAlign w:val="subscript"/>
              </w:rPr>
              <w:t>j</w:t>
            </w:r>
            <w:r>
              <w:rPr>
                <w:color w:val="auto"/>
              </w:rPr>
              <w:t>—在T时间内j声源工作时间，s；</w:t>
            </w:r>
          </w:p>
          <w:p w14:paraId="4D01319C">
            <w:pPr>
              <w:pStyle w:val="50"/>
              <w:ind w:left="1155" w:leftChars="550" w:firstLine="0" w:firstLineChars="0"/>
              <w:rPr>
                <w:color w:val="auto"/>
              </w:rPr>
            </w:pPr>
            <w:r>
              <w:rPr>
                <w:color w:val="auto"/>
              </w:rPr>
              <w:t>M—等效室外声源个数；</w:t>
            </w:r>
          </w:p>
          <w:p w14:paraId="7627D387">
            <w:pPr>
              <w:pStyle w:val="50"/>
              <w:ind w:left="1155" w:leftChars="550" w:firstLine="0" w:firstLineChars="0"/>
              <w:rPr>
                <w:color w:val="auto"/>
              </w:rPr>
            </w:pPr>
            <w:r>
              <w:rPr>
                <w:color w:val="auto"/>
              </w:rPr>
              <w:t>t</w:t>
            </w:r>
            <w:r>
              <w:rPr>
                <w:color w:val="auto"/>
                <w:vertAlign w:val="subscript"/>
              </w:rPr>
              <w:t>i</w:t>
            </w:r>
            <w:r>
              <w:rPr>
                <w:color w:val="auto"/>
              </w:rPr>
              <w:t>—在T时间内i声源工作时间，s。</w:t>
            </w:r>
          </w:p>
          <w:p w14:paraId="3424FFFD">
            <w:pPr>
              <w:pStyle w:val="50"/>
              <w:ind w:firstLine="482"/>
              <w:rPr>
                <w:b/>
                <w:bCs/>
                <w:color w:val="auto"/>
              </w:rPr>
            </w:pPr>
            <w:r>
              <w:rPr>
                <w:b/>
                <w:bCs/>
                <w:color w:val="auto"/>
              </w:rPr>
              <w:t>④点声源的几何发散衰减</w:t>
            </w:r>
          </w:p>
          <w:p w14:paraId="6ED426A8">
            <w:pPr>
              <w:pStyle w:val="50"/>
              <w:ind w:firstLine="0" w:firstLineChars="0"/>
              <w:jc w:val="center"/>
              <w:rPr>
                <w:color w:val="auto"/>
                <w:lang w:bidi="ar"/>
              </w:rPr>
            </w:pPr>
            <w:r>
              <w:rPr>
                <w:color w:val="auto"/>
                <w:lang w:bidi="ar"/>
              </w:rPr>
              <w:object>
                <v:shape id="_x0000_i1031" o:spt="75" type="#_x0000_t75" style="height:20.5pt;width:130.4pt;" o:ole="t" filled="f" o:preferrelative="t" stroked="f" coordsize="21600,21600">
                  <v:path/>
                  <v:fill on="f" focussize="0,0"/>
                  <v:stroke on="f" joinstyle="miter"/>
                  <v:imagedata r:id="rId27" o:title=""/>
                  <o:lock v:ext="edit" aspectratio="t"/>
                  <w10:wrap type="none"/>
                  <w10:anchorlock/>
                </v:shape>
                <o:OLEObject Type="Embed" ProgID="Equation.3" ShapeID="_x0000_i1031" DrawAspect="Content" ObjectID="_1468075731" r:id="rId26">
                  <o:LockedField>false</o:LockedField>
                </o:OLEObject>
              </w:object>
            </w:r>
          </w:p>
          <w:p w14:paraId="123A8B77">
            <w:pPr>
              <w:pStyle w:val="50"/>
              <w:ind w:firstLine="480"/>
              <w:rPr>
                <w:color w:val="auto"/>
              </w:rPr>
            </w:pPr>
            <w:r>
              <w:rPr>
                <w:color w:val="auto"/>
              </w:rPr>
              <w:t>式中：L</w:t>
            </w:r>
            <w:r>
              <w:rPr>
                <w:color w:val="auto"/>
                <w:vertAlign w:val="subscript"/>
              </w:rPr>
              <w:t>p(r)</w:t>
            </w:r>
            <w:r>
              <w:rPr>
                <w:color w:val="auto"/>
              </w:rPr>
              <w:t>—建设项目声源在距离声源点r处值，dB</w:t>
            </w:r>
            <w:r>
              <w:rPr>
                <w:rFonts w:hint="eastAsia"/>
                <w:color w:val="auto"/>
              </w:rPr>
              <w:t>（A）</w:t>
            </w:r>
            <w:r>
              <w:rPr>
                <w:color w:val="auto"/>
              </w:rPr>
              <w:t>；</w:t>
            </w:r>
          </w:p>
          <w:p w14:paraId="1A4A07E9">
            <w:pPr>
              <w:pStyle w:val="50"/>
              <w:ind w:left="1155" w:leftChars="550" w:firstLine="0" w:firstLineChars="0"/>
              <w:rPr>
                <w:color w:val="auto"/>
              </w:rPr>
            </w:pPr>
            <w:r>
              <w:rPr>
                <w:color w:val="auto"/>
              </w:rPr>
              <w:t>L</w:t>
            </w:r>
            <w:r>
              <w:rPr>
                <w:color w:val="auto"/>
                <w:vertAlign w:val="subscript"/>
              </w:rPr>
              <w:t>p(r0)</w:t>
            </w:r>
            <w:r>
              <w:rPr>
                <w:color w:val="auto"/>
              </w:rPr>
              <w:t>—建设项目声源值，dB</w:t>
            </w:r>
            <w:r>
              <w:rPr>
                <w:rFonts w:hint="eastAsia"/>
                <w:color w:val="auto"/>
              </w:rPr>
              <w:t>（A）</w:t>
            </w:r>
            <w:r>
              <w:rPr>
                <w:color w:val="auto"/>
              </w:rPr>
              <w:t>。</w:t>
            </w:r>
          </w:p>
          <w:p w14:paraId="173A8987">
            <w:pPr>
              <w:pStyle w:val="50"/>
              <w:ind w:firstLine="482"/>
              <w:rPr>
                <w:b/>
                <w:bCs/>
                <w:color w:val="auto"/>
              </w:rPr>
            </w:pPr>
            <w:r>
              <w:rPr>
                <w:b/>
                <w:bCs/>
                <w:color w:val="auto"/>
              </w:rPr>
              <w:t>⑤噪声预测值计算方法</w:t>
            </w:r>
          </w:p>
          <w:p w14:paraId="4740D2A1">
            <w:pPr>
              <w:pStyle w:val="50"/>
              <w:ind w:firstLine="480"/>
              <w:rPr>
                <w:color w:val="auto"/>
              </w:rPr>
            </w:pPr>
            <w:r>
              <w:rPr>
                <w:color w:val="auto"/>
              </w:rPr>
              <w:t>预测点的贡献值和背景值按能量叠加方法计算得到的声级。</w:t>
            </w:r>
          </w:p>
          <w:p w14:paraId="67C30889">
            <w:pPr>
              <w:pStyle w:val="50"/>
              <w:ind w:firstLine="0" w:firstLineChars="0"/>
              <w:jc w:val="center"/>
              <w:rPr>
                <w:color w:val="auto"/>
                <w:lang w:bidi="ar"/>
              </w:rPr>
            </w:pPr>
            <w:r>
              <w:rPr>
                <w:color w:val="auto"/>
                <w:lang w:bidi="ar"/>
              </w:rPr>
              <w:object>
                <v:shape id="_x0000_i1032" o:spt="75" type="#_x0000_t75" style="height:22.15pt;width:127.55pt;" o:ole="t" filled="f" o:preferrelative="t" stroked="f" coordsize="21600,21600">
                  <v:path/>
                  <v:fill on="f" focussize="0,0"/>
                  <v:stroke on="f" joinstyle="miter"/>
                  <v:imagedata r:id="rId29" o:title=""/>
                  <o:lock v:ext="edit" aspectratio="t"/>
                  <w10:wrap type="none"/>
                  <w10:anchorlock/>
                </v:shape>
                <o:OLEObject Type="Embed" ProgID="Equation.3" ShapeID="_x0000_i1032" DrawAspect="Content" ObjectID="_1468075732" r:id="rId28">
                  <o:LockedField>false</o:LockedField>
                </o:OLEObject>
              </w:object>
            </w:r>
          </w:p>
          <w:p w14:paraId="7C67BC97">
            <w:pPr>
              <w:pStyle w:val="50"/>
              <w:ind w:firstLine="480"/>
              <w:rPr>
                <w:color w:val="auto"/>
              </w:rPr>
            </w:pPr>
            <w:r>
              <w:rPr>
                <w:color w:val="auto"/>
              </w:rPr>
              <w:t>式中：L</w:t>
            </w:r>
            <w:r>
              <w:rPr>
                <w:color w:val="auto"/>
                <w:vertAlign w:val="subscript"/>
              </w:rPr>
              <w:t>eq</w:t>
            </w:r>
            <w:r>
              <w:rPr>
                <w:color w:val="auto"/>
              </w:rPr>
              <w:t>—预测点的噪声预测值，dB；</w:t>
            </w:r>
          </w:p>
          <w:p w14:paraId="22828789">
            <w:pPr>
              <w:pStyle w:val="50"/>
              <w:ind w:left="1155" w:leftChars="550" w:firstLine="0" w:firstLineChars="0"/>
              <w:rPr>
                <w:color w:val="auto"/>
              </w:rPr>
            </w:pPr>
            <w:r>
              <w:rPr>
                <w:rFonts w:hint="eastAsia"/>
                <w:color w:val="auto"/>
              </w:rPr>
              <w:t>L</w:t>
            </w:r>
            <w:r>
              <w:rPr>
                <w:rFonts w:hint="eastAsia"/>
                <w:color w:val="auto"/>
                <w:vertAlign w:val="subscript"/>
              </w:rPr>
              <w:t>eg</w:t>
            </w:r>
            <w:r>
              <w:rPr>
                <w:color w:val="auto"/>
              </w:rPr>
              <w:t>—建设项目声源在预测点的噪声贡献值，dB；</w:t>
            </w:r>
          </w:p>
          <w:p w14:paraId="1591A29F">
            <w:pPr>
              <w:pStyle w:val="50"/>
              <w:ind w:left="1155" w:leftChars="550" w:firstLine="0" w:firstLineChars="0"/>
              <w:rPr>
                <w:color w:val="auto"/>
              </w:rPr>
            </w:pPr>
            <w:r>
              <w:rPr>
                <w:color w:val="auto"/>
              </w:rPr>
              <w:t>L</w:t>
            </w:r>
            <w:r>
              <w:rPr>
                <w:color w:val="auto"/>
                <w:vertAlign w:val="subscript"/>
              </w:rPr>
              <w:t>eqb</w:t>
            </w:r>
            <w:r>
              <w:rPr>
                <w:color w:val="auto"/>
              </w:rPr>
              <w:t>—预测点的背景噪声值，dB。</w:t>
            </w:r>
          </w:p>
          <w:p w14:paraId="7F6DBA5F">
            <w:pPr>
              <w:pStyle w:val="50"/>
              <w:ind w:firstLine="480"/>
              <w:rPr>
                <w:color w:val="auto"/>
              </w:rPr>
            </w:pPr>
            <w:r>
              <w:rPr>
                <w:color w:val="auto"/>
              </w:rPr>
              <w:t>预测结果见下</w:t>
            </w:r>
            <w:r>
              <w:rPr>
                <w:color w:val="auto"/>
              </w:rPr>
              <w:fldChar w:fldCharType="begin"/>
            </w:r>
            <w:r>
              <w:rPr>
                <w:color w:val="auto"/>
              </w:rPr>
              <w:instrText xml:space="preserve"> REF _Ref28792 \h </w:instrText>
            </w:r>
            <w:r>
              <w:rPr>
                <w:color w:val="auto"/>
              </w:rPr>
              <w:fldChar w:fldCharType="separate"/>
            </w:r>
            <w:r>
              <w:rPr>
                <w:color w:val="auto"/>
              </w:rPr>
              <w:t>表4- 16</w:t>
            </w:r>
            <w:r>
              <w:rPr>
                <w:color w:val="auto"/>
              </w:rPr>
              <w:fldChar w:fldCharType="end"/>
            </w:r>
            <w:r>
              <w:rPr>
                <w:color w:val="auto"/>
              </w:rPr>
              <w:t>。</w:t>
            </w:r>
          </w:p>
          <w:p w14:paraId="6052E940">
            <w:pPr>
              <w:pStyle w:val="7"/>
              <w:rPr>
                <w:color w:val="auto"/>
              </w:rPr>
            </w:pPr>
            <w:bookmarkStart w:id="109" w:name="_Ref28792"/>
            <w:r>
              <w:rPr>
                <w:color w:val="auto"/>
              </w:rPr>
              <w:t xml:space="preserve">表4- </w:t>
            </w:r>
            <w:r>
              <w:rPr>
                <w:color w:val="auto"/>
              </w:rPr>
              <w:fldChar w:fldCharType="begin"/>
            </w:r>
            <w:r>
              <w:rPr>
                <w:color w:val="auto"/>
              </w:rPr>
              <w:instrText xml:space="preserve"> SEQ 表4- \* ARABIC </w:instrText>
            </w:r>
            <w:r>
              <w:rPr>
                <w:color w:val="auto"/>
              </w:rPr>
              <w:fldChar w:fldCharType="separate"/>
            </w:r>
            <w:r>
              <w:rPr>
                <w:color w:val="auto"/>
              </w:rPr>
              <w:t>16</w:t>
            </w:r>
            <w:r>
              <w:rPr>
                <w:color w:val="auto"/>
              </w:rPr>
              <w:fldChar w:fldCharType="end"/>
            </w:r>
            <w:bookmarkEnd w:id="108"/>
            <w:bookmarkEnd w:id="109"/>
            <w:r>
              <w:rPr>
                <w:color w:val="auto"/>
              </w:rPr>
              <w:t xml:space="preserve"> 厂界噪声预测结果与达标分析表</w:t>
            </w:r>
            <w:r>
              <w:rPr>
                <w:rFonts w:hint="eastAsia"/>
                <w:color w:val="auto"/>
              </w:rPr>
              <w:t>（单位：</w:t>
            </w:r>
            <w:r>
              <w:rPr>
                <w:color w:val="auto"/>
              </w:rPr>
              <w:t>dB(A)</w:t>
            </w:r>
            <w:r>
              <w:rPr>
                <w:rFonts w:hint="eastAsia"/>
                <w:color w:val="auto"/>
              </w:rPr>
              <w:t>）</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
              <w:gridCol w:w="847"/>
              <w:gridCol w:w="852"/>
              <w:gridCol w:w="828"/>
              <w:gridCol w:w="840"/>
              <w:gridCol w:w="840"/>
              <w:gridCol w:w="840"/>
              <w:gridCol w:w="840"/>
              <w:gridCol w:w="840"/>
              <w:gridCol w:w="848"/>
            </w:tblGrid>
            <w:tr w14:paraId="5AFDFA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95" w:type="pct"/>
                  <w:vMerge w:val="restart"/>
                  <w:shd w:val="clear" w:color="auto" w:fill="auto"/>
                  <w:vAlign w:val="center"/>
                </w:tcPr>
                <w:p w14:paraId="53B9EC21">
                  <w:pPr>
                    <w:pStyle w:val="52"/>
                    <w:rPr>
                      <w:color w:val="auto"/>
                    </w:rPr>
                  </w:pPr>
                  <w:r>
                    <w:rPr>
                      <w:color w:val="auto"/>
                    </w:rPr>
                    <w:t>预测</w:t>
                  </w:r>
                </w:p>
                <w:p w14:paraId="7E52E12A">
                  <w:pPr>
                    <w:pStyle w:val="52"/>
                    <w:rPr>
                      <w:color w:val="auto"/>
                    </w:rPr>
                  </w:pPr>
                  <w:r>
                    <w:rPr>
                      <w:color w:val="auto"/>
                    </w:rPr>
                    <w:t>方位</w:t>
                  </w:r>
                </w:p>
              </w:tc>
              <w:tc>
                <w:tcPr>
                  <w:tcW w:w="1010" w:type="pct"/>
                  <w:gridSpan w:val="2"/>
                  <w:shd w:val="clear" w:color="auto" w:fill="auto"/>
                  <w:vAlign w:val="center"/>
                </w:tcPr>
                <w:p w14:paraId="3887C871">
                  <w:pPr>
                    <w:pStyle w:val="52"/>
                    <w:rPr>
                      <w:color w:val="auto"/>
                    </w:rPr>
                  </w:pPr>
                  <w:r>
                    <w:rPr>
                      <w:rFonts w:hint="eastAsia"/>
                      <w:color w:val="auto"/>
                    </w:rPr>
                    <w:t>背景值</w:t>
                  </w:r>
                </w:p>
              </w:tc>
              <w:tc>
                <w:tcPr>
                  <w:tcW w:w="991" w:type="pct"/>
                  <w:gridSpan w:val="2"/>
                  <w:shd w:val="clear" w:color="auto" w:fill="auto"/>
                  <w:vAlign w:val="center"/>
                </w:tcPr>
                <w:p w14:paraId="4FFF240F">
                  <w:pPr>
                    <w:pStyle w:val="52"/>
                    <w:rPr>
                      <w:color w:val="auto"/>
                    </w:rPr>
                  </w:pPr>
                  <w:r>
                    <w:rPr>
                      <w:rFonts w:hint="eastAsia"/>
                      <w:color w:val="auto"/>
                    </w:rPr>
                    <w:t>预测值</w:t>
                  </w:r>
                </w:p>
              </w:tc>
              <w:tc>
                <w:tcPr>
                  <w:tcW w:w="999" w:type="pct"/>
                  <w:gridSpan w:val="2"/>
                  <w:shd w:val="clear" w:color="auto" w:fill="auto"/>
                  <w:vAlign w:val="center"/>
                </w:tcPr>
                <w:p w14:paraId="279CD9DD">
                  <w:pPr>
                    <w:pStyle w:val="52"/>
                    <w:rPr>
                      <w:color w:val="auto"/>
                    </w:rPr>
                  </w:pPr>
                  <w:r>
                    <w:rPr>
                      <w:rFonts w:hint="eastAsia"/>
                      <w:color w:val="auto"/>
                    </w:rPr>
                    <w:t>叠加值</w:t>
                  </w:r>
                </w:p>
              </w:tc>
              <w:tc>
                <w:tcPr>
                  <w:tcW w:w="999" w:type="pct"/>
                  <w:gridSpan w:val="2"/>
                  <w:shd w:val="clear" w:color="auto" w:fill="auto"/>
                  <w:vAlign w:val="center"/>
                </w:tcPr>
                <w:p w14:paraId="126911A6">
                  <w:pPr>
                    <w:pStyle w:val="52"/>
                    <w:rPr>
                      <w:color w:val="auto"/>
                    </w:rPr>
                  </w:pPr>
                  <w:r>
                    <w:rPr>
                      <w:color w:val="auto"/>
                    </w:rPr>
                    <w:t>标准限值</w:t>
                  </w:r>
                </w:p>
              </w:tc>
              <w:tc>
                <w:tcPr>
                  <w:tcW w:w="504" w:type="pct"/>
                  <w:vMerge w:val="restart"/>
                  <w:shd w:val="clear" w:color="auto" w:fill="auto"/>
                  <w:vAlign w:val="center"/>
                </w:tcPr>
                <w:p w14:paraId="39731CF6">
                  <w:pPr>
                    <w:pStyle w:val="52"/>
                    <w:rPr>
                      <w:color w:val="auto"/>
                    </w:rPr>
                  </w:pPr>
                  <w:r>
                    <w:rPr>
                      <w:color w:val="auto"/>
                    </w:rPr>
                    <w:t>达标情况</w:t>
                  </w:r>
                </w:p>
              </w:tc>
            </w:tr>
            <w:tr w14:paraId="0554F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95" w:type="pct"/>
                  <w:vMerge w:val="continue"/>
                  <w:shd w:val="clear" w:color="auto" w:fill="auto"/>
                  <w:vAlign w:val="center"/>
                </w:tcPr>
                <w:p w14:paraId="31C06E1C">
                  <w:pPr>
                    <w:pStyle w:val="52"/>
                    <w:rPr>
                      <w:color w:val="auto"/>
                    </w:rPr>
                  </w:pPr>
                </w:p>
              </w:tc>
              <w:tc>
                <w:tcPr>
                  <w:tcW w:w="503" w:type="pct"/>
                  <w:shd w:val="clear" w:color="auto" w:fill="auto"/>
                  <w:vAlign w:val="center"/>
                </w:tcPr>
                <w:p w14:paraId="63884008">
                  <w:pPr>
                    <w:pStyle w:val="52"/>
                    <w:rPr>
                      <w:color w:val="auto"/>
                    </w:rPr>
                  </w:pPr>
                  <w:r>
                    <w:rPr>
                      <w:color w:val="auto"/>
                    </w:rPr>
                    <w:t>昼间</w:t>
                  </w:r>
                </w:p>
              </w:tc>
              <w:tc>
                <w:tcPr>
                  <w:tcW w:w="506" w:type="pct"/>
                  <w:shd w:val="clear" w:color="auto" w:fill="auto"/>
                  <w:vAlign w:val="center"/>
                </w:tcPr>
                <w:p w14:paraId="04947F28">
                  <w:pPr>
                    <w:pStyle w:val="52"/>
                    <w:rPr>
                      <w:color w:val="auto"/>
                    </w:rPr>
                  </w:pPr>
                  <w:r>
                    <w:rPr>
                      <w:color w:val="auto"/>
                    </w:rPr>
                    <w:t>夜间</w:t>
                  </w:r>
                </w:p>
              </w:tc>
              <w:tc>
                <w:tcPr>
                  <w:tcW w:w="492" w:type="pct"/>
                  <w:shd w:val="clear" w:color="auto" w:fill="auto"/>
                  <w:vAlign w:val="center"/>
                </w:tcPr>
                <w:p w14:paraId="625E6E6C">
                  <w:pPr>
                    <w:pStyle w:val="52"/>
                    <w:rPr>
                      <w:color w:val="auto"/>
                    </w:rPr>
                  </w:pPr>
                  <w:r>
                    <w:rPr>
                      <w:color w:val="auto"/>
                    </w:rPr>
                    <w:t>昼间</w:t>
                  </w:r>
                </w:p>
              </w:tc>
              <w:tc>
                <w:tcPr>
                  <w:tcW w:w="499" w:type="pct"/>
                  <w:shd w:val="clear" w:color="auto" w:fill="auto"/>
                  <w:vAlign w:val="center"/>
                </w:tcPr>
                <w:p w14:paraId="7B108D13">
                  <w:pPr>
                    <w:pStyle w:val="52"/>
                    <w:rPr>
                      <w:color w:val="auto"/>
                    </w:rPr>
                  </w:pPr>
                  <w:r>
                    <w:rPr>
                      <w:color w:val="auto"/>
                    </w:rPr>
                    <w:t>夜间</w:t>
                  </w:r>
                </w:p>
              </w:tc>
              <w:tc>
                <w:tcPr>
                  <w:tcW w:w="499" w:type="pct"/>
                  <w:shd w:val="clear" w:color="auto" w:fill="auto"/>
                  <w:vAlign w:val="center"/>
                </w:tcPr>
                <w:p w14:paraId="6F6A3CEF">
                  <w:pPr>
                    <w:pStyle w:val="52"/>
                    <w:rPr>
                      <w:color w:val="auto"/>
                    </w:rPr>
                  </w:pPr>
                  <w:r>
                    <w:rPr>
                      <w:color w:val="auto"/>
                    </w:rPr>
                    <w:t>昼间</w:t>
                  </w:r>
                </w:p>
              </w:tc>
              <w:tc>
                <w:tcPr>
                  <w:tcW w:w="499" w:type="pct"/>
                  <w:shd w:val="clear" w:color="auto" w:fill="auto"/>
                  <w:vAlign w:val="center"/>
                </w:tcPr>
                <w:p w14:paraId="52BB2BD6">
                  <w:pPr>
                    <w:pStyle w:val="52"/>
                    <w:rPr>
                      <w:color w:val="auto"/>
                    </w:rPr>
                  </w:pPr>
                  <w:r>
                    <w:rPr>
                      <w:color w:val="auto"/>
                    </w:rPr>
                    <w:t>夜间</w:t>
                  </w:r>
                </w:p>
              </w:tc>
              <w:tc>
                <w:tcPr>
                  <w:tcW w:w="499" w:type="pct"/>
                  <w:shd w:val="clear" w:color="auto" w:fill="auto"/>
                  <w:vAlign w:val="center"/>
                </w:tcPr>
                <w:p w14:paraId="5A690617">
                  <w:pPr>
                    <w:pStyle w:val="52"/>
                    <w:rPr>
                      <w:color w:val="auto"/>
                    </w:rPr>
                  </w:pPr>
                  <w:r>
                    <w:rPr>
                      <w:color w:val="auto"/>
                    </w:rPr>
                    <w:t>昼间</w:t>
                  </w:r>
                </w:p>
              </w:tc>
              <w:tc>
                <w:tcPr>
                  <w:tcW w:w="499" w:type="pct"/>
                  <w:shd w:val="clear" w:color="auto" w:fill="auto"/>
                  <w:vAlign w:val="center"/>
                </w:tcPr>
                <w:p w14:paraId="5F4766D0">
                  <w:pPr>
                    <w:pStyle w:val="52"/>
                    <w:rPr>
                      <w:color w:val="auto"/>
                    </w:rPr>
                  </w:pPr>
                  <w:r>
                    <w:rPr>
                      <w:color w:val="auto"/>
                    </w:rPr>
                    <w:t>夜间</w:t>
                  </w:r>
                </w:p>
              </w:tc>
              <w:tc>
                <w:tcPr>
                  <w:tcW w:w="504" w:type="pct"/>
                  <w:vMerge w:val="continue"/>
                  <w:shd w:val="clear" w:color="auto" w:fill="auto"/>
                  <w:vAlign w:val="center"/>
                </w:tcPr>
                <w:p w14:paraId="2842203E">
                  <w:pPr>
                    <w:rPr>
                      <w:color w:val="auto"/>
                    </w:rPr>
                  </w:pPr>
                </w:p>
              </w:tc>
            </w:tr>
            <w:tr w14:paraId="6402C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95" w:type="pct"/>
                  <w:shd w:val="clear" w:color="auto" w:fill="auto"/>
                  <w:vAlign w:val="center"/>
                </w:tcPr>
                <w:p w14:paraId="57E3BED1">
                  <w:pPr>
                    <w:pStyle w:val="54"/>
                    <w:rPr>
                      <w:color w:val="auto"/>
                    </w:rPr>
                  </w:pPr>
                  <w:r>
                    <w:rPr>
                      <w:color w:val="auto"/>
                    </w:rPr>
                    <w:t>东侧</w:t>
                  </w:r>
                </w:p>
              </w:tc>
              <w:tc>
                <w:tcPr>
                  <w:tcW w:w="503" w:type="pct"/>
                  <w:shd w:val="clear" w:color="auto" w:fill="auto"/>
                  <w:vAlign w:val="center"/>
                </w:tcPr>
                <w:p w14:paraId="1C627483">
                  <w:pPr>
                    <w:pStyle w:val="54"/>
                    <w:rPr>
                      <w:color w:val="auto"/>
                    </w:rPr>
                  </w:pPr>
                  <w:r>
                    <w:rPr>
                      <w:rFonts w:hint="eastAsia"/>
                      <w:color w:val="auto"/>
                    </w:rPr>
                    <w:t>/</w:t>
                  </w:r>
                </w:p>
              </w:tc>
              <w:tc>
                <w:tcPr>
                  <w:tcW w:w="506" w:type="pct"/>
                  <w:shd w:val="clear" w:color="auto" w:fill="auto"/>
                  <w:vAlign w:val="center"/>
                </w:tcPr>
                <w:p w14:paraId="20BC4F0F">
                  <w:pPr>
                    <w:pStyle w:val="54"/>
                    <w:rPr>
                      <w:color w:val="auto"/>
                    </w:rPr>
                  </w:pPr>
                  <w:r>
                    <w:rPr>
                      <w:rFonts w:hint="eastAsia"/>
                      <w:color w:val="auto"/>
                    </w:rPr>
                    <w:t>/</w:t>
                  </w:r>
                </w:p>
              </w:tc>
              <w:tc>
                <w:tcPr>
                  <w:tcW w:w="492" w:type="pct"/>
                  <w:shd w:val="clear" w:color="auto" w:fill="auto"/>
                  <w:vAlign w:val="center"/>
                </w:tcPr>
                <w:p w14:paraId="27034B9E">
                  <w:pPr>
                    <w:pStyle w:val="54"/>
                    <w:rPr>
                      <w:color w:val="auto"/>
                    </w:rPr>
                  </w:pPr>
                  <w:r>
                    <w:rPr>
                      <w:color w:val="auto"/>
                    </w:rPr>
                    <w:t>39.08</w:t>
                  </w:r>
                </w:p>
              </w:tc>
              <w:tc>
                <w:tcPr>
                  <w:tcW w:w="499" w:type="pct"/>
                  <w:shd w:val="clear" w:color="auto" w:fill="auto"/>
                  <w:vAlign w:val="center"/>
                </w:tcPr>
                <w:p w14:paraId="09663057">
                  <w:pPr>
                    <w:pStyle w:val="54"/>
                    <w:rPr>
                      <w:color w:val="auto"/>
                    </w:rPr>
                  </w:pPr>
                  <w:r>
                    <w:rPr>
                      <w:color w:val="auto"/>
                    </w:rPr>
                    <w:t>39.08</w:t>
                  </w:r>
                </w:p>
              </w:tc>
              <w:tc>
                <w:tcPr>
                  <w:tcW w:w="499" w:type="pct"/>
                  <w:shd w:val="clear" w:color="auto" w:fill="auto"/>
                  <w:vAlign w:val="center"/>
                </w:tcPr>
                <w:p w14:paraId="49249EB0">
                  <w:pPr>
                    <w:pStyle w:val="54"/>
                    <w:rPr>
                      <w:color w:val="auto"/>
                    </w:rPr>
                  </w:pPr>
                  <w:r>
                    <w:rPr>
                      <w:color w:val="auto"/>
                    </w:rPr>
                    <w:t>39.08</w:t>
                  </w:r>
                </w:p>
              </w:tc>
              <w:tc>
                <w:tcPr>
                  <w:tcW w:w="499" w:type="pct"/>
                  <w:shd w:val="clear" w:color="auto" w:fill="auto"/>
                  <w:vAlign w:val="center"/>
                </w:tcPr>
                <w:p w14:paraId="313BE100">
                  <w:pPr>
                    <w:pStyle w:val="54"/>
                    <w:rPr>
                      <w:color w:val="auto"/>
                    </w:rPr>
                  </w:pPr>
                  <w:r>
                    <w:rPr>
                      <w:color w:val="auto"/>
                    </w:rPr>
                    <w:t>39.08</w:t>
                  </w:r>
                </w:p>
              </w:tc>
              <w:tc>
                <w:tcPr>
                  <w:tcW w:w="499" w:type="pct"/>
                  <w:shd w:val="clear" w:color="auto" w:fill="auto"/>
                  <w:vAlign w:val="center"/>
                </w:tcPr>
                <w:p w14:paraId="5E260359">
                  <w:pPr>
                    <w:pStyle w:val="54"/>
                    <w:rPr>
                      <w:color w:val="auto"/>
                    </w:rPr>
                  </w:pPr>
                  <w:r>
                    <w:rPr>
                      <w:color w:val="auto"/>
                    </w:rPr>
                    <w:t>65</w:t>
                  </w:r>
                </w:p>
              </w:tc>
              <w:tc>
                <w:tcPr>
                  <w:tcW w:w="499" w:type="pct"/>
                  <w:shd w:val="clear" w:color="auto" w:fill="auto"/>
                  <w:vAlign w:val="center"/>
                </w:tcPr>
                <w:p w14:paraId="33236F6F">
                  <w:pPr>
                    <w:pStyle w:val="54"/>
                    <w:rPr>
                      <w:color w:val="auto"/>
                    </w:rPr>
                  </w:pPr>
                  <w:r>
                    <w:rPr>
                      <w:color w:val="auto"/>
                    </w:rPr>
                    <w:t>55</w:t>
                  </w:r>
                </w:p>
              </w:tc>
              <w:tc>
                <w:tcPr>
                  <w:tcW w:w="504" w:type="pct"/>
                  <w:shd w:val="clear" w:color="auto" w:fill="auto"/>
                  <w:vAlign w:val="center"/>
                </w:tcPr>
                <w:p w14:paraId="3A3778BA">
                  <w:pPr>
                    <w:pStyle w:val="54"/>
                    <w:rPr>
                      <w:color w:val="auto"/>
                    </w:rPr>
                  </w:pPr>
                  <w:r>
                    <w:rPr>
                      <w:color w:val="auto"/>
                    </w:rPr>
                    <w:t>达标</w:t>
                  </w:r>
                </w:p>
              </w:tc>
            </w:tr>
            <w:tr w14:paraId="643E3E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 w:hRule="atLeast"/>
                <w:jc w:val="center"/>
              </w:trPr>
              <w:tc>
                <w:tcPr>
                  <w:tcW w:w="495" w:type="pct"/>
                  <w:shd w:val="clear" w:color="auto" w:fill="auto"/>
                  <w:vAlign w:val="center"/>
                </w:tcPr>
                <w:p w14:paraId="2F6CBBC8">
                  <w:pPr>
                    <w:pStyle w:val="54"/>
                    <w:rPr>
                      <w:color w:val="auto"/>
                    </w:rPr>
                  </w:pPr>
                  <w:r>
                    <w:rPr>
                      <w:color w:val="auto"/>
                    </w:rPr>
                    <w:t>南侧</w:t>
                  </w:r>
                </w:p>
              </w:tc>
              <w:tc>
                <w:tcPr>
                  <w:tcW w:w="503" w:type="pct"/>
                  <w:shd w:val="clear" w:color="auto" w:fill="auto"/>
                  <w:vAlign w:val="center"/>
                </w:tcPr>
                <w:p w14:paraId="20814040">
                  <w:pPr>
                    <w:pStyle w:val="54"/>
                    <w:rPr>
                      <w:color w:val="auto"/>
                    </w:rPr>
                  </w:pPr>
                  <w:r>
                    <w:rPr>
                      <w:rFonts w:hint="eastAsia"/>
                      <w:color w:val="auto"/>
                    </w:rPr>
                    <w:t>57.40</w:t>
                  </w:r>
                </w:p>
              </w:tc>
              <w:tc>
                <w:tcPr>
                  <w:tcW w:w="506" w:type="pct"/>
                  <w:shd w:val="clear" w:color="auto" w:fill="auto"/>
                  <w:vAlign w:val="center"/>
                </w:tcPr>
                <w:p w14:paraId="7512BD48">
                  <w:pPr>
                    <w:pStyle w:val="54"/>
                    <w:rPr>
                      <w:color w:val="auto"/>
                    </w:rPr>
                  </w:pPr>
                  <w:r>
                    <w:rPr>
                      <w:rFonts w:hint="eastAsia"/>
                      <w:color w:val="auto"/>
                    </w:rPr>
                    <w:t>47.65</w:t>
                  </w:r>
                </w:p>
              </w:tc>
              <w:tc>
                <w:tcPr>
                  <w:tcW w:w="492" w:type="pct"/>
                  <w:shd w:val="clear" w:color="auto" w:fill="auto"/>
                  <w:vAlign w:val="center"/>
                </w:tcPr>
                <w:p w14:paraId="271A896E">
                  <w:pPr>
                    <w:pStyle w:val="54"/>
                    <w:rPr>
                      <w:color w:val="auto"/>
                    </w:rPr>
                  </w:pPr>
                  <w:r>
                    <w:rPr>
                      <w:color w:val="auto"/>
                    </w:rPr>
                    <w:t>37.51</w:t>
                  </w:r>
                </w:p>
              </w:tc>
              <w:tc>
                <w:tcPr>
                  <w:tcW w:w="499" w:type="pct"/>
                  <w:shd w:val="clear" w:color="auto" w:fill="auto"/>
                  <w:vAlign w:val="center"/>
                </w:tcPr>
                <w:p w14:paraId="4603DCB6">
                  <w:pPr>
                    <w:pStyle w:val="54"/>
                    <w:rPr>
                      <w:color w:val="auto"/>
                    </w:rPr>
                  </w:pPr>
                  <w:r>
                    <w:rPr>
                      <w:color w:val="auto"/>
                    </w:rPr>
                    <w:t>37.51</w:t>
                  </w:r>
                </w:p>
              </w:tc>
              <w:tc>
                <w:tcPr>
                  <w:tcW w:w="499" w:type="pct"/>
                  <w:shd w:val="clear" w:color="auto" w:fill="auto"/>
                  <w:vAlign w:val="center"/>
                </w:tcPr>
                <w:p w14:paraId="08E7FCB8">
                  <w:pPr>
                    <w:pStyle w:val="54"/>
                    <w:rPr>
                      <w:color w:val="auto"/>
                    </w:rPr>
                  </w:pPr>
                  <w:r>
                    <w:rPr>
                      <w:color w:val="auto"/>
                    </w:rPr>
                    <w:t>57.44</w:t>
                  </w:r>
                </w:p>
              </w:tc>
              <w:tc>
                <w:tcPr>
                  <w:tcW w:w="499" w:type="pct"/>
                  <w:shd w:val="clear" w:color="auto" w:fill="auto"/>
                  <w:vAlign w:val="center"/>
                </w:tcPr>
                <w:p w14:paraId="3B41C230">
                  <w:pPr>
                    <w:pStyle w:val="54"/>
                    <w:rPr>
                      <w:color w:val="auto"/>
                    </w:rPr>
                  </w:pPr>
                  <w:r>
                    <w:rPr>
                      <w:color w:val="auto"/>
                    </w:rPr>
                    <w:t>48.05</w:t>
                  </w:r>
                </w:p>
              </w:tc>
              <w:tc>
                <w:tcPr>
                  <w:tcW w:w="499" w:type="pct"/>
                  <w:shd w:val="clear" w:color="auto" w:fill="auto"/>
                  <w:vAlign w:val="center"/>
                </w:tcPr>
                <w:p w14:paraId="3A261D55">
                  <w:pPr>
                    <w:pStyle w:val="54"/>
                    <w:rPr>
                      <w:color w:val="auto"/>
                    </w:rPr>
                  </w:pPr>
                  <w:r>
                    <w:rPr>
                      <w:color w:val="auto"/>
                    </w:rPr>
                    <w:t>65</w:t>
                  </w:r>
                </w:p>
              </w:tc>
              <w:tc>
                <w:tcPr>
                  <w:tcW w:w="499" w:type="pct"/>
                  <w:shd w:val="clear" w:color="auto" w:fill="auto"/>
                  <w:vAlign w:val="center"/>
                </w:tcPr>
                <w:p w14:paraId="0DF7BE9C">
                  <w:pPr>
                    <w:pStyle w:val="54"/>
                    <w:rPr>
                      <w:color w:val="auto"/>
                    </w:rPr>
                  </w:pPr>
                  <w:r>
                    <w:rPr>
                      <w:color w:val="auto"/>
                    </w:rPr>
                    <w:t>55</w:t>
                  </w:r>
                </w:p>
              </w:tc>
              <w:tc>
                <w:tcPr>
                  <w:tcW w:w="504" w:type="pct"/>
                  <w:shd w:val="clear" w:color="auto" w:fill="auto"/>
                  <w:vAlign w:val="center"/>
                </w:tcPr>
                <w:p w14:paraId="29F2BA6C">
                  <w:pPr>
                    <w:pStyle w:val="54"/>
                    <w:rPr>
                      <w:color w:val="auto"/>
                    </w:rPr>
                  </w:pPr>
                  <w:r>
                    <w:rPr>
                      <w:color w:val="auto"/>
                    </w:rPr>
                    <w:t>达标</w:t>
                  </w:r>
                </w:p>
              </w:tc>
            </w:tr>
            <w:tr w14:paraId="74D51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95" w:type="pct"/>
                  <w:shd w:val="clear" w:color="auto" w:fill="auto"/>
                  <w:vAlign w:val="center"/>
                </w:tcPr>
                <w:p w14:paraId="0CBFD42D">
                  <w:pPr>
                    <w:pStyle w:val="54"/>
                    <w:rPr>
                      <w:color w:val="auto"/>
                    </w:rPr>
                  </w:pPr>
                  <w:r>
                    <w:rPr>
                      <w:color w:val="auto"/>
                    </w:rPr>
                    <w:t>西侧</w:t>
                  </w:r>
                </w:p>
              </w:tc>
              <w:tc>
                <w:tcPr>
                  <w:tcW w:w="503" w:type="pct"/>
                  <w:shd w:val="clear" w:color="auto" w:fill="auto"/>
                  <w:vAlign w:val="center"/>
                </w:tcPr>
                <w:p w14:paraId="2DEDCFE9">
                  <w:pPr>
                    <w:pStyle w:val="54"/>
                    <w:rPr>
                      <w:color w:val="auto"/>
                    </w:rPr>
                  </w:pPr>
                  <w:r>
                    <w:rPr>
                      <w:rFonts w:hint="eastAsia"/>
                      <w:color w:val="auto"/>
                    </w:rPr>
                    <w:t>57.10</w:t>
                  </w:r>
                </w:p>
              </w:tc>
              <w:tc>
                <w:tcPr>
                  <w:tcW w:w="506" w:type="pct"/>
                  <w:shd w:val="clear" w:color="auto" w:fill="auto"/>
                  <w:vAlign w:val="center"/>
                </w:tcPr>
                <w:p w14:paraId="5B976C0E">
                  <w:pPr>
                    <w:pStyle w:val="54"/>
                    <w:rPr>
                      <w:color w:val="auto"/>
                    </w:rPr>
                  </w:pPr>
                  <w:r>
                    <w:rPr>
                      <w:rFonts w:hint="eastAsia"/>
                      <w:color w:val="auto"/>
                    </w:rPr>
                    <w:t>46.55</w:t>
                  </w:r>
                </w:p>
              </w:tc>
              <w:tc>
                <w:tcPr>
                  <w:tcW w:w="492" w:type="pct"/>
                  <w:shd w:val="clear" w:color="auto" w:fill="auto"/>
                  <w:vAlign w:val="center"/>
                </w:tcPr>
                <w:p w14:paraId="63006EA9">
                  <w:pPr>
                    <w:pStyle w:val="54"/>
                    <w:rPr>
                      <w:color w:val="auto"/>
                    </w:rPr>
                  </w:pPr>
                  <w:r>
                    <w:rPr>
                      <w:color w:val="auto"/>
                    </w:rPr>
                    <w:t>37.28</w:t>
                  </w:r>
                </w:p>
              </w:tc>
              <w:tc>
                <w:tcPr>
                  <w:tcW w:w="499" w:type="pct"/>
                  <w:shd w:val="clear" w:color="auto" w:fill="auto"/>
                  <w:vAlign w:val="center"/>
                </w:tcPr>
                <w:p w14:paraId="450A3569">
                  <w:pPr>
                    <w:pStyle w:val="54"/>
                    <w:rPr>
                      <w:color w:val="auto"/>
                    </w:rPr>
                  </w:pPr>
                  <w:r>
                    <w:rPr>
                      <w:color w:val="auto"/>
                    </w:rPr>
                    <w:t>37.28</w:t>
                  </w:r>
                </w:p>
              </w:tc>
              <w:tc>
                <w:tcPr>
                  <w:tcW w:w="499" w:type="pct"/>
                  <w:shd w:val="clear" w:color="auto" w:fill="auto"/>
                  <w:vAlign w:val="center"/>
                </w:tcPr>
                <w:p w14:paraId="61F02264">
                  <w:pPr>
                    <w:pStyle w:val="54"/>
                    <w:rPr>
                      <w:color w:val="auto"/>
                    </w:rPr>
                  </w:pPr>
                  <w:r>
                    <w:rPr>
                      <w:color w:val="auto"/>
                    </w:rPr>
                    <w:t>57.15</w:t>
                  </w:r>
                </w:p>
              </w:tc>
              <w:tc>
                <w:tcPr>
                  <w:tcW w:w="499" w:type="pct"/>
                  <w:shd w:val="clear" w:color="auto" w:fill="auto"/>
                  <w:vAlign w:val="center"/>
                </w:tcPr>
                <w:p w14:paraId="1AD9B781">
                  <w:pPr>
                    <w:pStyle w:val="54"/>
                    <w:rPr>
                      <w:color w:val="auto"/>
                    </w:rPr>
                  </w:pPr>
                  <w:r>
                    <w:rPr>
                      <w:color w:val="auto"/>
                    </w:rPr>
                    <w:t>47.04</w:t>
                  </w:r>
                </w:p>
              </w:tc>
              <w:tc>
                <w:tcPr>
                  <w:tcW w:w="499" w:type="pct"/>
                  <w:shd w:val="clear" w:color="auto" w:fill="auto"/>
                  <w:vAlign w:val="center"/>
                </w:tcPr>
                <w:p w14:paraId="3BE89785">
                  <w:pPr>
                    <w:pStyle w:val="54"/>
                    <w:rPr>
                      <w:color w:val="auto"/>
                    </w:rPr>
                  </w:pPr>
                  <w:r>
                    <w:rPr>
                      <w:color w:val="auto"/>
                    </w:rPr>
                    <w:t>65</w:t>
                  </w:r>
                </w:p>
              </w:tc>
              <w:tc>
                <w:tcPr>
                  <w:tcW w:w="499" w:type="pct"/>
                  <w:shd w:val="clear" w:color="auto" w:fill="auto"/>
                  <w:vAlign w:val="center"/>
                </w:tcPr>
                <w:p w14:paraId="22D6C4EB">
                  <w:pPr>
                    <w:pStyle w:val="54"/>
                    <w:rPr>
                      <w:color w:val="auto"/>
                    </w:rPr>
                  </w:pPr>
                  <w:r>
                    <w:rPr>
                      <w:color w:val="auto"/>
                    </w:rPr>
                    <w:t>55</w:t>
                  </w:r>
                </w:p>
              </w:tc>
              <w:tc>
                <w:tcPr>
                  <w:tcW w:w="504" w:type="pct"/>
                  <w:shd w:val="clear" w:color="auto" w:fill="auto"/>
                  <w:vAlign w:val="center"/>
                </w:tcPr>
                <w:p w14:paraId="187535DF">
                  <w:pPr>
                    <w:pStyle w:val="54"/>
                    <w:rPr>
                      <w:color w:val="auto"/>
                    </w:rPr>
                  </w:pPr>
                  <w:r>
                    <w:rPr>
                      <w:color w:val="auto"/>
                    </w:rPr>
                    <w:t>达标</w:t>
                  </w:r>
                </w:p>
              </w:tc>
            </w:tr>
            <w:tr w14:paraId="78686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95" w:type="pct"/>
                  <w:shd w:val="clear" w:color="auto" w:fill="auto"/>
                  <w:vAlign w:val="center"/>
                </w:tcPr>
                <w:p w14:paraId="62E7FD63">
                  <w:pPr>
                    <w:pStyle w:val="54"/>
                    <w:rPr>
                      <w:color w:val="auto"/>
                    </w:rPr>
                  </w:pPr>
                  <w:r>
                    <w:rPr>
                      <w:color w:val="auto"/>
                    </w:rPr>
                    <w:t>北侧</w:t>
                  </w:r>
                </w:p>
              </w:tc>
              <w:tc>
                <w:tcPr>
                  <w:tcW w:w="503" w:type="pct"/>
                  <w:shd w:val="clear" w:color="auto" w:fill="auto"/>
                  <w:vAlign w:val="center"/>
                </w:tcPr>
                <w:p w14:paraId="5CB09E37">
                  <w:pPr>
                    <w:pStyle w:val="54"/>
                    <w:rPr>
                      <w:color w:val="auto"/>
                    </w:rPr>
                  </w:pPr>
                  <w:r>
                    <w:rPr>
                      <w:rFonts w:hint="eastAsia"/>
                      <w:color w:val="auto"/>
                    </w:rPr>
                    <w:t>55.45</w:t>
                  </w:r>
                </w:p>
              </w:tc>
              <w:tc>
                <w:tcPr>
                  <w:tcW w:w="506" w:type="pct"/>
                  <w:shd w:val="clear" w:color="auto" w:fill="auto"/>
                  <w:vAlign w:val="center"/>
                </w:tcPr>
                <w:p w14:paraId="6F9C84A5">
                  <w:pPr>
                    <w:pStyle w:val="54"/>
                    <w:rPr>
                      <w:color w:val="auto"/>
                    </w:rPr>
                  </w:pPr>
                  <w:r>
                    <w:rPr>
                      <w:rFonts w:hint="eastAsia"/>
                      <w:color w:val="auto"/>
                    </w:rPr>
                    <w:t>44.55</w:t>
                  </w:r>
                </w:p>
              </w:tc>
              <w:tc>
                <w:tcPr>
                  <w:tcW w:w="492" w:type="pct"/>
                  <w:shd w:val="clear" w:color="auto" w:fill="auto"/>
                  <w:vAlign w:val="center"/>
                </w:tcPr>
                <w:p w14:paraId="453CA501">
                  <w:pPr>
                    <w:pStyle w:val="54"/>
                    <w:rPr>
                      <w:color w:val="auto"/>
                    </w:rPr>
                  </w:pPr>
                  <w:r>
                    <w:rPr>
                      <w:color w:val="auto"/>
                    </w:rPr>
                    <w:t>41.26</w:t>
                  </w:r>
                </w:p>
              </w:tc>
              <w:tc>
                <w:tcPr>
                  <w:tcW w:w="499" w:type="pct"/>
                  <w:shd w:val="clear" w:color="auto" w:fill="auto"/>
                  <w:vAlign w:val="center"/>
                </w:tcPr>
                <w:p w14:paraId="0ED9E961">
                  <w:pPr>
                    <w:pStyle w:val="54"/>
                    <w:rPr>
                      <w:color w:val="auto"/>
                    </w:rPr>
                  </w:pPr>
                  <w:r>
                    <w:rPr>
                      <w:color w:val="auto"/>
                    </w:rPr>
                    <w:t>41.26</w:t>
                  </w:r>
                </w:p>
              </w:tc>
              <w:tc>
                <w:tcPr>
                  <w:tcW w:w="499" w:type="pct"/>
                  <w:shd w:val="clear" w:color="auto" w:fill="auto"/>
                  <w:vAlign w:val="center"/>
                </w:tcPr>
                <w:p w14:paraId="01D33631">
                  <w:pPr>
                    <w:pStyle w:val="54"/>
                    <w:rPr>
                      <w:color w:val="auto"/>
                    </w:rPr>
                  </w:pPr>
                  <w:r>
                    <w:rPr>
                      <w:color w:val="auto"/>
                    </w:rPr>
                    <w:t>55.61</w:t>
                  </w:r>
                </w:p>
              </w:tc>
              <w:tc>
                <w:tcPr>
                  <w:tcW w:w="499" w:type="pct"/>
                  <w:shd w:val="clear" w:color="auto" w:fill="auto"/>
                  <w:vAlign w:val="center"/>
                </w:tcPr>
                <w:p w14:paraId="03EE59CD">
                  <w:pPr>
                    <w:pStyle w:val="54"/>
                    <w:rPr>
                      <w:color w:val="auto"/>
                    </w:rPr>
                  </w:pPr>
                  <w:r>
                    <w:rPr>
                      <w:color w:val="auto"/>
                    </w:rPr>
                    <w:t>46.22</w:t>
                  </w:r>
                </w:p>
              </w:tc>
              <w:tc>
                <w:tcPr>
                  <w:tcW w:w="499" w:type="pct"/>
                  <w:shd w:val="clear" w:color="auto" w:fill="auto"/>
                  <w:vAlign w:val="center"/>
                </w:tcPr>
                <w:p w14:paraId="68E6C291">
                  <w:pPr>
                    <w:pStyle w:val="54"/>
                    <w:rPr>
                      <w:color w:val="auto"/>
                    </w:rPr>
                  </w:pPr>
                  <w:r>
                    <w:rPr>
                      <w:color w:val="auto"/>
                    </w:rPr>
                    <w:t>65</w:t>
                  </w:r>
                </w:p>
              </w:tc>
              <w:tc>
                <w:tcPr>
                  <w:tcW w:w="499" w:type="pct"/>
                  <w:shd w:val="clear" w:color="auto" w:fill="auto"/>
                  <w:vAlign w:val="center"/>
                </w:tcPr>
                <w:p w14:paraId="57105FC2">
                  <w:pPr>
                    <w:pStyle w:val="54"/>
                    <w:rPr>
                      <w:color w:val="auto"/>
                    </w:rPr>
                  </w:pPr>
                  <w:r>
                    <w:rPr>
                      <w:color w:val="auto"/>
                    </w:rPr>
                    <w:t>55</w:t>
                  </w:r>
                </w:p>
              </w:tc>
              <w:tc>
                <w:tcPr>
                  <w:tcW w:w="504" w:type="pct"/>
                  <w:shd w:val="clear" w:color="auto" w:fill="auto"/>
                  <w:vAlign w:val="center"/>
                </w:tcPr>
                <w:p w14:paraId="06F5DC84">
                  <w:pPr>
                    <w:pStyle w:val="54"/>
                    <w:rPr>
                      <w:color w:val="auto"/>
                    </w:rPr>
                  </w:pPr>
                  <w:r>
                    <w:rPr>
                      <w:color w:val="auto"/>
                    </w:rPr>
                    <w:t>达标</w:t>
                  </w:r>
                </w:p>
              </w:tc>
            </w:tr>
          </w:tbl>
          <w:p w14:paraId="53AD8369">
            <w:pPr>
              <w:pStyle w:val="50"/>
              <w:ind w:firstLine="480"/>
              <w:rPr>
                <w:color w:val="auto"/>
              </w:rPr>
            </w:pPr>
            <w:r>
              <w:rPr>
                <w:color w:val="auto"/>
              </w:rPr>
              <w:t>由</w:t>
            </w:r>
            <w:r>
              <w:rPr>
                <w:color w:val="auto"/>
              </w:rPr>
              <w:fldChar w:fldCharType="begin"/>
            </w:r>
            <w:r>
              <w:rPr>
                <w:color w:val="auto"/>
              </w:rPr>
              <w:instrText xml:space="preserve"> REF _Ref28792 \h </w:instrText>
            </w:r>
            <w:r>
              <w:rPr>
                <w:color w:val="auto"/>
              </w:rPr>
              <w:fldChar w:fldCharType="separate"/>
            </w:r>
            <w:r>
              <w:rPr>
                <w:color w:val="auto"/>
              </w:rPr>
              <w:t>表4- 16</w:t>
            </w:r>
            <w:r>
              <w:rPr>
                <w:color w:val="auto"/>
              </w:rPr>
              <w:fldChar w:fldCharType="end"/>
            </w:r>
            <w:r>
              <w:rPr>
                <w:color w:val="auto"/>
              </w:rPr>
              <w:t>可知，本</w:t>
            </w:r>
            <w:r>
              <w:rPr>
                <w:rFonts w:hint="eastAsia"/>
                <w:color w:val="auto"/>
              </w:rPr>
              <w:t>扩建</w:t>
            </w:r>
            <w:r>
              <w:rPr>
                <w:color w:val="auto"/>
              </w:rPr>
              <w:t>项目运行后厂界噪声满足《工业企业厂界环境噪声排放标准》（GB12348-2008）中3类标准限值要求。</w:t>
            </w:r>
          </w:p>
          <w:p w14:paraId="0F412822">
            <w:pPr>
              <w:pStyle w:val="50"/>
              <w:ind w:firstLine="482"/>
              <w:rPr>
                <w:b/>
                <w:bCs/>
                <w:color w:val="auto"/>
              </w:rPr>
            </w:pPr>
            <w:r>
              <w:rPr>
                <w:b/>
                <w:bCs/>
                <w:color w:val="auto"/>
              </w:rPr>
              <w:t>（4）监测计划</w:t>
            </w:r>
          </w:p>
          <w:p w14:paraId="721B0A67">
            <w:pPr>
              <w:pStyle w:val="50"/>
              <w:ind w:firstLine="480"/>
              <w:rPr>
                <w:color w:val="auto"/>
              </w:rPr>
            </w:pPr>
            <w:r>
              <w:rPr>
                <w:color w:val="auto"/>
              </w:rPr>
              <w:t>根据</w:t>
            </w:r>
            <w:r>
              <w:rPr>
                <w:rFonts w:hint="eastAsia"/>
                <w:color w:val="auto"/>
              </w:rPr>
              <w:t>《</w:t>
            </w:r>
            <w:r>
              <w:rPr>
                <w:color w:val="auto"/>
              </w:rPr>
              <w:t xml:space="preserve">排污单位自行监测技术指南 </w:t>
            </w:r>
            <w:r>
              <w:rPr>
                <w:rFonts w:hint="eastAsia"/>
                <w:color w:val="auto"/>
              </w:rPr>
              <w:t>总则</w:t>
            </w:r>
            <w:r>
              <w:rPr>
                <w:color w:val="auto"/>
              </w:rPr>
              <w:t>》（HJ</w:t>
            </w:r>
            <w:r>
              <w:rPr>
                <w:rFonts w:hint="eastAsia"/>
                <w:color w:val="auto"/>
              </w:rPr>
              <w:t xml:space="preserve"> 819-2017</w:t>
            </w:r>
            <w:r>
              <w:rPr>
                <w:color w:val="auto"/>
              </w:rPr>
              <w:t>），本项目建成后厂界噪声监测计划见</w:t>
            </w:r>
            <w:r>
              <w:rPr>
                <w:color w:val="auto"/>
              </w:rPr>
              <w:fldChar w:fldCharType="begin"/>
            </w:r>
            <w:r>
              <w:rPr>
                <w:color w:val="auto"/>
              </w:rPr>
              <w:instrText xml:space="preserve"> REF _Ref6164 \h </w:instrText>
            </w:r>
            <w:r>
              <w:rPr>
                <w:color w:val="auto"/>
              </w:rPr>
              <w:fldChar w:fldCharType="separate"/>
            </w:r>
            <w:r>
              <w:rPr>
                <w:color w:val="auto"/>
              </w:rPr>
              <w:t>表4- 17</w:t>
            </w:r>
            <w:r>
              <w:rPr>
                <w:color w:val="auto"/>
              </w:rPr>
              <w:fldChar w:fldCharType="end"/>
            </w:r>
            <w:r>
              <w:rPr>
                <w:color w:val="auto"/>
              </w:rPr>
              <w:t>。</w:t>
            </w:r>
          </w:p>
          <w:p w14:paraId="4F1D8286">
            <w:pPr>
              <w:pStyle w:val="7"/>
              <w:rPr>
                <w:color w:val="auto"/>
              </w:rPr>
            </w:pPr>
            <w:bookmarkStart w:id="110" w:name="_Ref6164"/>
            <w:r>
              <w:rPr>
                <w:color w:val="auto"/>
              </w:rPr>
              <w:t xml:space="preserve">表4- </w:t>
            </w:r>
            <w:r>
              <w:rPr>
                <w:color w:val="auto"/>
              </w:rPr>
              <w:fldChar w:fldCharType="begin"/>
            </w:r>
            <w:r>
              <w:rPr>
                <w:color w:val="auto"/>
              </w:rPr>
              <w:instrText xml:space="preserve"> SEQ 表4- \* ARABIC </w:instrText>
            </w:r>
            <w:r>
              <w:rPr>
                <w:color w:val="auto"/>
              </w:rPr>
              <w:fldChar w:fldCharType="separate"/>
            </w:r>
            <w:r>
              <w:rPr>
                <w:color w:val="auto"/>
              </w:rPr>
              <w:t>17</w:t>
            </w:r>
            <w:r>
              <w:rPr>
                <w:color w:val="auto"/>
              </w:rPr>
              <w:fldChar w:fldCharType="end"/>
            </w:r>
            <w:bookmarkEnd w:id="110"/>
            <w:r>
              <w:rPr>
                <w:color w:val="auto"/>
              </w:rPr>
              <w:t xml:space="preserve"> 噪声环境监测计划</w:t>
            </w:r>
          </w:p>
          <w:tbl>
            <w:tblPr>
              <w:tblStyle w:val="1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9"/>
              <w:gridCol w:w="1255"/>
              <w:gridCol w:w="1778"/>
              <w:gridCol w:w="1163"/>
              <w:gridCol w:w="3520"/>
            </w:tblGrid>
            <w:tr w14:paraId="76708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9" w:type="pct"/>
                  <w:tcBorders>
                    <w:tl2br w:val="nil"/>
                    <w:tr2bl w:val="nil"/>
                  </w:tcBorders>
                  <w:vAlign w:val="center"/>
                </w:tcPr>
                <w:p w14:paraId="4CFA44B7">
                  <w:pPr>
                    <w:pStyle w:val="52"/>
                    <w:rPr>
                      <w:color w:val="auto"/>
                    </w:rPr>
                  </w:pPr>
                  <w:r>
                    <w:rPr>
                      <w:color w:val="auto"/>
                    </w:rPr>
                    <w:t>类别</w:t>
                  </w:r>
                </w:p>
              </w:tc>
              <w:tc>
                <w:tcPr>
                  <w:tcW w:w="746" w:type="pct"/>
                  <w:tcBorders>
                    <w:tl2br w:val="nil"/>
                    <w:tr2bl w:val="nil"/>
                  </w:tcBorders>
                  <w:vAlign w:val="center"/>
                </w:tcPr>
                <w:p w14:paraId="5B6EC74B">
                  <w:pPr>
                    <w:pStyle w:val="52"/>
                    <w:rPr>
                      <w:color w:val="auto"/>
                    </w:rPr>
                  </w:pPr>
                  <w:r>
                    <w:rPr>
                      <w:color w:val="auto"/>
                    </w:rPr>
                    <w:t>监测点位</w:t>
                  </w:r>
                </w:p>
              </w:tc>
              <w:tc>
                <w:tcPr>
                  <w:tcW w:w="1057" w:type="pct"/>
                  <w:tcBorders>
                    <w:tl2br w:val="nil"/>
                    <w:tr2bl w:val="nil"/>
                  </w:tcBorders>
                  <w:vAlign w:val="center"/>
                </w:tcPr>
                <w:p w14:paraId="4DFF02A8">
                  <w:pPr>
                    <w:pStyle w:val="52"/>
                    <w:rPr>
                      <w:color w:val="auto"/>
                    </w:rPr>
                  </w:pPr>
                  <w:r>
                    <w:rPr>
                      <w:color w:val="auto"/>
                    </w:rPr>
                    <w:t>监测项目</w:t>
                  </w:r>
                </w:p>
              </w:tc>
              <w:tc>
                <w:tcPr>
                  <w:tcW w:w="692" w:type="pct"/>
                  <w:tcBorders>
                    <w:tl2br w:val="nil"/>
                    <w:tr2bl w:val="nil"/>
                  </w:tcBorders>
                  <w:vAlign w:val="center"/>
                </w:tcPr>
                <w:p w14:paraId="2A1DAE0A">
                  <w:pPr>
                    <w:pStyle w:val="52"/>
                    <w:rPr>
                      <w:color w:val="auto"/>
                    </w:rPr>
                  </w:pPr>
                  <w:r>
                    <w:rPr>
                      <w:color w:val="auto"/>
                    </w:rPr>
                    <w:t>监测频次</w:t>
                  </w:r>
                </w:p>
              </w:tc>
              <w:tc>
                <w:tcPr>
                  <w:tcW w:w="2093" w:type="pct"/>
                  <w:tcBorders>
                    <w:tl2br w:val="nil"/>
                    <w:tr2bl w:val="nil"/>
                  </w:tcBorders>
                  <w:vAlign w:val="center"/>
                </w:tcPr>
                <w:p w14:paraId="083C4ACE">
                  <w:pPr>
                    <w:pStyle w:val="52"/>
                    <w:rPr>
                      <w:color w:val="auto"/>
                    </w:rPr>
                  </w:pPr>
                  <w:r>
                    <w:rPr>
                      <w:color w:val="auto"/>
                    </w:rPr>
                    <w:t>排放标准</w:t>
                  </w:r>
                </w:p>
              </w:tc>
            </w:tr>
            <w:tr w14:paraId="315B3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9" w:type="pct"/>
                  <w:tcBorders>
                    <w:tl2br w:val="nil"/>
                    <w:tr2bl w:val="nil"/>
                  </w:tcBorders>
                  <w:vAlign w:val="center"/>
                </w:tcPr>
                <w:p w14:paraId="168590F5">
                  <w:pPr>
                    <w:pStyle w:val="54"/>
                    <w:rPr>
                      <w:color w:val="auto"/>
                    </w:rPr>
                  </w:pPr>
                  <w:r>
                    <w:rPr>
                      <w:color w:val="auto"/>
                    </w:rPr>
                    <w:t>噪声</w:t>
                  </w:r>
                </w:p>
              </w:tc>
              <w:tc>
                <w:tcPr>
                  <w:tcW w:w="746" w:type="pct"/>
                  <w:tcBorders>
                    <w:tl2br w:val="nil"/>
                    <w:tr2bl w:val="nil"/>
                  </w:tcBorders>
                  <w:vAlign w:val="center"/>
                </w:tcPr>
                <w:p w14:paraId="2A3545C5">
                  <w:pPr>
                    <w:pStyle w:val="54"/>
                    <w:rPr>
                      <w:color w:val="auto"/>
                    </w:rPr>
                  </w:pPr>
                  <w:r>
                    <w:rPr>
                      <w:color w:val="auto"/>
                    </w:rPr>
                    <w:t>厂界四周</w:t>
                  </w:r>
                </w:p>
              </w:tc>
              <w:tc>
                <w:tcPr>
                  <w:tcW w:w="1057" w:type="pct"/>
                  <w:tcBorders>
                    <w:tl2br w:val="nil"/>
                    <w:tr2bl w:val="nil"/>
                  </w:tcBorders>
                  <w:vAlign w:val="center"/>
                </w:tcPr>
                <w:p w14:paraId="10D18CE6">
                  <w:pPr>
                    <w:pStyle w:val="54"/>
                    <w:rPr>
                      <w:color w:val="auto"/>
                    </w:rPr>
                  </w:pPr>
                  <w:r>
                    <w:rPr>
                      <w:color w:val="auto"/>
                    </w:rPr>
                    <w:t>等效连续A声级</w:t>
                  </w:r>
                </w:p>
              </w:tc>
              <w:tc>
                <w:tcPr>
                  <w:tcW w:w="692" w:type="pct"/>
                  <w:tcBorders>
                    <w:tl2br w:val="nil"/>
                    <w:tr2bl w:val="nil"/>
                  </w:tcBorders>
                  <w:vAlign w:val="center"/>
                </w:tcPr>
                <w:p w14:paraId="698CFEDF">
                  <w:pPr>
                    <w:pStyle w:val="54"/>
                    <w:rPr>
                      <w:color w:val="auto"/>
                    </w:rPr>
                  </w:pPr>
                  <w:r>
                    <w:rPr>
                      <w:color w:val="auto"/>
                    </w:rPr>
                    <w:t>1次/季</w:t>
                  </w:r>
                </w:p>
              </w:tc>
              <w:tc>
                <w:tcPr>
                  <w:tcW w:w="2093" w:type="pct"/>
                  <w:tcBorders>
                    <w:tl2br w:val="nil"/>
                    <w:tr2bl w:val="nil"/>
                  </w:tcBorders>
                  <w:vAlign w:val="center"/>
                </w:tcPr>
                <w:p w14:paraId="5EFC2347">
                  <w:pPr>
                    <w:pStyle w:val="54"/>
                    <w:rPr>
                      <w:color w:val="auto"/>
                    </w:rPr>
                  </w:pPr>
                  <w:r>
                    <w:rPr>
                      <w:color w:val="auto"/>
                    </w:rPr>
                    <w:t>《工业企业厂界环境噪声排放标准》（GB12348-2008）3类</w:t>
                  </w:r>
                </w:p>
              </w:tc>
            </w:tr>
          </w:tbl>
          <w:p w14:paraId="7DB9446D">
            <w:pPr>
              <w:pStyle w:val="50"/>
              <w:ind w:firstLine="482"/>
              <w:rPr>
                <w:b/>
                <w:bCs/>
                <w:color w:val="auto"/>
              </w:rPr>
            </w:pPr>
            <w:r>
              <w:rPr>
                <w:b/>
                <w:bCs/>
                <w:color w:val="auto"/>
              </w:rPr>
              <w:t>4、固体废物环境影响和保护措施</w:t>
            </w:r>
          </w:p>
          <w:p w14:paraId="5EA52B4A">
            <w:pPr>
              <w:pStyle w:val="50"/>
              <w:ind w:firstLine="482"/>
              <w:rPr>
                <w:b/>
                <w:bCs/>
                <w:color w:val="auto"/>
              </w:rPr>
            </w:pPr>
            <w:r>
              <w:rPr>
                <w:b/>
                <w:bCs/>
                <w:color w:val="auto"/>
              </w:rPr>
              <w:t>（1）固体废物源强核算</w:t>
            </w:r>
          </w:p>
          <w:p w14:paraId="4DEBEDD1">
            <w:pPr>
              <w:pStyle w:val="50"/>
              <w:ind w:firstLine="480"/>
              <w:rPr>
                <w:color w:val="auto"/>
              </w:rPr>
            </w:pPr>
            <w:r>
              <w:rPr>
                <w:color w:val="auto"/>
              </w:rPr>
              <w:t>本扩建项目运营过程中产生的固体废物主要为炉渣、除尘灰、废布袋、废液压油</w:t>
            </w:r>
            <w:r>
              <w:rPr>
                <w:rFonts w:hint="eastAsia"/>
                <w:color w:val="auto"/>
              </w:rPr>
              <w:t>、</w:t>
            </w:r>
            <w:r>
              <w:rPr>
                <w:color w:val="auto"/>
              </w:rPr>
              <w:t>废液压油包装桶、废润滑油包装桶、生活垃圾。</w:t>
            </w:r>
          </w:p>
          <w:p w14:paraId="49BAB526">
            <w:pPr>
              <w:pStyle w:val="50"/>
              <w:ind w:firstLine="482"/>
              <w:rPr>
                <w:b/>
                <w:bCs/>
                <w:color w:val="auto"/>
              </w:rPr>
            </w:pPr>
            <w:r>
              <w:rPr>
                <w:b/>
                <w:bCs/>
                <w:color w:val="auto"/>
              </w:rPr>
              <w:t>①炉渣</w:t>
            </w:r>
          </w:p>
          <w:p w14:paraId="1DFBD1F3">
            <w:pPr>
              <w:pStyle w:val="50"/>
              <w:ind w:firstLine="480"/>
              <w:rPr>
                <w:color w:val="auto"/>
              </w:rPr>
            </w:pPr>
            <w:r>
              <w:rPr>
                <w:color w:val="auto"/>
              </w:rPr>
              <w:t>本扩建项目熔化过程中使用木炭覆盖铜液，木炭与高温铜液接触会发生燃烧，木炭燃烧后易呈粉末状结块，需定期进行扒渣。炉渣占木炭使用量的</w:t>
            </w:r>
            <w:r>
              <w:rPr>
                <w:rFonts w:hint="eastAsia"/>
                <w:color w:val="auto"/>
                <w:lang w:val="en-US" w:eastAsia="zh-CN"/>
              </w:rPr>
              <w:t>5</w:t>
            </w:r>
            <w:r>
              <w:rPr>
                <w:color w:val="auto"/>
              </w:rPr>
              <w:t>%，本扩建项目木炭使用量为</w:t>
            </w:r>
            <w:r>
              <w:rPr>
                <w:rFonts w:hint="eastAsia"/>
                <w:color w:val="auto"/>
                <w:lang w:val="en-US" w:eastAsia="zh-CN"/>
              </w:rPr>
              <w:t>160</w:t>
            </w:r>
            <w:r>
              <w:rPr>
                <w:color w:val="auto"/>
              </w:rPr>
              <w:t>t/a，则炉渣产生量为</w:t>
            </w:r>
            <w:r>
              <w:rPr>
                <w:rFonts w:hint="eastAsia"/>
                <w:color w:val="auto"/>
                <w:lang w:val="en-US" w:eastAsia="zh-CN"/>
              </w:rPr>
              <w:t>8</w:t>
            </w:r>
            <w:r>
              <w:rPr>
                <w:color w:val="auto"/>
              </w:rPr>
              <w:t>t/a</w:t>
            </w:r>
            <w:r>
              <w:rPr>
                <w:rFonts w:hint="eastAsia"/>
                <w:color w:val="auto"/>
              </w:rPr>
              <w:t>；项目</w:t>
            </w:r>
            <w:r>
              <w:rPr>
                <w:color w:val="auto"/>
              </w:rPr>
              <w:t>保温过程中铜液表面覆盖一层石墨鳞片，石墨鳞片为高温材料，与铜液接触不会燃烧。但石墨鳞片与铜液长期接触会结块，需定期进行扒渣。本扩建项目石墨鳞片使用量为</w:t>
            </w:r>
            <w:r>
              <w:rPr>
                <w:rFonts w:hint="eastAsia"/>
                <w:color w:val="auto"/>
                <w:lang w:val="en-US" w:eastAsia="zh-CN"/>
              </w:rPr>
              <w:t>5</w:t>
            </w:r>
            <w:r>
              <w:rPr>
                <w:color w:val="auto"/>
              </w:rPr>
              <w:t>t/a，则炉渣产生量为</w:t>
            </w:r>
            <w:r>
              <w:rPr>
                <w:rFonts w:hint="eastAsia"/>
                <w:color w:val="auto"/>
                <w:lang w:val="en-US" w:eastAsia="zh-CN"/>
              </w:rPr>
              <w:t>13</w:t>
            </w:r>
            <w:r>
              <w:rPr>
                <w:color w:val="auto"/>
              </w:rPr>
              <w:t>t/a。</w:t>
            </w:r>
          </w:p>
          <w:p w14:paraId="73D7EE50">
            <w:pPr>
              <w:pStyle w:val="50"/>
              <w:ind w:firstLine="480"/>
              <w:rPr>
                <w:color w:val="auto"/>
              </w:rPr>
            </w:pPr>
            <w:r>
              <w:rPr>
                <w:rFonts w:hint="eastAsia"/>
                <w:color w:val="auto"/>
              </w:rPr>
              <w:t>综上</w:t>
            </w:r>
            <w:r>
              <w:rPr>
                <w:color w:val="auto"/>
              </w:rPr>
              <w:t>，本扩建项目炉渣产生总量为</w:t>
            </w:r>
            <w:r>
              <w:rPr>
                <w:rFonts w:hint="eastAsia"/>
                <w:color w:val="auto"/>
                <w:lang w:val="en-US" w:eastAsia="zh-CN"/>
              </w:rPr>
              <w:t>13</w:t>
            </w:r>
            <w:r>
              <w:rPr>
                <w:color w:val="auto"/>
              </w:rPr>
              <w:t>t/a</w:t>
            </w:r>
            <w:r>
              <w:rPr>
                <w:rFonts w:hint="eastAsia"/>
                <w:color w:val="auto"/>
              </w:rPr>
              <w:t>。炉渣属于一般固废（SW01，325-001-S01），</w:t>
            </w:r>
            <w:r>
              <w:rPr>
                <w:rFonts w:hint="eastAsia"/>
                <w:color w:val="auto"/>
                <w:szCs w:val="24"/>
              </w:rPr>
              <w:t>收集后暂存一般固废库，定期外售综合利用</w:t>
            </w:r>
            <w:r>
              <w:rPr>
                <w:rFonts w:hint="eastAsia"/>
                <w:color w:val="auto"/>
              </w:rPr>
              <w:t>。</w:t>
            </w:r>
          </w:p>
          <w:p w14:paraId="433571A0">
            <w:pPr>
              <w:pStyle w:val="50"/>
              <w:ind w:firstLine="482"/>
              <w:rPr>
                <w:b/>
                <w:bCs/>
                <w:color w:val="auto"/>
              </w:rPr>
            </w:pPr>
            <w:r>
              <w:rPr>
                <w:b/>
                <w:bCs/>
                <w:color w:val="auto"/>
              </w:rPr>
              <w:t>②除尘灰</w:t>
            </w:r>
          </w:p>
          <w:p w14:paraId="66AC3988">
            <w:pPr>
              <w:pStyle w:val="50"/>
              <w:ind w:firstLine="480"/>
              <w:rPr>
                <w:b/>
                <w:bCs/>
                <w:color w:val="auto"/>
              </w:rPr>
            </w:pPr>
            <w:r>
              <w:rPr>
                <w:color w:val="auto"/>
              </w:rPr>
              <w:t>本扩建项目采用布袋除尘器去除金属熔化烟尘，需定期清理布袋除尘器中的除尘灰。根据废气源强计算，</w:t>
            </w:r>
            <w:r>
              <w:rPr>
                <w:rFonts w:hint="eastAsia"/>
                <w:color w:val="auto"/>
              </w:rPr>
              <w:t>项目</w:t>
            </w:r>
            <w:r>
              <w:rPr>
                <w:color w:val="auto"/>
              </w:rPr>
              <w:t>除尘灰产生量为</w:t>
            </w:r>
            <w:r>
              <w:rPr>
                <w:rFonts w:hint="eastAsia"/>
                <w:color w:val="auto"/>
              </w:rPr>
              <w:t>10.23</w:t>
            </w:r>
            <w:r>
              <w:rPr>
                <w:color w:val="auto"/>
              </w:rPr>
              <w:t>t/a</w:t>
            </w:r>
            <w:r>
              <w:rPr>
                <w:rFonts w:hint="eastAsia"/>
                <w:color w:val="auto"/>
              </w:rPr>
              <w:t>。除尘灰属于一般固废（SW59，900-099-S59），</w:t>
            </w:r>
            <w:r>
              <w:rPr>
                <w:rFonts w:hint="eastAsia"/>
                <w:color w:val="auto"/>
                <w:szCs w:val="24"/>
              </w:rPr>
              <w:t>收集后暂存一般固废库，定期外售综合利用</w:t>
            </w:r>
            <w:r>
              <w:rPr>
                <w:rFonts w:hint="eastAsia"/>
                <w:color w:val="auto"/>
              </w:rPr>
              <w:t>。</w:t>
            </w:r>
          </w:p>
          <w:p w14:paraId="380EEAB4">
            <w:pPr>
              <w:pStyle w:val="50"/>
              <w:ind w:firstLine="482"/>
              <w:rPr>
                <w:b/>
                <w:bCs/>
                <w:color w:val="auto"/>
              </w:rPr>
            </w:pPr>
            <w:r>
              <w:rPr>
                <w:b/>
                <w:bCs/>
                <w:color w:val="auto"/>
              </w:rPr>
              <w:t>③废布袋</w:t>
            </w:r>
          </w:p>
          <w:p w14:paraId="6371DC04">
            <w:pPr>
              <w:pStyle w:val="50"/>
              <w:ind w:firstLine="480"/>
              <w:rPr>
                <w:b/>
                <w:bCs/>
                <w:color w:val="auto"/>
              </w:rPr>
            </w:pPr>
            <w:r>
              <w:rPr>
                <w:color w:val="auto"/>
              </w:rPr>
              <w:t>本扩建项目采用布袋除尘器</w:t>
            </w:r>
            <w:r>
              <w:rPr>
                <w:rFonts w:hint="eastAsia"/>
                <w:color w:val="auto"/>
              </w:rPr>
              <w:t>处理</w:t>
            </w:r>
            <w:r>
              <w:rPr>
                <w:color w:val="auto"/>
              </w:rPr>
              <w:t>金属熔化烟尘。布袋长时间使用后需进行更换。</w:t>
            </w:r>
            <w:r>
              <w:rPr>
                <w:rFonts w:hint="eastAsia"/>
                <w:color w:val="auto"/>
                <w:lang w:val="en-US" w:eastAsia="zh-CN"/>
              </w:rPr>
              <w:t>根据布袋除尘器设计方案，</w:t>
            </w:r>
            <w:r>
              <w:rPr>
                <w:color w:val="auto"/>
              </w:rPr>
              <w:t>本扩建项目废布袋产生量约为</w:t>
            </w:r>
            <w:r>
              <w:rPr>
                <w:rFonts w:hint="eastAsia"/>
                <w:color w:val="auto"/>
                <w:lang w:val="en-US" w:eastAsia="zh-CN"/>
              </w:rPr>
              <w:t>0.1</w:t>
            </w:r>
            <w:r>
              <w:rPr>
                <w:color w:val="auto"/>
              </w:rPr>
              <w:t>t/a</w:t>
            </w:r>
            <w:r>
              <w:rPr>
                <w:rFonts w:hint="eastAsia"/>
                <w:color w:val="auto"/>
                <w:szCs w:val="24"/>
              </w:rPr>
              <w:t>。</w:t>
            </w:r>
            <w:r>
              <w:rPr>
                <w:color w:val="auto"/>
              </w:rPr>
              <w:t>废布袋</w:t>
            </w:r>
            <w:r>
              <w:rPr>
                <w:rFonts w:hint="eastAsia"/>
                <w:color w:val="auto"/>
              </w:rPr>
              <w:t>属于一般固废（SW59，900-099-S59），</w:t>
            </w:r>
            <w:r>
              <w:rPr>
                <w:rFonts w:hint="eastAsia"/>
                <w:color w:val="auto"/>
                <w:szCs w:val="24"/>
              </w:rPr>
              <w:t>收集后暂存一般固废库，定期外售综合利用</w:t>
            </w:r>
            <w:r>
              <w:rPr>
                <w:rFonts w:hint="eastAsia"/>
                <w:color w:val="auto"/>
              </w:rPr>
              <w:t>。</w:t>
            </w:r>
          </w:p>
          <w:p w14:paraId="489FDC8F">
            <w:pPr>
              <w:pStyle w:val="50"/>
              <w:ind w:firstLine="482"/>
              <w:rPr>
                <w:b/>
                <w:bCs/>
                <w:color w:val="auto"/>
              </w:rPr>
            </w:pPr>
            <w:r>
              <w:rPr>
                <w:b/>
                <w:bCs/>
                <w:color w:val="auto"/>
              </w:rPr>
              <w:t>④废液压油</w:t>
            </w:r>
          </w:p>
          <w:p w14:paraId="09874E65">
            <w:pPr>
              <w:pStyle w:val="50"/>
              <w:ind w:firstLine="480"/>
              <w:rPr>
                <w:b/>
                <w:bCs/>
                <w:color w:val="auto"/>
              </w:rPr>
            </w:pPr>
            <w:r>
              <w:rPr>
                <w:rFonts w:hint="eastAsia"/>
                <w:color w:val="auto"/>
              </w:rPr>
              <w:t>本扩建项目设备维护保养需使用</w:t>
            </w:r>
            <w:r>
              <w:rPr>
                <w:color w:val="auto"/>
              </w:rPr>
              <w:t>液压油</w:t>
            </w:r>
            <w:r>
              <w:rPr>
                <w:rFonts w:hint="eastAsia"/>
                <w:color w:val="auto"/>
              </w:rPr>
              <w:t>，该过程会产生废</w:t>
            </w:r>
            <w:r>
              <w:rPr>
                <w:color w:val="auto"/>
              </w:rPr>
              <w:t>液压油</w:t>
            </w:r>
            <w:r>
              <w:rPr>
                <w:rFonts w:hint="eastAsia"/>
                <w:color w:val="auto"/>
              </w:rPr>
              <w:t>。本扩建项目</w:t>
            </w:r>
            <w:r>
              <w:rPr>
                <w:color w:val="auto"/>
              </w:rPr>
              <w:t>液压油</w:t>
            </w:r>
            <w:r>
              <w:rPr>
                <w:rFonts w:hint="eastAsia"/>
                <w:color w:val="auto"/>
              </w:rPr>
              <w:t>使用量为</w:t>
            </w:r>
            <w:r>
              <w:rPr>
                <w:rFonts w:hint="eastAsia"/>
                <w:color w:val="auto"/>
                <w:lang w:val="en-US" w:eastAsia="zh-CN"/>
              </w:rPr>
              <w:t>0.025</w:t>
            </w:r>
            <w:r>
              <w:rPr>
                <w:rFonts w:hint="eastAsia"/>
                <w:color w:val="auto"/>
              </w:rPr>
              <w:t>t/a，废</w:t>
            </w:r>
            <w:r>
              <w:rPr>
                <w:color w:val="auto"/>
              </w:rPr>
              <w:t>液压油</w:t>
            </w:r>
            <w:r>
              <w:rPr>
                <w:rFonts w:hint="eastAsia"/>
                <w:color w:val="auto"/>
              </w:rPr>
              <w:t>产生率为80%，则废</w:t>
            </w:r>
            <w:r>
              <w:rPr>
                <w:color w:val="auto"/>
              </w:rPr>
              <w:t>液压油</w:t>
            </w:r>
            <w:r>
              <w:rPr>
                <w:rFonts w:hint="eastAsia"/>
                <w:color w:val="auto"/>
              </w:rPr>
              <w:t>产生量</w:t>
            </w:r>
            <w:r>
              <w:rPr>
                <w:rFonts w:hint="eastAsia"/>
                <w:color w:val="auto"/>
                <w:lang w:val="en-US" w:eastAsia="zh-CN"/>
              </w:rPr>
              <w:t>0.02</w:t>
            </w:r>
            <w:r>
              <w:rPr>
                <w:rFonts w:hint="eastAsia"/>
                <w:color w:val="auto"/>
              </w:rPr>
              <w:t>t/a。</w:t>
            </w:r>
            <w:r>
              <w:rPr>
                <w:color w:val="auto"/>
              </w:rPr>
              <w:t>废液压油属于危险废物（HW</w:t>
            </w:r>
            <w:r>
              <w:rPr>
                <w:rFonts w:hint="eastAsia"/>
                <w:color w:val="auto"/>
              </w:rPr>
              <w:t>08</w:t>
            </w:r>
            <w:r>
              <w:rPr>
                <w:color w:val="auto"/>
              </w:rPr>
              <w:t>，</w:t>
            </w:r>
            <w:r>
              <w:rPr>
                <w:rFonts w:hint="eastAsia"/>
                <w:color w:val="auto"/>
              </w:rPr>
              <w:t>900-214-08</w:t>
            </w:r>
            <w:r>
              <w:rPr>
                <w:color w:val="auto"/>
              </w:rPr>
              <w:t>），收集后暂存危废库，定期委托有资质单位</w:t>
            </w:r>
            <w:r>
              <w:rPr>
                <w:rFonts w:hint="eastAsia"/>
                <w:color w:val="auto"/>
              </w:rPr>
              <w:t>处置</w:t>
            </w:r>
            <w:r>
              <w:rPr>
                <w:color w:val="auto"/>
              </w:rPr>
              <w:t>。</w:t>
            </w:r>
          </w:p>
          <w:p w14:paraId="7CE4C905">
            <w:pPr>
              <w:pStyle w:val="50"/>
              <w:ind w:firstLine="482"/>
              <w:rPr>
                <w:b/>
                <w:bCs/>
                <w:color w:val="auto"/>
              </w:rPr>
            </w:pPr>
            <w:r>
              <w:rPr>
                <w:b/>
                <w:bCs/>
                <w:color w:val="auto"/>
              </w:rPr>
              <w:t>⑤废包装桶</w:t>
            </w:r>
          </w:p>
          <w:p w14:paraId="7E1B8DF2">
            <w:pPr>
              <w:pStyle w:val="50"/>
              <w:ind w:firstLine="480"/>
              <w:rPr>
                <w:b/>
                <w:bCs/>
                <w:color w:val="auto"/>
              </w:rPr>
            </w:pPr>
            <w:r>
              <w:rPr>
                <w:color w:val="auto"/>
              </w:rPr>
              <w:t>本扩建项目</w:t>
            </w:r>
            <w:r>
              <w:rPr>
                <w:rFonts w:hint="eastAsia"/>
                <w:color w:val="auto"/>
              </w:rPr>
              <w:t>原辅料使用过程会产生废包装桶</w:t>
            </w:r>
            <w:r>
              <w:rPr>
                <w:color w:val="auto"/>
              </w:rPr>
              <w:t>。</w:t>
            </w:r>
            <w:r>
              <w:rPr>
                <w:rFonts w:hint="eastAsia"/>
                <w:color w:val="auto"/>
              </w:rPr>
              <w:t>本扩建项目液压油使用量为</w:t>
            </w:r>
            <w:r>
              <w:rPr>
                <w:rFonts w:hint="eastAsia"/>
                <w:color w:val="auto"/>
                <w:lang w:val="en-US" w:eastAsia="zh-CN"/>
              </w:rPr>
              <w:t>0.025</w:t>
            </w:r>
            <w:r>
              <w:rPr>
                <w:rFonts w:hint="eastAsia"/>
                <w:color w:val="auto"/>
              </w:rPr>
              <w:t>t/a、规格为25kg桶，则废液压油包装桶产生量为</w:t>
            </w:r>
            <w:r>
              <w:rPr>
                <w:rFonts w:hint="eastAsia"/>
                <w:color w:val="auto"/>
                <w:lang w:val="en-US" w:eastAsia="zh-CN"/>
              </w:rPr>
              <w:t>1</w:t>
            </w:r>
            <w:r>
              <w:rPr>
                <w:rFonts w:hint="eastAsia"/>
                <w:color w:val="auto"/>
              </w:rPr>
              <w:t>个/年；润滑油使用量为</w:t>
            </w:r>
            <w:r>
              <w:rPr>
                <w:rFonts w:hint="eastAsia"/>
                <w:color w:val="auto"/>
                <w:lang w:val="en-US" w:eastAsia="zh-CN"/>
              </w:rPr>
              <w:t>0.5</w:t>
            </w:r>
            <w:r>
              <w:rPr>
                <w:rFonts w:hint="eastAsia"/>
                <w:color w:val="auto"/>
              </w:rPr>
              <w:t>t/a、规格为20kg/桶，则废润滑油包装桶产生量为</w:t>
            </w:r>
            <w:r>
              <w:rPr>
                <w:rFonts w:hint="eastAsia"/>
                <w:color w:val="auto"/>
                <w:lang w:val="en-US" w:eastAsia="zh-CN"/>
              </w:rPr>
              <w:t>20</w:t>
            </w:r>
            <w:r>
              <w:rPr>
                <w:rFonts w:hint="eastAsia"/>
                <w:color w:val="auto"/>
              </w:rPr>
              <w:t>个/年</w:t>
            </w:r>
            <w:r>
              <w:rPr>
                <w:color w:val="auto"/>
              </w:rPr>
              <w:t>。</w:t>
            </w:r>
            <w:r>
              <w:rPr>
                <w:rFonts w:hint="eastAsia"/>
                <w:color w:val="auto"/>
              </w:rPr>
              <w:t>因此本扩建项目废包装桶产生量约为</w:t>
            </w:r>
            <w:r>
              <w:rPr>
                <w:rFonts w:hint="eastAsia"/>
                <w:color w:val="auto"/>
                <w:lang w:val="en-US" w:eastAsia="zh-CN"/>
              </w:rPr>
              <w:t>0.01</w:t>
            </w:r>
            <w:r>
              <w:rPr>
                <w:rFonts w:hint="eastAsia"/>
                <w:color w:val="auto"/>
              </w:rPr>
              <w:t>t/a。废</w:t>
            </w:r>
            <w:r>
              <w:rPr>
                <w:color w:val="auto"/>
              </w:rPr>
              <w:t>包装桶</w:t>
            </w:r>
            <w:r>
              <w:rPr>
                <w:rFonts w:hint="eastAsia"/>
                <w:color w:val="auto"/>
              </w:rPr>
              <w:t>属于危废（HW08，900-214-08）</w:t>
            </w:r>
            <w:r>
              <w:rPr>
                <w:color w:val="auto"/>
              </w:rPr>
              <w:t>，收集后暂存危废库，定期委托有资质单位</w:t>
            </w:r>
            <w:r>
              <w:rPr>
                <w:rFonts w:hint="eastAsia"/>
                <w:color w:val="auto"/>
              </w:rPr>
              <w:t>处置</w:t>
            </w:r>
            <w:r>
              <w:rPr>
                <w:color w:val="auto"/>
              </w:rPr>
              <w:t>。</w:t>
            </w:r>
          </w:p>
          <w:p w14:paraId="6091F71D">
            <w:pPr>
              <w:pStyle w:val="50"/>
              <w:ind w:firstLine="482"/>
              <w:rPr>
                <w:b/>
                <w:bCs/>
                <w:color w:val="auto"/>
              </w:rPr>
            </w:pPr>
            <w:r>
              <w:rPr>
                <w:b/>
                <w:bCs/>
                <w:color w:val="auto"/>
              </w:rPr>
              <w:t>⑥废职工生活垃圾</w:t>
            </w:r>
          </w:p>
          <w:p w14:paraId="2C45823F">
            <w:pPr>
              <w:pStyle w:val="50"/>
              <w:ind w:firstLine="480"/>
              <w:rPr>
                <w:color w:val="auto"/>
              </w:rPr>
            </w:pPr>
            <w:r>
              <w:rPr>
                <w:color w:val="auto"/>
              </w:rPr>
              <w:t>本扩建项目劳动定员</w:t>
            </w:r>
            <w:r>
              <w:rPr>
                <w:rFonts w:hint="eastAsia"/>
                <w:color w:val="auto"/>
              </w:rPr>
              <w:t>30</w:t>
            </w:r>
            <w:r>
              <w:rPr>
                <w:color w:val="auto"/>
              </w:rPr>
              <w:t>人，生活垃圾产生量按每人每天产生0.5kg计，则生活垃圾产生量约为</w:t>
            </w:r>
            <w:r>
              <w:rPr>
                <w:rFonts w:hint="eastAsia"/>
                <w:color w:val="auto"/>
              </w:rPr>
              <w:t>4.5</w:t>
            </w:r>
            <w:r>
              <w:rPr>
                <w:color w:val="auto"/>
              </w:rPr>
              <w:t>t/a。项目厂区内设置垃圾桶收集生活垃圾，由环卫部门定期清运处理。</w:t>
            </w:r>
          </w:p>
          <w:p w14:paraId="04912765">
            <w:pPr>
              <w:pStyle w:val="50"/>
              <w:ind w:firstLine="480"/>
              <w:rPr>
                <w:color w:val="auto"/>
              </w:rPr>
            </w:pPr>
            <w:r>
              <w:rPr>
                <w:color w:val="auto"/>
              </w:rPr>
              <w:t>根据《中华人民共和国固体废物污染环境防治法》</w:t>
            </w:r>
            <w:r>
              <w:rPr>
                <w:rFonts w:hint="eastAsia"/>
                <w:color w:val="auto"/>
              </w:rPr>
              <w:t>、</w:t>
            </w:r>
            <w:r>
              <w:rPr>
                <w:color w:val="auto"/>
              </w:rPr>
              <w:t>《固体废物鉴别标准通则》（GB</w:t>
            </w:r>
            <w:r>
              <w:rPr>
                <w:rFonts w:hint="eastAsia"/>
                <w:color w:val="auto"/>
              </w:rPr>
              <w:t xml:space="preserve"> </w:t>
            </w:r>
            <w:r>
              <w:rPr>
                <w:color w:val="auto"/>
              </w:rPr>
              <w:t>34330-2017），对建设项目产生的固废，依据产生来源、利用和处置过程鉴别是否属于固体废物。副产物属性判断见</w:t>
            </w:r>
            <w:r>
              <w:rPr>
                <w:color w:val="auto"/>
              </w:rPr>
              <w:fldChar w:fldCharType="begin"/>
            </w:r>
            <w:r>
              <w:rPr>
                <w:color w:val="auto"/>
              </w:rPr>
              <w:instrText xml:space="preserve"> REF _Ref6219 \h </w:instrText>
            </w:r>
            <w:r>
              <w:rPr>
                <w:color w:val="auto"/>
              </w:rPr>
              <w:fldChar w:fldCharType="separate"/>
            </w:r>
            <w:r>
              <w:rPr>
                <w:color w:val="auto"/>
              </w:rPr>
              <w:t>表4- 18</w:t>
            </w:r>
            <w:r>
              <w:rPr>
                <w:color w:val="auto"/>
              </w:rPr>
              <w:fldChar w:fldCharType="end"/>
            </w:r>
            <w:r>
              <w:rPr>
                <w:color w:val="auto"/>
              </w:rPr>
              <w:t>。</w:t>
            </w:r>
          </w:p>
          <w:p w14:paraId="37AEA591">
            <w:pPr>
              <w:pStyle w:val="7"/>
              <w:rPr>
                <w:color w:val="auto"/>
              </w:rPr>
            </w:pPr>
            <w:bookmarkStart w:id="111" w:name="_Ref6219"/>
            <w:r>
              <w:rPr>
                <w:color w:val="auto"/>
              </w:rPr>
              <w:t xml:space="preserve">表4- </w:t>
            </w:r>
            <w:r>
              <w:rPr>
                <w:color w:val="auto"/>
              </w:rPr>
              <w:fldChar w:fldCharType="begin"/>
            </w:r>
            <w:r>
              <w:rPr>
                <w:color w:val="auto"/>
              </w:rPr>
              <w:instrText xml:space="preserve"> SEQ 表4- \* ARABIC </w:instrText>
            </w:r>
            <w:r>
              <w:rPr>
                <w:color w:val="auto"/>
              </w:rPr>
              <w:fldChar w:fldCharType="separate"/>
            </w:r>
            <w:r>
              <w:rPr>
                <w:color w:val="auto"/>
              </w:rPr>
              <w:t>18</w:t>
            </w:r>
            <w:r>
              <w:rPr>
                <w:color w:val="auto"/>
              </w:rPr>
              <w:fldChar w:fldCharType="end"/>
            </w:r>
            <w:bookmarkEnd w:id="111"/>
            <w:r>
              <w:rPr>
                <w:color w:val="auto"/>
              </w:rPr>
              <w:t xml:space="preserve"> 项目建成后副产物属性（固体废物属性）判定表</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85" w:type="dxa"/>
              </w:tblCellMar>
            </w:tblPr>
            <w:tblGrid>
              <w:gridCol w:w="445"/>
              <w:gridCol w:w="1131"/>
              <w:gridCol w:w="1162"/>
              <w:gridCol w:w="1238"/>
              <w:gridCol w:w="1262"/>
              <w:gridCol w:w="1163"/>
              <w:gridCol w:w="941"/>
              <w:gridCol w:w="1066"/>
            </w:tblGrid>
            <w:tr w14:paraId="48AFB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90" w:hRule="atLeast"/>
                <w:jc w:val="center"/>
              </w:trPr>
              <w:tc>
                <w:tcPr>
                  <w:tcW w:w="264" w:type="pct"/>
                  <w:vMerge w:val="restart"/>
                  <w:tcBorders>
                    <w:tl2br w:val="nil"/>
                    <w:tr2bl w:val="nil"/>
                  </w:tcBorders>
                  <w:vAlign w:val="center"/>
                </w:tcPr>
                <w:p w14:paraId="29A8071F">
                  <w:pPr>
                    <w:pStyle w:val="52"/>
                    <w:rPr>
                      <w:color w:val="auto"/>
                    </w:rPr>
                  </w:pPr>
                  <w:r>
                    <w:rPr>
                      <w:color w:val="auto"/>
                    </w:rPr>
                    <w:t>序号</w:t>
                  </w:r>
                </w:p>
              </w:tc>
              <w:tc>
                <w:tcPr>
                  <w:tcW w:w="672" w:type="pct"/>
                  <w:vMerge w:val="restart"/>
                  <w:tcBorders>
                    <w:tl2br w:val="nil"/>
                    <w:tr2bl w:val="nil"/>
                  </w:tcBorders>
                  <w:vAlign w:val="center"/>
                </w:tcPr>
                <w:p w14:paraId="61E8F8CB">
                  <w:pPr>
                    <w:pStyle w:val="52"/>
                    <w:rPr>
                      <w:color w:val="auto"/>
                    </w:rPr>
                  </w:pPr>
                  <w:r>
                    <w:rPr>
                      <w:color w:val="auto"/>
                    </w:rPr>
                    <w:t>名称</w:t>
                  </w:r>
                </w:p>
              </w:tc>
              <w:tc>
                <w:tcPr>
                  <w:tcW w:w="691" w:type="pct"/>
                  <w:vMerge w:val="restart"/>
                  <w:tcBorders>
                    <w:tl2br w:val="nil"/>
                    <w:tr2bl w:val="nil"/>
                  </w:tcBorders>
                  <w:vAlign w:val="center"/>
                </w:tcPr>
                <w:p w14:paraId="1DD6E813">
                  <w:pPr>
                    <w:pStyle w:val="52"/>
                    <w:rPr>
                      <w:color w:val="auto"/>
                    </w:rPr>
                  </w:pPr>
                  <w:r>
                    <w:rPr>
                      <w:color w:val="auto"/>
                    </w:rPr>
                    <w:t>产生工序</w:t>
                  </w:r>
                </w:p>
              </w:tc>
              <w:tc>
                <w:tcPr>
                  <w:tcW w:w="736" w:type="pct"/>
                  <w:vMerge w:val="restart"/>
                  <w:tcBorders>
                    <w:tl2br w:val="nil"/>
                    <w:tr2bl w:val="nil"/>
                  </w:tcBorders>
                  <w:vAlign w:val="center"/>
                </w:tcPr>
                <w:p w14:paraId="1F040169">
                  <w:pPr>
                    <w:pStyle w:val="52"/>
                    <w:rPr>
                      <w:color w:val="auto"/>
                    </w:rPr>
                  </w:pPr>
                  <w:r>
                    <w:rPr>
                      <w:color w:val="auto"/>
                    </w:rPr>
                    <w:t>形态</w:t>
                  </w:r>
                </w:p>
              </w:tc>
              <w:tc>
                <w:tcPr>
                  <w:tcW w:w="750" w:type="pct"/>
                  <w:vMerge w:val="restart"/>
                  <w:tcBorders>
                    <w:tl2br w:val="nil"/>
                    <w:tr2bl w:val="nil"/>
                  </w:tcBorders>
                  <w:vAlign w:val="center"/>
                </w:tcPr>
                <w:p w14:paraId="7C3DA569">
                  <w:pPr>
                    <w:pStyle w:val="52"/>
                    <w:rPr>
                      <w:color w:val="auto"/>
                    </w:rPr>
                  </w:pPr>
                  <w:r>
                    <w:rPr>
                      <w:color w:val="auto"/>
                    </w:rPr>
                    <w:t>预测产生量（t/a）</w:t>
                  </w:r>
                </w:p>
              </w:tc>
              <w:tc>
                <w:tcPr>
                  <w:tcW w:w="1885" w:type="pct"/>
                  <w:gridSpan w:val="3"/>
                  <w:tcBorders>
                    <w:tl2br w:val="nil"/>
                    <w:tr2bl w:val="nil"/>
                  </w:tcBorders>
                  <w:vAlign w:val="center"/>
                </w:tcPr>
                <w:p w14:paraId="11C4AC49">
                  <w:pPr>
                    <w:pStyle w:val="52"/>
                    <w:rPr>
                      <w:color w:val="auto"/>
                    </w:rPr>
                  </w:pPr>
                  <w:r>
                    <w:rPr>
                      <w:color w:val="auto"/>
                    </w:rPr>
                    <w:t>种类判断</w:t>
                  </w:r>
                </w:p>
              </w:tc>
            </w:tr>
            <w:tr w14:paraId="69FF6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90" w:hRule="atLeast"/>
                <w:jc w:val="center"/>
              </w:trPr>
              <w:tc>
                <w:tcPr>
                  <w:tcW w:w="264" w:type="pct"/>
                  <w:vMerge w:val="continue"/>
                  <w:tcBorders>
                    <w:tl2br w:val="nil"/>
                    <w:tr2bl w:val="nil"/>
                  </w:tcBorders>
                  <w:vAlign w:val="center"/>
                </w:tcPr>
                <w:p w14:paraId="46E59C1D">
                  <w:pPr>
                    <w:pStyle w:val="52"/>
                    <w:rPr>
                      <w:color w:val="auto"/>
                    </w:rPr>
                  </w:pPr>
                </w:p>
              </w:tc>
              <w:tc>
                <w:tcPr>
                  <w:tcW w:w="672" w:type="pct"/>
                  <w:vMerge w:val="continue"/>
                  <w:tcBorders>
                    <w:tl2br w:val="nil"/>
                    <w:tr2bl w:val="nil"/>
                  </w:tcBorders>
                  <w:vAlign w:val="center"/>
                </w:tcPr>
                <w:p w14:paraId="59483FFA">
                  <w:pPr>
                    <w:pStyle w:val="52"/>
                    <w:rPr>
                      <w:color w:val="auto"/>
                    </w:rPr>
                  </w:pPr>
                </w:p>
              </w:tc>
              <w:tc>
                <w:tcPr>
                  <w:tcW w:w="691" w:type="pct"/>
                  <w:vMerge w:val="continue"/>
                  <w:tcBorders>
                    <w:tl2br w:val="nil"/>
                    <w:tr2bl w:val="nil"/>
                  </w:tcBorders>
                  <w:vAlign w:val="center"/>
                </w:tcPr>
                <w:p w14:paraId="5E501235">
                  <w:pPr>
                    <w:pStyle w:val="52"/>
                    <w:rPr>
                      <w:color w:val="auto"/>
                    </w:rPr>
                  </w:pPr>
                </w:p>
              </w:tc>
              <w:tc>
                <w:tcPr>
                  <w:tcW w:w="736" w:type="pct"/>
                  <w:vMerge w:val="continue"/>
                  <w:tcBorders>
                    <w:tl2br w:val="nil"/>
                    <w:tr2bl w:val="nil"/>
                  </w:tcBorders>
                  <w:vAlign w:val="center"/>
                </w:tcPr>
                <w:p w14:paraId="0D1F73D0">
                  <w:pPr>
                    <w:pStyle w:val="52"/>
                    <w:rPr>
                      <w:color w:val="auto"/>
                    </w:rPr>
                  </w:pPr>
                </w:p>
              </w:tc>
              <w:tc>
                <w:tcPr>
                  <w:tcW w:w="750" w:type="pct"/>
                  <w:vMerge w:val="continue"/>
                  <w:tcBorders>
                    <w:tl2br w:val="nil"/>
                    <w:tr2bl w:val="nil"/>
                  </w:tcBorders>
                  <w:vAlign w:val="center"/>
                </w:tcPr>
                <w:p w14:paraId="73FACE39">
                  <w:pPr>
                    <w:pStyle w:val="52"/>
                    <w:rPr>
                      <w:color w:val="auto"/>
                    </w:rPr>
                  </w:pPr>
                </w:p>
              </w:tc>
              <w:tc>
                <w:tcPr>
                  <w:tcW w:w="691" w:type="pct"/>
                  <w:tcBorders>
                    <w:tl2br w:val="nil"/>
                    <w:tr2bl w:val="nil"/>
                  </w:tcBorders>
                  <w:vAlign w:val="center"/>
                </w:tcPr>
                <w:p w14:paraId="0DE05A33">
                  <w:pPr>
                    <w:pStyle w:val="52"/>
                    <w:rPr>
                      <w:color w:val="auto"/>
                    </w:rPr>
                  </w:pPr>
                  <w:r>
                    <w:rPr>
                      <w:color w:val="auto"/>
                    </w:rPr>
                    <w:t>固体废物</w:t>
                  </w:r>
                </w:p>
              </w:tc>
              <w:tc>
                <w:tcPr>
                  <w:tcW w:w="559" w:type="pct"/>
                  <w:tcBorders>
                    <w:tl2br w:val="nil"/>
                    <w:tr2bl w:val="nil"/>
                  </w:tcBorders>
                  <w:vAlign w:val="center"/>
                </w:tcPr>
                <w:p w14:paraId="29BDDE1C">
                  <w:pPr>
                    <w:pStyle w:val="52"/>
                    <w:rPr>
                      <w:color w:val="auto"/>
                    </w:rPr>
                  </w:pPr>
                  <w:r>
                    <w:rPr>
                      <w:color w:val="auto"/>
                    </w:rPr>
                    <w:t>副产品</w:t>
                  </w:r>
                </w:p>
              </w:tc>
              <w:tc>
                <w:tcPr>
                  <w:tcW w:w="633" w:type="pct"/>
                  <w:tcBorders>
                    <w:tl2br w:val="nil"/>
                    <w:tr2bl w:val="nil"/>
                  </w:tcBorders>
                  <w:vAlign w:val="center"/>
                </w:tcPr>
                <w:p w14:paraId="6435885C">
                  <w:pPr>
                    <w:pStyle w:val="52"/>
                    <w:rPr>
                      <w:color w:val="auto"/>
                    </w:rPr>
                  </w:pPr>
                  <w:r>
                    <w:rPr>
                      <w:color w:val="auto"/>
                    </w:rPr>
                    <w:t>判定依据</w:t>
                  </w:r>
                </w:p>
              </w:tc>
            </w:tr>
            <w:tr w14:paraId="61A69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90" w:hRule="atLeast"/>
                <w:jc w:val="center"/>
              </w:trPr>
              <w:tc>
                <w:tcPr>
                  <w:tcW w:w="264" w:type="pct"/>
                  <w:tcBorders>
                    <w:tl2br w:val="nil"/>
                    <w:tr2bl w:val="nil"/>
                  </w:tcBorders>
                  <w:vAlign w:val="center"/>
                </w:tcPr>
                <w:p w14:paraId="03AC69D9">
                  <w:pPr>
                    <w:pStyle w:val="54"/>
                    <w:bidi w:val="0"/>
                    <w:rPr>
                      <w:color w:val="auto"/>
                    </w:rPr>
                  </w:pPr>
                  <w:r>
                    <w:rPr>
                      <w:color w:val="auto"/>
                    </w:rPr>
                    <w:t>1</w:t>
                  </w:r>
                </w:p>
              </w:tc>
              <w:tc>
                <w:tcPr>
                  <w:tcW w:w="672" w:type="pct"/>
                  <w:tcBorders>
                    <w:tl2br w:val="nil"/>
                    <w:tr2bl w:val="nil"/>
                  </w:tcBorders>
                  <w:vAlign w:val="center"/>
                </w:tcPr>
                <w:p w14:paraId="28EE85DC">
                  <w:pPr>
                    <w:pStyle w:val="54"/>
                    <w:bidi w:val="0"/>
                    <w:rPr>
                      <w:color w:val="auto"/>
                    </w:rPr>
                  </w:pPr>
                  <w:r>
                    <w:rPr>
                      <w:rFonts w:hint="eastAsia"/>
                      <w:color w:val="auto"/>
                    </w:rPr>
                    <w:t>炉渣</w:t>
                  </w:r>
                </w:p>
              </w:tc>
              <w:tc>
                <w:tcPr>
                  <w:tcW w:w="691" w:type="pct"/>
                  <w:tcBorders>
                    <w:tl2br w:val="nil"/>
                    <w:tr2bl w:val="nil"/>
                  </w:tcBorders>
                  <w:vAlign w:val="center"/>
                </w:tcPr>
                <w:p w14:paraId="734ED43F">
                  <w:pPr>
                    <w:pStyle w:val="54"/>
                    <w:bidi w:val="0"/>
                    <w:rPr>
                      <w:color w:val="auto"/>
                    </w:rPr>
                  </w:pPr>
                  <w:r>
                    <w:rPr>
                      <w:rFonts w:hint="eastAsia"/>
                      <w:color w:val="auto"/>
                    </w:rPr>
                    <w:t>熔化、保温</w:t>
                  </w:r>
                </w:p>
              </w:tc>
              <w:tc>
                <w:tcPr>
                  <w:tcW w:w="736" w:type="pct"/>
                  <w:tcBorders>
                    <w:tl2br w:val="nil"/>
                    <w:tr2bl w:val="nil"/>
                  </w:tcBorders>
                  <w:vAlign w:val="center"/>
                </w:tcPr>
                <w:p w14:paraId="28B74D6B">
                  <w:pPr>
                    <w:pStyle w:val="54"/>
                    <w:bidi w:val="0"/>
                    <w:rPr>
                      <w:color w:val="auto"/>
                    </w:rPr>
                  </w:pPr>
                  <w:r>
                    <w:rPr>
                      <w:rFonts w:hint="eastAsia"/>
                      <w:color w:val="auto"/>
                    </w:rPr>
                    <w:t>固态</w:t>
                  </w:r>
                </w:p>
              </w:tc>
              <w:tc>
                <w:tcPr>
                  <w:tcW w:w="750" w:type="pct"/>
                  <w:tcBorders>
                    <w:tl2br w:val="nil"/>
                    <w:tr2bl w:val="nil"/>
                  </w:tcBorders>
                  <w:vAlign w:val="center"/>
                </w:tcPr>
                <w:p w14:paraId="728BB11E">
                  <w:pPr>
                    <w:pStyle w:val="54"/>
                    <w:bidi w:val="0"/>
                    <w:rPr>
                      <w:color w:val="auto"/>
                    </w:rPr>
                  </w:pPr>
                  <w:r>
                    <w:rPr>
                      <w:rFonts w:hint="default"/>
                      <w:color w:val="auto"/>
                      <w:lang w:val="en-US" w:eastAsia="zh-CN"/>
                    </w:rPr>
                    <w:t>13</w:t>
                  </w:r>
                </w:p>
              </w:tc>
              <w:tc>
                <w:tcPr>
                  <w:tcW w:w="691" w:type="pct"/>
                  <w:tcBorders>
                    <w:tl2br w:val="nil"/>
                    <w:tr2bl w:val="nil"/>
                  </w:tcBorders>
                  <w:vAlign w:val="center"/>
                </w:tcPr>
                <w:p w14:paraId="32895C11">
                  <w:pPr>
                    <w:pStyle w:val="54"/>
                    <w:bidi w:val="0"/>
                    <w:rPr>
                      <w:color w:val="auto"/>
                    </w:rPr>
                  </w:pPr>
                  <w:r>
                    <w:rPr>
                      <w:color w:val="auto"/>
                    </w:rPr>
                    <w:t>√</w:t>
                  </w:r>
                </w:p>
              </w:tc>
              <w:tc>
                <w:tcPr>
                  <w:tcW w:w="559" w:type="pct"/>
                  <w:tcBorders>
                    <w:tl2br w:val="nil"/>
                    <w:tr2bl w:val="nil"/>
                  </w:tcBorders>
                  <w:vAlign w:val="center"/>
                </w:tcPr>
                <w:p w14:paraId="1B002E7C">
                  <w:pPr>
                    <w:pStyle w:val="54"/>
                    <w:bidi w:val="0"/>
                    <w:rPr>
                      <w:color w:val="auto"/>
                    </w:rPr>
                  </w:pPr>
                </w:p>
              </w:tc>
              <w:tc>
                <w:tcPr>
                  <w:tcW w:w="633" w:type="pct"/>
                  <w:vMerge w:val="restart"/>
                  <w:tcBorders>
                    <w:tl2br w:val="nil"/>
                    <w:tr2bl w:val="nil"/>
                  </w:tcBorders>
                  <w:vAlign w:val="center"/>
                </w:tcPr>
                <w:p w14:paraId="02949F64">
                  <w:pPr>
                    <w:pStyle w:val="54"/>
                    <w:rPr>
                      <w:color w:val="auto"/>
                    </w:rPr>
                  </w:pPr>
                  <w:r>
                    <w:rPr>
                      <w:color w:val="auto"/>
                    </w:rPr>
                    <w:t>《固体废物鉴别标准通则》（GB34330-2017）</w:t>
                  </w:r>
                </w:p>
              </w:tc>
            </w:tr>
            <w:tr w14:paraId="159A1D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90" w:hRule="atLeast"/>
                <w:jc w:val="center"/>
              </w:trPr>
              <w:tc>
                <w:tcPr>
                  <w:tcW w:w="264" w:type="pct"/>
                  <w:tcBorders>
                    <w:tl2br w:val="nil"/>
                    <w:tr2bl w:val="nil"/>
                  </w:tcBorders>
                  <w:vAlign w:val="center"/>
                </w:tcPr>
                <w:p w14:paraId="3C5DC531">
                  <w:pPr>
                    <w:pStyle w:val="54"/>
                    <w:bidi w:val="0"/>
                    <w:rPr>
                      <w:color w:val="auto"/>
                    </w:rPr>
                  </w:pPr>
                  <w:r>
                    <w:rPr>
                      <w:color w:val="auto"/>
                    </w:rPr>
                    <w:t>2</w:t>
                  </w:r>
                </w:p>
              </w:tc>
              <w:tc>
                <w:tcPr>
                  <w:tcW w:w="672" w:type="pct"/>
                  <w:tcBorders>
                    <w:tl2br w:val="nil"/>
                    <w:tr2bl w:val="nil"/>
                  </w:tcBorders>
                  <w:vAlign w:val="center"/>
                </w:tcPr>
                <w:p w14:paraId="329F38F8">
                  <w:pPr>
                    <w:pStyle w:val="54"/>
                    <w:bidi w:val="0"/>
                    <w:rPr>
                      <w:color w:val="auto"/>
                    </w:rPr>
                  </w:pPr>
                  <w:r>
                    <w:rPr>
                      <w:rFonts w:hint="eastAsia"/>
                      <w:color w:val="auto"/>
                    </w:rPr>
                    <w:t>除尘灰</w:t>
                  </w:r>
                </w:p>
              </w:tc>
              <w:tc>
                <w:tcPr>
                  <w:tcW w:w="691" w:type="pct"/>
                  <w:vMerge w:val="restart"/>
                  <w:tcBorders>
                    <w:tl2br w:val="nil"/>
                    <w:tr2bl w:val="nil"/>
                  </w:tcBorders>
                  <w:vAlign w:val="center"/>
                </w:tcPr>
                <w:p w14:paraId="6F614B61">
                  <w:pPr>
                    <w:pStyle w:val="54"/>
                    <w:bidi w:val="0"/>
                    <w:rPr>
                      <w:color w:val="auto"/>
                    </w:rPr>
                  </w:pPr>
                  <w:r>
                    <w:rPr>
                      <w:rFonts w:hint="eastAsia"/>
                      <w:color w:val="auto"/>
                    </w:rPr>
                    <w:t>废气处理</w:t>
                  </w:r>
                </w:p>
              </w:tc>
              <w:tc>
                <w:tcPr>
                  <w:tcW w:w="736" w:type="pct"/>
                  <w:tcBorders>
                    <w:tl2br w:val="nil"/>
                    <w:tr2bl w:val="nil"/>
                  </w:tcBorders>
                  <w:vAlign w:val="center"/>
                </w:tcPr>
                <w:p w14:paraId="0CB2E47C">
                  <w:pPr>
                    <w:pStyle w:val="54"/>
                    <w:bidi w:val="0"/>
                    <w:rPr>
                      <w:color w:val="auto"/>
                    </w:rPr>
                  </w:pPr>
                  <w:r>
                    <w:rPr>
                      <w:rFonts w:hint="eastAsia"/>
                      <w:color w:val="auto"/>
                    </w:rPr>
                    <w:t>固态</w:t>
                  </w:r>
                </w:p>
              </w:tc>
              <w:tc>
                <w:tcPr>
                  <w:tcW w:w="750" w:type="pct"/>
                  <w:tcBorders>
                    <w:tl2br w:val="nil"/>
                    <w:tr2bl w:val="nil"/>
                  </w:tcBorders>
                  <w:vAlign w:val="center"/>
                </w:tcPr>
                <w:p w14:paraId="1B83622F">
                  <w:pPr>
                    <w:pStyle w:val="54"/>
                    <w:bidi w:val="0"/>
                    <w:rPr>
                      <w:color w:val="auto"/>
                    </w:rPr>
                  </w:pPr>
                  <w:r>
                    <w:rPr>
                      <w:rFonts w:hint="default"/>
                      <w:color w:val="auto"/>
                      <w:lang w:val="en-US" w:eastAsia="zh-CN"/>
                    </w:rPr>
                    <w:t xml:space="preserve">10.23 </w:t>
                  </w:r>
                </w:p>
              </w:tc>
              <w:tc>
                <w:tcPr>
                  <w:tcW w:w="691" w:type="pct"/>
                  <w:tcBorders>
                    <w:tl2br w:val="nil"/>
                    <w:tr2bl w:val="nil"/>
                  </w:tcBorders>
                  <w:vAlign w:val="center"/>
                </w:tcPr>
                <w:p w14:paraId="5C78F35C">
                  <w:pPr>
                    <w:pStyle w:val="54"/>
                    <w:bidi w:val="0"/>
                    <w:rPr>
                      <w:color w:val="auto"/>
                    </w:rPr>
                  </w:pPr>
                  <w:r>
                    <w:rPr>
                      <w:color w:val="auto"/>
                    </w:rPr>
                    <w:t>√</w:t>
                  </w:r>
                </w:p>
              </w:tc>
              <w:tc>
                <w:tcPr>
                  <w:tcW w:w="559" w:type="pct"/>
                  <w:tcBorders>
                    <w:tl2br w:val="nil"/>
                    <w:tr2bl w:val="nil"/>
                  </w:tcBorders>
                  <w:vAlign w:val="center"/>
                </w:tcPr>
                <w:p w14:paraId="76D18789">
                  <w:pPr>
                    <w:pStyle w:val="54"/>
                    <w:bidi w:val="0"/>
                    <w:rPr>
                      <w:color w:val="auto"/>
                    </w:rPr>
                  </w:pPr>
                </w:p>
              </w:tc>
              <w:tc>
                <w:tcPr>
                  <w:tcW w:w="633" w:type="pct"/>
                  <w:vMerge w:val="continue"/>
                  <w:tcBorders>
                    <w:tl2br w:val="nil"/>
                    <w:tr2bl w:val="nil"/>
                  </w:tcBorders>
                  <w:vAlign w:val="center"/>
                </w:tcPr>
                <w:p w14:paraId="37D6118F">
                  <w:pPr>
                    <w:pStyle w:val="54"/>
                    <w:rPr>
                      <w:color w:val="auto"/>
                    </w:rPr>
                  </w:pPr>
                </w:p>
              </w:tc>
            </w:tr>
            <w:tr w14:paraId="331A88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90" w:hRule="atLeast"/>
                <w:jc w:val="center"/>
              </w:trPr>
              <w:tc>
                <w:tcPr>
                  <w:tcW w:w="264" w:type="pct"/>
                  <w:tcBorders>
                    <w:tl2br w:val="nil"/>
                    <w:tr2bl w:val="nil"/>
                  </w:tcBorders>
                  <w:vAlign w:val="center"/>
                </w:tcPr>
                <w:p w14:paraId="594C5719">
                  <w:pPr>
                    <w:pStyle w:val="54"/>
                    <w:bidi w:val="0"/>
                    <w:rPr>
                      <w:color w:val="auto"/>
                    </w:rPr>
                  </w:pPr>
                  <w:r>
                    <w:rPr>
                      <w:color w:val="auto"/>
                    </w:rPr>
                    <w:t>3</w:t>
                  </w:r>
                </w:p>
              </w:tc>
              <w:tc>
                <w:tcPr>
                  <w:tcW w:w="672" w:type="pct"/>
                  <w:tcBorders>
                    <w:tl2br w:val="nil"/>
                    <w:tr2bl w:val="nil"/>
                  </w:tcBorders>
                  <w:vAlign w:val="center"/>
                </w:tcPr>
                <w:p w14:paraId="47D54045">
                  <w:pPr>
                    <w:pStyle w:val="54"/>
                    <w:bidi w:val="0"/>
                    <w:rPr>
                      <w:color w:val="auto"/>
                    </w:rPr>
                  </w:pPr>
                  <w:r>
                    <w:rPr>
                      <w:rFonts w:hint="eastAsia"/>
                      <w:color w:val="auto"/>
                    </w:rPr>
                    <w:t>废布袋</w:t>
                  </w:r>
                </w:p>
              </w:tc>
              <w:tc>
                <w:tcPr>
                  <w:tcW w:w="691" w:type="pct"/>
                  <w:vMerge w:val="continue"/>
                  <w:tcBorders>
                    <w:tl2br w:val="nil"/>
                    <w:tr2bl w:val="nil"/>
                  </w:tcBorders>
                  <w:vAlign w:val="center"/>
                </w:tcPr>
                <w:p w14:paraId="4BF36D74">
                  <w:pPr>
                    <w:pStyle w:val="54"/>
                    <w:bidi w:val="0"/>
                    <w:rPr>
                      <w:color w:val="auto"/>
                    </w:rPr>
                  </w:pPr>
                </w:p>
              </w:tc>
              <w:tc>
                <w:tcPr>
                  <w:tcW w:w="736" w:type="pct"/>
                  <w:tcBorders>
                    <w:tl2br w:val="nil"/>
                    <w:tr2bl w:val="nil"/>
                  </w:tcBorders>
                  <w:vAlign w:val="center"/>
                </w:tcPr>
                <w:p w14:paraId="55337ADA">
                  <w:pPr>
                    <w:pStyle w:val="54"/>
                    <w:bidi w:val="0"/>
                    <w:rPr>
                      <w:color w:val="auto"/>
                    </w:rPr>
                  </w:pPr>
                  <w:r>
                    <w:rPr>
                      <w:rFonts w:hint="eastAsia"/>
                      <w:color w:val="auto"/>
                    </w:rPr>
                    <w:t>固态</w:t>
                  </w:r>
                </w:p>
              </w:tc>
              <w:tc>
                <w:tcPr>
                  <w:tcW w:w="750" w:type="pct"/>
                  <w:tcBorders>
                    <w:tl2br w:val="nil"/>
                    <w:tr2bl w:val="nil"/>
                  </w:tcBorders>
                  <w:vAlign w:val="center"/>
                </w:tcPr>
                <w:p w14:paraId="4C01669D">
                  <w:pPr>
                    <w:pStyle w:val="54"/>
                    <w:bidi w:val="0"/>
                    <w:rPr>
                      <w:color w:val="auto"/>
                    </w:rPr>
                  </w:pPr>
                  <w:r>
                    <w:rPr>
                      <w:rFonts w:hint="default"/>
                      <w:color w:val="auto"/>
                      <w:lang w:val="en-US" w:eastAsia="zh-CN"/>
                    </w:rPr>
                    <w:t>0.1</w:t>
                  </w:r>
                </w:p>
              </w:tc>
              <w:tc>
                <w:tcPr>
                  <w:tcW w:w="691" w:type="pct"/>
                  <w:tcBorders>
                    <w:tl2br w:val="nil"/>
                    <w:tr2bl w:val="nil"/>
                  </w:tcBorders>
                  <w:vAlign w:val="center"/>
                </w:tcPr>
                <w:p w14:paraId="117B0681">
                  <w:pPr>
                    <w:pStyle w:val="54"/>
                    <w:bidi w:val="0"/>
                    <w:rPr>
                      <w:color w:val="auto"/>
                    </w:rPr>
                  </w:pPr>
                  <w:r>
                    <w:rPr>
                      <w:color w:val="auto"/>
                    </w:rPr>
                    <w:t>√</w:t>
                  </w:r>
                </w:p>
              </w:tc>
              <w:tc>
                <w:tcPr>
                  <w:tcW w:w="559" w:type="pct"/>
                  <w:tcBorders>
                    <w:tl2br w:val="nil"/>
                    <w:tr2bl w:val="nil"/>
                  </w:tcBorders>
                  <w:vAlign w:val="center"/>
                </w:tcPr>
                <w:p w14:paraId="4CD10279">
                  <w:pPr>
                    <w:pStyle w:val="54"/>
                    <w:bidi w:val="0"/>
                    <w:rPr>
                      <w:color w:val="auto"/>
                    </w:rPr>
                  </w:pPr>
                </w:p>
              </w:tc>
              <w:tc>
                <w:tcPr>
                  <w:tcW w:w="633" w:type="pct"/>
                  <w:vMerge w:val="continue"/>
                  <w:tcBorders>
                    <w:tl2br w:val="nil"/>
                    <w:tr2bl w:val="nil"/>
                  </w:tcBorders>
                  <w:vAlign w:val="center"/>
                </w:tcPr>
                <w:p w14:paraId="7DD63A86">
                  <w:pPr>
                    <w:pStyle w:val="54"/>
                    <w:rPr>
                      <w:color w:val="auto"/>
                    </w:rPr>
                  </w:pPr>
                </w:p>
              </w:tc>
            </w:tr>
            <w:tr w14:paraId="78D75E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242" w:hRule="atLeast"/>
                <w:jc w:val="center"/>
              </w:trPr>
              <w:tc>
                <w:tcPr>
                  <w:tcW w:w="264" w:type="pct"/>
                  <w:tcBorders>
                    <w:tl2br w:val="nil"/>
                    <w:tr2bl w:val="nil"/>
                  </w:tcBorders>
                  <w:vAlign w:val="center"/>
                </w:tcPr>
                <w:p w14:paraId="1E43FE68">
                  <w:pPr>
                    <w:pStyle w:val="54"/>
                    <w:bidi w:val="0"/>
                    <w:rPr>
                      <w:color w:val="auto"/>
                    </w:rPr>
                  </w:pPr>
                  <w:r>
                    <w:rPr>
                      <w:color w:val="auto"/>
                    </w:rPr>
                    <w:t>4</w:t>
                  </w:r>
                </w:p>
              </w:tc>
              <w:tc>
                <w:tcPr>
                  <w:tcW w:w="672" w:type="pct"/>
                  <w:tcBorders>
                    <w:tl2br w:val="nil"/>
                    <w:tr2bl w:val="nil"/>
                  </w:tcBorders>
                  <w:vAlign w:val="center"/>
                </w:tcPr>
                <w:p w14:paraId="6266262B">
                  <w:pPr>
                    <w:pStyle w:val="54"/>
                    <w:bidi w:val="0"/>
                    <w:rPr>
                      <w:color w:val="auto"/>
                    </w:rPr>
                  </w:pPr>
                  <w:r>
                    <w:rPr>
                      <w:rFonts w:hint="eastAsia"/>
                      <w:color w:val="auto"/>
                    </w:rPr>
                    <w:t>废液压油</w:t>
                  </w:r>
                </w:p>
              </w:tc>
              <w:tc>
                <w:tcPr>
                  <w:tcW w:w="691" w:type="pct"/>
                  <w:vMerge w:val="restart"/>
                  <w:tcBorders>
                    <w:tl2br w:val="nil"/>
                    <w:tr2bl w:val="nil"/>
                  </w:tcBorders>
                  <w:vAlign w:val="center"/>
                </w:tcPr>
                <w:p w14:paraId="3F53B1A3">
                  <w:pPr>
                    <w:pStyle w:val="54"/>
                    <w:bidi w:val="0"/>
                    <w:rPr>
                      <w:color w:val="auto"/>
                    </w:rPr>
                  </w:pPr>
                  <w:r>
                    <w:rPr>
                      <w:rFonts w:hint="eastAsia"/>
                      <w:color w:val="auto"/>
                    </w:rPr>
                    <w:t>设备维护保养</w:t>
                  </w:r>
                </w:p>
              </w:tc>
              <w:tc>
                <w:tcPr>
                  <w:tcW w:w="736" w:type="pct"/>
                  <w:tcBorders>
                    <w:tl2br w:val="nil"/>
                    <w:tr2bl w:val="nil"/>
                  </w:tcBorders>
                  <w:vAlign w:val="center"/>
                </w:tcPr>
                <w:p w14:paraId="755DCC03">
                  <w:pPr>
                    <w:pStyle w:val="54"/>
                    <w:bidi w:val="0"/>
                    <w:rPr>
                      <w:color w:val="auto"/>
                    </w:rPr>
                  </w:pPr>
                  <w:r>
                    <w:rPr>
                      <w:rFonts w:hint="eastAsia"/>
                      <w:color w:val="auto"/>
                    </w:rPr>
                    <w:t>液态</w:t>
                  </w:r>
                </w:p>
              </w:tc>
              <w:tc>
                <w:tcPr>
                  <w:tcW w:w="750" w:type="pct"/>
                  <w:tcBorders>
                    <w:tl2br w:val="nil"/>
                    <w:tr2bl w:val="nil"/>
                  </w:tcBorders>
                  <w:vAlign w:val="center"/>
                </w:tcPr>
                <w:p w14:paraId="60367F62">
                  <w:pPr>
                    <w:pStyle w:val="54"/>
                    <w:bidi w:val="0"/>
                    <w:rPr>
                      <w:color w:val="auto"/>
                    </w:rPr>
                  </w:pPr>
                  <w:r>
                    <w:rPr>
                      <w:rFonts w:hint="default"/>
                      <w:color w:val="auto"/>
                      <w:lang w:val="en-US" w:eastAsia="zh-CN"/>
                    </w:rPr>
                    <w:t>0.02</w:t>
                  </w:r>
                </w:p>
              </w:tc>
              <w:tc>
                <w:tcPr>
                  <w:tcW w:w="691" w:type="pct"/>
                  <w:tcBorders>
                    <w:tl2br w:val="nil"/>
                    <w:tr2bl w:val="nil"/>
                  </w:tcBorders>
                  <w:vAlign w:val="center"/>
                </w:tcPr>
                <w:p w14:paraId="6BF64136">
                  <w:pPr>
                    <w:pStyle w:val="54"/>
                    <w:bidi w:val="0"/>
                    <w:rPr>
                      <w:color w:val="auto"/>
                    </w:rPr>
                  </w:pPr>
                  <w:r>
                    <w:rPr>
                      <w:color w:val="auto"/>
                    </w:rPr>
                    <w:t>√</w:t>
                  </w:r>
                </w:p>
              </w:tc>
              <w:tc>
                <w:tcPr>
                  <w:tcW w:w="559" w:type="pct"/>
                  <w:tcBorders>
                    <w:tl2br w:val="nil"/>
                    <w:tr2bl w:val="nil"/>
                  </w:tcBorders>
                  <w:vAlign w:val="center"/>
                </w:tcPr>
                <w:p w14:paraId="67149573">
                  <w:pPr>
                    <w:pStyle w:val="54"/>
                    <w:bidi w:val="0"/>
                    <w:rPr>
                      <w:color w:val="auto"/>
                    </w:rPr>
                  </w:pPr>
                </w:p>
              </w:tc>
              <w:tc>
                <w:tcPr>
                  <w:tcW w:w="633" w:type="pct"/>
                  <w:vMerge w:val="continue"/>
                  <w:tcBorders>
                    <w:tl2br w:val="nil"/>
                    <w:tr2bl w:val="nil"/>
                  </w:tcBorders>
                  <w:vAlign w:val="center"/>
                </w:tcPr>
                <w:p w14:paraId="69E5CA62">
                  <w:pPr>
                    <w:rPr>
                      <w:color w:val="auto"/>
                    </w:rPr>
                  </w:pPr>
                </w:p>
              </w:tc>
            </w:tr>
            <w:tr w14:paraId="3442F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90" w:hRule="atLeast"/>
                <w:jc w:val="center"/>
              </w:trPr>
              <w:tc>
                <w:tcPr>
                  <w:tcW w:w="264" w:type="pct"/>
                  <w:tcBorders>
                    <w:tl2br w:val="nil"/>
                    <w:tr2bl w:val="nil"/>
                  </w:tcBorders>
                  <w:vAlign w:val="center"/>
                </w:tcPr>
                <w:p w14:paraId="4FB54AFD">
                  <w:pPr>
                    <w:pStyle w:val="54"/>
                    <w:bidi w:val="0"/>
                    <w:rPr>
                      <w:color w:val="auto"/>
                    </w:rPr>
                  </w:pPr>
                  <w:r>
                    <w:rPr>
                      <w:color w:val="auto"/>
                    </w:rPr>
                    <w:t>5</w:t>
                  </w:r>
                </w:p>
              </w:tc>
              <w:tc>
                <w:tcPr>
                  <w:tcW w:w="672" w:type="pct"/>
                  <w:tcBorders>
                    <w:tl2br w:val="nil"/>
                    <w:tr2bl w:val="nil"/>
                  </w:tcBorders>
                  <w:vAlign w:val="center"/>
                </w:tcPr>
                <w:p w14:paraId="01316A6C">
                  <w:pPr>
                    <w:pStyle w:val="54"/>
                    <w:bidi w:val="0"/>
                    <w:rPr>
                      <w:color w:val="auto"/>
                    </w:rPr>
                  </w:pPr>
                  <w:r>
                    <w:rPr>
                      <w:rFonts w:hint="eastAsia"/>
                      <w:color w:val="auto"/>
                    </w:rPr>
                    <w:t>废包装桶</w:t>
                  </w:r>
                </w:p>
              </w:tc>
              <w:tc>
                <w:tcPr>
                  <w:tcW w:w="691" w:type="pct"/>
                  <w:vMerge w:val="continue"/>
                  <w:tcBorders>
                    <w:tl2br w:val="nil"/>
                    <w:tr2bl w:val="nil"/>
                  </w:tcBorders>
                  <w:vAlign w:val="center"/>
                </w:tcPr>
                <w:p w14:paraId="4F2AE7EE">
                  <w:pPr>
                    <w:pStyle w:val="54"/>
                    <w:bidi w:val="0"/>
                    <w:rPr>
                      <w:color w:val="auto"/>
                    </w:rPr>
                  </w:pPr>
                </w:p>
              </w:tc>
              <w:tc>
                <w:tcPr>
                  <w:tcW w:w="736" w:type="pct"/>
                  <w:tcBorders>
                    <w:tl2br w:val="nil"/>
                    <w:tr2bl w:val="nil"/>
                  </w:tcBorders>
                  <w:vAlign w:val="center"/>
                </w:tcPr>
                <w:p w14:paraId="78A76230">
                  <w:pPr>
                    <w:pStyle w:val="54"/>
                    <w:bidi w:val="0"/>
                    <w:rPr>
                      <w:color w:val="auto"/>
                    </w:rPr>
                  </w:pPr>
                  <w:r>
                    <w:rPr>
                      <w:rFonts w:hint="eastAsia"/>
                      <w:color w:val="auto"/>
                    </w:rPr>
                    <w:t>固态</w:t>
                  </w:r>
                </w:p>
              </w:tc>
              <w:tc>
                <w:tcPr>
                  <w:tcW w:w="750" w:type="pct"/>
                  <w:tcBorders>
                    <w:tl2br w:val="nil"/>
                    <w:tr2bl w:val="nil"/>
                  </w:tcBorders>
                  <w:vAlign w:val="center"/>
                </w:tcPr>
                <w:p w14:paraId="1DB0002A">
                  <w:pPr>
                    <w:pStyle w:val="54"/>
                    <w:bidi w:val="0"/>
                    <w:rPr>
                      <w:color w:val="auto"/>
                    </w:rPr>
                  </w:pPr>
                  <w:r>
                    <w:rPr>
                      <w:rFonts w:hint="eastAsia"/>
                      <w:color w:val="auto"/>
                      <w:lang w:val="en-US" w:eastAsia="zh-CN"/>
                    </w:rPr>
                    <w:t>0.01</w:t>
                  </w:r>
                </w:p>
              </w:tc>
              <w:tc>
                <w:tcPr>
                  <w:tcW w:w="691" w:type="pct"/>
                  <w:tcBorders>
                    <w:tl2br w:val="nil"/>
                    <w:tr2bl w:val="nil"/>
                  </w:tcBorders>
                  <w:vAlign w:val="center"/>
                </w:tcPr>
                <w:p w14:paraId="79B24BC9">
                  <w:pPr>
                    <w:pStyle w:val="54"/>
                    <w:bidi w:val="0"/>
                    <w:rPr>
                      <w:color w:val="auto"/>
                    </w:rPr>
                  </w:pPr>
                  <w:r>
                    <w:rPr>
                      <w:color w:val="auto"/>
                    </w:rPr>
                    <w:t>√</w:t>
                  </w:r>
                </w:p>
              </w:tc>
              <w:tc>
                <w:tcPr>
                  <w:tcW w:w="559" w:type="pct"/>
                  <w:tcBorders>
                    <w:tl2br w:val="nil"/>
                    <w:tr2bl w:val="nil"/>
                  </w:tcBorders>
                  <w:vAlign w:val="center"/>
                </w:tcPr>
                <w:p w14:paraId="38EA5D03">
                  <w:pPr>
                    <w:pStyle w:val="54"/>
                    <w:bidi w:val="0"/>
                    <w:rPr>
                      <w:color w:val="auto"/>
                    </w:rPr>
                  </w:pPr>
                </w:p>
              </w:tc>
              <w:tc>
                <w:tcPr>
                  <w:tcW w:w="633" w:type="pct"/>
                  <w:vMerge w:val="continue"/>
                  <w:tcBorders>
                    <w:tl2br w:val="nil"/>
                    <w:tr2bl w:val="nil"/>
                  </w:tcBorders>
                  <w:vAlign w:val="center"/>
                </w:tcPr>
                <w:p w14:paraId="6EC8FE79">
                  <w:pPr>
                    <w:rPr>
                      <w:color w:val="auto"/>
                    </w:rPr>
                  </w:pPr>
                </w:p>
              </w:tc>
            </w:tr>
            <w:tr w14:paraId="35317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90" w:hRule="atLeast"/>
                <w:jc w:val="center"/>
              </w:trPr>
              <w:tc>
                <w:tcPr>
                  <w:tcW w:w="264" w:type="pct"/>
                  <w:tcBorders>
                    <w:tl2br w:val="nil"/>
                    <w:tr2bl w:val="nil"/>
                  </w:tcBorders>
                  <w:vAlign w:val="center"/>
                </w:tcPr>
                <w:p w14:paraId="74087445">
                  <w:pPr>
                    <w:pStyle w:val="54"/>
                    <w:bidi w:val="0"/>
                    <w:rPr>
                      <w:color w:val="auto"/>
                    </w:rPr>
                  </w:pPr>
                  <w:r>
                    <w:rPr>
                      <w:rFonts w:hint="eastAsia"/>
                      <w:color w:val="auto"/>
                    </w:rPr>
                    <w:t>6</w:t>
                  </w:r>
                </w:p>
              </w:tc>
              <w:tc>
                <w:tcPr>
                  <w:tcW w:w="672" w:type="pct"/>
                  <w:tcBorders>
                    <w:tl2br w:val="nil"/>
                    <w:tr2bl w:val="nil"/>
                  </w:tcBorders>
                  <w:vAlign w:val="center"/>
                </w:tcPr>
                <w:p w14:paraId="4BC8F010">
                  <w:pPr>
                    <w:pStyle w:val="54"/>
                    <w:bidi w:val="0"/>
                    <w:rPr>
                      <w:color w:val="auto"/>
                    </w:rPr>
                  </w:pPr>
                  <w:r>
                    <w:rPr>
                      <w:rFonts w:hint="eastAsia"/>
                      <w:color w:val="auto"/>
                    </w:rPr>
                    <w:t>生活垃圾</w:t>
                  </w:r>
                </w:p>
              </w:tc>
              <w:tc>
                <w:tcPr>
                  <w:tcW w:w="691" w:type="pct"/>
                  <w:tcBorders>
                    <w:tl2br w:val="nil"/>
                    <w:tr2bl w:val="nil"/>
                  </w:tcBorders>
                  <w:vAlign w:val="center"/>
                </w:tcPr>
                <w:p w14:paraId="70212A71">
                  <w:pPr>
                    <w:pStyle w:val="54"/>
                    <w:bidi w:val="0"/>
                    <w:rPr>
                      <w:color w:val="auto"/>
                    </w:rPr>
                  </w:pPr>
                  <w:r>
                    <w:rPr>
                      <w:rFonts w:hint="eastAsia"/>
                      <w:color w:val="auto"/>
                    </w:rPr>
                    <w:t>职工生活</w:t>
                  </w:r>
                </w:p>
              </w:tc>
              <w:tc>
                <w:tcPr>
                  <w:tcW w:w="736" w:type="pct"/>
                  <w:tcBorders>
                    <w:tl2br w:val="nil"/>
                    <w:tr2bl w:val="nil"/>
                  </w:tcBorders>
                  <w:vAlign w:val="center"/>
                </w:tcPr>
                <w:p w14:paraId="39E8AE55">
                  <w:pPr>
                    <w:pStyle w:val="54"/>
                    <w:bidi w:val="0"/>
                    <w:rPr>
                      <w:color w:val="auto"/>
                    </w:rPr>
                  </w:pPr>
                  <w:r>
                    <w:rPr>
                      <w:rFonts w:hint="eastAsia"/>
                      <w:color w:val="auto"/>
                    </w:rPr>
                    <w:t>固态、液态</w:t>
                  </w:r>
                </w:p>
              </w:tc>
              <w:tc>
                <w:tcPr>
                  <w:tcW w:w="750" w:type="pct"/>
                  <w:tcBorders>
                    <w:tl2br w:val="nil"/>
                    <w:tr2bl w:val="nil"/>
                  </w:tcBorders>
                  <w:vAlign w:val="center"/>
                </w:tcPr>
                <w:p w14:paraId="5465A47C">
                  <w:pPr>
                    <w:pStyle w:val="54"/>
                    <w:bidi w:val="0"/>
                    <w:rPr>
                      <w:color w:val="auto"/>
                    </w:rPr>
                  </w:pPr>
                  <w:r>
                    <w:rPr>
                      <w:rFonts w:hint="default"/>
                      <w:color w:val="auto"/>
                      <w:lang w:val="en-US" w:eastAsia="zh-CN"/>
                    </w:rPr>
                    <w:t>4.5</w:t>
                  </w:r>
                </w:p>
              </w:tc>
              <w:tc>
                <w:tcPr>
                  <w:tcW w:w="691" w:type="pct"/>
                  <w:tcBorders>
                    <w:tl2br w:val="nil"/>
                    <w:tr2bl w:val="nil"/>
                  </w:tcBorders>
                  <w:vAlign w:val="center"/>
                </w:tcPr>
                <w:p w14:paraId="54E1B5D0">
                  <w:pPr>
                    <w:pStyle w:val="54"/>
                    <w:bidi w:val="0"/>
                    <w:rPr>
                      <w:color w:val="auto"/>
                    </w:rPr>
                  </w:pPr>
                  <w:r>
                    <w:rPr>
                      <w:color w:val="auto"/>
                    </w:rPr>
                    <w:t>√</w:t>
                  </w:r>
                </w:p>
              </w:tc>
              <w:tc>
                <w:tcPr>
                  <w:tcW w:w="559" w:type="pct"/>
                  <w:tcBorders>
                    <w:tl2br w:val="nil"/>
                    <w:tr2bl w:val="nil"/>
                  </w:tcBorders>
                  <w:vAlign w:val="center"/>
                </w:tcPr>
                <w:p w14:paraId="2E0AD883">
                  <w:pPr>
                    <w:pStyle w:val="54"/>
                    <w:bidi w:val="0"/>
                    <w:rPr>
                      <w:color w:val="auto"/>
                    </w:rPr>
                  </w:pPr>
                </w:p>
              </w:tc>
              <w:tc>
                <w:tcPr>
                  <w:tcW w:w="633" w:type="pct"/>
                  <w:vMerge w:val="continue"/>
                  <w:tcBorders>
                    <w:tl2br w:val="nil"/>
                    <w:tr2bl w:val="nil"/>
                  </w:tcBorders>
                  <w:vAlign w:val="center"/>
                </w:tcPr>
                <w:p w14:paraId="7531A03F">
                  <w:pPr>
                    <w:rPr>
                      <w:color w:val="auto"/>
                    </w:rPr>
                  </w:pPr>
                </w:p>
              </w:tc>
            </w:tr>
          </w:tbl>
          <w:p w14:paraId="3376D441">
            <w:pPr>
              <w:pStyle w:val="50"/>
              <w:ind w:firstLine="480"/>
              <w:rPr>
                <w:color w:val="auto"/>
              </w:rPr>
            </w:pPr>
            <w:r>
              <w:rPr>
                <w:color w:val="auto"/>
              </w:rPr>
              <w:t>本</w:t>
            </w:r>
            <w:r>
              <w:rPr>
                <w:rFonts w:hint="eastAsia"/>
                <w:color w:val="auto"/>
              </w:rPr>
              <w:t>扩建</w:t>
            </w:r>
            <w:r>
              <w:rPr>
                <w:color w:val="auto"/>
              </w:rPr>
              <w:t>项目固体产生情况汇总如</w:t>
            </w:r>
            <w:r>
              <w:rPr>
                <w:color w:val="auto"/>
              </w:rPr>
              <w:fldChar w:fldCharType="begin"/>
            </w:r>
            <w:r>
              <w:rPr>
                <w:color w:val="auto"/>
              </w:rPr>
              <w:instrText xml:space="preserve"> REF _Ref16760 \h </w:instrText>
            </w:r>
            <w:r>
              <w:rPr>
                <w:color w:val="auto"/>
              </w:rPr>
              <w:fldChar w:fldCharType="separate"/>
            </w:r>
            <w:r>
              <w:rPr>
                <w:color w:val="auto"/>
              </w:rPr>
              <w:t>表4- 19</w:t>
            </w:r>
            <w:r>
              <w:rPr>
                <w:color w:val="auto"/>
              </w:rPr>
              <w:fldChar w:fldCharType="end"/>
            </w:r>
            <w:r>
              <w:rPr>
                <w:color w:val="auto"/>
              </w:rPr>
              <w:t>所示。另外根据《建设项目危险废物环境影响评价指南》（环境保护部公告2017年第43号）的相关要求对本项目涉及的危险废物进行汇总，具体详见</w:t>
            </w:r>
            <w:r>
              <w:rPr>
                <w:color w:val="auto"/>
              </w:rPr>
              <w:fldChar w:fldCharType="begin"/>
            </w:r>
            <w:r>
              <w:rPr>
                <w:color w:val="auto"/>
              </w:rPr>
              <w:instrText xml:space="preserve"> REF _Ref18990 \h </w:instrText>
            </w:r>
            <w:r>
              <w:rPr>
                <w:color w:val="auto"/>
              </w:rPr>
              <w:fldChar w:fldCharType="separate"/>
            </w:r>
            <w:r>
              <w:rPr>
                <w:color w:val="auto"/>
              </w:rPr>
              <w:t>表4- 20</w:t>
            </w:r>
            <w:r>
              <w:rPr>
                <w:color w:val="auto"/>
              </w:rPr>
              <w:fldChar w:fldCharType="end"/>
            </w:r>
            <w:r>
              <w:rPr>
                <w:color w:val="auto"/>
              </w:rPr>
              <w:t>。</w:t>
            </w:r>
          </w:p>
          <w:p w14:paraId="2804DC85">
            <w:pPr>
              <w:pStyle w:val="7"/>
              <w:rPr>
                <w:color w:val="auto"/>
              </w:rPr>
            </w:pPr>
            <w:bookmarkStart w:id="112" w:name="_Ref6268"/>
            <w:bookmarkStart w:id="113" w:name="_Ref16760"/>
            <w:bookmarkStart w:id="114" w:name="_Ref28035"/>
            <w:r>
              <w:rPr>
                <w:color w:val="auto"/>
              </w:rPr>
              <w:t xml:space="preserve">表4- </w:t>
            </w:r>
            <w:r>
              <w:rPr>
                <w:color w:val="auto"/>
              </w:rPr>
              <w:fldChar w:fldCharType="begin"/>
            </w:r>
            <w:r>
              <w:rPr>
                <w:color w:val="auto"/>
              </w:rPr>
              <w:instrText xml:space="preserve"> SEQ 表4- \* ARABIC </w:instrText>
            </w:r>
            <w:r>
              <w:rPr>
                <w:color w:val="auto"/>
              </w:rPr>
              <w:fldChar w:fldCharType="separate"/>
            </w:r>
            <w:r>
              <w:rPr>
                <w:color w:val="auto"/>
              </w:rPr>
              <w:t>19</w:t>
            </w:r>
            <w:r>
              <w:rPr>
                <w:color w:val="auto"/>
              </w:rPr>
              <w:fldChar w:fldCharType="end"/>
            </w:r>
            <w:bookmarkEnd w:id="112"/>
            <w:bookmarkEnd w:id="113"/>
            <w:bookmarkEnd w:id="114"/>
            <w:r>
              <w:rPr>
                <w:color w:val="auto"/>
              </w:rPr>
              <w:t xml:space="preserve"> 项目固体废物污染源源强核算结果及相关参数一览表 </w:t>
            </w:r>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
            <w:tblGrid>
              <w:gridCol w:w="1227"/>
              <w:gridCol w:w="1050"/>
              <w:gridCol w:w="573"/>
              <w:gridCol w:w="836"/>
              <w:gridCol w:w="1276"/>
              <w:gridCol w:w="774"/>
              <w:gridCol w:w="1867"/>
              <w:gridCol w:w="805"/>
            </w:tblGrid>
            <w:tr w14:paraId="76ADF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94" w:hRule="atLeast"/>
              </w:trPr>
              <w:tc>
                <w:tcPr>
                  <w:tcW w:w="728" w:type="pct"/>
                  <w:vMerge w:val="restart"/>
                  <w:tcBorders>
                    <w:tl2br w:val="nil"/>
                    <w:tr2bl w:val="nil"/>
                  </w:tcBorders>
                  <w:vAlign w:val="center"/>
                </w:tcPr>
                <w:p w14:paraId="01A53C14">
                  <w:pPr>
                    <w:pStyle w:val="52"/>
                    <w:rPr>
                      <w:color w:val="auto"/>
                    </w:rPr>
                  </w:pPr>
                  <w:r>
                    <w:rPr>
                      <w:color w:val="auto"/>
                    </w:rPr>
                    <w:t>产生工序</w:t>
                  </w:r>
                </w:p>
              </w:tc>
              <w:tc>
                <w:tcPr>
                  <w:tcW w:w="624" w:type="pct"/>
                  <w:vMerge w:val="restart"/>
                  <w:tcBorders>
                    <w:tl2br w:val="nil"/>
                    <w:tr2bl w:val="nil"/>
                  </w:tcBorders>
                  <w:vAlign w:val="center"/>
                </w:tcPr>
                <w:p w14:paraId="1641AA82">
                  <w:pPr>
                    <w:pStyle w:val="52"/>
                    <w:rPr>
                      <w:color w:val="auto"/>
                    </w:rPr>
                  </w:pPr>
                  <w:r>
                    <w:rPr>
                      <w:color w:val="auto"/>
                    </w:rPr>
                    <w:t>固体废物</w:t>
                  </w:r>
                </w:p>
                <w:p w14:paraId="22D48B00">
                  <w:pPr>
                    <w:pStyle w:val="52"/>
                    <w:rPr>
                      <w:color w:val="auto"/>
                    </w:rPr>
                  </w:pPr>
                  <w:r>
                    <w:rPr>
                      <w:color w:val="auto"/>
                    </w:rPr>
                    <w:t>名称</w:t>
                  </w:r>
                </w:p>
              </w:tc>
              <w:tc>
                <w:tcPr>
                  <w:tcW w:w="341" w:type="pct"/>
                  <w:vMerge w:val="restart"/>
                  <w:tcBorders>
                    <w:tl2br w:val="nil"/>
                    <w:tr2bl w:val="nil"/>
                  </w:tcBorders>
                  <w:vAlign w:val="center"/>
                </w:tcPr>
                <w:p w14:paraId="6D8FB39E">
                  <w:pPr>
                    <w:pStyle w:val="52"/>
                    <w:rPr>
                      <w:color w:val="auto"/>
                    </w:rPr>
                  </w:pPr>
                  <w:r>
                    <w:rPr>
                      <w:color w:val="auto"/>
                    </w:rPr>
                    <w:t>固废</w:t>
                  </w:r>
                </w:p>
                <w:p w14:paraId="76DB273B">
                  <w:pPr>
                    <w:pStyle w:val="52"/>
                    <w:rPr>
                      <w:color w:val="auto"/>
                    </w:rPr>
                  </w:pPr>
                  <w:r>
                    <w:rPr>
                      <w:color w:val="auto"/>
                    </w:rPr>
                    <w:t>属性</w:t>
                  </w:r>
                </w:p>
              </w:tc>
              <w:tc>
                <w:tcPr>
                  <w:tcW w:w="497" w:type="pct"/>
                  <w:vMerge w:val="restart"/>
                  <w:tcBorders>
                    <w:tl2br w:val="nil"/>
                    <w:tr2bl w:val="nil"/>
                  </w:tcBorders>
                  <w:vAlign w:val="center"/>
                </w:tcPr>
                <w:p w14:paraId="5C4B4411">
                  <w:pPr>
                    <w:pStyle w:val="52"/>
                    <w:rPr>
                      <w:color w:val="auto"/>
                    </w:rPr>
                  </w:pPr>
                  <w:r>
                    <w:rPr>
                      <w:color w:val="auto"/>
                    </w:rPr>
                    <w:t>危险</w:t>
                  </w:r>
                </w:p>
                <w:p w14:paraId="644C8AFE">
                  <w:pPr>
                    <w:pStyle w:val="52"/>
                    <w:rPr>
                      <w:color w:val="auto"/>
                    </w:rPr>
                  </w:pPr>
                  <w:r>
                    <w:rPr>
                      <w:color w:val="auto"/>
                    </w:rPr>
                    <w:t>特性</w:t>
                  </w:r>
                </w:p>
              </w:tc>
              <w:tc>
                <w:tcPr>
                  <w:tcW w:w="758" w:type="pct"/>
                  <w:vMerge w:val="restart"/>
                  <w:tcBorders>
                    <w:tl2br w:val="nil"/>
                    <w:tr2bl w:val="nil"/>
                  </w:tcBorders>
                  <w:vAlign w:val="center"/>
                </w:tcPr>
                <w:p w14:paraId="31890486">
                  <w:pPr>
                    <w:pStyle w:val="52"/>
                    <w:rPr>
                      <w:color w:val="auto"/>
                    </w:rPr>
                  </w:pPr>
                  <w:r>
                    <w:rPr>
                      <w:color w:val="auto"/>
                    </w:rPr>
                    <w:t>废物代码</w:t>
                  </w:r>
                </w:p>
              </w:tc>
              <w:tc>
                <w:tcPr>
                  <w:tcW w:w="460" w:type="pct"/>
                  <w:vMerge w:val="restart"/>
                  <w:tcBorders>
                    <w:tl2br w:val="nil"/>
                    <w:tr2bl w:val="nil"/>
                  </w:tcBorders>
                  <w:vAlign w:val="center"/>
                </w:tcPr>
                <w:p w14:paraId="74844356">
                  <w:pPr>
                    <w:pStyle w:val="52"/>
                    <w:rPr>
                      <w:color w:val="auto"/>
                    </w:rPr>
                  </w:pPr>
                  <w:r>
                    <w:rPr>
                      <w:color w:val="auto"/>
                    </w:rPr>
                    <w:t>产生量（t/a）</w:t>
                  </w:r>
                </w:p>
              </w:tc>
              <w:tc>
                <w:tcPr>
                  <w:tcW w:w="1588" w:type="pct"/>
                  <w:gridSpan w:val="2"/>
                  <w:tcBorders>
                    <w:tl2br w:val="nil"/>
                    <w:tr2bl w:val="nil"/>
                  </w:tcBorders>
                  <w:vAlign w:val="center"/>
                </w:tcPr>
                <w:p w14:paraId="346D42A4">
                  <w:pPr>
                    <w:pStyle w:val="52"/>
                    <w:rPr>
                      <w:color w:val="auto"/>
                    </w:rPr>
                  </w:pPr>
                  <w:r>
                    <w:rPr>
                      <w:color w:val="auto"/>
                    </w:rPr>
                    <w:t>处置措施</w:t>
                  </w:r>
                </w:p>
              </w:tc>
            </w:tr>
            <w:tr w14:paraId="316BC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90" w:hRule="atLeast"/>
              </w:trPr>
              <w:tc>
                <w:tcPr>
                  <w:tcW w:w="728" w:type="pct"/>
                  <w:vMerge w:val="continue"/>
                  <w:tcBorders>
                    <w:tl2br w:val="nil"/>
                    <w:tr2bl w:val="nil"/>
                  </w:tcBorders>
                  <w:vAlign w:val="center"/>
                </w:tcPr>
                <w:p w14:paraId="4EABC529">
                  <w:pPr>
                    <w:pStyle w:val="52"/>
                    <w:rPr>
                      <w:color w:val="auto"/>
                    </w:rPr>
                  </w:pPr>
                </w:p>
              </w:tc>
              <w:tc>
                <w:tcPr>
                  <w:tcW w:w="624" w:type="pct"/>
                  <w:vMerge w:val="continue"/>
                  <w:tcBorders>
                    <w:tl2br w:val="nil"/>
                    <w:tr2bl w:val="nil"/>
                  </w:tcBorders>
                  <w:vAlign w:val="center"/>
                </w:tcPr>
                <w:p w14:paraId="0B29F3CC">
                  <w:pPr>
                    <w:pStyle w:val="52"/>
                    <w:rPr>
                      <w:color w:val="auto"/>
                    </w:rPr>
                  </w:pPr>
                </w:p>
              </w:tc>
              <w:tc>
                <w:tcPr>
                  <w:tcW w:w="341" w:type="pct"/>
                  <w:vMerge w:val="continue"/>
                  <w:tcBorders>
                    <w:tl2br w:val="nil"/>
                    <w:tr2bl w:val="nil"/>
                  </w:tcBorders>
                  <w:vAlign w:val="center"/>
                </w:tcPr>
                <w:p w14:paraId="15A27F1C">
                  <w:pPr>
                    <w:pStyle w:val="52"/>
                    <w:rPr>
                      <w:color w:val="auto"/>
                    </w:rPr>
                  </w:pPr>
                </w:p>
              </w:tc>
              <w:tc>
                <w:tcPr>
                  <w:tcW w:w="497" w:type="pct"/>
                  <w:vMerge w:val="continue"/>
                  <w:tcBorders>
                    <w:tl2br w:val="nil"/>
                    <w:tr2bl w:val="nil"/>
                  </w:tcBorders>
                  <w:vAlign w:val="center"/>
                </w:tcPr>
                <w:p w14:paraId="56D47574">
                  <w:pPr>
                    <w:pStyle w:val="52"/>
                    <w:rPr>
                      <w:color w:val="auto"/>
                    </w:rPr>
                  </w:pPr>
                </w:p>
              </w:tc>
              <w:tc>
                <w:tcPr>
                  <w:tcW w:w="758" w:type="pct"/>
                  <w:vMerge w:val="continue"/>
                  <w:tcBorders>
                    <w:tl2br w:val="nil"/>
                    <w:tr2bl w:val="nil"/>
                  </w:tcBorders>
                  <w:vAlign w:val="center"/>
                </w:tcPr>
                <w:p w14:paraId="517F22B0">
                  <w:pPr>
                    <w:pStyle w:val="52"/>
                    <w:rPr>
                      <w:color w:val="auto"/>
                    </w:rPr>
                  </w:pPr>
                </w:p>
              </w:tc>
              <w:tc>
                <w:tcPr>
                  <w:tcW w:w="460" w:type="pct"/>
                  <w:vMerge w:val="continue"/>
                  <w:tcBorders>
                    <w:tl2br w:val="nil"/>
                    <w:tr2bl w:val="nil"/>
                  </w:tcBorders>
                  <w:vAlign w:val="center"/>
                </w:tcPr>
                <w:p w14:paraId="4AA745C2">
                  <w:pPr>
                    <w:pStyle w:val="52"/>
                    <w:rPr>
                      <w:color w:val="auto"/>
                    </w:rPr>
                  </w:pPr>
                </w:p>
              </w:tc>
              <w:tc>
                <w:tcPr>
                  <w:tcW w:w="1109" w:type="pct"/>
                  <w:tcBorders>
                    <w:tl2br w:val="nil"/>
                    <w:tr2bl w:val="nil"/>
                  </w:tcBorders>
                  <w:vAlign w:val="center"/>
                </w:tcPr>
                <w:p w14:paraId="77C3CF01">
                  <w:pPr>
                    <w:pStyle w:val="52"/>
                    <w:rPr>
                      <w:color w:val="auto"/>
                    </w:rPr>
                  </w:pPr>
                  <w:r>
                    <w:rPr>
                      <w:color w:val="auto"/>
                    </w:rPr>
                    <w:t>利用处置方式</w:t>
                  </w:r>
                </w:p>
              </w:tc>
              <w:tc>
                <w:tcPr>
                  <w:tcW w:w="478" w:type="pct"/>
                  <w:tcBorders>
                    <w:tl2br w:val="nil"/>
                    <w:tr2bl w:val="nil"/>
                  </w:tcBorders>
                  <w:vAlign w:val="center"/>
                </w:tcPr>
                <w:p w14:paraId="4CBE31A1">
                  <w:pPr>
                    <w:pStyle w:val="52"/>
                    <w:rPr>
                      <w:color w:val="auto"/>
                    </w:rPr>
                  </w:pPr>
                  <w:r>
                    <w:rPr>
                      <w:color w:val="auto"/>
                    </w:rPr>
                    <w:t>处置量</w:t>
                  </w:r>
                  <w:r>
                    <w:rPr>
                      <w:rFonts w:hint="eastAsia"/>
                      <w:color w:val="auto"/>
                    </w:rPr>
                    <w:t>（</w:t>
                  </w:r>
                  <w:r>
                    <w:rPr>
                      <w:color w:val="auto"/>
                    </w:rPr>
                    <w:t>t/a</w:t>
                  </w:r>
                  <w:r>
                    <w:rPr>
                      <w:rFonts w:hint="eastAsia"/>
                      <w:color w:val="auto"/>
                    </w:rPr>
                    <w:t>）</w:t>
                  </w:r>
                </w:p>
              </w:tc>
            </w:tr>
            <w:tr w14:paraId="02CAC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90" w:hRule="atLeast"/>
              </w:trPr>
              <w:tc>
                <w:tcPr>
                  <w:tcW w:w="728" w:type="pct"/>
                  <w:tcBorders>
                    <w:tl2br w:val="nil"/>
                    <w:tr2bl w:val="nil"/>
                  </w:tcBorders>
                  <w:vAlign w:val="center"/>
                </w:tcPr>
                <w:p w14:paraId="5EFA7578">
                  <w:pPr>
                    <w:pStyle w:val="54"/>
                    <w:bidi w:val="0"/>
                    <w:rPr>
                      <w:color w:val="auto"/>
                    </w:rPr>
                  </w:pPr>
                  <w:bookmarkStart w:id="115" w:name="_Ref6317"/>
                  <w:r>
                    <w:rPr>
                      <w:rFonts w:hint="eastAsia"/>
                      <w:color w:val="auto"/>
                    </w:rPr>
                    <w:t>熔化、保温</w:t>
                  </w:r>
                </w:p>
              </w:tc>
              <w:tc>
                <w:tcPr>
                  <w:tcW w:w="624" w:type="pct"/>
                  <w:tcBorders>
                    <w:tl2br w:val="nil"/>
                    <w:tr2bl w:val="nil"/>
                  </w:tcBorders>
                  <w:vAlign w:val="center"/>
                </w:tcPr>
                <w:p w14:paraId="1D8A4913">
                  <w:pPr>
                    <w:pStyle w:val="54"/>
                    <w:bidi w:val="0"/>
                    <w:rPr>
                      <w:color w:val="auto"/>
                    </w:rPr>
                  </w:pPr>
                  <w:r>
                    <w:rPr>
                      <w:rFonts w:hint="eastAsia"/>
                      <w:color w:val="auto"/>
                    </w:rPr>
                    <w:t>炉渣</w:t>
                  </w:r>
                </w:p>
              </w:tc>
              <w:tc>
                <w:tcPr>
                  <w:tcW w:w="341" w:type="pct"/>
                  <w:vMerge w:val="restart"/>
                  <w:tcBorders>
                    <w:tl2br w:val="nil"/>
                    <w:tr2bl w:val="nil"/>
                  </w:tcBorders>
                  <w:vAlign w:val="center"/>
                </w:tcPr>
                <w:p w14:paraId="6449E429">
                  <w:pPr>
                    <w:pStyle w:val="54"/>
                    <w:bidi w:val="0"/>
                    <w:rPr>
                      <w:color w:val="auto"/>
                    </w:rPr>
                  </w:pPr>
                  <w:r>
                    <w:rPr>
                      <w:rFonts w:hint="eastAsia"/>
                      <w:color w:val="auto"/>
                    </w:rPr>
                    <w:t>一般固废</w:t>
                  </w:r>
                </w:p>
              </w:tc>
              <w:tc>
                <w:tcPr>
                  <w:tcW w:w="497" w:type="pct"/>
                  <w:tcBorders>
                    <w:tl2br w:val="nil"/>
                    <w:tr2bl w:val="nil"/>
                  </w:tcBorders>
                  <w:vAlign w:val="center"/>
                </w:tcPr>
                <w:p w14:paraId="40C059CD">
                  <w:pPr>
                    <w:pStyle w:val="54"/>
                    <w:bidi w:val="0"/>
                    <w:rPr>
                      <w:color w:val="auto"/>
                    </w:rPr>
                  </w:pPr>
                  <w:r>
                    <w:rPr>
                      <w:color w:val="auto"/>
                    </w:rPr>
                    <w:t>SW01</w:t>
                  </w:r>
                </w:p>
              </w:tc>
              <w:tc>
                <w:tcPr>
                  <w:tcW w:w="758" w:type="pct"/>
                  <w:tcBorders>
                    <w:tl2br w:val="nil"/>
                    <w:tr2bl w:val="nil"/>
                  </w:tcBorders>
                  <w:vAlign w:val="center"/>
                </w:tcPr>
                <w:p w14:paraId="7DFF50B2">
                  <w:pPr>
                    <w:pStyle w:val="54"/>
                    <w:bidi w:val="0"/>
                    <w:rPr>
                      <w:color w:val="auto"/>
                    </w:rPr>
                  </w:pPr>
                  <w:r>
                    <w:rPr>
                      <w:color w:val="auto"/>
                    </w:rPr>
                    <w:t>325-001-S01</w:t>
                  </w:r>
                </w:p>
              </w:tc>
              <w:tc>
                <w:tcPr>
                  <w:tcW w:w="774" w:type="dxa"/>
                  <w:tcBorders>
                    <w:tl2br w:val="nil"/>
                    <w:tr2bl w:val="nil"/>
                  </w:tcBorders>
                  <w:vAlign w:val="center"/>
                </w:tcPr>
                <w:p w14:paraId="6D997298">
                  <w:pPr>
                    <w:pStyle w:val="54"/>
                    <w:bidi w:val="0"/>
                    <w:rPr>
                      <w:color w:val="auto"/>
                    </w:rPr>
                  </w:pPr>
                  <w:r>
                    <w:rPr>
                      <w:rFonts w:hint="default"/>
                      <w:color w:val="auto"/>
                      <w:lang w:val="en-US" w:eastAsia="zh-CN"/>
                    </w:rPr>
                    <w:t>13</w:t>
                  </w:r>
                </w:p>
              </w:tc>
              <w:tc>
                <w:tcPr>
                  <w:tcW w:w="1109" w:type="pct"/>
                  <w:vMerge w:val="restart"/>
                  <w:tcBorders>
                    <w:tl2br w:val="nil"/>
                    <w:tr2bl w:val="nil"/>
                  </w:tcBorders>
                  <w:vAlign w:val="center"/>
                </w:tcPr>
                <w:p w14:paraId="261387CB">
                  <w:pPr>
                    <w:pStyle w:val="54"/>
                    <w:bidi w:val="0"/>
                    <w:rPr>
                      <w:color w:val="auto"/>
                    </w:rPr>
                  </w:pPr>
                  <w:r>
                    <w:rPr>
                      <w:color w:val="auto"/>
                    </w:rPr>
                    <w:t>暂存一般固废库，</w:t>
                  </w:r>
                  <w:r>
                    <w:rPr>
                      <w:rFonts w:hint="eastAsia"/>
                      <w:color w:val="auto"/>
                    </w:rPr>
                    <w:t>定期</w:t>
                  </w:r>
                  <w:r>
                    <w:rPr>
                      <w:color w:val="auto"/>
                    </w:rPr>
                    <w:t>外售综合利用</w:t>
                  </w:r>
                </w:p>
              </w:tc>
              <w:tc>
                <w:tcPr>
                  <w:tcW w:w="805" w:type="dxa"/>
                  <w:tcBorders>
                    <w:tl2br w:val="nil"/>
                    <w:tr2bl w:val="nil"/>
                  </w:tcBorders>
                  <w:vAlign w:val="center"/>
                </w:tcPr>
                <w:p w14:paraId="66919D80">
                  <w:pPr>
                    <w:pStyle w:val="54"/>
                    <w:bidi w:val="0"/>
                    <w:rPr>
                      <w:color w:val="auto"/>
                    </w:rPr>
                  </w:pPr>
                  <w:r>
                    <w:rPr>
                      <w:rFonts w:hint="default"/>
                      <w:color w:val="auto"/>
                      <w:lang w:val="en-US" w:eastAsia="zh-CN"/>
                    </w:rPr>
                    <w:t>13</w:t>
                  </w:r>
                </w:p>
              </w:tc>
            </w:tr>
            <w:tr w14:paraId="3D7606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90" w:hRule="atLeast"/>
              </w:trPr>
              <w:tc>
                <w:tcPr>
                  <w:tcW w:w="728" w:type="pct"/>
                  <w:vMerge w:val="restart"/>
                  <w:tcBorders>
                    <w:tl2br w:val="nil"/>
                    <w:tr2bl w:val="nil"/>
                  </w:tcBorders>
                  <w:vAlign w:val="center"/>
                </w:tcPr>
                <w:p w14:paraId="73734C6E">
                  <w:pPr>
                    <w:pStyle w:val="54"/>
                    <w:bidi w:val="0"/>
                    <w:rPr>
                      <w:color w:val="auto"/>
                    </w:rPr>
                  </w:pPr>
                  <w:r>
                    <w:rPr>
                      <w:rFonts w:hint="eastAsia"/>
                      <w:color w:val="auto"/>
                    </w:rPr>
                    <w:t>废气处理</w:t>
                  </w:r>
                </w:p>
              </w:tc>
              <w:tc>
                <w:tcPr>
                  <w:tcW w:w="624" w:type="pct"/>
                  <w:tcBorders>
                    <w:tl2br w:val="nil"/>
                    <w:tr2bl w:val="nil"/>
                  </w:tcBorders>
                  <w:vAlign w:val="center"/>
                </w:tcPr>
                <w:p w14:paraId="12937CD6">
                  <w:pPr>
                    <w:pStyle w:val="54"/>
                    <w:bidi w:val="0"/>
                    <w:rPr>
                      <w:color w:val="auto"/>
                    </w:rPr>
                  </w:pPr>
                  <w:r>
                    <w:rPr>
                      <w:rFonts w:hint="eastAsia"/>
                      <w:color w:val="auto"/>
                    </w:rPr>
                    <w:t>除尘灰</w:t>
                  </w:r>
                </w:p>
              </w:tc>
              <w:tc>
                <w:tcPr>
                  <w:tcW w:w="341" w:type="pct"/>
                  <w:vMerge w:val="continue"/>
                  <w:tcBorders>
                    <w:tl2br w:val="nil"/>
                    <w:tr2bl w:val="nil"/>
                  </w:tcBorders>
                  <w:vAlign w:val="center"/>
                </w:tcPr>
                <w:p w14:paraId="048AF1C6">
                  <w:pPr>
                    <w:pStyle w:val="54"/>
                    <w:bidi w:val="0"/>
                    <w:rPr>
                      <w:color w:val="auto"/>
                    </w:rPr>
                  </w:pPr>
                </w:p>
              </w:tc>
              <w:tc>
                <w:tcPr>
                  <w:tcW w:w="497" w:type="pct"/>
                  <w:tcBorders>
                    <w:tl2br w:val="nil"/>
                    <w:tr2bl w:val="nil"/>
                  </w:tcBorders>
                  <w:vAlign w:val="center"/>
                </w:tcPr>
                <w:p w14:paraId="0CE06FD8">
                  <w:pPr>
                    <w:pStyle w:val="54"/>
                    <w:bidi w:val="0"/>
                    <w:rPr>
                      <w:color w:val="auto"/>
                    </w:rPr>
                  </w:pPr>
                  <w:r>
                    <w:rPr>
                      <w:color w:val="auto"/>
                    </w:rPr>
                    <w:t>SW59</w:t>
                  </w:r>
                </w:p>
              </w:tc>
              <w:tc>
                <w:tcPr>
                  <w:tcW w:w="758" w:type="pct"/>
                  <w:tcBorders>
                    <w:tl2br w:val="nil"/>
                    <w:tr2bl w:val="nil"/>
                  </w:tcBorders>
                  <w:vAlign w:val="center"/>
                </w:tcPr>
                <w:p w14:paraId="3E5A6F6D">
                  <w:pPr>
                    <w:pStyle w:val="54"/>
                    <w:bidi w:val="0"/>
                    <w:rPr>
                      <w:color w:val="auto"/>
                    </w:rPr>
                  </w:pPr>
                  <w:r>
                    <w:rPr>
                      <w:color w:val="auto"/>
                    </w:rPr>
                    <w:t>900-099-S59</w:t>
                  </w:r>
                </w:p>
              </w:tc>
              <w:tc>
                <w:tcPr>
                  <w:tcW w:w="774" w:type="dxa"/>
                  <w:tcBorders>
                    <w:tl2br w:val="nil"/>
                    <w:tr2bl w:val="nil"/>
                  </w:tcBorders>
                  <w:vAlign w:val="center"/>
                </w:tcPr>
                <w:p w14:paraId="4B632B6D">
                  <w:pPr>
                    <w:pStyle w:val="54"/>
                    <w:bidi w:val="0"/>
                    <w:rPr>
                      <w:color w:val="auto"/>
                    </w:rPr>
                  </w:pPr>
                  <w:r>
                    <w:rPr>
                      <w:rFonts w:hint="default"/>
                      <w:color w:val="auto"/>
                      <w:lang w:val="en-US" w:eastAsia="zh-CN"/>
                    </w:rPr>
                    <w:t>10.23</w:t>
                  </w:r>
                </w:p>
              </w:tc>
              <w:tc>
                <w:tcPr>
                  <w:tcW w:w="1109" w:type="pct"/>
                  <w:vMerge w:val="continue"/>
                  <w:tcBorders>
                    <w:tl2br w:val="nil"/>
                    <w:tr2bl w:val="nil"/>
                  </w:tcBorders>
                  <w:vAlign w:val="center"/>
                </w:tcPr>
                <w:p w14:paraId="17B0173C">
                  <w:pPr>
                    <w:pStyle w:val="54"/>
                    <w:bidi w:val="0"/>
                    <w:rPr>
                      <w:color w:val="auto"/>
                    </w:rPr>
                  </w:pPr>
                </w:p>
              </w:tc>
              <w:tc>
                <w:tcPr>
                  <w:tcW w:w="805" w:type="dxa"/>
                  <w:tcBorders>
                    <w:tl2br w:val="nil"/>
                    <w:tr2bl w:val="nil"/>
                  </w:tcBorders>
                  <w:vAlign w:val="center"/>
                </w:tcPr>
                <w:p w14:paraId="14B9B4FB">
                  <w:pPr>
                    <w:pStyle w:val="54"/>
                    <w:bidi w:val="0"/>
                    <w:rPr>
                      <w:color w:val="auto"/>
                    </w:rPr>
                  </w:pPr>
                  <w:r>
                    <w:rPr>
                      <w:rFonts w:hint="default"/>
                      <w:color w:val="auto"/>
                      <w:lang w:val="en-US" w:eastAsia="zh-CN"/>
                    </w:rPr>
                    <w:t>10.23</w:t>
                  </w:r>
                </w:p>
              </w:tc>
            </w:tr>
            <w:tr w14:paraId="3A978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90" w:hRule="atLeast"/>
              </w:trPr>
              <w:tc>
                <w:tcPr>
                  <w:tcW w:w="728" w:type="pct"/>
                  <w:vMerge w:val="continue"/>
                  <w:tcBorders>
                    <w:tl2br w:val="nil"/>
                    <w:tr2bl w:val="nil"/>
                  </w:tcBorders>
                  <w:vAlign w:val="center"/>
                </w:tcPr>
                <w:p w14:paraId="0D4322B6">
                  <w:pPr>
                    <w:pStyle w:val="54"/>
                    <w:bidi w:val="0"/>
                    <w:rPr>
                      <w:color w:val="auto"/>
                    </w:rPr>
                  </w:pPr>
                </w:p>
              </w:tc>
              <w:tc>
                <w:tcPr>
                  <w:tcW w:w="624" w:type="pct"/>
                  <w:tcBorders>
                    <w:tl2br w:val="nil"/>
                    <w:tr2bl w:val="nil"/>
                  </w:tcBorders>
                  <w:vAlign w:val="center"/>
                </w:tcPr>
                <w:p w14:paraId="55925BA7">
                  <w:pPr>
                    <w:pStyle w:val="54"/>
                    <w:bidi w:val="0"/>
                    <w:rPr>
                      <w:color w:val="auto"/>
                    </w:rPr>
                  </w:pPr>
                  <w:r>
                    <w:rPr>
                      <w:rFonts w:hint="eastAsia"/>
                      <w:color w:val="auto"/>
                    </w:rPr>
                    <w:t>废布袋</w:t>
                  </w:r>
                </w:p>
              </w:tc>
              <w:tc>
                <w:tcPr>
                  <w:tcW w:w="341" w:type="pct"/>
                  <w:vMerge w:val="continue"/>
                  <w:tcBorders>
                    <w:tl2br w:val="nil"/>
                    <w:tr2bl w:val="nil"/>
                  </w:tcBorders>
                  <w:vAlign w:val="center"/>
                </w:tcPr>
                <w:p w14:paraId="60BD7D06">
                  <w:pPr>
                    <w:pStyle w:val="54"/>
                    <w:bidi w:val="0"/>
                    <w:rPr>
                      <w:color w:val="auto"/>
                    </w:rPr>
                  </w:pPr>
                </w:p>
              </w:tc>
              <w:tc>
                <w:tcPr>
                  <w:tcW w:w="497" w:type="pct"/>
                  <w:tcBorders>
                    <w:tl2br w:val="nil"/>
                    <w:tr2bl w:val="nil"/>
                  </w:tcBorders>
                  <w:vAlign w:val="center"/>
                </w:tcPr>
                <w:p w14:paraId="061F3FAA">
                  <w:pPr>
                    <w:pStyle w:val="54"/>
                    <w:bidi w:val="0"/>
                    <w:rPr>
                      <w:color w:val="auto"/>
                    </w:rPr>
                  </w:pPr>
                  <w:r>
                    <w:rPr>
                      <w:color w:val="auto"/>
                    </w:rPr>
                    <w:t>SW59</w:t>
                  </w:r>
                </w:p>
              </w:tc>
              <w:tc>
                <w:tcPr>
                  <w:tcW w:w="758" w:type="pct"/>
                  <w:tcBorders>
                    <w:tl2br w:val="nil"/>
                    <w:tr2bl w:val="nil"/>
                  </w:tcBorders>
                  <w:vAlign w:val="center"/>
                </w:tcPr>
                <w:p w14:paraId="5206494E">
                  <w:pPr>
                    <w:pStyle w:val="54"/>
                    <w:bidi w:val="0"/>
                    <w:rPr>
                      <w:color w:val="auto"/>
                    </w:rPr>
                  </w:pPr>
                  <w:r>
                    <w:rPr>
                      <w:color w:val="auto"/>
                    </w:rPr>
                    <w:t>900-009-S59</w:t>
                  </w:r>
                </w:p>
              </w:tc>
              <w:tc>
                <w:tcPr>
                  <w:tcW w:w="774" w:type="dxa"/>
                  <w:tcBorders>
                    <w:tl2br w:val="nil"/>
                    <w:tr2bl w:val="nil"/>
                  </w:tcBorders>
                  <w:vAlign w:val="center"/>
                </w:tcPr>
                <w:p w14:paraId="02BB4BAE">
                  <w:pPr>
                    <w:pStyle w:val="54"/>
                    <w:bidi w:val="0"/>
                    <w:rPr>
                      <w:color w:val="auto"/>
                    </w:rPr>
                  </w:pPr>
                  <w:r>
                    <w:rPr>
                      <w:rFonts w:hint="default"/>
                      <w:color w:val="auto"/>
                      <w:lang w:val="en-US" w:eastAsia="zh-CN"/>
                    </w:rPr>
                    <w:t>0.1</w:t>
                  </w:r>
                </w:p>
              </w:tc>
              <w:tc>
                <w:tcPr>
                  <w:tcW w:w="1109" w:type="pct"/>
                  <w:vMerge w:val="continue"/>
                  <w:tcBorders>
                    <w:tl2br w:val="nil"/>
                    <w:tr2bl w:val="nil"/>
                  </w:tcBorders>
                  <w:vAlign w:val="center"/>
                </w:tcPr>
                <w:p w14:paraId="0C9581EE">
                  <w:pPr>
                    <w:pStyle w:val="54"/>
                    <w:bidi w:val="0"/>
                    <w:rPr>
                      <w:color w:val="auto"/>
                    </w:rPr>
                  </w:pPr>
                </w:p>
              </w:tc>
              <w:tc>
                <w:tcPr>
                  <w:tcW w:w="805" w:type="dxa"/>
                  <w:tcBorders>
                    <w:tl2br w:val="nil"/>
                    <w:tr2bl w:val="nil"/>
                  </w:tcBorders>
                  <w:vAlign w:val="center"/>
                </w:tcPr>
                <w:p w14:paraId="033861A8">
                  <w:pPr>
                    <w:pStyle w:val="54"/>
                    <w:bidi w:val="0"/>
                    <w:rPr>
                      <w:color w:val="auto"/>
                    </w:rPr>
                  </w:pPr>
                  <w:r>
                    <w:rPr>
                      <w:rFonts w:hint="default"/>
                      <w:color w:val="auto"/>
                      <w:lang w:val="en-US" w:eastAsia="zh-CN"/>
                    </w:rPr>
                    <w:t>0.1</w:t>
                  </w:r>
                </w:p>
              </w:tc>
            </w:tr>
            <w:tr w14:paraId="6AA93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90" w:hRule="atLeast"/>
              </w:trPr>
              <w:tc>
                <w:tcPr>
                  <w:tcW w:w="728" w:type="pct"/>
                  <w:vMerge w:val="restart"/>
                  <w:tcBorders>
                    <w:tl2br w:val="nil"/>
                    <w:tr2bl w:val="nil"/>
                  </w:tcBorders>
                  <w:vAlign w:val="center"/>
                </w:tcPr>
                <w:p w14:paraId="2EDB0977">
                  <w:pPr>
                    <w:pStyle w:val="54"/>
                    <w:bidi w:val="0"/>
                    <w:rPr>
                      <w:color w:val="auto"/>
                    </w:rPr>
                  </w:pPr>
                  <w:r>
                    <w:rPr>
                      <w:rFonts w:hint="eastAsia"/>
                      <w:color w:val="auto"/>
                    </w:rPr>
                    <w:t>设备维护</w:t>
                  </w:r>
                </w:p>
                <w:p w14:paraId="6346E22D">
                  <w:pPr>
                    <w:pStyle w:val="54"/>
                    <w:bidi w:val="0"/>
                    <w:rPr>
                      <w:color w:val="auto"/>
                    </w:rPr>
                  </w:pPr>
                  <w:r>
                    <w:rPr>
                      <w:rFonts w:hint="eastAsia"/>
                      <w:color w:val="auto"/>
                    </w:rPr>
                    <w:t>保养</w:t>
                  </w:r>
                </w:p>
              </w:tc>
              <w:tc>
                <w:tcPr>
                  <w:tcW w:w="624" w:type="pct"/>
                  <w:tcBorders>
                    <w:tl2br w:val="nil"/>
                    <w:tr2bl w:val="nil"/>
                  </w:tcBorders>
                  <w:vAlign w:val="center"/>
                </w:tcPr>
                <w:p w14:paraId="3C60EA1C">
                  <w:pPr>
                    <w:pStyle w:val="54"/>
                    <w:bidi w:val="0"/>
                    <w:rPr>
                      <w:color w:val="auto"/>
                    </w:rPr>
                  </w:pPr>
                  <w:r>
                    <w:rPr>
                      <w:rFonts w:hint="eastAsia"/>
                      <w:color w:val="auto"/>
                    </w:rPr>
                    <w:t>废液压油</w:t>
                  </w:r>
                </w:p>
              </w:tc>
              <w:tc>
                <w:tcPr>
                  <w:tcW w:w="341" w:type="pct"/>
                  <w:vMerge w:val="restart"/>
                  <w:tcBorders>
                    <w:tl2br w:val="nil"/>
                    <w:tr2bl w:val="nil"/>
                  </w:tcBorders>
                  <w:vAlign w:val="center"/>
                </w:tcPr>
                <w:p w14:paraId="6A5C8267">
                  <w:pPr>
                    <w:pStyle w:val="54"/>
                    <w:bidi w:val="0"/>
                    <w:rPr>
                      <w:color w:val="auto"/>
                    </w:rPr>
                  </w:pPr>
                  <w:r>
                    <w:rPr>
                      <w:rFonts w:hint="eastAsia"/>
                      <w:color w:val="auto"/>
                    </w:rPr>
                    <w:t>危险废物</w:t>
                  </w:r>
                </w:p>
              </w:tc>
              <w:tc>
                <w:tcPr>
                  <w:tcW w:w="497" w:type="pct"/>
                  <w:tcBorders>
                    <w:tl2br w:val="nil"/>
                    <w:tr2bl w:val="nil"/>
                  </w:tcBorders>
                  <w:vAlign w:val="center"/>
                </w:tcPr>
                <w:p w14:paraId="6A23E91A">
                  <w:pPr>
                    <w:pStyle w:val="54"/>
                    <w:bidi w:val="0"/>
                    <w:rPr>
                      <w:color w:val="auto"/>
                    </w:rPr>
                  </w:pPr>
                  <w:r>
                    <w:rPr>
                      <w:color w:val="auto"/>
                    </w:rPr>
                    <w:t>HW08</w:t>
                  </w:r>
                </w:p>
              </w:tc>
              <w:tc>
                <w:tcPr>
                  <w:tcW w:w="758" w:type="pct"/>
                  <w:tcBorders>
                    <w:tl2br w:val="nil"/>
                    <w:tr2bl w:val="nil"/>
                  </w:tcBorders>
                  <w:vAlign w:val="center"/>
                </w:tcPr>
                <w:p w14:paraId="3452277D">
                  <w:pPr>
                    <w:pStyle w:val="54"/>
                    <w:bidi w:val="0"/>
                    <w:rPr>
                      <w:color w:val="auto"/>
                    </w:rPr>
                  </w:pPr>
                  <w:r>
                    <w:rPr>
                      <w:color w:val="auto"/>
                    </w:rPr>
                    <w:t>900-218-08</w:t>
                  </w:r>
                </w:p>
              </w:tc>
              <w:tc>
                <w:tcPr>
                  <w:tcW w:w="774" w:type="dxa"/>
                  <w:tcBorders>
                    <w:tl2br w:val="nil"/>
                    <w:tr2bl w:val="nil"/>
                  </w:tcBorders>
                  <w:vAlign w:val="center"/>
                </w:tcPr>
                <w:p w14:paraId="2E22F676">
                  <w:pPr>
                    <w:pStyle w:val="54"/>
                    <w:bidi w:val="0"/>
                    <w:rPr>
                      <w:color w:val="auto"/>
                    </w:rPr>
                  </w:pPr>
                  <w:r>
                    <w:rPr>
                      <w:rFonts w:hint="default"/>
                      <w:color w:val="auto"/>
                      <w:lang w:val="en-US" w:eastAsia="zh-CN"/>
                    </w:rPr>
                    <w:t>0.02</w:t>
                  </w:r>
                </w:p>
              </w:tc>
              <w:tc>
                <w:tcPr>
                  <w:tcW w:w="1109" w:type="pct"/>
                  <w:vMerge w:val="restart"/>
                  <w:tcBorders>
                    <w:tl2br w:val="nil"/>
                    <w:tr2bl w:val="nil"/>
                  </w:tcBorders>
                  <w:vAlign w:val="center"/>
                </w:tcPr>
                <w:p w14:paraId="13D55940">
                  <w:pPr>
                    <w:pStyle w:val="54"/>
                    <w:bidi w:val="0"/>
                    <w:rPr>
                      <w:color w:val="auto"/>
                    </w:rPr>
                  </w:pPr>
                  <w:r>
                    <w:rPr>
                      <w:rFonts w:hint="eastAsia"/>
                      <w:color w:val="auto"/>
                    </w:rPr>
                    <w:t>暂存危废库，</w:t>
                  </w:r>
                  <w:r>
                    <w:rPr>
                      <w:color w:val="auto"/>
                    </w:rPr>
                    <w:t>定期委托有资质单位</w:t>
                  </w:r>
                  <w:r>
                    <w:rPr>
                      <w:rFonts w:hint="eastAsia"/>
                      <w:color w:val="auto"/>
                    </w:rPr>
                    <w:t>处置</w:t>
                  </w:r>
                </w:p>
              </w:tc>
              <w:tc>
                <w:tcPr>
                  <w:tcW w:w="805" w:type="dxa"/>
                  <w:tcBorders>
                    <w:tl2br w:val="nil"/>
                    <w:tr2bl w:val="nil"/>
                  </w:tcBorders>
                  <w:vAlign w:val="center"/>
                </w:tcPr>
                <w:p w14:paraId="7BD3D0EA">
                  <w:pPr>
                    <w:pStyle w:val="54"/>
                    <w:bidi w:val="0"/>
                    <w:rPr>
                      <w:color w:val="auto"/>
                    </w:rPr>
                  </w:pPr>
                  <w:r>
                    <w:rPr>
                      <w:rFonts w:hint="default"/>
                      <w:color w:val="auto"/>
                      <w:lang w:val="en-US" w:eastAsia="zh-CN"/>
                    </w:rPr>
                    <w:t>0.02</w:t>
                  </w:r>
                </w:p>
              </w:tc>
            </w:tr>
            <w:tr w14:paraId="17C311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90" w:hRule="atLeast"/>
              </w:trPr>
              <w:tc>
                <w:tcPr>
                  <w:tcW w:w="728" w:type="pct"/>
                  <w:vMerge w:val="continue"/>
                  <w:tcBorders>
                    <w:tl2br w:val="nil"/>
                    <w:tr2bl w:val="nil"/>
                  </w:tcBorders>
                  <w:vAlign w:val="center"/>
                </w:tcPr>
                <w:p w14:paraId="1FDAA1B7">
                  <w:pPr>
                    <w:pStyle w:val="54"/>
                    <w:bidi w:val="0"/>
                    <w:rPr>
                      <w:color w:val="auto"/>
                    </w:rPr>
                  </w:pPr>
                </w:p>
              </w:tc>
              <w:tc>
                <w:tcPr>
                  <w:tcW w:w="624" w:type="pct"/>
                  <w:tcBorders>
                    <w:tl2br w:val="nil"/>
                    <w:tr2bl w:val="nil"/>
                  </w:tcBorders>
                  <w:vAlign w:val="center"/>
                </w:tcPr>
                <w:p w14:paraId="5E532B8B">
                  <w:pPr>
                    <w:pStyle w:val="54"/>
                    <w:bidi w:val="0"/>
                    <w:rPr>
                      <w:color w:val="auto"/>
                    </w:rPr>
                  </w:pPr>
                  <w:r>
                    <w:rPr>
                      <w:rFonts w:hint="eastAsia"/>
                      <w:color w:val="auto"/>
                    </w:rPr>
                    <w:t>废包装桶</w:t>
                  </w:r>
                </w:p>
              </w:tc>
              <w:tc>
                <w:tcPr>
                  <w:tcW w:w="341" w:type="pct"/>
                  <w:vMerge w:val="continue"/>
                  <w:tcBorders>
                    <w:tl2br w:val="nil"/>
                    <w:tr2bl w:val="nil"/>
                  </w:tcBorders>
                  <w:vAlign w:val="center"/>
                </w:tcPr>
                <w:p w14:paraId="06443659">
                  <w:pPr>
                    <w:pStyle w:val="54"/>
                    <w:bidi w:val="0"/>
                    <w:rPr>
                      <w:color w:val="auto"/>
                    </w:rPr>
                  </w:pPr>
                </w:p>
              </w:tc>
              <w:tc>
                <w:tcPr>
                  <w:tcW w:w="497" w:type="pct"/>
                  <w:tcBorders>
                    <w:tl2br w:val="nil"/>
                    <w:tr2bl w:val="nil"/>
                  </w:tcBorders>
                  <w:vAlign w:val="center"/>
                </w:tcPr>
                <w:p w14:paraId="342BD4A7">
                  <w:pPr>
                    <w:pStyle w:val="54"/>
                    <w:bidi w:val="0"/>
                    <w:rPr>
                      <w:color w:val="auto"/>
                    </w:rPr>
                  </w:pPr>
                  <w:r>
                    <w:rPr>
                      <w:color w:val="auto"/>
                    </w:rPr>
                    <w:t>HW08</w:t>
                  </w:r>
                </w:p>
              </w:tc>
              <w:tc>
                <w:tcPr>
                  <w:tcW w:w="758" w:type="pct"/>
                  <w:tcBorders>
                    <w:tl2br w:val="nil"/>
                    <w:tr2bl w:val="nil"/>
                  </w:tcBorders>
                  <w:vAlign w:val="center"/>
                </w:tcPr>
                <w:p w14:paraId="2CDE3427">
                  <w:pPr>
                    <w:pStyle w:val="54"/>
                    <w:bidi w:val="0"/>
                    <w:rPr>
                      <w:color w:val="auto"/>
                    </w:rPr>
                  </w:pPr>
                  <w:r>
                    <w:rPr>
                      <w:color w:val="auto"/>
                    </w:rPr>
                    <w:t>900-249-08</w:t>
                  </w:r>
                </w:p>
              </w:tc>
              <w:tc>
                <w:tcPr>
                  <w:tcW w:w="774" w:type="dxa"/>
                  <w:tcBorders>
                    <w:tl2br w:val="nil"/>
                    <w:tr2bl w:val="nil"/>
                  </w:tcBorders>
                  <w:vAlign w:val="center"/>
                </w:tcPr>
                <w:p w14:paraId="36BE97EE">
                  <w:pPr>
                    <w:pStyle w:val="54"/>
                    <w:bidi w:val="0"/>
                    <w:rPr>
                      <w:color w:val="auto"/>
                    </w:rPr>
                  </w:pPr>
                  <w:r>
                    <w:rPr>
                      <w:rFonts w:hint="eastAsia"/>
                      <w:color w:val="auto"/>
                      <w:lang w:val="en-US" w:eastAsia="zh-CN"/>
                    </w:rPr>
                    <w:t>0.01</w:t>
                  </w:r>
                </w:p>
              </w:tc>
              <w:tc>
                <w:tcPr>
                  <w:tcW w:w="1109" w:type="pct"/>
                  <w:vMerge w:val="continue"/>
                  <w:tcBorders>
                    <w:tl2br w:val="nil"/>
                    <w:tr2bl w:val="nil"/>
                  </w:tcBorders>
                  <w:vAlign w:val="center"/>
                </w:tcPr>
                <w:p w14:paraId="5C97EE63">
                  <w:pPr>
                    <w:pStyle w:val="54"/>
                    <w:bidi w:val="0"/>
                    <w:rPr>
                      <w:color w:val="auto"/>
                    </w:rPr>
                  </w:pPr>
                </w:p>
              </w:tc>
              <w:tc>
                <w:tcPr>
                  <w:tcW w:w="805" w:type="dxa"/>
                  <w:tcBorders>
                    <w:tl2br w:val="nil"/>
                    <w:tr2bl w:val="nil"/>
                  </w:tcBorders>
                  <w:vAlign w:val="center"/>
                </w:tcPr>
                <w:p w14:paraId="047B41D8">
                  <w:pPr>
                    <w:pStyle w:val="54"/>
                    <w:bidi w:val="0"/>
                    <w:rPr>
                      <w:color w:val="auto"/>
                    </w:rPr>
                  </w:pPr>
                  <w:r>
                    <w:rPr>
                      <w:rFonts w:hint="eastAsia"/>
                      <w:color w:val="auto"/>
                      <w:lang w:val="en-US" w:eastAsia="zh-CN"/>
                    </w:rPr>
                    <w:t>0.01</w:t>
                  </w:r>
                </w:p>
              </w:tc>
            </w:tr>
            <w:tr w14:paraId="3EB28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340" w:hRule="atLeast"/>
              </w:trPr>
              <w:tc>
                <w:tcPr>
                  <w:tcW w:w="728" w:type="pct"/>
                  <w:tcBorders>
                    <w:tl2br w:val="nil"/>
                    <w:tr2bl w:val="nil"/>
                  </w:tcBorders>
                  <w:vAlign w:val="center"/>
                </w:tcPr>
                <w:p w14:paraId="171A8CA6">
                  <w:pPr>
                    <w:pStyle w:val="54"/>
                    <w:bidi w:val="0"/>
                    <w:rPr>
                      <w:color w:val="auto"/>
                    </w:rPr>
                  </w:pPr>
                  <w:r>
                    <w:rPr>
                      <w:rFonts w:hint="eastAsia"/>
                      <w:color w:val="auto"/>
                    </w:rPr>
                    <w:t>职工生活</w:t>
                  </w:r>
                </w:p>
              </w:tc>
              <w:tc>
                <w:tcPr>
                  <w:tcW w:w="624" w:type="pct"/>
                  <w:tcBorders>
                    <w:tl2br w:val="nil"/>
                    <w:tr2bl w:val="nil"/>
                  </w:tcBorders>
                  <w:vAlign w:val="center"/>
                </w:tcPr>
                <w:p w14:paraId="594E3BCC">
                  <w:pPr>
                    <w:pStyle w:val="54"/>
                    <w:bidi w:val="0"/>
                    <w:rPr>
                      <w:color w:val="auto"/>
                    </w:rPr>
                  </w:pPr>
                  <w:r>
                    <w:rPr>
                      <w:rFonts w:hint="eastAsia"/>
                      <w:color w:val="auto"/>
                    </w:rPr>
                    <w:t>生活垃圾</w:t>
                  </w:r>
                </w:p>
              </w:tc>
              <w:tc>
                <w:tcPr>
                  <w:tcW w:w="341" w:type="pct"/>
                  <w:tcBorders>
                    <w:tl2br w:val="nil"/>
                    <w:tr2bl w:val="nil"/>
                  </w:tcBorders>
                  <w:vAlign w:val="center"/>
                </w:tcPr>
                <w:p w14:paraId="3AA896BF">
                  <w:pPr>
                    <w:pStyle w:val="54"/>
                    <w:bidi w:val="0"/>
                    <w:rPr>
                      <w:color w:val="auto"/>
                    </w:rPr>
                  </w:pPr>
                  <w:r>
                    <w:rPr>
                      <w:color w:val="auto"/>
                    </w:rPr>
                    <w:t>/</w:t>
                  </w:r>
                </w:p>
              </w:tc>
              <w:tc>
                <w:tcPr>
                  <w:tcW w:w="497" w:type="pct"/>
                  <w:tcBorders>
                    <w:tl2br w:val="nil"/>
                    <w:tr2bl w:val="nil"/>
                  </w:tcBorders>
                  <w:vAlign w:val="center"/>
                </w:tcPr>
                <w:p w14:paraId="2410AE86">
                  <w:pPr>
                    <w:pStyle w:val="54"/>
                    <w:bidi w:val="0"/>
                    <w:rPr>
                      <w:color w:val="auto"/>
                    </w:rPr>
                  </w:pPr>
                  <w:r>
                    <w:rPr>
                      <w:color w:val="auto"/>
                    </w:rPr>
                    <w:t>SW64</w:t>
                  </w:r>
                </w:p>
              </w:tc>
              <w:tc>
                <w:tcPr>
                  <w:tcW w:w="758" w:type="pct"/>
                  <w:tcBorders>
                    <w:tl2br w:val="nil"/>
                    <w:tr2bl w:val="nil"/>
                  </w:tcBorders>
                  <w:vAlign w:val="center"/>
                </w:tcPr>
                <w:p w14:paraId="52B1431E">
                  <w:pPr>
                    <w:pStyle w:val="54"/>
                    <w:bidi w:val="0"/>
                    <w:rPr>
                      <w:color w:val="auto"/>
                    </w:rPr>
                  </w:pPr>
                  <w:r>
                    <w:rPr>
                      <w:color w:val="auto"/>
                    </w:rPr>
                    <w:t>900-099-S64</w:t>
                  </w:r>
                </w:p>
              </w:tc>
              <w:tc>
                <w:tcPr>
                  <w:tcW w:w="774" w:type="dxa"/>
                  <w:tcBorders>
                    <w:tl2br w:val="nil"/>
                    <w:tr2bl w:val="nil"/>
                  </w:tcBorders>
                  <w:vAlign w:val="center"/>
                </w:tcPr>
                <w:p w14:paraId="62B38238">
                  <w:pPr>
                    <w:pStyle w:val="54"/>
                    <w:bidi w:val="0"/>
                    <w:rPr>
                      <w:color w:val="auto"/>
                    </w:rPr>
                  </w:pPr>
                  <w:r>
                    <w:rPr>
                      <w:rFonts w:hint="default"/>
                      <w:color w:val="auto"/>
                      <w:lang w:val="en-US" w:eastAsia="zh-CN"/>
                    </w:rPr>
                    <w:t>4.5</w:t>
                  </w:r>
                </w:p>
              </w:tc>
              <w:tc>
                <w:tcPr>
                  <w:tcW w:w="1109" w:type="pct"/>
                  <w:tcBorders>
                    <w:tl2br w:val="nil"/>
                    <w:tr2bl w:val="nil"/>
                  </w:tcBorders>
                  <w:vAlign w:val="center"/>
                </w:tcPr>
                <w:p w14:paraId="7C128B21">
                  <w:pPr>
                    <w:pStyle w:val="54"/>
                    <w:bidi w:val="0"/>
                    <w:rPr>
                      <w:color w:val="auto"/>
                    </w:rPr>
                  </w:pPr>
                  <w:r>
                    <w:rPr>
                      <w:rFonts w:hint="eastAsia"/>
                      <w:color w:val="auto"/>
                    </w:rPr>
                    <w:t>厂区内垃圾箱收集，</w:t>
                  </w:r>
                  <w:r>
                    <w:rPr>
                      <w:color w:val="auto"/>
                    </w:rPr>
                    <w:t>交由环卫部门</w:t>
                  </w:r>
                  <w:r>
                    <w:rPr>
                      <w:rFonts w:hint="eastAsia"/>
                      <w:color w:val="auto"/>
                    </w:rPr>
                    <w:t>统一清运处理</w:t>
                  </w:r>
                </w:p>
              </w:tc>
              <w:tc>
                <w:tcPr>
                  <w:tcW w:w="805" w:type="dxa"/>
                  <w:tcBorders>
                    <w:tl2br w:val="nil"/>
                    <w:tr2bl w:val="nil"/>
                  </w:tcBorders>
                  <w:vAlign w:val="center"/>
                </w:tcPr>
                <w:p w14:paraId="5201B8D3">
                  <w:pPr>
                    <w:pStyle w:val="54"/>
                    <w:bidi w:val="0"/>
                    <w:rPr>
                      <w:color w:val="auto"/>
                    </w:rPr>
                  </w:pPr>
                  <w:r>
                    <w:rPr>
                      <w:rFonts w:hint="default"/>
                      <w:color w:val="auto"/>
                      <w:lang w:val="en-US" w:eastAsia="zh-CN"/>
                    </w:rPr>
                    <w:t>4.5</w:t>
                  </w:r>
                </w:p>
              </w:tc>
            </w:tr>
          </w:tbl>
          <w:p w14:paraId="7CE5F209">
            <w:pPr>
              <w:pStyle w:val="7"/>
              <w:rPr>
                <w:color w:val="auto"/>
              </w:rPr>
            </w:pPr>
            <w:bookmarkStart w:id="116" w:name="_Ref24503"/>
            <w:bookmarkStart w:id="117" w:name="_Ref18990"/>
            <w:r>
              <w:rPr>
                <w:color w:val="auto"/>
              </w:rPr>
              <w:t xml:space="preserve">表4- </w:t>
            </w:r>
            <w:r>
              <w:rPr>
                <w:color w:val="auto"/>
              </w:rPr>
              <w:fldChar w:fldCharType="begin"/>
            </w:r>
            <w:r>
              <w:rPr>
                <w:color w:val="auto"/>
              </w:rPr>
              <w:instrText xml:space="preserve"> SEQ 表4- \* ARABIC </w:instrText>
            </w:r>
            <w:r>
              <w:rPr>
                <w:color w:val="auto"/>
              </w:rPr>
              <w:fldChar w:fldCharType="separate"/>
            </w:r>
            <w:r>
              <w:rPr>
                <w:color w:val="auto"/>
              </w:rPr>
              <w:t>20</w:t>
            </w:r>
            <w:r>
              <w:rPr>
                <w:color w:val="auto"/>
              </w:rPr>
              <w:fldChar w:fldCharType="end"/>
            </w:r>
            <w:bookmarkEnd w:id="115"/>
            <w:bookmarkEnd w:id="116"/>
            <w:bookmarkEnd w:id="117"/>
            <w:r>
              <w:rPr>
                <w:color w:val="auto"/>
              </w:rPr>
              <w:t xml:space="preserve"> 项目危险废物汇总表</w:t>
            </w:r>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4"/>
              <w:gridCol w:w="1072"/>
              <w:gridCol w:w="675"/>
              <w:gridCol w:w="742"/>
              <w:gridCol w:w="851"/>
              <w:gridCol w:w="700"/>
              <w:gridCol w:w="399"/>
              <w:gridCol w:w="890"/>
              <w:gridCol w:w="799"/>
              <w:gridCol w:w="673"/>
              <w:gridCol w:w="1233"/>
            </w:tblGrid>
            <w:tr w14:paraId="60B11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222" w:type="pct"/>
                  <w:tcBorders>
                    <w:tl2br w:val="nil"/>
                    <w:tr2bl w:val="nil"/>
                  </w:tcBorders>
                  <w:vAlign w:val="center"/>
                </w:tcPr>
                <w:p w14:paraId="58151E05">
                  <w:pPr>
                    <w:pStyle w:val="52"/>
                    <w:rPr>
                      <w:color w:val="auto"/>
                    </w:rPr>
                  </w:pPr>
                  <w:r>
                    <w:rPr>
                      <w:color w:val="auto"/>
                    </w:rPr>
                    <w:t>序号</w:t>
                  </w:r>
                </w:p>
              </w:tc>
              <w:tc>
                <w:tcPr>
                  <w:tcW w:w="637" w:type="pct"/>
                  <w:tcBorders>
                    <w:tl2br w:val="nil"/>
                    <w:tr2bl w:val="nil"/>
                  </w:tcBorders>
                  <w:vAlign w:val="center"/>
                </w:tcPr>
                <w:p w14:paraId="7ED4F419">
                  <w:pPr>
                    <w:pStyle w:val="52"/>
                    <w:rPr>
                      <w:color w:val="auto"/>
                    </w:rPr>
                  </w:pPr>
                  <w:r>
                    <w:rPr>
                      <w:color w:val="auto"/>
                    </w:rPr>
                    <w:t>危险废物名称</w:t>
                  </w:r>
                </w:p>
              </w:tc>
              <w:tc>
                <w:tcPr>
                  <w:tcW w:w="401" w:type="pct"/>
                  <w:tcBorders>
                    <w:tl2br w:val="nil"/>
                    <w:tr2bl w:val="nil"/>
                  </w:tcBorders>
                  <w:vAlign w:val="center"/>
                </w:tcPr>
                <w:p w14:paraId="50794EA0">
                  <w:pPr>
                    <w:pStyle w:val="52"/>
                    <w:rPr>
                      <w:color w:val="auto"/>
                    </w:rPr>
                  </w:pPr>
                  <w:r>
                    <w:rPr>
                      <w:color w:val="auto"/>
                    </w:rPr>
                    <w:t>废物</w:t>
                  </w:r>
                </w:p>
                <w:p w14:paraId="3F10DBAC">
                  <w:pPr>
                    <w:pStyle w:val="52"/>
                    <w:rPr>
                      <w:color w:val="auto"/>
                    </w:rPr>
                  </w:pPr>
                  <w:r>
                    <w:rPr>
                      <w:color w:val="auto"/>
                    </w:rPr>
                    <w:t>类别</w:t>
                  </w:r>
                </w:p>
              </w:tc>
              <w:tc>
                <w:tcPr>
                  <w:tcW w:w="441" w:type="pct"/>
                  <w:tcBorders>
                    <w:tl2br w:val="nil"/>
                    <w:tr2bl w:val="nil"/>
                  </w:tcBorders>
                  <w:vAlign w:val="center"/>
                </w:tcPr>
                <w:p w14:paraId="49B7F546">
                  <w:pPr>
                    <w:pStyle w:val="52"/>
                    <w:rPr>
                      <w:color w:val="auto"/>
                    </w:rPr>
                  </w:pPr>
                  <w:r>
                    <w:rPr>
                      <w:color w:val="auto"/>
                    </w:rPr>
                    <w:t>废物</w:t>
                  </w:r>
                </w:p>
                <w:p w14:paraId="31595DCC">
                  <w:pPr>
                    <w:pStyle w:val="52"/>
                    <w:rPr>
                      <w:color w:val="auto"/>
                    </w:rPr>
                  </w:pPr>
                  <w:r>
                    <w:rPr>
                      <w:color w:val="auto"/>
                    </w:rPr>
                    <w:t>代码</w:t>
                  </w:r>
                </w:p>
              </w:tc>
              <w:tc>
                <w:tcPr>
                  <w:tcW w:w="506" w:type="pct"/>
                  <w:tcBorders>
                    <w:tl2br w:val="nil"/>
                    <w:tr2bl w:val="nil"/>
                  </w:tcBorders>
                  <w:vAlign w:val="center"/>
                </w:tcPr>
                <w:p w14:paraId="5CD065E9">
                  <w:pPr>
                    <w:pStyle w:val="52"/>
                    <w:rPr>
                      <w:color w:val="auto"/>
                    </w:rPr>
                  </w:pPr>
                  <w:r>
                    <w:rPr>
                      <w:color w:val="auto"/>
                    </w:rPr>
                    <w:t>产生量</w:t>
                  </w:r>
                </w:p>
                <w:p w14:paraId="7F54B636">
                  <w:pPr>
                    <w:pStyle w:val="52"/>
                    <w:rPr>
                      <w:color w:val="auto"/>
                    </w:rPr>
                  </w:pPr>
                  <w:r>
                    <w:rPr>
                      <w:color w:val="auto"/>
                    </w:rPr>
                    <w:t>（t/a）</w:t>
                  </w:r>
                </w:p>
              </w:tc>
              <w:tc>
                <w:tcPr>
                  <w:tcW w:w="416" w:type="pct"/>
                  <w:tcBorders>
                    <w:tl2br w:val="nil"/>
                    <w:tr2bl w:val="nil"/>
                  </w:tcBorders>
                  <w:vAlign w:val="center"/>
                </w:tcPr>
                <w:p w14:paraId="12A940F5">
                  <w:pPr>
                    <w:pStyle w:val="52"/>
                    <w:rPr>
                      <w:color w:val="auto"/>
                    </w:rPr>
                  </w:pPr>
                  <w:r>
                    <w:rPr>
                      <w:color w:val="auto"/>
                    </w:rPr>
                    <w:t>产生</w:t>
                  </w:r>
                </w:p>
                <w:p w14:paraId="31CFA844">
                  <w:pPr>
                    <w:pStyle w:val="52"/>
                    <w:rPr>
                      <w:color w:val="auto"/>
                    </w:rPr>
                  </w:pPr>
                  <w:r>
                    <w:rPr>
                      <w:color w:val="auto"/>
                    </w:rPr>
                    <w:t>工序</w:t>
                  </w:r>
                </w:p>
              </w:tc>
              <w:tc>
                <w:tcPr>
                  <w:tcW w:w="237" w:type="pct"/>
                  <w:tcBorders>
                    <w:tl2br w:val="nil"/>
                    <w:tr2bl w:val="nil"/>
                  </w:tcBorders>
                  <w:vAlign w:val="center"/>
                </w:tcPr>
                <w:p w14:paraId="4FD69388">
                  <w:pPr>
                    <w:pStyle w:val="52"/>
                    <w:rPr>
                      <w:color w:val="auto"/>
                    </w:rPr>
                  </w:pPr>
                  <w:r>
                    <w:rPr>
                      <w:color w:val="auto"/>
                    </w:rPr>
                    <w:t>形态</w:t>
                  </w:r>
                </w:p>
              </w:tc>
              <w:tc>
                <w:tcPr>
                  <w:tcW w:w="529" w:type="pct"/>
                  <w:tcBorders>
                    <w:tl2br w:val="nil"/>
                    <w:tr2bl w:val="nil"/>
                  </w:tcBorders>
                  <w:vAlign w:val="center"/>
                </w:tcPr>
                <w:p w14:paraId="5D48D02D">
                  <w:pPr>
                    <w:pStyle w:val="52"/>
                    <w:rPr>
                      <w:color w:val="auto"/>
                    </w:rPr>
                  </w:pPr>
                  <w:r>
                    <w:rPr>
                      <w:color w:val="auto"/>
                    </w:rPr>
                    <w:t>有害</w:t>
                  </w:r>
                </w:p>
                <w:p w14:paraId="4ED127A1">
                  <w:pPr>
                    <w:pStyle w:val="52"/>
                    <w:rPr>
                      <w:color w:val="auto"/>
                    </w:rPr>
                  </w:pPr>
                  <w:r>
                    <w:rPr>
                      <w:color w:val="auto"/>
                    </w:rPr>
                    <w:t>成分</w:t>
                  </w:r>
                </w:p>
              </w:tc>
              <w:tc>
                <w:tcPr>
                  <w:tcW w:w="475" w:type="pct"/>
                  <w:tcBorders>
                    <w:tl2br w:val="nil"/>
                    <w:tr2bl w:val="nil"/>
                  </w:tcBorders>
                  <w:vAlign w:val="center"/>
                </w:tcPr>
                <w:p w14:paraId="38BB3C34">
                  <w:pPr>
                    <w:pStyle w:val="52"/>
                    <w:rPr>
                      <w:color w:val="auto"/>
                    </w:rPr>
                  </w:pPr>
                  <w:r>
                    <w:rPr>
                      <w:color w:val="auto"/>
                    </w:rPr>
                    <w:t>产废周期</w:t>
                  </w:r>
                </w:p>
              </w:tc>
              <w:tc>
                <w:tcPr>
                  <w:tcW w:w="400" w:type="pct"/>
                  <w:tcBorders>
                    <w:tl2br w:val="nil"/>
                    <w:tr2bl w:val="nil"/>
                  </w:tcBorders>
                  <w:vAlign w:val="center"/>
                </w:tcPr>
                <w:p w14:paraId="71D03B1D">
                  <w:pPr>
                    <w:pStyle w:val="52"/>
                    <w:rPr>
                      <w:color w:val="auto"/>
                    </w:rPr>
                  </w:pPr>
                  <w:r>
                    <w:rPr>
                      <w:color w:val="auto"/>
                    </w:rPr>
                    <w:t>危险特性</w:t>
                  </w:r>
                </w:p>
              </w:tc>
              <w:tc>
                <w:tcPr>
                  <w:tcW w:w="733" w:type="pct"/>
                  <w:tcBorders>
                    <w:tl2br w:val="nil"/>
                    <w:tr2bl w:val="nil"/>
                  </w:tcBorders>
                  <w:vAlign w:val="center"/>
                </w:tcPr>
                <w:p w14:paraId="6F6B1294">
                  <w:pPr>
                    <w:pStyle w:val="52"/>
                    <w:rPr>
                      <w:color w:val="auto"/>
                    </w:rPr>
                  </w:pPr>
                  <w:r>
                    <w:rPr>
                      <w:color w:val="auto"/>
                    </w:rPr>
                    <w:t>污染防治措施</w:t>
                  </w:r>
                </w:p>
              </w:tc>
            </w:tr>
            <w:tr w14:paraId="7B1E0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 w:hRule="atLeast"/>
              </w:trPr>
              <w:tc>
                <w:tcPr>
                  <w:tcW w:w="222" w:type="pct"/>
                  <w:tcBorders>
                    <w:tl2br w:val="nil"/>
                    <w:tr2bl w:val="nil"/>
                  </w:tcBorders>
                  <w:vAlign w:val="center"/>
                </w:tcPr>
                <w:p w14:paraId="7BB6A036">
                  <w:pPr>
                    <w:pStyle w:val="54"/>
                    <w:bidi w:val="0"/>
                    <w:rPr>
                      <w:color w:val="auto"/>
                    </w:rPr>
                  </w:pPr>
                  <w:r>
                    <w:rPr>
                      <w:rFonts w:hint="eastAsia"/>
                      <w:color w:val="auto"/>
                    </w:rPr>
                    <w:t>1</w:t>
                  </w:r>
                </w:p>
              </w:tc>
              <w:tc>
                <w:tcPr>
                  <w:tcW w:w="637" w:type="pct"/>
                  <w:tcBorders>
                    <w:tl2br w:val="nil"/>
                    <w:tr2bl w:val="nil"/>
                  </w:tcBorders>
                  <w:vAlign w:val="center"/>
                </w:tcPr>
                <w:p w14:paraId="1CFFC88C">
                  <w:pPr>
                    <w:pStyle w:val="54"/>
                    <w:bidi w:val="0"/>
                    <w:rPr>
                      <w:color w:val="auto"/>
                    </w:rPr>
                  </w:pPr>
                  <w:r>
                    <w:rPr>
                      <w:rFonts w:hint="eastAsia"/>
                      <w:color w:val="auto"/>
                    </w:rPr>
                    <w:t>废液压油</w:t>
                  </w:r>
                </w:p>
              </w:tc>
              <w:tc>
                <w:tcPr>
                  <w:tcW w:w="401" w:type="pct"/>
                  <w:tcBorders>
                    <w:tl2br w:val="nil"/>
                    <w:tr2bl w:val="nil"/>
                  </w:tcBorders>
                  <w:vAlign w:val="center"/>
                </w:tcPr>
                <w:p w14:paraId="2DA083A3">
                  <w:pPr>
                    <w:pStyle w:val="54"/>
                    <w:bidi w:val="0"/>
                    <w:rPr>
                      <w:color w:val="auto"/>
                    </w:rPr>
                  </w:pPr>
                  <w:r>
                    <w:rPr>
                      <w:color w:val="auto"/>
                    </w:rPr>
                    <w:t>HW</w:t>
                  </w:r>
                </w:p>
                <w:p w14:paraId="0199F579">
                  <w:pPr>
                    <w:pStyle w:val="54"/>
                    <w:bidi w:val="0"/>
                    <w:rPr>
                      <w:color w:val="auto"/>
                    </w:rPr>
                  </w:pPr>
                  <w:r>
                    <w:rPr>
                      <w:color w:val="auto"/>
                    </w:rPr>
                    <w:t>08</w:t>
                  </w:r>
                </w:p>
              </w:tc>
              <w:tc>
                <w:tcPr>
                  <w:tcW w:w="441" w:type="pct"/>
                  <w:tcBorders>
                    <w:tl2br w:val="nil"/>
                    <w:tr2bl w:val="nil"/>
                  </w:tcBorders>
                  <w:vAlign w:val="center"/>
                </w:tcPr>
                <w:p w14:paraId="5E33F1D6">
                  <w:pPr>
                    <w:pStyle w:val="54"/>
                    <w:bidi w:val="0"/>
                    <w:rPr>
                      <w:color w:val="auto"/>
                    </w:rPr>
                  </w:pPr>
                  <w:r>
                    <w:rPr>
                      <w:color w:val="auto"/>
                    </w:rPr>
                    <w:t>900-218-08</w:t>
                  </w:r>
                </w:p>
              </w:tc>
              <w:tc>
                <w:tcPr>
                  <w:tcW w:w="506" w:type="pct"/>
                  <w:tcBorders>
                    <w:tl2br w:val="nil"/>
                    <w:tr2bl w:val="nil"/>
                  </w:tcBorders>
                  <w:vAlign w:val="center"/>
                </w:tcPr>
                <w:p w14:paraId="7F4EC471">
                  <w:pPr>
                    <w:pStyle w:val="54"/>
                    <w:bidi w:val="0"/>
                    <w:rPr>
                      <w:color w:val="auto"/>
                    </w:rPr>
                  </w:pPr>
                  <w:r>
                    <w:rPr>
                      <w:rFonts w:hint="default"/>
                      <w:color w:val="auto"/>
                      <w:lang w:val="en-US" w:eastAsia="zh-CN"/>
                    </w:rPr>
                    <w:t>0.02</w:t>
                  </w:r>
                </w:p>
              </w:tc>
              <w:tc>
                <w:tcPr>
                  <w:tcW w:w="416" w:type="pct"/>
                  <w:vMerge w:val="restart"/>
                  <w:tcBorders>
                    <w:tl2br w:val="nil"/>
                    <w:tr2bl w:val="nil"/>
                  </w:tcBorders>
                  <w:vAlign w:val="center"/>
                </w:tcPr>
                <w:p w14:paraId="28D0D532">
                  <w:pPr>
                    <w:pStyle w:val="54"/>
                    <w:bidi w:val="0"/>
                    <w:rPr>
                      <w:color w:val="auto"/>
                    </w:rPr>
                  </w:pPr>
                  <w:r>
                    <w:rPr>
                      <w:rFonts w:hint="eastAsia"/>
                      <w:color w:val="auto"/>
                    </w:rPr>
                    <w:t>设备维护保养</w:t>
                  </w:r>
                </w:p>
              </w:tc>
              <w:tc>
                <w:tcPr>
                  <w:tcW w:w="237" w:type="pct"/>
                  <w:tcBorders>
                    <w:tl2br w:val="nil"/>
                    <w:tr2bl w:val="nil"/>
                  </w:tcBorders>
                  <w:vAlign w:val="center"/>
                </w:tcPr>
                <w:p w14:paraId="62772CFD">
                  <w:pPr>
                    <w:pStyle w:val="54"/>
                    <w:bidi w:val="0"/>
                    <w:rPr>
                      <w:color w:val="auto"/>
                    </w:rPr>
                  </w:pPr>
                  <w:r>
                    <w:rPr>
                      <w:rFonts w:hint="eastAsia"/>
                      <w:color w:val="auto"/>
                    </w:rPr>
                    <w:t>液态</w:t>
                  </w:r>
                </w:p>
              </w:tc>
              <w:tc>
                <w:tcPr>
                  <w:tcW w:w="529" w:type="pct"/>
                  <w:tcBorders>
                    <w:tl2br w:val="nil"/>
                    <w:tr2bl w:val="nil"/>
                  </w:tcBorders>
                  <w:vAlign w:val="center"/>
                </w:tcPr>
                <w:p w14:paraId="2D875818">
                  <w:pPr>
                    <w:pStyle w:val="54"/>
                    <w:bidi w:val="0"/>
                    <w:rPr>
                      <w:color w:val="auto"/>
                    </w:rPr>
                  </w:pPr>
                  <w:r>
                    <w:rPr>
                      <w:rFonts w:hint="eastAsia"/>
                      <w:color w:val="auto"/>
                    </w:rPr>
                    <w:t>矿物油</w:t>
                  </w:r>
                </w:p>
              </w:tc>
              <w:tc>
                <w:tcPr>
                  <w:tcW w:w="475" w:type="pct"/>
                  <w:tcBorders>
                    <w:tl2br w:val="nil"/>
                    <w:tr2bl w:val="nil"/>
                  </w:tcBorders>
                  <w:vAlign w:val="center"/>
                </w:tcPr>
                <w:p w14:paraId="0AADABED">
                  <w:pPr>
                    <w:pStyle w:val="54"/>
                    <w:bidi w:val="0"/>
                    <w:rPr>
                      <w:color w:val="auto"/>
                    </w:rPr>
                  </w:pPr>
                  <w:r>
                    <w:rPr>
                      <w:rFonts w:hint="eastAsia"/>
                      <w:color w:val="auto"/>
                    </w:rPr>
                    <w:t>3个月</w:t>
                  </w:r>
                </w:p>
              </w:tc>
              <w:tc>
                <w:tcPr>
                  <w:tcW w:w="400" w:type="pct"/>
                  <w:tcBorders>
                    <w:tl2br w:val="nil"/>
                    <w:tr2bl w:val="nil"/>
                  </w:tcBorders>
                  <w:vAlign w:val="center"/>
                </w:tcPr>
                <w:p w14:paraId="6714A403">
                  <w:pPr>
                    <w:pStyle w:val="54"/>
                    <w:bidi w:val="0"/>
                    <w:rPr>
                      <w:color w:val="auto"/>
                    </w:rPr>
                  </w:pPr>
                  <w:r>
                    <w:rPr>
                      <w:color w:val="auto"/>
                    </w:rPr>
                    <w:t>T，I</w:t>
                  </w:r>
                </w:p>
              </w:tc>
              <w:tc>
                <w:tcPr>
                  <w:tcW w:w="733" w:type="pct"/>
                  <w:vMerge w:val="restart"/>
                  <w:tcBorders>
                    <w:tl2br w:val="nil"/>
                    <w:tr2bl w:val="nil"/>
                  </w:tcBorders>
                  <w:vAlign w:val="center"/>
                </w:tcPr>
                <w:p w14:paraId="33B77694">
                  <w:pPr>
                    <w:pStyle w:val="54"/>
                    <w:rPr>
                      <w:color w:val="auto"/>
                    </w:rPr>
                  </w:pPr>
                  <w:r>
                    <w:rPr>
                      <w:rFonts w:hint="eastAsia"/>
                      <w:color w:val="auto"/>
                    </w:rPr>
                    <w:t>暂存危废库，</w:t>
                  </w:r>
                  <w:r>
                    <w:rPr>
                      <w:color w:val="auto"/>
                    </w:rPr>
                    <w:t>定期委托有资质单位</w:t>
                  </w:r>
                  <w:r>
                    <w:rPr>
                      <w:rFonts w:hint="eastAsia"/>
                      <w:color w:val="auto"/>
                    </w:rPr>
                    <w:t>处置</w:t>
                  </w:r>
                </w:p>
              </w:tc>
            </w:tr>
            <w:tr w14:paraId="1879F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 w:hRule="atLeast"/>
              </w:trPr>
              <w:tc>
                <w:tcPr>
                  <w:tcW w:w="222" w:type="pct"/>
                  <w:tcBorders>
                    <w:tl2br w:val="nil"/>
                    <w:tr2bl w:val="nil"/>
                  </w:tcBorders>
                  <w:vAlign w:val="center"/>
                </w:tcPr>
                <w:p w14:paraId="2F804934">
                  <w:pPr>
                    <w:pStyle w:val="54"/>
                    <w:bidi w:val="0"/>
                    <w:rPr>
                      <w:color w:val="auto"/>
                    </w:rPr>
                  </w:pPr>
                  <w:r>
                    <w:rPr>
                      <w:rFonts w:hint="eastAsia"/>
                      <w:color w:val="auto"/>
                    </w:rPr>
                    <w:t>2</w:t>
                  </w:r>
                </w:p>
              </w:tc>
              <w:tc>
                <w:tcPr>
                  <w:tcW w:w="637" w:type="pct"/>
                  <w:tcBorders>
                    <w:tl2br w:val="nil"/>
                    <w:tr2bl w:val="nil"/>
                  </w:tcBorders>
                  <w:vAlign w:val="center"/>
                </w:tcPr>
                <w:p w14:paraId="30DA77FA">
                  <w:pPr>
                    <w:pStyle w:val="54"/>
                    <w:bidi w:val="0"/>
                    <w:rPr>
                      <w:color w:val="auto"/>
                    </w:rPr>
                  </w:pPr>
                  <w:r>
                    <w:rPr>
                      <w:rFonts w:hint="eastAsia"/>
                      <w:color w:val="auto"/>
                    </w:rPr>
                    <w:t>废包装桶</w:t>
                  </w:r>
                </w:p>
              </w:tc>
              <w:tc>
                <w:tcPr>
                  <w:tcW w:w="401" w:type="pct"/>
                  <w:tcBorders>
                    <w:tl2br w:val="nil"/>
                    <w:tr2bl w:val="nil"/>
                  </w:tcBorders>
                  <w:vAlign w:val="center"/>
                </w:tcPr>
                <w:p w14:paraId="07514628">
                  <w:pPr>
                    <w:pStyle w:val="54"/>
                    <w:bidi w:val="0"/>
                    <w:rPr>
                      <w:color w:val="auto"/>
                    </w:rPr>
                  </w:pPr>
                  <w:r>
                    <w:rPr>
                      <w:color w:val="auto"/>
                    </w:rPr>
                    <w:t>HW</w:t>
                  </w:r>
                </w:p>
                <w:p w14:paraId="0F5BC0CF">
                  <w:pPr>
                    <w:pStyle w:val="54"/>
                    <w:bidi w:val="0"/>
                    <w:rPr>
                      <w:color w:val="auto"/>
                    </w:rPr>
                  </w:pPr>
                  <w:r>
                    <w:rPr>
                      <w:color w:val="auto"/>
                    </w:rPr>
                    <w:t>08</w:t>
                  </w:r>
                </w:p>
              </w:tc>
              <w:tc>
                <w:tcPr>
                  <w:tcW w:w="441" w:type="pct"/>
                  <w:tcBorders>
                    <w:tl2br w:val="nil"/>
                    <w:tr2bl w:val="nil"/>
                  </w:tcBorders>
                  <w:vAlign w:val="center"/>
                </w:tcPr>
                <w:p w14:paraId="58526F2E">
                  <w:pPr>
                    <w:pStyle w:val="54"/>
                    <w:bidi w:val="0"/>
                    <w:rPr>
                      <w:color w:val="auto"/>
                    </w:rPr>
                  </w:pPr>
                  <w:r>
                    <w:rPr>
                      <w:color w:val="auto"/>
                    </w:rPr>
                    <w:t>900-249-08</w:t>
                  </w:r>
                </w:p>
              </w:tc>
              <w:tc>
                <w:tcPr>
                  <w:tcW w:w="506" w:type="pct"/>
                  <w:tcBorders>
                    <w:tl2br w:val="nil"/>
                    <w:tr2bl w:val="nil"/>
                  </w:tcBorders>
                  <w:vAlign w:val="center"/>
                </w:tcPr>
                <w:p w14:paraId="67E7CA1A">
                  <w:pPr>
                    <w:pStyle w:val="54"/>
                    <w:bidi w:val="0"/>
                    <w:rPr>
                      <w:color w:val="auto"/>
                    </w:rPr>
                  </w:pPr>
                  <w:r>
                    <w:rPr>
                      <w:rFonts w:hint="eastAsia"/>
                      <w:color w:val="auto"/>
                      <w:lang w:val="en-US" w:eastAsia="zh-CN"/>
                    </w:rPr>
                    <w:t>0.01</w:t>
                  </w:r>
                </w:p>
              </w:tc>
              <w:tc>
                <w:tcPr>
                  <w:tcW w:w="416" w:type="pct"/>
                  <w:vMerge w:val="continue"/>
                  <w:tcBorders>
                    <w:tl2br w:val="nil"/>
                    <w:tr2bl w:val="nil"/>
                  </w:tcBorders>
                  <w:vAlign w:val="center"/>
                </w:tcPr>
                <w:p w14:paraId="208E4F18">
                  <w:pPr>
                    <w:pStyle w:val="54"/>
                    <w:bidi w:val="0"/>
                    <w:rPr>
                      <w:color w:val="auto"/>
                    </w:rPr>
                  </w:pPr>
                </w:p>
              </w:tc>
              <w:tc>
                <w:tcPr>
                  <w:tcW w:w="237" w:type="pct"/>
                  <w:tcBorders>
                    <w:tl2br w:val="nil"/>
                    <w:tr2bl w:val="nil"/>
                  </w:tcBorders>
                  <w:vAlign w:val="center"/>
                </w:tcPr>
                <w:p w14:paraId="6E33236E">
                  <w:pPr>
                    <w:pStyle w:val="54"/>
                    <w:bidi w:val="0"/>
                    <w:rPr>
                      <w:color w:val="auto"/>
                    </w:rPr>
                  </w:pPr>
                  <w:r>
                    <w:rPr>
                      <w:rFonts w:hint="eastAsia"/>
                      <w:color w:val="auto"/>
                    </w:rPr>
                    <w:t>固态</w:t>
                  </w:r>
                </w:p>
              </w:tc>
              <w:tc>
                <w:tcPr>
                  <w:tcW w:w="529" w:type="pct"/>
                  <w:tcBorders>
                    <w:tl2br w:val="nil"/>
                    <w:tr2bl w:val="nil"/>
                  </w:tcBorders>
                  <w:vAlign w:val="center"/>
                </w:tcPr>
                <w:p w14:paraId="7C891A42">
                  <w:pPr>
                    <w:pStyle w:val="54"/>
                    <w:bidi w:val="0"/>
                    <w:rPr>
                      <w:color w:val="auto"/>
                    </w:rPr>
                  </w:pPr>
                  <w:r>
                    <w:rPr>
                      <w:rFonts w:hint="eastAsia"/>
                      <w:color w:val="auto"/>
                    </w:rPr>
                    <w:t>矿物油</w:t>
                  </w:r>
                </w:p>
              </w:tc>
              <w:tc>
                <w:tcPr>
                  <w:tcW w:w="475" w:type="pct"/>
                  <w:tcBorders>
                    <w:tl2br w:val="nil"/>
                    <w:tr2bl w:val="nil"/>
                  </w:tcBorders>
                  <w:vAlign w:val="center"/>
                </w:tcPr>
                <w:p w14:paraId="01D03A28">
                  <w:pPr>
                    <w:pStyle w:val="54"/>
                    <w:bidi w:val="0"/>
                    <w:rPr>
                      <w:color w:val="auto"/>
                    </w:rPr>
                  </w:pPr>
                  <w:r>
                    <w:rPr>
                      <w:rFonts w:hint="eastAsia"/>
                      <w:color w:val="auto"/>
                    </w:rPr>
                    <w:t>3个月</w:t>
                  </w:r>
                </w:p>
              </w:tc>
              <w:tc>
                <w:tcPr>
                  <w:tcW w:w="400" w:type="pct"/>
                  <w:tcBorders>
                    <w:tl2br w:val="nil"/>
                    <w:tr2bl w:val="nil"/>
                  </w:tcBorders>
                  <w:vAlign w:val="center"/>
                </w:tcPr>
                <w:p w14:paraId="6EA2877F">
                  <w:pPr>
                    <w:pStyle w:val="54"/>
                    <w:bidi w:val="0"/>
                    <w:rPr>
                      <w:color w:val="auto"/>
                    </w:rPr>
                  </w:pPr>
                  <w:r>
                    <w:rPr>
                      <w:color w:val="auto"/>
                    </w:rPr>
                    <w:t>T，I</w:t>
                  </w:r>
                </w:p>
              </w:tc>
              <w:tc>
                <w:tcPr>
                  <w:tcW w:w="733" w:type="pct"/>
                  <w:vMerge w:val="continue"/>
                  <w:tcBorders>
                    <w:tl2br w:val="nil"/>
                    <w:tr2bl w:val="nil"/>
                  </w:tcBorders>
                  <w:vAlign w:val="center"/>
                </w:tcPr>
                <w:p w14:paraId="6661732F">
                  <w:pPr>
                    <w:rPr>
                      <w:color w:val="auto"/>
                    </w:rPr>
                  </w:pPr>
                </w:p>
              </w:tc>
            </w:tr>
          </w:tbl>
          <w:p w14:paraId="78131B17">
            <w:pPr>
              <w:pStyle w:val="50"/>
              <w:ind w:firstLine="482"/>
              <w:rPr>
                <w:b/>
                <w:bCs/>
                <w:color w:val="auto"/>
              </w:rPr>
            </w:pPr>
            <w:r>
              <w:rPr>
                <w:b/>
                <w:bCs/>
                <w:color w:val="auto"/>
              </w:rPr>
              <w:t>（2）固废影响分析</w:t>
            </w:r>
          </w:p>
          <w:p w14:paraId="31F79180">
            <w:pPr>
              <w:pStyle w:val="50"/>
              <w:ind w:firstLine="482"/>
              <w:rPr>
                <w:b/>
                <w:bCs/>
                <w:color w:val="auto"/>
              </w:rPr>
            </w:pPr>
            <w:r>
              <w:rPr>
                <w:b/>
                <w:bCs/>
                <w:color w:val="auto"/>
              </w:rPr>
              <w:t>①生活垃圾</w:t>
            </w:r>
          </w:p>
          <w:p w14:paraId="7AFBAC78">
            <w:pPr>
              <w:pStyle w:val="50"/>
              <w:ind w:firstLine="480"/>
              <w:rPr>
                <w:color w:val="auto"/>
              </w:rPr>
            </w:pPr>
            <w:r>
              <w:rPr>
                <w:color w:val="auto"/>
              </w:rPr>
              <w:t>本</w:t>
            </w:r>
            <w:r>
              <w:rPr>
                <w:rFonts w:hint="eastAsia"/>
                <w:color w:val="auto"/>
              </w:rPr>
              <w:t>扩建</w:t>
            </w:r>
            <w:r>
              <w:rPr>
                <w:color w:val="auto"/>
              </w:rPr>
              <w:t>项目生活垃圾经过员工集中收集后，交由当地环卫部门统一清运。</w:t>
            </w:r>
          </w:p>
          <w:p w14:paraId="24AF515A">
            <w:pPr>
              <w:pStyle w:val="50"/>
              <w:ind w:firstLine="482"/>
              <w:rPr>
                <w:b/>
                <w:bCs/>
                <w:color w:val="auto"/>
              </w:rPr>
            </w:pPr>
            <w:r>
              <w:rPr>
                <w:b/>
                <w:bCs/>
                <w:color w:val="auto"/>
              </w:rPr>
              <w:t>②一般固废库</w:t>
            </w:r>
          </w:p>
          <w:p w14:paraId="03D1B45F">
            <w:pPr>
              <w:pStyle w:val="50"/>
              <w:ind w:firstLine="480"/>
              <w:rPr>
                <w:color w:val="auto"/>
              </w:rPr>
            </w:pPr>
            <w:r>
              <w:rPr>
                <w:color w:val="auto"/>
              </w:rPr>
              <w:t>本</w:t>
            </w:r>
            <w:r>
              <w:rPr>
                <w:rFonts w:hint="eastAsia"/>
                <w:color w:val="auto"/>
              </w:rPr>
              <w:t>扩建</w:t>
            </w:r>
            <w:r>
              <w:rPr>
                <w:color w:val="auto"/>
              </w:rPr>
              <w:t>项目</w:t>
            </w:r>
            <w:r>
              <w:rPr>
                <w:rFonts w:hint="eastAsia"/>
                <w:color w:val="auto"/>
              </w:rPr>
              <w:t>炉渣、除尘灰、废布袋</w:t>
            </w:r>
            <w:r>
              <w:rPr>
                <w:color w:val="auto"/>
              </w:rPr>
              <w:t>等一般固废</w:t>
            </w:r>
            <w:r>
              <w:rPr>
                <w:rFonts w:hint="eastAsia"/>
                <w:color w:val="auto"/>
              </w:rPr>
              <w:t>暂存厂区内现有一般固废库中，一般固废库占地面积为200m</w:t>
            </w:r>
            <w:r>
              <w:rPr>
                <w:rFonts w:hint="eastAsia"/>
                <w:color w:val="auto"/>
                <w:vertAlign w:val="superscript"/>
              </w:rPr>
              <w:t>2</w:t>
            </w:r>
            <w:r>
              <w:rPr>
                <w:color w:val="auto"/>
              </w:rPr>
              <w:t>。一般固体废物贮存</w:t>
            </w:r>
            <w:r>
              <w:rPr>
                <w:rFonts w:hint="eastAsia"/>
                <w:color w:val="auto"/>
              </w:rPr>
              <w:t>场所满足</w:t>
            </w:r>
            <w:r>
              <w:rPr>
                <w:color w:val="auto"/>
              </w:rPr>
              <w:t>《一般工业固体废物贮存和填埋污染控制标准》（GB18599-2020）的有关规定。</w:t>
            </w:r>
          </w:p>
          <w:p w14:paraId="54BEDCE3">
            <w:pPr>
              <w:pStyle w:val="50"/>
              <w:ind w:firstLine="482"/>
              <w:rPr>
                <w:b/>
                <w:bCs/>
                <w:color w:val="auto"/>
              </w:rPr>
            </w:pPr>
            <w:r>
              <w:rPr>
                <w:b/>
                <w:bCs/>
                <w:color w:val="auto"/>
              </w:rPr>
              <w:t>③危险废物贮存场所（设施）</w:t>
            </w:r>
          </w:p>
          <w:p w14:paraId="38B343EE">
            <w:pPr>
              <w:pStyle w:val="50"/>
              <w:ind w:firstLine="480"/>
              <w:rPr>
                <w:color w:val="auto"/>
              </w:rPr>
            </w:pPr>
            <w:r>
              <w:rPr>
                <w:color w:val="auto"/>
              </w:rPr>
              <w:t>本</w:t>
            </w:r>
            <w:r>
              <w:rPr>
                <w:rFonts w:hint="eastAsia"/>
                <w:color w:val="auto"/>
              </w:rPr>
              <w:t>扩建</w:t>
            </w:r>
            <w:r>
              <w:rPr>
                <w:color w:val="auto"/>
              </w:rPr>
              <w:t>项目</w:t>
            </w:r>
            <w:r>
              <w:rPr>
                <w:rFonts w:hint="eastAsia"/>
                <w:color w:val="auto"/>
              </w:rPr>
              <w:t>废液压油、废包装桶等危废暂存于厂区内现有的危废库中。现有危废仓库占地面积为10m</w:t>
            </w:r>
            <w:r>
              <w:rPr>
                <w:rFonts w:hint="eastAsia"/>
                <w:color w:val="auto"/>
                <w:vertAlign w:val="superscript"/>
              </w:rPr>
              <w:t>2</w:t>
            </w:r>
            <w:r>
              <w:rPr>
                <w:color w:val="auto"/>
              </w:rPr>
              <w:t>。每1m</w:t>
            </w:r>
            <w:r>
              <w:rPr>
                <w:color w:val="auto"/>
                <w:vertAlign w:val="superscript"/>
              </w:rPr>
              <w:t>2</w:t>
            </w:r>
            <w:r>
              <w:rPr>
                <w:color w:val="auto"/>
              </w:rPr>
              <w:t>堆场可储存危废量约1t，仓库的利用系数为0.8t，则危废</w:t>
            </w:r>
            <w:r>
              <w:rPr>
                <w:rFonts w:hint="eastAsia"/>
                <w:color w:val="auto"/>
              </w:rPr>
              <w:t>库</w:t>
            </w:r>
            <w:r>
              <w:rPr>
                <w:color w:val="auto"/>
              </w:rPr>
              <w:t>暂存能力为</w:t>
            </w:r>
            <w:r>
              <w:rPr>
                <w:rFonts w:hint="eastAsia"/>
                <w:color w:val="auto"/>
              </w:rPr>
              <w:t>8</w:t>
            </w:r>
            <w:r>
              <w:rPr>
                <w:color w:val="auto"/>
              </w:rPr>
              <w:t>t。</w:t>
            </w:r>
            <w:r>
              <w:rPr>
                <w:rFonts w:hint="eastAsia"/>
                <w:color w:val="auto"/>
              </w:rPr>
              <w:t>现有项目危废最大暂存量为</w:t>
            </w:r>
            <w:r>
              <w:rPr>
                <w:rFonts w:hint="eastAsia"/>
                <w:color w:val="auto"/>
                <w:lang w:val="en-US" w:eastAsia="zh-CN"/>
              </w:rPr>
              <w:t>4.5</w:t>
            </w:r>
            <w:r>
              <w:rPr>
                <w:rFonts w:hint="eastAsia"/>
                <w:color w:val="auto"/>
              </w:rPr>
              <w:t>t，本扩建项目危废最大暂存量为</w:t>
            </w:r>
            <w:r>
              <w:rPr>
                <w:rFonts w:hint="eastAsia"/>
                <w:color w:val="auto"/>
                <w:lang w:val="en-US" w:eastAsia="zh-CN"/>
              </w:rPr>
              <w:t>0.03</w:t>
            </w:r>
            <w:r>
              <w:rPr>
                <w:rFonts w:hint="eastAsia"/>
                <w:color w:val="auto"/>
              </w:rPr>
              <w:t>t，故现有危废库</w:t>
            </w:r>
            <w:r>
              <w:rPr>
                <w:color w:val="auto"/>
              </w:rPr>
              <w:t>贮存能力满足要求。此外，</w:t>
            </w:r>
            <w:r>
              <w:rPr>
                <w:rFonts w:hint="eastAsia"/>
                <w:color w:val="auto"/>
              </w:rPr>
              <w:t>危废库</w:t>
            </w:r>
            <w:r>
              <w:rPr>
                <w:color w:val="auto"/>
              </w:rPr>
              <w:t>设计时充分考虑</w:t>
            </w:r>
            <w:r>
              <w:rPr>
                <w:rFonts w:hint="eastAsia"/>
                <w:color w:val="auto"/>
              </w:rPr>
              <w:t>了</w:t>
            </w:r>
            <w:r>
              <w:rPr>
                <w:color w:val="auto"/>
              </w:rPr>
              <w:t>不同种类危废分类堆存及其所需的额外面积，并配套专用容器，将危险废物分类集中存放。本项目危险废物贮存场所的容量情况分析见</w:t>
            </w:r>
            <w:r>
              <w:rPr>
                <w:color w:val="auto"/>
              </w:rPr>
              <w:fldChar w:fldCharType="begin"/>
            </w:r>
            <w:r>
              <w:rPr>
                <w:color w:val="auto"/>
              </w:rPr>
              <w:instrText xml:space="preserve"> REF _Ref22856 \h </w:instrText>
            </w:r>
            <w:r>
              <w:rPr>
                <w:color w:val="auto"/>
              </w:rPr>
              <w:fldChar w:fldCharType="separate"/>
            </w:r>
            <w:r>
              <w:rPr>
                <w:color w:val="auto"/>
              </w:rPr>
              <w:t>表4- 21</w:t>
            </w:r>
            <w:r>
              <w:rPr>
                <w:color w:val="auto"/>
              </w:rPr>
              <w:fldChar w:fldCharType="end"/>
            </w:r>
            <w:r>
              <w:rPr>
                <w:color w:val="auto"/>
              </w:rPr>
              <w:t>。</w:t>
            </w:r>
          </w:p>
          <w:p w14:paraId="7AB8AECF">
            <w:pPr>
              <w:pStyle w:val="7"/>
              <w:ind w:firstLine="480"/>
              <w:rPr>
                <w:color w:val="auto"/>
              </w:rPr>
            </w:pPr>
            <w:bookmarkStart w:id="118" w:name="_Ref22856"/>
            <w:r>
              <w:rPr>
                <w:color w:val="auto"/>
              </w:rPr>
              <w:t xml:space="preserve">表4- </w:t>
            </w:r>
            <w:r>
              <w:rPr>
                <w:color w:val="auto"/>
              </w:rPr>
              <w:fldChar w:fldCharType="begin"/>
            </w:r>
            <w:r>
              <w:rPr>
                <w:color w:val="auto"/>
              </w:rPr>
              <w:instrText xml:space="preserve"> SEQ 表4- \* ARABIC </w:instrText>
            </w:r>
            <w:r>
              <w:rPr>
                <w:color w:val="auto"/>
              </w:rPr>
              <w:fldChar w:fldCharType="separate"/>
            </w:r>
            <w:r>
              <w:rPr>
                <w:color w:val="auto"/>
              </w:rPr>
              <w:t>21</w:t>
            </w:r>
            <w:r>
              <w:rPr>
                <w:color w:val="auto"/>
              </w:rPr>
              <w:fldChar w:fldCharType="end"/>
            </w:r>
            <w:bookmarkEnd w:id="118"/>
            <w:r>
              <w:rPr>
                <w:color w:val="auto"/>
              </w:rPr>
              <w:t xml:space="preserve"> 废物暂存场所情况一览表</w:t>
            </w:r>
          </w:p>
          <w:tbl>
            <w:tblPr>
              <w:tblStyle w:val="17"/>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
              <w:gridCol w:w="1110"/>
              <w:gridCol w:w="820"/>
              <w:gridCol w:w="1263"/>
              <w:gridCol w:w="437"/>
              <w:gridCol w:w="949"/>
              <w:gridCol w:w="1063"/>
              <w:gridCol w:w="909"/>
              <w:gridCol w:w="986"/>
            </w:tblGrid>
            <w:tr w14:paraId="0E0A6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512" w:type="pct"/>
                  <w:tcBorders>
                    <w:tl2br w:val="nil"/>
                    <w:tr2bl w:val="nil"/>
                  </w:tcBorders>
                  <w:vAlign w:val="center"/>
                </w:tcPr>
                <w:p w14:paraId="544300D5">
                  <w:pPr>
                    <w:pStyle w:val="52"/>
                    <w:rPr>
                      <w:color w:val="auto"/>
                    </w:rPr>
                  </w:pPr>
                  <w:r>
                    <w:rPr>
                      <w:color w:val="auto"/>
                    </w:rPr>
                    <w:t>贮存场所名称</w:t>
                  </w:r>
                </w:p>
              </w:tc>
              <w:tc>
                <w:tcPr>
                  <w:tcW w:w="660" w:type="pct"/>
                  <w:tcBorders>
                    <w:tl2br w:val="nil"/>
                    <w:tr2bl w:val="nil"/>
                  </w:tcBorders>
                  <w:vAlign w:val="center"/>
                </w:tcPr>
                <w:p w14:paraId="1EAB9766">
                  <w:pPr>
                    <w:pStyle w:val="52"/>
                    <w:rPr>
                      <w:color w:val="auto"/>
                    </w:rPr>
                  </w:pPr>
                  <w:r>
                    <w:rPr>
                      <w:color w:val="auto"/>
                    </w:rPr>
                    <w:t>危险废物名称</w:t>
                  </w:r>
                </w:p>
              </w:tc>
              <w:tc>
                <w:tcPr>
                  <w:tcW w:w="488" w:type="pct"/>
                  <w:tcBorders>
                    <w:tl2br w:val="nil"/>
                    <w:tr2bl w:val="nil"/>
                  </w:tcBorders>
                  <w:vAlign w:val="center"/>
                </w:tcPr>
                <w:p w14:paraId="16761546">
                  <w:pPr>
                    <w:pStyle w:val="52"/>
                    <w:rPr>
                      <w:color w:val="auto"/>
                    </w:rPr>
                  </w:pPr>
                  <w:r>
                    <w:rPr>
                      <w:color w:val="auto"/>
                    </w:rPr>
                    <w:t>废物</w:t>
                  </w:r>
                </w:p>
                <w:p w14:paraId="15401E16">
                  <w:pPr>
                    <w:pStyle w:val="52"/>
                    <w:rPr>
                      <w:color w:val="auto"/>
                    </w:rPr>
                  </w:pPr>
                  <w:r>
                    <w:rPr>
                      <w:color w:val="auto"/>
                    </w:rPr>
                    <w:t>类别</w:t>
                  </w:r>
                </w:p>
              </w:tc>
              <w:tc>
                <w:tcPr>
                  <w:tcW w:w="751" w:type="pct"/>
                  <w:tcBorders>
                    <w:tl2br w:val="nil"/>
                    <w:tr2bl w:val="nil"/>
                  </w:tcBorders>
                  <w:vAlign w:val="center"/>
                </w:tcPr>
                <w:p w14:paraId="68F5184F">
                  <w:pPr>
                    <w:pStyle w:val="52"/>
                    <w:rPr>
                      <w:color w:val="auto"/>
                    </w:rPr>
                  </w:pPr>
                  <w:r>
                    <w:rPr>
                      <w:color w:val="auto"/>
                    </w:rPr>
                    <w:t>废物代码</w:t>
                  </w:r>
                </w:p>
              </w:tc>
              <w:tc>
                <w:tcPr>
                  <w:tcW w:w="260" w:type="pct"/>
                  <w:tcBorders>
                    <w:tl2br w:val="nil"/>
                    <w:tr2bl w:val="nil"/>
                  </w:tcBorders>
                  <w:vAlign w:val="center"/>
                </w:tcPr>
                <w:p w14:paraId="576ADD1C">
                  <w:pPr>
                    <w:pStyle w:val="52"/>
                    <w:rPr>
                      <w:color w:val="auto"/>
                    </w:rPr>
                  </w:pPr>
                  <w:r>
                    <w:rPr>
                      <w:color w:val="auto"/>
                    </w:rPr>
                    <w:t>位置</w:t>
                  </w:r>
                </w:p>
              </w:tc>
              <w:tc>
                <w:tcPr>
                  <w:tcW w:w="565" w:type="pct"/>
                  <w:tcBorders>
                    <w:tl2br w:val="nil"/>
                    <w:tr2bl w:val="nil"/>
                  </w:tcBorders>
                  <w:vAlign w:val="center"/>
                </w:tcPr>
                <w:p w14:paraId="4F32C945">
                  <w:pPr>
                    <w:pStyle w:val="52"/>
                    <w:rPr>
                      <w:color w:val="auto"/>
                    </w:rPr>
                  </w:pPr>
                  <w:r>
                    <w:rPr>
                      <w:color w:val="auto"/>
                    </w:rPr>
                    <w:t>占地面积（m</w:t>
                  </w:r>
                  <w:r>
                    <w:rPr>
                      <w:color w:val="auto"/>
                      <w:vertAlign w:val="superscript"/>
                    </w:rPr>
                    <w:t>2</w:t>
                  </w:r>
                  <w:r>
                    <w:rPr>
                      <w:color w:val="auto"/>
                    </w:rPr>
                    <w:t>）</w:t>
                  </w:r>
                </w:p>
              </w:tc>
              <w:tc>
                <w:tcPr>
                  <w:tcW w:w="632" w:type="pct"/>
                  <w:tcBorders>
                    <w:tl2br w:val="nil"/>
                    <w:tr2bl w:val="nil"/>
                  </w:tcBorders>
                  <w:vAlign w:val="center"/>
                </w:tcPr>
                <w:p w14:paraId="7B337A01">
                  <w:pPr>
                    <w:pStyle w:val="52"/>
                    <w:rPr>
                      <w:color w:val="auto"/>
                    </w:rPr>
                  </w:pPr>
                  <w:r>
                    <w:rPr>
                      <w:color w:val="auto"/>
                    </w:rPr>
                    <w:t>贮存方式</w:t>
                  </w:r>
                </w:p>
              </w:tc>
              <w:tc>
                <w:tcPr>
                  <w:tcW w:w="541" w:type="pct"/>
                  <w:tcBorders>
                    <w:tl2br w:val="nil"/>
                    <w:tr2bl w:val="nil"/>
                  </w:tcBorders>
                  <w:vAlign w:val="center"/>
                </w:tcPr>
                <w:p w14:paraId="0655088D">
                  <w:pPr>
                    <w:pStyle w:val="52"/>
                    <w:rPr>
                      <w:color w:val="auto"/>
                    </w:rPr>
                  </w:pPr>
                  <w:r>
                    <w:rPr>
                      <w:color w:val="auto"/>
                    </w:rPr>
                    <w:t>贮存能力（m</w:t>
                  </w:r>
                  <w:r>
                    <w:rPr>
                      <w:color w:val="auto"/>
                      <w:vertAlign w:val="superscript"/>
                    </w:rPr>
                    <w:t>2</w:t>
                  </w:r>
                  <w:r>
                    <w:rPr>
                      <w:color w:val="auto"/>
                    </w:rPr>
                    <w:t>）</w:t>
                  </w:r>
                </w:p>
              </w:tc>
              <w:tc>
                <w:tcPr>
                  <w:tcW w:w="587" w:type="pct"/>
                  <w:tcBorders>
                    <w:tl2br w:val="nil"/>
                    <w:tr2bl w:val="nil"/>
                  </w:tcBorders>
                  <w:vAlign w:val="center"/>
                </w:tcPr>
                <w:p w14:paraId="44D6585A">
                  <w:pPr>
                    <w:pStyle w:val="52"/>
                    <w:rPr>
                      <w:color w:val="auto"/>
                    </w:rPr>
                  </w:pPr>
                  <w:r>
                    <w:rPr>
                      <w:color w:val="auto"/>
                    </w:rPr>
                    <w:t>贮存</w:t>
                  </w:r>
                </w:p>
                <w:p w14:paraId="79CC0A6A">
                  <w:pPr>
                    <w:pStyle w:val="52"/>
                    <w:rPr>
                      <w:color w:val="auto"/>
                    </w:rPr>
                  </w:pPr>
                  <w:r>
                    <w:rPr>
                      <w:color w:val="auto"/>
                    </w:rPr>
                    <w:t>周期</w:t>
                  </w:r>
                </w:p>
              </w:tc>
            </w:tr>
            <w:tr w14:paraId="6FB288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12" w:type="pct"/>
                  <w:vMerge w:val="restart"/>
                  <w:tcBorders>
                    <w:tl2br w:val="nil"/>
                    <w:tr2bl w:val="nil"/>
                  </w:tcBorders>
                  <w:vAlign w:val="center"/>
                </w:tcPr>
                <w:p w14:paraId="4F1C25DC">
                  <w:pPr>
                    <w:pStyle w:val="54"/>
                    <w:rPr>
                      <w:color w:val="auto"/>
                    </w:rPr>
                  </w:pPr>
                  <w:r>
                    <w:rPr>
                      <w:color w:val="auto"/>
                    </w:rPr>
                    <w:t>危废</w:t>
                  </w:r>
                  <w:r>
                    <w:rPr>
                      <w:rFonts w:hint="eastAsia"/>
                      <w:color w:val="auto"/>
                    </w:rPr>
                    <w:t>库</w:t>
                  </w:r>
                </w:p>
              </w:tc>
              <w:tc>
                <w:tcPr>
                  <w:tcW w:w="660" w:type="pct"/>
                  <w:tcBorders>
                    <w:tl2br w:val="nil"/>
                    <w:tr2bl w:val="nil"/>
                  </w:tcBorders>
                  <w:vAlign w:val="center"/>
                </w:tcPr>
                <w:p w14:paraId="5E98F63D">
                  <w:pPr>
                    <w:pStyle w:val="54"/>
                    <w:rPr>
                      <w:color w:val="auto"/>
                    </w:rPr>
                  </w:pPr>
                  <w:r>
                    <w:rPr>
                      <w:rFonts w:hint="eastAsia"/>
                      <w:color w:val="auto"/>
                    </w:rPr>
                    <w:t>废液压油</w:t>
                  </w:r>
                </w:p>
              </w:tc>
              <w:tc>
                <w:tcPr>
                  <w:tcW w:w="488" w:type="pct"/>
                  <w:tcBorders>
                    <w:tl2br w:val="nil"/>
                    <w:tr2bl w:val="nil"/>
                  </w:tcBorders>
                  <w:vAlign w:val="center"/>
                </w:tcPr>
                <w:p w14:paraId="5CAF707F">
                  <w:pPr>
                    <w:pStyle w:val="54"/>
                    <w:rPr>
                      <w:color w:val="auto"/>
                    </w:rPr>
                  </w:pPr>
                  <w:r>
                    <w:rPr>
                      <w:color w:val="auto"/>
                    </w:rPr>
                    <w:t>HW08</w:t>
                  </w:r>
                </w:p>
              </w:tc>
              <w:tc>
                <w:tcPr>
                  <w:tcW w:w="751" w:type="pct"/>
                  <w:tcBorders>
                    <w:tl2br w:val="nil"/>
                    <w:tr2bl w:val="nil"/>
                  </w:tcBorders>
                  <w:vAlign w:val="center"/>
                </w:tcPr>
                <w:p w14:paraId="6D1A8FCA">
                  <w:pPr>
                    <w:pStyle w:val="54"/>
                    <w:rPr>
                      <w:color w:val="auto"/>
                    </w:rPr>
                  </w:pPr>
                  <w:r>
                    <w:rPr>
                      <w:color w:val="auto"/>
                    </w:rPr>
                    <w:t>900-218-08</w:t>
                  </w:r>
                </w:p>
              </w:tc>
              <w:tc>
                <w:tcPr>
                  <w:tcW w:w="260" w:type="pct"/>
                  <w:vMerge w:val="restart"/>
                  <w:tcBorders>
                    <w:tl2br w:val="nil"/>
                    <w:tr2bl w:val="nil"/>
                  </w:tcBorders>
                  <w:vAlign w:val="center"/>
                </w:tcPr>
                <w:p w14:paraId="0AA79C94">
                  <w:pPr>
                    <w:pStyle w:val="54"/>
                    <w:rPr>
                      <w:color w:val="auto"/>
                    </w:rPr>
                  </w:pPr>
                  <w:r>
                    <w:rPr>
                      <w:rFonts w:hint="eastAsia"/>
                      <w:color w:val="auto"/>
                    </w:rPr>
                    <w:t>危废库</w:t>
                  </w:r>
                </w:p>
              </w:tc>
              <w:tc>
                <w:tcPr>
                  <w:tcW w:w="565" w:type="pct"/>
                  <w:tcBorders>
                    <w:tl2br w:val="nil"/>
                    <w:tr2bl w:val="nil"/>
                  </w:tcBorders>
                  <w:vAlign w:val="center"/>
                </w:tcPr>
                <w:p w14:paraId="6AA1CC35">
                  <w:pPr>
                    <w:pStyle w:val="54"/>
                    <w:rPr>
                      <w:rFonts w:hint="default" w:eastAsia="宋体"/>
                      <w:color w:val="auto"/>
                      <w:lang w:val="en-US" w:eastAsia="zh-CN"/>
                    </w:rPr>
                  </w:pPr>
                  <w:r>
                    <w:rPr>
                      <w:rFonts w:hint="eastAsia"/>
                      <w:color w:val="auto"/>
                      <w:lang w:val="en-US" w:eastAsia="zh-CN"/>
                    </w:rPr>
                    <w:t>0.2</w:t>
                  </w:r>
                </w:p>
              </w:tc>
              <w:tc>
                <w:tcPr>
                  <w:tcW w:w="632" w:type="pct"/>
                  <w:tcBorders>
                    <w:tl2br w:val="nil"/>
                    <w:tr2bl w:val="nil"/>
                  </w:tcBorders>
                  <w:vAlign w:val="center"/>
                </w:tcPr>
                <w:p w14:paraId="063B8ECA">
                  <w:pPr>
                    <w:pStyle w:val="54"/>
                    <w:rPr>
                      <w:color w:val="auto"/>
                    </w:rPr>
                  </w:pPr>
                  <w:r>
                    <w:rPr>
                      <w:color w:val="auto"/>
                    </w:rPr>
                    <w:t>密闭桶装</w:t>
                  </w:r>
                </w:p>
              </w:tc>
              <w:tc>
                <w:tcPr>
                  <w:tcW w:w="541" w:type="pct"/>
                  <w:tcBorders>
                    <w:tl2br w:val="nil"/>
                    <w:tr2bl w:val="nil"/>
                  </w:tcBorders>
                  <w:vAlign w:val="center"/>
                </w:tcPr>
                <w:p w14:paraId="10709E60">
                  <w:pPr>
                    <w:pStyle w:val="54"/>
                    <w:rPr>
                      <w:rFonts w:hint="default" w:eastAsia="宋体"/>
                      <w:color w:val="auto"/>
                      <w:lang w:val="en-US" w:eastAsia="zh-CN"/>
                    </w:rPr>
                  </w:pPr>
                  <w:r>
                    <w:rPr>
                      <w:rFonts w:hint="eastAsia"/>
                      <w:color w:val="auto"/>
                      <w:lang w:val="en-US" w:eastAsia="zh-CN"/>
                    </w:rPr>
                    <w:t>0.16</w:t>
                  </w:r>
                </w:p>
              </w:tc>
              <w:tc>
                <w:tcPr>
                  <w:tcW w:w="587" w:type="pct"/>
                  <w:tcBorders>
                    <w:tl2br w:val="nil"/>
                    <w:tr2bl w:val="nil"/>
                  </w:tcBorders>
                  <w:shd w:val="clear" w:color="auto" w:fill="auto"/>
                  <w:vAlign w:val="center"/>
                </w:tcPr>
                <w:p w14:paraId="6A8C2027">
                  <w:pPr>
                    <w:pStyle w:val="54"/>
                    <w:rPr>
                      <w:color w:val="auto"/>
                    </w:rPr>
                  </w:pPr>
                  <w:r>
                    <w:rPr>
                      <w:color w:val="auto"/>
                    </w:rPr>
                    <w:t>≤</w:t>
                  </w:r>
                  <w:r>
                    <w:rPr>
                      <w:rFonts w:hint="eastAsia"/>
                      <w:color w:val="auto"/>
                    </w:rPr>
                    <w:t>12</w:t>
                  </w:r>
                  <w:r>
                    <w:rPr>
                      <w:color w:val="auto"/>
                    </w:rPr>
                    <w:t>个月</w:t>
                  </w:r>
                </w:p>
              </w:tc>
            </w:tr>
            <w:tr w14:paraId="69060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12" w:type="pct"/>
                  <w:vMerge w:val="continue"/>
                  <w:tcBorders>
                    <w:tl2br w:val="nil"/>
                    <w:tr2bl w:val="nil"/>
                  </w:tcBorders>
                  <w:vAlign w:val="center"/>
                </w:tcPr>
                <w:p w14:paraId="75EB3B8A">
                  <w:pPr>
                    <w:pStyle w:val="54"/>
                    <w:rPr>
                      <w:color w:val="auto"/>
                    </w:rPr>
                  </w:pPr>
                </w:p>
              </w:tc>
              <w:tc>
                <w:tcPr>
                  <w:tcW w:w="660" w:type="pct"/>
                  <w:tcBorders>
                    <w:tl2br w:val="nil"/>
                    <w:tr2bl w:val="nil"/>
                  </w:tcBorders>
                  <w:vAlign w:val="center"/>
                </w:tcPr>
                <w:p w14:paraId="4A986F6B">
                  <w:pPr>
                    <w:pStyle w:val="54"/>
                    <w:rPr>
                      <w:color w:val="auto"/>
                    </w:rPr>
                  </w:pPr>
                  <w:r>
                    <w:rPr>
                      <w:rFonts w:hint="eastAsia"/>
                      <w:color w:val="auto"/>
                    </w:rPr>
                    <w:t>废包装桶</w:t>
                  </w:r>
                </w:p>
              </w:tc>
              <w:tc>
                <w:tcPr>
                  <w:tcW w:w="488" w:type="pct"/>
                  <w:tcBorders>
                    <w:tl2br w:val="nil"/>
                    <w:tr2bl w:val="nil"/>
                  </w:tcBorders>
                  <w:vAlign w:val="center"/>
                </w:tcPr>
                <w:p w14:paraId="2371D587">
                  <w:pPr>
                    <w:pStyle w:val="54"/>
                    <w:rPr>
                      <w:color w:val="auto"/>
                    </w:rPr>
                  </w:pPr>
                  <w:r>
                    <w:rPr>
                      <w:color w:val="auto"/>
                    </w:rPr>
                    <w:t>HW08</w:t>
                  </w:r>
                </w:p>
              </w:tc>
              <w:tc>
                <w:tcPr>
                  <w:tcW w:w="751" w:type="pct"/>
                  <w:tcBorders>
                    <w:tl2br w:val="nil"/>
                    <w:tr2bl w:val="nil"/>
                  </w:tcBorders>
                  <w:vAlign w:val="center"/>
                </w:tcPr>
                <w:p w14:paraId="1FD1E12D">
                  <w:pPr>
                    <w:pStyle w:val="54"/>
                    <w:rPr>
                      <w:color w:val="auto"/>
                    </w:rPr>
                  </w:pPr>
                  <w:r>
                    <w:rPr>
                      <w:color w:val="auto"/>
                    </w:rPr>
                    <w:t>900-249-08</w:t>
                  </w:r>
                </w:p>
              </w:tc>
              <w:tc>
                <w:tcPr>
                  <w:tcW w:w="260" w:type="pct"/>
                  <w:vMerge w:val="continue"/>
                  <w:tcBorders>
                    <w:tl2br w:val="nil"/>
                    <w:tr2bl w:val="nil"/>
                  </w:tcBorders>
                  <w:vAlign w:val="center"/>
                </w:tcPr>
                <w:p w14:paraId="6B8D7706">
                  <w:pPr>
                    <w:pStyle w:val="54"/>
                    <w:rPr>
                      <w:color w:val="auto"/>
                    </w:rPr>
                  </w:pPr>
                </w:p>
              </w:tc>
              <w:tc>
                <w:tcPr>
                  <w:tcW w:w="565" w:type="pct"/>
                  <w:tcBorders>
                    <w:tl2br w:val="nil"/>
                    <w:tr2bl w:val="nil"/>
                  </w:tcBorders>
                  <w:vAlign w:val="center"/>
                </w:tcPr>
                <w:p w14:paraId="10010CD2">
                  <w:pPr>
                    <w:pStyle w:val="54"/>
                    <w:rPr>
                      <w:rFonts w:hint="default" w:eastAsia="宋体"/>
                      <w:color w:val="auto"/>
                      <w:lang w:val="en-US" w:eastAsia="zh-CN"/>
                    </w:rPr>
                  </w:pPr>
                  <w:r>
                    <w:rPr>
                      <w:rFonts w:hint="eastAsia"/>
                      <w:color w:val="auto"/>
                      <w:lang w:val="en-US" w:eastAsia="zh-CN"/>
                    </w:rPr>
                    <w:t>0.2</w:t>
                  </w:r>
                </w:p>
              </w:tc>
              <w:tc>
                <w:tcPr>
                  <w:tcW w:w="632" w:type="pct"/>
                  <w:tcBorders>
                    <w:tl2br w:val="nil"/>
                    <w:tr2bl w:val="nil"/>
                  </w:tcBorders>
                  <w:vAlign w:val="center"/>
                </w:tcPr>
                <w:p w14:paraId="23CE7CB6">
                  <w:pPr>
                    <w:pStyle w:val="54"/>
                    <w:rPr>
                      <w:color w:val="auto"/>
                    </w:rPr>
                  </w:pPr>
                  <w:r>
                    <w:rPr>
                      <w:color w:val="auto"/>
                    </w:rPr>
                    <w:t>密闭桶装</w:t>
                  </w:r>
                </w:p>
              </w:tc>
              <w:tc>
                <w:tcPr>
                  <w:tcW w:w="541" w:type="pct"/>
                  <w:tcBorders>
                    <w:tl2br w:val="nil"/>
                    <w:tr2bl w:val="nil"/>
                  </w:tcBorders>
                  <w:vAlign w:val="center"/>
                </w:tcPr>
                <w:p w14:paraId="2314F2EC">
                  <w:pPr>
                    <w:pStyle w:val="54"/>
                    <w:rPr>
                      <w:rFonts w:hint="default" w:eastAsia="宋体"/>
                      <w:color w:val="auto"/>
                      <w:lang w:val="en-US" w:eastAsia="zh-CN"/>
                    </w:rPr>
                  </w:pPr>
                  <w:r>
                    <w:rPr>
                      <w:rFonts w:hint="eastAsia"/>
                      <w:color w:val="auto"/>
                      <w:lang w:val="en-US" w:eastAsia="zh-CN"/>
                    </w:rPr>
                    <w:t>0.16</w:t>
                  </w:r>
                </w:p>
              </w:tc>
              <w:tc>
                <w:tcPr>
                  <w:tcW w:w="587" w:type="pct"/>
                  <w:tcBorders>
                    <w:tl2br w:val="nil"/>
                    <w:tr2bl w:val="nil"/>
                  </w:tcBorders>
                  <w:shd w:val="clear" w:color="auto" w:fill="auto"/>
                  <w:vAlign w:val="center"/>
                </w:tcPr>
                <w:p w14:paraId="6C283241">
                  <w:pPr>
                    <w:pStyle w:val="54"/>
                    <w:rPr>
                      <w:color w:val="auto"/>
                    </w:rPr>
                  </w:pPr>
                  <w:r>
                    <w:rPr>
                      <w:color w:val="auto"/>
                    </w:rPr>
                    <w:t>≤</w:t>
                  </w:r>
                  <w:r>
                    <w:rPr>
                      <w:rFonts w:hint="eastAsia"/>
                      <w:color w:val="auto"/>
                    </w:rPr>
                    <w:t>12</w:t>
                  </w:r>
                  <w:r>
                    <w:rPr>
                      <w:color w:val="auto"/>
                    </w:rPr>
                    <w:t>个月</w:t>
                  </w:r>
                </w:p>
              </w:tc>
            </w:tr>
          </w:tbl>
          <w:p w14:paraId="3D7FA7C9">
            <w:pPr>
              <w:pStyle w:val="50"/>
              <w:ind w:firstLine="482"/>
              <w:rPr>
                <w:b/>
                <w:bCs/>
                <w:color w:val="auto"/>
              </w:rPr>
            </w:pPr>
            <w:r>
              <w:rPr>
                <w:b/>
                <w:bCs/>
                <w:color w:val="auto"/>
              </w:rPr>
              <w:t>1）厂内运输</w:t>
            </w:r>
          </w:p>
          <w:p w14:paraId="125BE28B">
            <w:pPr>
              <w:pStyle w:val="50"/>
              <w:ind w:firstLine="480"/>
              <w:rPr>
                <w:color w:val="auto"/>
              </w:rPr>
            </w:pPr>
            <w:r>
              <w:rPr>
                <w:color w:val="auto"/>
              </w:rPr>
              <w:t>厂内产生的危险废物在完成分类收集和包装后，由专门人员送至危险废物仓库。危险废物在厂内运输过程中可能发生泄漏或散落的情况，应将危险废物及时收集，以减轻对周围环境的影响。厂区内运输路线地面均需进行硬化处理，泄漏物得到及时收集后，对土壤及地下水影响较小。</w:t>
            </w:r>
          </w:p>
          <w:p w14:paraId="0C6AA53E">
            <w:pPr>
              <w:pStyle w:val="50"/>
              <w:ind w:firstLine="482"/>
              <w:rPr>
                <w:b/>
                <w:bCs/>
                <w:color w:val="auto"/>
              </w:rPr>
            </w:pPr>
            <w:r>
              <w:rPr>
                <w:b/>
                <w:bCs/>
                <w:color w:val="auto"/>
              </w:rPr>
              <w:t>2）厂内暂存</w:t>
            </w:r>
          </w:p>
          <w:p w14:paraId="3FB54A59">
            <w:pPr>
              <w:pStyle w:val="50"/>
              <w:ind w:firstLine="480"/>
              <w:rPr>
                <w:color w:val="auto"/>
              </w:rPr>
            </w:pPr>
            <w:r>
              <w:rPr>
                <w:color w:val="auto"/>
              </w:rPr>
              <w:t>本</w:t>
            </w:r>
            <w:r>
              <w:rPr>
                <w:rFonts w:hint="eastAsia"/>
                <w:color w:val="auto"/>
              </w:rPr>
              <w:t>扩建</w:t>
            </w:r>
            <w:r>
              <w:rPr>
                <w:color w:val="auto"/>
              </w:rPr>
              <w:t>项目危废</w:t>
            </w:r>
            <w:r>
              <w:rPr>
                <w:rFonts w:hint="eastAsia"/>
                <w:color w:val="auto"/>
              </w:rPr>
              <w:t>库</w:t>
            </w:r>
            <w:r>
              <w:rPr>
                <w:color w:val="auto"/>
              </w:rPr>
              <w:t>内危险废物贮存严格执行《危险废物贮存污染控制标准》（GB18597-2023）、《省生态环境厅关于做好江苏省危险废物全生命周期监控系统上线运行工作的通知》（苏环办〔2020〕401号）等文件要求，加强危险废物工作的全过程管理。</w:t>
            </w:r>
          </w:p>
          <w:p w14:paraId="0F8A1412">
            <w:pPr>
              <w:pStyle w:val="50"/>
              <w:ind w:firstLine="480"/>
              <w:rPr>
                <w:color w:val="auto"/>
              </w:rPr>
            </w:pPr>
            <w:r>
              <w:rPr>
                <w:color w:val="auto"/>
              </w:rPr>
              <w:t>危废</w:t>
            </w:r>
            <w:r>
              <w:rPr>
                <w:rFonts w:hint="eastAsia"/>
                <w:color w:val="auto"/>
              </w:rPr>
              <w:t>仓库</w:t>
            </w:r>
            <w:r>
              <w:rPr>
                <w:color w:val="auto"/>
              </w:rPr>
              <w:t>符合以下要求：</w:t>
            </w:r>
          </w:p>
          <w:p w14:paraId="6FBA0AEF">
            <w:pPr>
              <w:pStyle w:val="50"/>
              <w:ind w:firstLine="480"/>
              <w:rPr>
                <w:color w:val="auto"/>
              </w:rPr>
            </w:pPr>
            <w:r>
              <w:rPr>
                <w:color w:val="auto"/>
              </w:rPr>
              <w:t>a.贮存设施应根据危险废物的形态、物理化学性质、包装形式和污染物迁移途径，采取必要的防风、防晒、防雨、防漏、防渗、防腐以及其他环境污染防治措施，不应露天堆放危险废物；</w:t>
            </w:r>
          </w:p>
          <w:p w14:paraId="471A020A">
            <w:pPr>
              <w:pStyle w:val="50"/>
              <w:ind w:firstLine="480"/>
              <w:rPr>
                <w:color w:val="auto"/>
              </w:rPr>
            </w:pPr>
            <w:r>
              <w:rPr>
                <w:color w:val="auto"/>
              </w:rPr>
              <w:t>b.贮存设施应根据危险废物的类别、数量、形态、物理化学性质和污染防治等要求设置必要的贮存分区，避免不相容的危险废物接触、混合；</w:t>
            </w:r>
          </w:p>
          <w:p w14:paraId="5EF3C8A9">
            <w:pPr>
              <w:pStyle w:val="50"/>
              <w:ind w:firstLine="480"/>
              <w:rPr>
                <w:color w:val="auto"/>
              </w:rPr>
            </w:pPr>
            <w:r>
              <w:rPr>
                <w:color w:val="auto"/>
              </w:rPr>
              <w:t>c.贮存设施或贮存分区内地面、墙面裙角、堵截泄漏的围堰、接触危险废物的隔板和墙体等应采用坚固的材料建造，表面无裂缝；</w:t>
            </w:r>
          </w:p>
          <w:p w14:paraId="737EFCE5">
            <w:pPr>
              <w:pStyle w:val="50"/>
              <w:ind w:firstLine="480"/>
              <w:rPr>
                <w:color w:val="auto"/>
              </w:rPr>
            </w:pPr>
            <w:r>
              <w:rPr>
                <w:color w:val="auto"/>
              </w:rPr>
              <w:t>d.贮存设施地面与裙脚应采取表面防渗措施：表面防渗材料应与所接触的物料或污染物相容，可采用抗渗混凝土、高密度聚乙烯膜、钠基膨润土防水毯或其他防渗性能等效的材料。贮存的危险废物直接接触地面的，还应进行基础防渗，防渗层为至少1m厚黏土层（渗透系数不大于10</w:t>
            </w:r>
            <w:r>
              <w:rPr>
                <w:color w:val="auto"/>
                <w:vertAlign w:val="superscript"/>
              </w:rPr>
              <w:t>-7</w:t>
            </w:r>
            <w:r>
              <w:rPr>
                <w:color w:val="auto"/>
              </w:rPr>
              <w:t>cm/s），或至少2mm厚高密度聚乙烯膜等人工防渗材料（渗透系数不大于10</w:t>
            </w:r>
            <w:r>
              <w:rPr>
                <w:color w:val="auto"/>
                <w:vertAlign w:val="superscript"/>
              </w:rPr>
              <w:t>-10</w:t>
            </w:r>
            <w:r>
              <w:rPr>
                <w:color w:val="auto"/>
              </w:rPr>
              <w:t>cm/s），或其他防渗性能等效的材料；</w:t>
            </w:r>
          </w:p>
          <w:p w14:paraId="35D897AC">
            <w:pPr>
              <w:pStyle w:val="50"/>
              <w:ind w:firstLine="480"/>
              <w:rPr>
                <w:color w:val="auto"/>
              </w:rPr>
            </w:pPr>
            <w:r>
              <w:rPr>
                <w:color w:val="auto"/>
              </w:rPr>
              <w:t>e.同一贮存设施宜采用相同的防渗、防腐工艺（包括防渗、防腐结构或材料），防渗、防腐材料应覆盖所有可能与废物及其渗滤液、渗漏液等接触的构筑物表面；采用不同防渗、防腐工艺应分别建设贮存分区；</w:t>
            </w:r>
          </w:p>
          <w:p w14:paraId="0CEA4FF2">
            <w:pPr>
              <w:pStyle w:val="50"/>
              <w:ind w:firstLine="480"/>
              <w:rPr>
                <w:color w:val="auto"/>
              </w:rPr>
            </w:pPr>
            <w:r>
              <w:rPr>
                <w:color w:val="auto"/>
              </w:rPr>
              <w:t>f.贮存设施应采取技术和管理措施防止无关人员进入。</w:t>
            </w:r>
          </w:p>
          <w:p w14:paraId="745E9BC7">
            <w:pPr>
              <w:pStyle w:val="50"/>
              <w:ind w:firstLine="482"/>
              <w:rPr>
                <w:b/>
                <w:bCs/>
                <w:color w:val="auto"/>
              </w:rPr>
            </w:pPr>
            <w:r>
              <w:rPr>
                <w:b/>
                <w:bCs/>
                <w:color w:val="auto"/>
              </w:rPr>
              <w:t>3）危险废物外运</w:t>
            </w:r>
          </w:p>
          <w:p w14:paraId="001DA980">
            <w:pPr>
              <w:pStyle w:val="50"/>
              <w:ind w:firstLine="480"/>
              <w:rPr>
                <w:color w:val="auto"/>
              </w:rPr>
            </w:pPr>
            <w:r>
              <w:rPr>
                <w:color w:val="auto"/>
              </w:rPr>
              <w:t>a.外运准备</w:t>
            </w:r>
          </w:p>
          <w:p w14:paraId="13ED9DD3">
            <w:pPr>
              <w:pStyle w:val="50"/>
              <w:ind w:firstLine="480"/>
              <w:rPr>
                <w:color w:val="auto"/>
              </w:rPr>
            </w:pPr>
            <w:r>
              <w:rPr>
                <w:color w:val="auto"/>
              </w:rPr>
              <w:t>危险废物转移出厂区前应做好以下工作：在收集时应清楚废物的类别及主要成分，以方便委托处理单位处理，所有包装容器应足够安全，并经过周密检查，严防在装载、搬移或运输途中出现渗漏、溢出、抛洒或挥发等情况。按照《关于加强危险废物交换和转移管理工作的通知》规定，对危险废物进行安全包装，并在包装的明显位置附上危险废物标签；</w:t>
            </w:r>
          </w:p>
          <w:p w14:paraId="59B92639">
            <w:pPr>
              <w:pStyle w:val="50"/>
              <w:ind w:firstLine="480"/>
              <w:rPr>
                <w:color w:val="auto"/>
              </w:rPr>
            </w:pPr>
            <w:r>
              <w:rPr>
                <w:color w:val="auto"/>
              </w:rPr>
              <w:t>b.委外运输</w:t>
            </w:r>
          </w:p>
          <w:p w14:paraId="42129931">
            <w:pPr>
              <w:pStyle w:val="50"/>
              <w:ind w:firstLine="480"/>
              <w:rPr>
                <w:color w:val="auto"/>
              </w:rPr>
            </w:pPr>
            <w:r>
              <w:rPr>
                <w:color w:val="auto"/>
              </w:rPr>
              <w:t>危险废物委托资质单位外运处置，严格执行危险废物转移联单制度。危险废物的运输车辆须经主管单位检查，并持有有关单位签发的许可证，负责运输的司机应通过培训，持有证明文件。承载危险废物的车辆须有明显的标志或适当的危险符号。载有危险废物的车辆在公路上行驶时，需持有运输许可证，其上应注明废物来源、性质和运往地点。组织危险废物的运输单位，在事先需做出周密的运输计划和行驶路线，其中包括有效的废物泄漏情况下的应急措施。</w:t>
            </w:r>
          </w:p>
          <w:p w14:paraId="0CEDE520">
            <w:pPr>
              <w:pStyle w:val="50"/>
              <w:ind w:firstLine="482"/>
              <w:rPr>
                <w:b/>
                <w:bCs/>
                <w:color w:val="auto"/>
              </w:rPr>
            </w:pPr>
            <w:r>
              <w:rPr>
                <w:b/>
                <w:bCs/>
                <w:color w:val="auto"/>
              </w:rPr>
              <w:t>4）委托利用或者处置的环境影响分析</w:t>
            </w:r>
          </w:p>
          <w:p w14:paraId="544F8CAB">
            <w:pPr>
              <w:pStyle w:val="50"/>
              <w:ind w:firstLine="480"/>
              <w:rPr>
                <w:color w:val="auto"/>
              </w:rPr>
            </w:pPr>
            <w:r>
              <w:rPr>
                <w:color w:val="auto"/>
              </w:rPr>
              <w:t>本</w:t>
            </w:r>
            <w:r>
              <w:rPr>
                <w:rFonts w:hint="eastAsia"/>
                <w:color w:val="auto"/>
              </w:rPr>
              <w:t>扩建</w:t>
            </w:r>
            <w:r>
              <w:rPr>
                <w:color w:val="auto"/>
              </w:rPr>
              <w:t>项目运营后，厂区内产生的危废废物</w:t>
            </w:r>
            <w:r>
              <w:rPr>
                <w:rFonts w:hint="eastAsia"/>
                <w:color w:val="auto"/>
              </w:rPr>
              <w:t>包括废液压油（HW08，900-218-08）、废包装桶（HW08，900-249-08）</w:t>
            </w:r>
            <w:r>
              <w:rPr>
                <w:color w:val="auto"/>
              </w:rPr>
              <w:t>。待该项目试生产后，企业须同有危险废物处置资质的单位签订协议，对产生的危险废物进行安全处置。其他资质单位可以到江苏省生态环境厅网站进行查询，如不能有效落实危险废物的去向问题，应立即停止生产。</w:t>
            </w:r>
          </w:p>
          <w:p w14:paraId="75A533DB">
            <w:pPr>
              <w:pStyle w:val="50"/>
              <w:ind w:firstLine="482"/>
              <w:rPr>
                <w:b/>
                <w:bCs/>
                <w:color w:val="auto"/>
              </w:rPr>
            </w:pPr>
            <w:r>
              <w:rPr>
                <w:b/>
                <w:bCs/>
                <w:color w:val="auto"/>
              </w:rPr>
              <w:t>5）环境管理要求</w:t>
            </w:r>
          </w:p>
          <w:p w14:paraId="27193644">
            <w:pPr>
              <w:pStyle w:val="50"/>
              <w:ind w:firstLine="480"/>
              <w:rPr>
                <w:color w:val="auto"/>
              </w:rPr>
            </w:pPr>
            <w:r>
              <w:rPr>
                <w:color w:val="auto"/>
              </w:rPr>
              <w:t>针对本项目正常运行阶段所产生的危险废物的日常管理提出要求：</w:t>
            </w:r>
          </w:p>
          <w:p w14:paraId="365A9350">
            <w:pPr>
              <w:pStyle w:val="50"/>
              <w:ind w:firstLine="480"/>
              <w:rPr>
                <w:color w:val="auto"/>
              </w:rPr>
            </w:pPr>
            <w:r>
              <w:rPr>
                <w:color w:val="auto"/>
              </w:rPr>
              <w:t>a.履行申报登记制度；</w:t>
            </w:r>
          </w:p>
          <w:p w14:paraId="4EC7DDAD">
            <w:pPr>
              <w:pStyle w:val="50"/>
              <w:ind w:firstLine="480"/>
              <w:rPr>
                <w:color w:val="auto"/>
              </w:rPr>
            </w:pPr>
            <w:r>
              <w:rPr>
                <w:color w:val="auto"/>
              </w:rPr>
              <w:t>b.建立台账管理制度，企业须做好危险废物情况的记录，记录上需注明危险废物的名称、来源、数量、特性和包装容器的类别；</w:t>
            </w:r>
          </w:p>
          <w:p w14:paraId="71D18A4A">
            <w:pPr>
              <w:pStyle w:val="50"/>
              <w:ind w:firstLine="480"/>
              <w:rPr>
                <w:color w:val="auto"/>
              </w:rPr>
            </w:pPr>
            <w:r>
              <w:rPr>
                <w:color w:val="auto"/>
              </w:rPr>
              <w:t>c.委托处置应执行报批和转移联单等制度；</w:t>
            </w:r>
          </w:p>
          <w:p w14:paraId="09BD2367">
            <w:pPr>
              <w:pStyle w:val="50"/>
              <w:ind w:firstLine="480"/>
              <w:rPr>
                <w:color w:val="auto"/>
              </w:rPr>
            </w:pPr>
            <w:r>
              <w:rPr>
                <w:color w:val="auto"/>
              </w:rPr>
              <w:t>d.定期对暂存的危险废物包装容器及贮存设施进行检查，及早发现破损，及时采取措施清理更换；</w:t>
            </w:r>
          </w:p>
          <w:p w14:paraId="5C193964">
            <w:pPr>
              <w:pStyle w:val="50"/>
              <w:ind w:firstLine="480"/>
              <w:rPr>
                <w:color w:val="auto"/>
              </w:rPr>
            </w:pPr>
            <w:r>
              <w:rPr>
                <w:color w:val="auto"/>
              </w:rPr>
              <w:t>e.危险废物的泄漏液等必须符合GB8978的要求方可排放；</w:t>
            </w:r>
          </w:p>
          <w:p w14:paraId="5F8E26CC">
            <w:pPr>
              <w:pStyle w:val="50"/>
              <w:ind w:firstLine="480"/>
              <w:rPr>
                <w:color w:val="auto"/>
              </w:rPr>
            </w:pPr>
            <w:r>
              <w:rPr>
                <w:color w:val="auto"/>
              </w:rPr>
              <w:t>f.直接从事收集、贮存、运输、利用、处置危险废物的人员，应当接受专业培训，经考核合格，方可从事该项工作；</w:t>
            </w:r>
          </w:p>
          <w:p w14:paraId="56E28C0D">
            <w:pPr>
              <w:pStyle w:val="50"/>
              <w:ind w:firstLine="480"/>
              <w:rPr>
                <w:color w:val="auto"/>
              </w:rPr>
            </w:pPr>
            <w:r>
              <w:rPr>
                <w:color w:val="auto"/>
              </w:rPr>
              <w:t>g.固废贮存（处置）场所规范化设置，固体废物贮存（处置）场所应在醒目处设置标志牌。</w:t>
            </w:r>
          </w:p>
          <w:p w14:paraId="4081413B">
            <w:pPr>
              <w:pStyle w:val="50"/>
              <w:ind w:firstLine="480"/>
              <w:rPr>
                <w:color w:val="auto"/>
              </w:rPr>
            </w:pPr>
            <w:r>
              <w:rPr>
                <w:color w:val="auto"/>
              </w:rPr>
              <w:t>采取以上措施后，本项目产生的危险废物均可得到有效处置，不会造成二次污染，从环保角度考虑，固体废物防治措施可行。</w:t>
            </w:r>
          </w:p>
          <w:p w14:paraId="2D7B11D2">
            <w:pPr>
              <w:pStyle w:val="50"/>
              <w:ind w:firstLine="482"/>
              <w:rPr>
                <w:b/>
                <w:bCs/>
                <w:color w:val="auto"/>
              </w:rPr>
            </w:pPr>
            <w:r>
              <w:rPr>
                <w:b/>
                <w:bCs/>
                <w:color w:val="auto"/>
              </w:rPr>
              <w:t>5、地下水、土壤环境影响和保护措施</w:t>
            </w:r>
          </w:p>
          <w:p w14:paraId="6A2153F2">
            <w:pPr>
              <w:pStyle w:val="50"/>
              <w:ind w:firstLine="482"/>
              <w:rPr>
                <w:b/>
                <w:bCs/>
                <w:color w:val="auto"/>
              </w:rPr>
            </w:pPr>
            <w:r>
              <w:rPr>
                <w:b/>
                <w:bCs/>
                <w:color w:val="auto"/>
              </w:rPr>
              <w:t>（1）地下水控制措施</w:t>
            </w:r>
          </w:p>
          <w:p w14:paraId="0C84D823">
            <w:pPr>
              <w:pStyle w:val="50"/>
              <w:ind w:firstLine="482"/>
              <w:rPr>
                <w:b/>
                <w:bCs/>
                <w:color w:val="auto"/>
              </w:rPr>
            </w:pPr>
            <w:r>
              <w:rPr>
                <w:b/>
                <w:bCs/>
                <w:color w:val="auto"/>
              </w:rPr>
              <w:t>①源头控制措施</w:t>
            </w:r>
          </w:p>
          <w:p w14:paraId="72978198">
            <w:pPr>
              <w:pStyle w:val="50"/>
              <w:ind w:firstLine="480"/>
              <w:rPr>
                <w:color w:val="auto"/>
              </w:rPr>
            </w:pPr>
            <w:r>
              <w:rPr>
                <w:color w:val="auto"/>
              </w:rPr>
              <w:t>源头控制主要包括提出实施清洁生产及各类废物循环利用的具体方案，减少污染物的排放量；提出工艺、管道、设备、污水储存应采取的污染控制措施，将污染物跑、冒、滴、漏降到最低限度，降低物质泄漏和污染土壤环境的隐患。</w:t>
            </w:r>
          </w:p>
          <w:p w14:paraId="31736C5F">
            <w:pPr>
              <w:pStyle w:val="50"/>
              <w:ind w:firstLine="482"/>
              <w:rPr>
                <w:b/>
                <w:bCs/>
                <w:color w:val="auto"/>
              </w:rPr>
            </w:pPr>
            <w:r>
              <w:rPr>
                <w:b/>
                <w:bCs/>
                <w:color w:val="auto"/>
              </w:rPr>
              <w:t>②分区防治措施</w:t>
            </w:r>
          </w:p>
          <w:p w14:paraId="0DD74B8A">
            <w:pPr>
              <w:pStyle w:val="50"/>
              <w:ind w:firstLine="480"/>
              <w:rPr>
                <w:color w:val="auto"/>
              </w:rPr>
            </w:pPr>
            <w:r>
              <w:rPr>
                <w:color w:val="auto"/>
              </w:rPr>
              <w:t>本</w:t>
            </w:r>
            <w:r>
              <w:rPr>
                <w:rFonts w:hint="eastAsia"/>
                <w:color w:val="auto"/>
              </w:rPr>
              <w:t>扩建</w:t>
            </w:r>
            <w:r>
              <w:rPr>
                <w:color w:val="auto"/>
              </w:rPr>
              <w:t>项目划分为重点防渗区、一般防渗区和简单防渗区，划分区域如</w:t>
            </w:r>
            <w:r>
              <w:rPr>
                <w:color w:val="auto"/>
              </w:rPr>
              <w:fldChar w:fldCharType="begin"/>
            </w:r>
            <w:r>
              <w:rPr>
                <w:color w:val="auto"/>
              </w:rPr>
              <w:instrText xml:space="preserve"> REF _Ref26467 \h </w:instrText>
            </w:r>
            <w:r>
              <w:rPr>
                <w:color w:val="auto"/>
              </w:rPr>
              <w:fldChar w:fldCharType="separate"/>
            </w:r>
            <w:r>
              <w:rPr>
                <w:color w:val="auto"/>
              </w:rPr>
              <w:t>表4- 22</w:t>
            </w:r>
            <w:r>
              <w:rPr>
                <w:color w:val="auto"/>
              </w:rPr>
              <w:fldChar w:fldCharType="end"/>
            </w:r>
            <w:r>
              <w:rPr>
                <w:color w:val="auto"/>
              </w:rPr>
              <w:t>。</w:t>
            </w:r>
          </w:p>
          <w:p w14:paraId="295B2671">
            <w:pPr>
              <w:pStyle w:val="7"/>
              <w:rPr>
                <w:color w:val="auto"/>
              </w:rPr>
            </w:pPr>
            <w:bookmarkStart w:id="119" w:name="_Ref26467"/>
            <w:r>
              <w:rPr>
                <w:color w:val="auto"/>
              </w:rPr>
              <w:t xml:space="preserve">表4- </w:t>
            </w:r>
            <w:r>
              <w:rPr>
                <w:color w:val="auto"/>
              </w:rPr>
              <w:fldChar w:fldCharType="begin"/>
            </w:r>
            <w:r>
              <w:rPr>
                <w:color w:val="auto"/>
              </w:rPr>
              <w:instrText xml:space="preserve"> SEQ 表4- \* ARABIC </w:instrText>
            </w:r>
            <w:r>
              <w:rPr>
                <w:color w:val="auto"/>
              </w:rPr>
              <w:fldChar w:fldCharType="separate"/>
            </w:r>
            <w:r>
              <w:rPr>
                <w:color w:val="auto"/>
              </w:rPr>
              <w:t>22</w:t>
            </w:r>
            <w:r>
              <w:rPr>
                <w:color w:val="auto"/>
              </w:rPr>
              <w:fldChar w:fldCharType="end"/>
            </w:r>
            <w:bookmarkEnd w:id="119"/>
            <w:r>
              <w:rPr>
                <w:color w:val="auto"/>
              </w:rPr>
              <w:t xml:space="preserve"> 项目分区防渗一览表</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9"/>
              <w:gridCol w:w="2274"/>
              <w:gridCol w:w="4925"/>
            </w:tblGrid>
            <w:tr w14:paraId="69EE1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9" w:type="dxa"/>
                  <w:vAlign w:val="center"/>
                </w:tcPr>
                <w:p w14:paraId="1058F77B">
                  <w:pPr>
                    <w:pStyle w:val="52"/>
                    <w:rPr>
                      <w:color w:val="auto"/>
                    </w:rPr>
                  </w:pPr>
                  <w:r>
                    <w:rPr>
                      <w:color w:val="auto"/>
                    </w:rPr>
                    <w:t>防渗分区</w:t>
                  </w:r>
                </w:p>
              </w:tc>
              <w:tc>
                <w:tcPr>
                  <w:tcW w:w="2274" w:type="dxa"/>
                  <w:vAlign w:val="center"/>
                </w:tcPr>
                <w:p w14:paraId="356C4730">
                  <w:pPr>
                    <w:pStyle w:val="52"/>
                    <w:rPr>
                      <w:color w:val="auto"/>
                    </w:rPr>
                  </w:pPr>
                  <w:r>
                    <w:rPr>
                      <w:color w:val="auto"/>
                    </w:rPr>
                    <w:t>具体范围</w:t>
                  </w:r>
                </w:p>
              </w:tc>
              <w:tc>
                <w:tcPr>
                  <w:tcW w:w="4925" w:type="dxa"/>
                  <w:vAlign w:val="center"/>
                </w:tcPr>
                <w:p w14:paraId="5FA36A72">
                  <w:pPr>
                    <w:pStyle w:val="52"/>
                    <w:rPr>
                      <w:color w:val="auto"/>
                    </w:rPr>
                  </w:pPr>
                  <w:r>
                    <w:rPr>
                      <w:color w:val="auto"/>
                    </w:rPr>
                    <w:t>防渗要求</w:t>
                  </w:r>
                </w:p>
              </w:tc>
            </w:tr>
            <w:tr w14:paraId="36806C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09" w:type="dxa"/>
                  <w:vAlign w:val="center"/>
                </w:tcPr>
                <w:p w14:paraId="6B994A2A">
                  <w:pPr>
                    <w:pStyle w:val="54"/>
                    <w:rPr>
                      <w:color w:val="auto"/>
                    </w:rPr>
                  </w:pPr>
                  <w:r>
                    <w:rPr>
                      <w:color w:val="auto"/>
                    </w:rPr>
                    <w:t>重点防渗</w:t>
                  </w:r>
                </w:p>
              </w:tc>
              <w:tc>
                <w:tcPr>
                  <w:tcW w:w="2274" w:type="dxa"/>
                  <w:vAlign w:val="center"/>
                </w:tcPr>
                <w:p w14:paraId="4710F091">
                  <w:pPr>
                    <w:pStyle w:val="54"/>
                    <w:rPr>
                      <w:color w:val="auto"/>
                    </w:rPr>
                  </w:pPr>
                  <w:r>
                    <w:rPr>
                      <w:rFonts w:hint="eastAsia"/>
                      <w:color w:val="auto"/>
                    </w:rPr>
                    <w:t>危废库</w:t>
                  </w:r>
                </w:p>
              </w:tc>
              <w:tc>
                <w:tcPr>
                  <w:tcW w:w="4925" w:type="dxa"/>
                  <w:vAlign w:val="center"/>
                </w:tcPr>
                <w:p w14:paraId="23BC8B8B">
                  <w:pPr>
                    <w:pStyle w:val="54"/>
                    <w:rPr>
                      <w:color w:val="auto"/>
                    </w:rPr>
                  </w:pPr>
                  <w:r>
                    <w:rPr>
                      <w:color w:val="auto"/>
                    </w:rPr>
                    <w:t>等效粘土防渗层Mb≥6.0m，K≤1×10</w:t>
                  </w:r>
                  <w:r>
                    <w:rPr>
                      <w:color w:val="auto"/>
                      <w:vertAlign w:val="superscript"/>
                    </w:rPr>
                    <w:t>-10</w:t>
                  </w:r>
                  <w:r>
                    <w:rPr>
                      <w:color w:val="auto"/>
                    </w:rPr>
                    <w:t>cm/s；或参照GB18598执行</w:t>
                  </w:r>
                </w:p>
              </w:tc>
            </w:tr>
            <w:tr w14:paraId="15E5F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 w:hRule="atLeast"/>
                <w:jc w:val="center"/>
              </w:trPr>
              <w:tc>
                <w:tcPr>
                  <w:tcW w:w="1209" w:type="dxa"/>
                  <w:vAlign w:val="center"/>
                </w:tcPr>
                <w:p w14:paraId="1A280E91">
                  <w:pPr>
                    <w:pStyle w:val="54"/>
                    <w:rPr>
                      <w:color w:val="auto"/>
                    </w:rPr>
                  </w:pPr>
                  <w:r>
                    <w:rPr>
                      <w:color w:val="auto"/>
                    </w:rPr>
                    <w:t>一般防渗</w:t>
                  </w:r>
                </w:p>
              </w:tc>
              <w:tc>
                <w:tcPr>
                  <w:tcW w:w="2274" w:type="dxa"/>
                  <w:vAlign w:val="center"/>
                </w:tcPr>
                <w:p w14:paraId="10444494">
                  <w:pPr>
                    <w:pStyle w:val="54"/>
                    <w:rPr>
                      <w:color w:val="auto"/>
                    </w:rPr>
                  </w:pPr>
                  <w:r>
                    <w:rPr>
                      <w:rFonts w:hint="eastAsia"/>
                      <w:color w:val="auto"/>
                    </w:rPr>
                    <w:t>1#厂房</w:t>
                  </w:r>
                </w:p>
              </w:tc>
              <w:tc>
                <w:tcPr>
                  <w:tcW w:w="4925" w:type="dxa"/>
                  <w:vAlign w:val="center"/>
                </w:tcPr>
                <w:p w14:paraId="0B15BA22">
                  <w:pPr>
                    <w:pStyle w:val="54"/>
                    <w:rPr>
                      <w:color w:val="auto"/>
                    </w:rPr>
                  </w:pPr>
                  <w:r>
                    <w:rPr>
                      <w:color w:val="auto"/>
                    </w:rPr>
                    <w:t>等效粘土防渗层Mb≥1.5m，K≤1×10</w:t>
                  </w:r>
                  <w:r>
                    <w:rPr>
                      <w:color w:val="auto"/>
                      <w:vertAlign w:val="superscript"/>
                    </w:rPr>
                    <w:t>-7</w:t>
                  </w:r>
                  <w:r>
                    <w:rPr>
                      <w:color w:val="auto"/>
                    </w:rPr>
                    <w:t>cm/s；或参照GB16889执行</w:t>
                  </w:r>
                </w:p>
              </w:tc>
            </w:tr>
            <w:tr w14:paraId="3D34D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9" w:type="dxa"/>
                  <w:vAlign w:val="center"/>
                </w:tcPr>
                <w:p w14:paraId="4CD48A36">
                  <w:pPr>
                    <w:pStyle w:val="54"/>
                    <w:rPr>
                      <w:color w:val="auto"/>
                    </w:rPr>
                  </w:pPr>
                  <w:r>
                    <w:rPr>
                      <w:color w:val="auto"/>
                    </w:rPr>
                    <w:t>简单防渗</w:t>
                  </w:r>
                </w:p>
              </w:tc>
              <w:tc>
                <w:tcPr>
                  <w:tcW w:w="2274" w:type="dxa"/>
                  <w:vAlign w:val="center"/>
                </w:tcPr>
                <w:p w14:paraId="2B34F5CA">
                  <w:pPr>
                    <w:pStyle w:val="54"/>
                    <w:rPr>
                      <w:color w:val="auto"/>
                    </w:rPr>
                  </w:pPr>
                  <w:r>
                    <w:rPr>
                      <w:rFonts w:hint="eastAsia"/>
                      <w:color w:val="auto"/>
                    </w:rPr>
                    <w:t>办公楼、综合楼</w:t>
                  </w:r>
                </w:p>
              </w:tc>
              <w:tc>
                <w:tcPr>
                  <w:tcW w:w="4925" w:type="dxa"/>
                  <w:vAlign w:val="center"/>
                </w:tcPr>
                <w:p w14:paraId="107B9822">
                  <w:pPr>
                    <w:pStyle w:val="54"/>
                    <w:rPr>
                      <w:color w:val="auto"/>
                    </w:rPr>
                  </w:pPr>
                  <w:r>
                    <w:rPr>
                      <w:color w:val="auto"/>
                    </w:rPr>
                    <w:t>一般地面硬化</w:t>
                  </w:r>
                </w:p>
              </w:tc>
            </w:tr>
          </w:tbl>
          <w:p w14:paraId="714ABB88">
            <w:pPr>
              <w:pStyle w:val="50"/>
              <w:ind w:firstLine="482"/>
              <w:rPr>
                <w:b/>
                <w:bCs/>
                <w:color w:val="auto"/>
              </w:rPr>
            </w:pPr>
            <w:r>
              <w:rPr>
                <w:b/>
                <w:bCs/>
                <w:color w:val="auto"/>
              </w:rPr>
              <w:t>③管理措施</w:t>
            </w:r>
          </w:p>
          <w:p w14:paraId="6E7F1E74">
            <w:pPr>
              <w:pStyle w:val="50"/>
              <w:ind w:firstLine="480"/>
              <w:rPr>
                <w:color w:val="auto"/>
              </w:rPr>
            </w:pPr>
            <w:r>
              <w:rPr>
                <w:color w:val="auto"/>
              </w:rPr>
              <w:t>1）加强环境管理，液态危险废物下方设置托盘，设置空桶作为备用收容设施。</w:t>
            </w:r>
          </w:p>
          <w:p w14:paraId="726801EC">
            <w:pPr>
              <w:pStyle w:val="50"/>
              <w:ind w:firstLine="480"/>
              <w:rPr>
                <w:color w:val="auto"/>
              </w:rPr>
            </w:pPr>
            <w:r>
              <w:rPr>
                <w:color w:val="auto"/>
              </w:rPr>
              <w:t>2）落实防渗措施，严格按照分区防渗措施进行防渗处理，防渗工程设计使用年限宜按50年进行设计，防渗材料必须符合防渗系数要求。</w:t>
            </w:r>
          </w:p>
          <w:p w14:paraId="55B5A68C">
            <w:pPr>
              <w:pStyle w:val="50"/>
              <w:ind w:firstLine="480"/>
              <w:rPr>
                <w:color w:val="auto"/>
              </w:rPr>
            </w:pPr>
            <w:r>
              <w:rPr>
                <w:color w:val="auto"/>
              </w:rPr>
              <w:t>3）落实突发环境事件应急防范措施，防范风险事故对地下水的影响。</w:t>
            </w:r>
          </w:p>
          <w:p w14:paraId="3F578BE3">
            <w:pPr>
              <w:pStyle w:val="50"/>
              <w:ind w:firstLine="480"/>
              <w:rPr>
                <w:color w:val="auto"/>
              </w:rPr>
            </w:pPr>
            <w:r>
              <w:rPr>
                <w:color w:val="auto"/>
              </w:rPr>
              <w:t>本项目防渗工程措施严格执行“源头控制、分区防治、污染监控、应急响应”的原则，采取上述防渗措施后，项目对地下水基本不会造成影响。</w:t>
            </w:r>
          </w:p>
          <w:p w14:paraId="711F6E43">
            <w:pPr>
              <w:pStyle w:val="50"/>
              <w:ind w:firstLine="482"/>
              <w:rPr>
                <w:b/>
                <w:bCs/>
                <w:color w:val="auto"/>
              </w:rPr>
            </w:pPr>
            <w:r>
              <w:rPr>
                <w:b/>
                <w:bCs/>
                <w:color w:val="auto"/>
              </w:rPr>
              <w:t>（2）土壤防治措施</w:t>
            </w:r>
          </w:p>
          <w:p w14:paraId="73E32ACD">
            <w:pPr>
              <w:pStyle w:val="50"/>
              <w:ind w:firstLine="480"/>
              <w:rPr>
                <w:color w:val="auto"/>
              </w:rPr>
            </w:pPr>
            <w:r>
              <w:rPr>
                <w:color w:val="auto"/>
              </w:rPr>
              <w:t>本</w:t>
            </w:r>
            <w:r>
              <w:rPr>
                <w:rFonts w:hint="eastAsia"/>
                <w:color w:val="auto"/>
              </w:rPr>
              <w:t>扩建</w:t>
            </w:r>
            <w:r>
              <w:rPr>
                <w:color w:val="auto"/>
              </w:rPr>
              <w:t>项目严格执行分区防渗措施，厂区内地面全部硬化，硬化层大于15cm，距离地下土壤层较远。同时，本项目废气污染物排放量较小，可经过收集治理后达标排放，且不含重金属物质，废气排放对周边土壤环境影响在可接受范围内。本项目外排污水处理达标后可通过污水管网进入污水处理厂处理后达标排放，不会直排地表水体，厂区内外地面均已硬化，不会因地面漫流造成土壤污染。此外，各项固体废物均分类收集并进行合理无害化处置。因此，本</w:t>
            </w:r>
            <w:r>
              <w:rPr>
                <w:rFonts w:hint="eastAsia"/>
                <w:color w:val="auto"/>
              </w:rPr>
              <w:t>扩建</w:t>
            </w:r>
            <w:r>
              <w:rPr>
                <w:color w:val="auto"/>
              </w:rPr>
              <w:t>项目运营对区域土壤环境影响较小。</w:t>
            </w:r>
          </w:p>
          <w:p w14:paraId="5E67D340">
            <w:pPr>
              <w:pStyle w:val="50"/>
              <w:ind w:firstLine="482"/>
              <w:rPr>
                <w:b/>
                <w:bCs/>
                <w:color w:val="auto"/>
              </w:rPr>
            </w:pPr>
            <w:r>
              <w:rPr>
                <w:b/>
                <w:bCs/>
                <w:color w:val="auto"/>
              </w:rPr>
              <w:t>（3）监测计划</w:t>
            </w:r>
          </w:p>
          <w:p w14:paraId="4E2C4C30">
            <w:pPr>
              <w:pStyle w:val="50"/>
              <w:ind w:firstLine="480"/>
              <w:rPr>
                <w:color w:val="auto"/>
              </w:rPr>
            </w:pPr>
            <w:r>
              <w:rPr>
                <w:color w:val="auto"/>
              </w:rPr>
              <w:t>根据《排污单位自行监测技术指南 总则》（HJ819-2017）：“涉重金属、难降解类有机污染物等重点排污单位土壤、地下水每年至少监测一次”，本</w:t>
            </w:r>
            <w:r>
              <w:rPr>
                <w:rFonts w:hint="eastAsia"/>
                <w:color w:val="auto"/>
              </w:rPr>
              <w:t>扩建</w:t>
            </w:r>
            <w:r>
              <w:rPr>
                <w:color w:val="auto"/>
              </w:rPr>
              <w:t>项目不涉及重金属、难降解类有机污染物，可不进行土壤、地下水跟踪监测。</w:t>
            </w:r>
          </w:p>
          <w:p w14:paraId="068B777E">
            <w:pPr>
              <w:pStyle w:val="50"/>
              <w:ind w:firstLine="482"/>
              <w:rPr>
                <w:b/>
                <w:bCs/>
                <w:color w:val="auto"/>
              </w:rPr>
            </w:pPr>
            <w:r>
              <w:rPr>
                <w:b/>
                <w:bCs/>
                <w:color w:val="auto"/>
              </w:rPr>
              <w:t>6、环境风险影响分析</w:t>
            </w:r>
          </w:p>
          <w:p w14:paraId="7D335BBE">
            <w:pPr>
              <w:pStyle w:val="50"/>
              <w:ind w:firstLine="482"/>
              <w:rPr>
                <w:b/>
                <w:bCs/>
                <w:color w:val="auto"/>
              </w:rPr>
            </w:pPr>
            <w:r>
              <w:rPr>
                <w:b/>
                <w:bCs/>
                <w:color w:val="auto"/>
              </w:rPr>
              <w:t>（1）风险物质数量与临界量比值Q计算</w:t>
            </w:r>
          </w:p>
          <w:p w14:paraId="2D5D4A63">
            <w:pPr>
              <w:pStyle w:val="50"/>
              <w:ind w:firstLine="480"/>
              <w:rPr>
                <w:color w:val="auto"/>
              </w:rPr>
            </w:pPr>
            <w:r>
              <w:rPr>
                <w:color w:val="auto"/>
              </w:rPr>
              <w:t>根据《建设项目环境风险评价技术导则》（HJ169-2018）附录C中“C.1.1危险物种数量与临界量比值（Q）”计算所涉及的每种危险物质在厂界内的最大存在总量与其在附录B中对应临界量的比值计算Q值。</w:t>
            </w:r>
          </w:p>
          <w:p w14:paraId="7F32A1CA">
            <w:pPr>
              <w:pStyle w:val="50"/>
              <w:ind w:firstLine="0" w:firstLineChars="0"/>
              <w:jc w:val="center"/>
              <w:rPr>
                <w:color w:val="auto"/>
                <w:position w:val="-10"/>
              </w:rPr>
            </w:pPr>
            <w:r>
              <w:rPr>
                <w:color w:val="auto"/>
                <w:position w:val="-14"/>
              </w:rPr>
              <w:object>
                <v:shape id="_x0000_i1033" o:spt="75" type="#_x0000_t75" style="height:28.3pt;width:107.7pt;" o:ole="t" filled="f" o:preferrelative="t" stroked="f" coordsize="21600,21600">
                  <v:path/>
                  <v:fill on="f" focussize="0,0"/>
                  <v:stroke on="f" joinstyle="miter"/>
                  <v:imagedata r:id="rId31" o:title=""/>
                  <o:lock v:ext="edit" aspectratio="t"/>
                  <w10:wrap type="none"/>
                  <w10:anchorlock/>
                </v:shape>
                <o:OLEObject Type="Embed" ProgID="Equation.3" ShapeID="_x0000_i1033" DrawAspect="Content" ObjectID="_1468075733" r:id="rId30">
                  <o:LockedField>false</o:LockedField>
                </o:OLEObject>
              </w:object>
            </w:r>
          </w:p>
          <w:p w14:paraId="12A09343">
            <w:pPr>
              <w:pStyle w:val="50"/>
              <w:ind w:firstLine="480"/>
              <w:rPr>
                <w:color w:val="auto"/>
              </w:rPr>
            </w:pPr>
            <w:r>
              <w:rPr>
                <w:color w:val="auto"/>
              </w:rPr>
              <w:t>式中：q</w:t>
            </w:r>
            <w:r>
              <w:rPr>
                <w:color w:val="auto"/>
                <w:vertAlign w:val="subscript"/>
              </w:rPr>
              <w:t>1</w:t>
            </w:r>
            <w:r>
              <w:rPr>
                <w:color w:val="auto"/>
              </w:rPr>
              <w:t>、q</w:t>
            </w:r>
            <w:r>
              <w:rPr>
                <w:color w:val="auto"/>
                <w:vertAlign w:val="subscript"/>
              </w:rPr>
              <w:t>2</w:t>
            </w:r>
            <w:r>
              <w:rPr>
                <w:color w:val="auto"/>
              </w:rPr>
              <w:t>、…q</w:t>
            </w:r>
            <w:r>
              <w:rPr>
                <w:color w:val="auto"/>
                <w:vertAlign w:val="subscript"/>
              </w:rPr>
              <w:t>n</w:t>
            </w:r>
            <w:r>
              <w:rPr>
                <w:color w:val="auto"/>
              </w:rPr>
              <w:t>——每种风险物质的存在总量，t；</w:t>
            </w:r>
          </w:p>
          <w:p w14:paraId="106D00C8">
            <w:pPr>
              <w:pStyle w:val="50"/>
              <w:ind w:left="1155" w:leftChars="550" w:firstLine="0" w:firstLineChars="0"/>
              <w:rPr>
                <w:color w:val="auto"/>
              </w:rPr>
            </w:pPr>
            <w:r>
              <w:rPr>
                <w:color w:val="auto"/>
              </w:rPr>
              <w:t>Q</w:t>
            </w:r>
            <w:r>
              <w:rPr>
                <w:color w:val="auto"/>
                <w:vertAlign w:val="subscript"/>
              </w:rPr>
              <w:t>1</w:t>
            </w:r>
            <w:r>
              <w:rPr>
                <w:color w:val="auto"/>
              </w:rPr>
              <w:t>、Q</w:t>
            </w:r>
            <w:r>
              <w:rPr>
                <w:color w:val="auto"/>
                <w:vertAlign w:val="subscript"/>
              </w:rPr>
              <w:t>2</w:t>
            </w:r>
            <w:r>
              <w:rPr>
                <w:color w:val="auto"/>
              </w:rPr>
              <w:t>、Q</w:t>
            </w:r>
            <w:r>
              <w:rPr>
                <w:color w:val="auto"/>
                <w:vertAlign w:val="subscript"/>
              </w:rPr>
              <w:t>3</w:t>
            </w:r>
            <w:r>
              <w:rPr>
                <w:color w:val="auto"/>
              </w:rPr>
              <w:t>——每种风险物质的临界量，t。</w:t>
            </w:r>
          </w:p>
          <w:p w14:paraId="2A694E8B">
            <w:pPr>
              <w:pStyle w:val="50"/>
              <w:ind w:firstLine="480"/>
              <w:rPr>
                <w:color w:val="auto"/>
              </w:rPr>
            </w:pPr>
            <w:r>
              <w:rPr>
                <w:color w:val="auto"/>
              </w:rPr>
              <w:t>本</w:t>
            </w:r>
            <w:r>
              <w:rPr>
                <w:rFonts w:hint="eastAsia"/>
                <w:color w:val="auto"/>
              </w:rPr>
              <w:t>扩建</w:t>
            </w:r>
            <w:r>
              <w:rPr>
                <w:color w:val="auto"/>
              </w:rPr>
              <w:t>项目建设后</w:t>
            </w:r>
            <w:r>
              <w:rPr>
                <w:rFonts w:hint="eastAsia"/>
                <w:color w:val="auto"/>
              </w:rPr>
              <w:t>全厂</w:t>
            </w:r>
            <w:r>
              <w:rPr>
                <w:color w:val="auto"/>
              </w:rPr>
              <w:t>涉及到的风险物质主要为</w:t>
            </w:r>
            <w:r>
              <w:rPr>
                <w:rFonts w:hint="eastAsia"/>
                <w:color w:val="auto"/>
              </w:rPr>
              <w:t>液压油、润滑油等原辅料</w:t>
            </w:r>
            <w:r>
              <w:rPr>
                <w:color w:val="auto"/>
              </w:rPr>
              <w:t>以及危险固废</w:t>
            </w:r>
            <w:r>
              <w:rPr>
                <w:rFonts w:hint="eastAsia"/>
                <w:color w:val="auto"/>
              </w:rPr>
              <w:t>。</w:t>
            </w:r>
            <w:r>
              <w:rPr>
                <w:color w:val="auto"/>
              </w:rPr>
              <w:t>根据《建设项目环境风险评价技术导则》（HJ</w:t>
            </w:r>
            <w:r>
              <w:rPr>
                <w:rFonts w:hint="eastAsia"/>
                <w:color w:val="auto"/>
              </w:rPr>
              <w:t xml:space="preserve"> </w:t>
            </w:r>
            <w:r>
              <w:rPr>
                <w:color w:val="auto"/>
              </w:rPr>
              <w:t>169-2018）附录B和《危险化学品重大危险源辨识》（GB</w:t>
            </w:r>
            <w:r>
              <w:rPr>
                <w:rFonts w:hint="eastAsia"/>
                <w:color w:val="auto"/>
              </w:rPr>
              <w:t xml:space="preserve"> </w:t>
            </w:r>
            <w:r>
              <w:rPr>
                <w:color w:val="auto"/>
              </w:rPr>
              <w:t>18218-2021）中所列风险物质。本项目风险物质的存在量及临界量见</w:t>
            </w:r>
            <w:r>
              <w:rPr>
                <w:color w:val="auto"/>
              </w:rPr>
              <w:fldChar w:fldCharType="begin"/>
            </w:r>
            <w:r>
              <w:rPr>
                <w:color w:val="auto"/>
              </w:rPr>
              <w:instrText xml:space="preserve"> REF _Ref6428 \h </w:instrText>
            </w:r>
            <w:r>
              <w:rPr>
                <w:color w:val="auto"/>
              </w:rPr>
              <w:fldChar w:fldCharType="separate"/>
            </w:r>
            <w:r>
              <w:rPr>
                <w:color w:val="auto"/>
              </w:rPr>
              <w:t>表4- 23</w:t>
            </w:r>
            <w:r>
              <w:rPr>
                <w:color w:val="auto"/>
              </w:rPr>
              <w:fldChar w:fldCharType="end"/>
            </w:r>
            <w:r>
              <w:rPr>
                <w:color w:val="auto"/>
              </w:rPr>
              <w:t>。</w:t>
            </w:r>
          </w:p>
          <w:p w14:paraId="13E48B05">
            <w:pPr>
              <w:pStyle w:val="7"/>
              <w:rPr>
                <w:color w:val="auto"/>
              </w:rPr>
            </w:pPr>
            <w:bookmarkStart w:id="120" w:name="_Ref6428"/>
            <w:r>
              <w:rPr>
                <w:color w:val="auto"/>
              </w:rPr>
              <w:t xml:space="preserve">表4- </w:t>
            </w:r>
            <w:r>
              <w:rPr>
                <w:color w:val="auto"/>
              </w:rPr>
              <w:fldChar w:fldCharType="begin"/>
            </w:r>
            <w:r>
              <w:rPr>
                <w:color w:val="auto"/>
              </w:rPr>
              <w:instrText xml:space="preserve"> SEQ 表4- \* ARABIC </w:instrText>
            </w:r>
            <w:r>
              <w:rPr>
                <w:color w:val="auto"/>
              </w:rPr>
              <w:fldChar w:fldCharType="separate"/>
            </w:r>
            <w:r>
              <w:rPr>
                <w:color w:val="auto"/>
              </w:rPr>
              <w:t>23</w:t>
            </w:r>
            <w:r>
              <w:rPr>
                <w:color w:val="auto"/>
              </w:rPr>
              <w:fldChar w:fldCharType="end"/>
            </w:r>
            <w:bookmarkEnd w:id="120"/>
            <w:r>
              <w:rPr>
                <w:color w:val="auto"/>
              </w:rPr>
              <w:t xml:space="preserve"> 项目Q值确定表</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2"/>
              <w:gridCol w:w="1062"/>
              <w:gridCol w:w="1275"/>
              <w:gridCol w:w="1125"/>
              <w:gridCol w:w="1287"/>
              <w:gridCol w:w="975"/>
              <w:gridCol w:w="1329"/>
              <w:gridCol w:w="883"/>
            </w:tblGrid>
            <w:tr w14:paraId="113CE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0" w:type="pct"/>
                  <w:tcBorders>
                    <w:tl2br w:val="nil"/>
                    <w:tr2bl w:val="nil"/>
                  </w:tcBorders>
                  <w:vAlign w:val="center"/>
                </w:tcPr>
                <w:p w14:paraId="72F1080F">
                  <w:pPr>
                    <w:pStyle w:val="52"/>
                    <w:rPr>
                      <w:color w:val="auto"/>
                    </w:rPr>
                  </w:pPr>
                  <w:r>
                    <w:rPr>
                      <w:color w:val="auto"/>
                    </w:rPr>
                    <w:t>序号</w:t>
                  </w:r>
                </w:p>
              </w:tc>
              <w:tc>
                <w:tcPr>
                  <w:tcW w:w="631" w:type="pct"/>
                  <w:tcBorders>
                    <w:tl2br w:val="nil"/>
                    <w:tr2bl w:val="nil"/>
                  </w:tcBorders>
                  <w:vAlign w:val="center"/>
                </w:tcPr>
                <w:p w14:paraId="3A2227F0">
                  <w:pPr>
                    <w:pStyle w:val="52"/>
                    <w:rPr>
                      <w:color w:val="auto"/>
                    </w:rPr>
                  </w:pPr>
                  <w:r>
                    <w:rPr>
                      <w:rFonts w:hint="eastAsia"/>
                      <w:color w:val="auto"/>
                    </w:rPr>
                    <w:t>风险</w:t>
                  </w:r>
                  <w:r>
                    <w:rPr>
                      <w:color w:val="auto"/>
                    </w:rPr>
                    <w:t>物质</w:t>
                  </w:r>
                </w:p>
                <w:p w14:paraId="148B4938">
                  <w:pPr>
                    <w:pStyle w:val="52"/>
                    <w:rPr>
                      <w:color w:val="auto"/>
                    </w:rPr>
                  </w:pPr>
                  <w:r>
                    <w:rPr>
                      <w:color w:val="auto"/>
                    </w:rPr>
                    <w:t>名称</w:t>
                  </w:r>
                </w:p>
              </w:tc>
              <w:tc>
                <w:tcPr>
                  <w:tcW w:w="758" w:type="pct"/>
                  <w:tcBorders>
                    <w:tl2br w:val="nil"/>
                    <w:tr2bl w:val="nil"/>
                  </w:tcBorders>
                  <w:vAlign w:val="center"/>
                </w:tcPr>
                <w:p w14:paraId="611E881F">
                  <w:pPr>
                    <w:pStyle w:val="52"/>
                    <w:rPr>
                      <w:color w:val="auto"/>
                    </w:rPr>
                  </w:pPr>
                  <w:r>
                    <w:rPr>
                      <w:color w:val="auto"/>
                    </w:rPr>
                    <w:t>CAS号</w:t>
                  </w:r>
                </w:p>
              </w:tc>
              <w:tc>
                <w:tcPr>
                  <w:tcW w:w="669" w:type="pct"/>
                  <w:tcBorders>
                    <w:tl2br w:val="nil"/>
                    <w:tr2bl w:val="nil"/>
                  </w:tcBorders>
                  <w:vAlign w:val="center"/>
                </w:tcPr>
                <w:p w14:paraId="4E800C14">
                  <w:pPr>
                    <w:pStyle w:val="52"/>
                    <w:rPr>
                      <w:color w:val="auto"/>
                    </w:rPr>
                  </w:pPr>
                  <w:r>
                    <w:rPr>
                      <w:color w:val="auto"/>
                    </w:rPr>
                    <w:t>风险类型</w:t>
                  </w:r>
                </w:p>
              </w:tc>
              <w:tc>
                <w:tcPr>
                  <w:tcW w:w="765" w:type="pct"/>
                  <w:tcBorders>
                    <w:tl2br w:val="nil"/>
                    <w:tr2bl w:val="nil"/>
                  </w:tcBorders>
                  <w:vAlign w:val="center"/>
                </w:tcPr>
                <w:p w14:paraId="70A5F947">
                  <w:pPr>
                    <w:pStyle w:val="52"/>
                    <w:rPr>
                      <w:color w:val="auto"/>
                    </w:rPr>
                  </w:pPr>
                  <w:r>
                    <w:rPr>
                      <w:color w:val="auto"/>
                    </w:rPr>
                    <w:t>全厂最大存在总量（t）</w:t>
                  </w:r>
                </w:p>
              </w:tc>
              <w:tc>
                <w:tcPr>
                  <w:tcW w:w="579" w:type="pct"/>
                  <w:tcBorders>
                    <w:tl2br w:val="nil"/>
                    <w:tr2bl w:val="nil"/>
                  </w:tcBorders>
                  <w:vAlign w:val="center"/>
                </w:tcPr>
                <w:p w14:paraId="6A2BD7B9">
                  <w:pPr>
                    <w:pStyle w:val="52"/>
                    <w:rPr>
                      <w:color w:val="auto"/>
                    </w:rPr>
                  </w:pPr>
                  <w:r>
                    <w:rPr>
                      <w:color w:val="auto"/>
                    </w:rPr>
                    <w:t>临界量</w:t>
                  </w:r>
                </w:p>
                <w:p w14:paraId="34AA39F8">
                  <w:pPr>
                    <w:pStyle w:val="52"/>
                    <w:rPr>
                      <w:color w:val="auto"/>
                    </w:rPr>
                  </w:pPr>
                  <w:r>
                    <w:rPr>
                      <w:color w:val="auto"/>
                    </w:rPr>
                    <w:t>（Qn/t）</w:t>
                  </w:r>
                </w:p>
              </w:tc>
              <w:tc>
                <w:tcPr>
                  <w:tcW w:w="790" w:type="pct"/>
                  <w:tcBorders>
                    <w:tl2br w:val="nil"/>
                    <w:tr2bl w:val="nil"/>
                  </w:tcBorders>
                  <w:vAlign w:val="center"/>
                </w:tcPr>
                <w:p w14:paraId="76550C34">
                  <w:pPr>
                    <w:pStyle w:val="52"/>
                    <w:rPr>
                      <w:color w:val="auto"/>
                    </w:rPr>
                  </w:pPr>
                  <w:r>
                    <w:rPr>
                      <w:color w:val="auto"/>
                    </w:rPr>
                    <w:t>该种危险物质Q值</w:t>
                  </w:r>
                </w:p>
              </w:tc>
              <w:tc>
                <w:tcPr>
                  <w:tcW w:w="525" w:type="pct"/>
                  <w:tcBorders>
                    <w:tl2br w:val="nil"/>
                    <w:tr2bl w:val="nil"/>
                  </w:tcBorders>
                  <w:vAlign w:val="center"/>
                </w:tcPr>
                <w:p w14:paraId="29183B8F">
                  <w:pPr>
                    <w:pStyle w:val="52"/>
                    <w:rPr>
                      <w:color w:val="auto"/>
                    </w:rPr>
                  </w:pPr>
                  <w:r>
                    <w:rPr>
                      <w:color w:val="auto"/>
                    </w:rPr>
                    <w:t>储存</w:t>
                  </w:r>
                </w:p>
                <w:p w14:paraId="26A3F8A5">
                  <w:pPr>
                    <w:pStyle w:val="52"/>
                    <w:rPr>
                      <w:color w:val="auto"/>
                    </w:rPr>
                  </w:pPr>
                  <w:r>
                    <w:rPr>
                      <w:color w:val="auto"/>
                    </w:rPr>
                    <w:t>位置</w:t>
                  </w:r>
                </w:p>
              </w:tc>
            </w:tr>
            <w:tr w14:paraId="659367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 w:hRule="atLeast"/>
                <w:jc w:val="center"/>
              </w:trPr>
              <w:tc>
                <w:tcPr>
                  <w:tcW w:w="280" w:type="pct"/>
                  <w:tcBorders>
                    <w:tl2br w:val="nil"/>
                    <w:tr2bl w:val="nil"/>
                  </w:tcBorders>
                  <w:vAlign w:val="center"/>
                </w:tcPr>
                <w:p w14:paraId="44D237C6">
                  <w:pPr>
                    <w:pStyle w:val="54"/>
                    <w:rPr>
                      <w:color w:val="auto"/>
                    </w:rPr>
                  </w:pPr>
                  <w:r>
                    <w:rPr>
                      <w:color w:val="auto"/>
                    </w:rPr>
                    <w:t>1</w:t>
                  </w:r>
                </w:p>
              </w:tc>
              <w:tc>
                <w:tcPr>
                  <w:tcW w:w="631" w:type="pct"/>
                  <w:tcBorders>
                    <w:tl2br w:val="nil"/>
                    <w:tr2bl w:val="nil"/>
                  </w:tcBorders>
                  <w:vAlign w:val="center"/>
                </w:tcPr>
                <w:p w14:paraId="6BBE79A2">
                  <w:pPr>
                    <w:pStyle w:val="54"/>
                    <w:rPr>
                      <w:color w:val="auto"/>
                    </w:rPr>
                  </w:pPr>
                  <w:r>
                    <w:rPr>
                      <w:rFonts w:hint="eastAsia"/>
                      <w:color w:val="auto"/>
                    </w:rPr>
                    <w:t>乙炔</w:t>
                  </w:r>
                </w:p>
              </w:tc>
              <w:tc>
                <w:tcPr>
                  <w:tcW w:w="758" w:type="pct"/>
                  <w:tcBorders>
                    <w:tl2br w:val="nil"/>
                    <w:tr2bl w:val="nil"/>
                  </w:tcBorders>
                  <w:vAlign w:val="center"/>
                </w:tcPr>
                <w:p w14:paraId="7AB6FC76">
                  <w:pPr>
                    <w:pStyle w:val="54"/>
                    <w:rPr>
                      <w:color w:val="auto"/>
                    </w:rPr>
                  </w:pPr>
                  <w:r>
                    <w:rPr>
                      <w:rFonts w:hint="eastAsia"/>
                      <w:color w:val="auto"/>
                    </w:rPr>
                    <w:t>74-86-2</w:t>
                  </w:r>
                </w:p>
              </w:tc>
              <w:tc>
                <w:tcPr>
                  <w:tcW w:w="669" w:type="pct"/>
                  <w:tcBorders>
                    <w:tl2br w:val="nil"/>
                    <w:tr2bl w:val="nil"/>
                  </w:tcBorders>
                  <w:vAlign w:val="center"/>
                </w:tcPr>
                <w:p w14:paraId="4681194C">
                  <w:pPr>
                    <w:pStyle w:val="54"/>
                    <w:rPr>
                      <w:color w:val="auto"/>
                    </w:rPr>
                  </w:pPr>
                  <w:r>
                    <w:rPr>
                      <w:rFonts w:hint="eastAsia"/>
                      <w:color w:val="auto"/>
                    </w:rPr>
                    <w:t>急性毒性</w:t>
                  </w:r>
                </w:p>
              </w:tc>
              <w:tc>
                <w:tcPr>
                  <w:tcW w:w="1287" w:type="dxa"/>
                  <w:tcBorders>
                    <w:tl2br w:val="nil"/>
                    <w:tr2bl w:val="nil"/>
                  </w:tcBorders>
                  <w:vAlign w:val="center"/>
                </w:tcPr>
                <w:p w14:paraId="4820FB0E">
                  <w:pPr>
                    <w:pStyle w:val="54"/>
                    <w:bidi w:val="0"/>
                    <w:rPr>
                      <w:color w:val="auto"/>
                    </w:rPr>
                  </w:pPr>
                  <w:r>
                    <w:rPr>
                      <w:rFonts w:hint="default"/>
                      <w:color w:val="auto"/>
                      <w:lang w:val="en-US" w:eastAsia="zh-CN"/>
                    </w:rPr>
                    <w:t>0.25</w:t>
                  </w:r>
                </w:p>
              </w:tc>
              <w:tc>
                <w:tcPr>
                  <w:tcW w:w="579" w:type="pct"/>
                  <w:tcBorders>
                    <w:tl2br w:val="nil"/>
                    <w:tr2bl w:val="nil"/>
                  </w:tcBorders>
                  <w:vAlign w:val="center"/>
                </w:tcPr>
                <w:p w14:paraId="1A691F5D">
                  <w:pPr>
                    <w:pStyle w:val="54"/>
                    <w:bidi w:val="0"/>
                    <w:rPr>
                      <w:color w:val="auto"/>
                    </w:rPr>
                  </w:pPr>
                  <w:r>
                    <w:rPr>
                      <w:rFonts w:hint="eastAsia"/>
                      <w:color w:val="auto"/>
                    </w:rPr>
                    <w:t>10</w:t>
                  </w:r>
                </w:p>
              </w:tc>
              <w:tc>
                <w:tcPr>
                  <w:tcW w:w="1329" w:type="dxa"/>
                  <w:tcBorders>
                    <w:tl2br w:val="nil"/>
                    <w:tr2bl w:val="nil"/>
                  </w:tcBorders>
                  <w:vAlign w:val="center"/>
                </w:tcPr>
                <w:p w14:paraId="4E341D2E">
                  <w:pPr>
                    <w:pStyle w:val="54"/>
                    <w:bidi w:val="0"/>
                    <w:rPr>
                      <w:color w:val="auto"/>
                    </w:rPr>
                  </w:pPr>
                  <w:r>
                    <w:rPr>
                      <w:rFonts w:hint="eastAsia"/>
                      <w:color w:val="auto"/>
                      <w:lang w:val="en-US" w:eastAsia="zh-CN"/>
                    </w:rPr>
                    <w:t xml:space="preserve">0.025000 </w:t>
                  </w:r>
                </w:p>
              </w:tc>
              <w:tc>
                <w:tcPr>
                  <w:tcW w:w="525" w:type="pct"/>
                  <w:vMerge w:val="restart"/>
                  <w:tcBorders>
                    <w:tl2br w:val="nil"/>
                    <w:tr2bl w:val="nil"/>
                  </w:tcBorders>
                  <w:vAlign w:val="center"/>
                </w:tcPr>
                <w:p w14:paraId="5B17CD85">
                  <w:pPr>
                    <w:pStyle w:val="54"/>
                    <w:rPr>
                      <w:color w:val="auto"/>
                    </w:rPr>
                  </w:pPr>
                  <w:r>
                    <w:rPr>
                      <w:rFonts w:hint="eastAsia"/>
                      <w:color w:val="auto"/>
                    </w:rPr>
                    <w:t>原料库</w:t>
                  </w:r>
                </w:p>
              </w:tc>
            </w:tr>
            <w:tr w14:paraId="485BF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280" w:type="pct"/>
                  <w:tcBorders>
                    <w:tl2br w:val="nil"/>
                    <w:tr2bl w:val="nil"/>
                  </w:tcBorders>
                  <w:vAlign w:val="center"/>
                </w:tcPr>
                <w:p w14:paraId="233904CD">
                  <w:pPr>
                    <w:pStyle w:val="54"/>
                    <w:rPr>
                      <w:color w:val="auto"/>
                    </w:rPr>
                  </w:pPr>
                  <w:r>
                    <w:rPr>
                      <w:color w:val="auto"/>
                    </w:rPr>
                    <w:t>2</w:t>
                  </w:r>
                </w:p>
              </w:tc>
              <w:tc>
                <w:tcPr>
                  <w:tcW w:w="631" w:type="pct"/>
                  <w:tcBorders>
                    <w:tl2br w:val="nil"/>
                    <w:tr2bl w:val="nil"/>
                  </w:tcBorders>
                  <w:vAlign w:val="center"/>
                </w:tcPr>
                <w:p w14:paraId="7AF0A535">
                  <w:pPr>
                    <w:pStyle w:val="54"/>
                    <w:rPr>
                      <w:color w:val="auto"/>
                    </w:rPr>
                  </w:pPr>
                  <w:r>
                    <w:rPr>
                      <w:rFonts w:hint="eastAsia"/>
                      <w:color w:val="auto"/>
                    </w:rPr>
                    <w:t>乳化液</w:t>
                  </w:r>
                </w:p>
              </w:tc>
              <w:tc>
                <w:tcPr>
                  <w:tcW w:w="758" w:type="pct"/>
                  <w:tcBorders>
                    <w:tl2br w:val="nil"/>
                    <w:tr2bl w:val="nil"/>
                  </w:tcBorders>
                  <w:vAlign w:val="center"/>
                </w:tcPr>
                <w:p w14:paraId="550D02CF">
                  <w:pPr>
                    <w:pStyle w:val="54"/>
                    <w:rPr>
                      <w:color w:val="auto"/>
                    </w:rPr>
                  </w:pPr>
                  <w:r>
                    <w:rPr>
                      <w:rFonts w:hint="eastAsia"/>
                      <w:color w:val="auto"/>
                    </w:rPr>
                    <w:t>危害水环境物质（急性毒性类别1）</w:t>
                  </w:r>
                </w:p>
              </w:tc>
              <w:tc>
                <w:tcPr>
                  <w:tcW w:w="669" w:type="pct"/>
                  <w:tcBorders>
                    <w:tl2br w:val="nil"/>
                    <w:tr2bl w:val="nil"/>
                  </w:tcBorders>
                  <w:vAlign w:val="center"/>
                </w:tcPr>
                <w:p w14:paraId="10E587BA">
                  <w:pPr>
                    <w:pStyle w:val="54"/>
                    <w:rPr>
                      <w:color w:val="auto"/>
                    </w:rPr>
                  </w:pPr>
                  <w:r>
                    <w:rPr>
                      <w:rFonts w:hint="eastAsia"/>
                      <w:color w:val="auto"/>
                    </w:rPr>
                    <w:t>急性毒性</w:t>
                  </w:r>
                </w:p>
              </w:tc>
              <w:tc>
                <w:tcPr>
                  <w:tcW w:w="1287" w:type="dxa"/>
                  <w:tcBorders>
                    <w:tl2br w:val="nil"/>
                    <w:tr2bl w:val="nil"/>
                  </w:tcBorders>
                  <w:vAlign w:val="center"/>
                </w:tcPr>
                <w:p w14:paraId="6E09E6A9">
                  <w:pPr>
                    <w:pStyle w:val="54"/>
                    <w:bidi w:val="0"/>
                    <w:rPr>
                      <w:color w:val="auto"/>
                    </w:rPr>
                  </w:pPr>
                  <w:r>
                    <w:rPr>
                      <w:rFonts w:hint="default"/>
                      <w:color w:val="auto"/>
                      <w:lang w:val="en-US" w:eastAsia="zh-CN"/>
                    </w:rPr>
                    <w:t>1</w:t>
                  </w:r>
                </w:p>
              </w:tc>
              <w:tc>
                <w:tcPr>
                  <w:tcW w:w="579" w:type="pct"/>
                  <w:tcBorders>
                    <w:tl2br w:val="nil"/>
                    <w:tr2bl w:val="nil"/>
                  </w:tcBorders>
                  <w:vAlign w:val="center"/>
                </w:tcPr>
                <w:p w14:paraId="5BDA9C51">
                  <w:pPr>
                    <w:pStyle w:val="54"/>
                    <w:bidi w:val="0"/>
                    <w:rPr>
                      <w:color w:val="auto"/>
                    </w:rPr>
                  </w:pPr>
                  <w:r>
                    <w:rPr>
                      <w:rFonts w:hint="eastAsia"/>
                      <w:color w:val="auto"/>
                    </w:rPr>
                    <w:t>100</w:t>
                  </w:r>
                </w:p>
              </w:tc>
              <w:tc>
                <w:tcPr>
                  <w:tcW w:w="1329" w:type="dxa"/>
                  <w:tcBorders>
                    <w:tl2br w:val="nil"/>
                    <w:tr2bl w:val="nil"/>
                  </w:tcBorders>
                  <w:vAlign w:val="center"/>
                </w:tcPr>
                <w:p w14:paraId="431B83F3">
                  <w:pPr>
                    <w:pStyle w:val="54"/>
                    <w:bidi w:val="0"/>
                    <w:rPr>
                      <w:color w:val="auto"/>
                    </w:rPr>
                  </w:pPr>
                  <w:r>
                    <w:rPr>
                      <w:rFonts w:hint="eastAsia"/>
                      <w:color w:val="auto"/>
                      <w:lang w:val="en-US" w:eastAsia="zh-CN"/>
                    </w:rPr>
                    <w:t xml:space="preserve">0.010000 </w:t>
                  </w:r>
                </w:p>
              </w:tc>
              <w:tc>
                <w:tcPr>
                  <w:tcW w:w="525" w:type="pct"/>
                  <w:vMerge w:val="continue"/>
                  <w:tcBorders>
                    <w:tl2br w:val="nil"/>
                    <w:tr2bl w:val="nil"/>
                  </w:tcBorders>
                  <w:vAlign w:val="center"/>
                </w:tcPr>
                <w:p w14:paraId="48603F66">
                  <w:pPr>
                    <w:pStyle w:val="54"/>
                    <w:rPr>
                      <w:color w:val="auto"/>
                    </w:rPr>
                  </w:pPr>
                </w:p>
              </w:tc>
            </w:tr>
            <w:tr w14:paraId="53AF0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280" w:type="pct"/>
                  <w:tcBorders>
                    <w:tl2br w:val="nil"/>
                    <w:tr2bl w:val="nil"/>
                  </w:tcBorders>
                  <w:vAlign w:val="center"/>
                </w:tcPr>
                <w:p w14:paraId="0DCDA100">
                  <w:pPr>
                    <w:pStyle w:val="54"/>
                    <w:rPr>
                      <w:color w:val="auto"/>
                    </w:rPr>
                  </w:pPr>
                  <w:r>
                    <w:rPr>
                      <w:rFonts w:hint="eastAsia"/>
                      <w:color w:val="auto"/>
                    </w:rPr>
                    <w:t>3</w:t>
                  </w:r>
                </w:p>
              </w:tc>
              <w:tc>
                <w:tcPr>
                  <w:tcW w:w="631" w:type="pct"/>
                  <w:tcBorders>
                    <w:tl2br w:val="nil"/>
                    <w:tr2bl w:val="nil"/>
                  </w:tcBorders>
                  <w:vAlign w:val="center"/>
                </w:tcPr>
                <w:p w14:paraId="6989433C">
                  <w:pPr>
                    <w:pStyle w:val="54"/>
                    <w:rPr>
                      <w:color w:val="auto"/>
                    </w:rPr>
                  </w:pPr>
                  <w:r>
                    <w:rPr>
                      <w:rFonts w:hint="eastAsia"/>
                      <w:color w:val="auto"/>
                    </w:rPr>
                    <w:t>清洗液</w:t>
                  </w:r>
                </w:p>
              </w:tc>
              <w:tc>
                <w:tcPr>
                  <w:tcW w:w="758" w:type="pct"/>
                  <w:tcBorders>
                    <w:tl2br w:val="nil"/>
                    <w:tr2bl w:val="nil"/>
                  </w:tcBorders>
                  <w:shd w:val="clear" w:color="auto" w:fill="auto"/>
                  <w:vAlign w:val="center"/>
                </w:tcPr>
                <w:p w14:paraId="4786EB19">
                  <w:pPr>
                    <w:pStyle w:val="54"/>
                    <w:rPr>
                      <w:color w:val="auto"/>
                    </w:rPr>
                  </w:pPr>
                  <w:r>
                    <w:rPr>
                      <w:rFonts w:hint="eastAsia"/>
                      <w:color w:val="auto"/>
                    </w:rPr>
                    <w:t>危害水环境物质（急性毒性类别1）</w:t>
                  </w:r>
                </w:p>
              </w:tc>
              <w:tc>
                <w:tcPr>
                  <w:tcW w:w="669" w:type="pct"/>
                  <w:tcBorders>
                    <w:tl2br w:val="nil"/>
                    <w:tr2bl w:val="nil"/>
                  </w:tcBorders>
                  <w:vAlign w:val="center"/>
                </w:tcPr>
                <w:p w14:paraId="6583BD85">
                  <w:pPr>
                    <w:pStyle w:val="54"/>
                    <w:rPr>
                      <w:color w:val="auto"/>
                    </w:rPr>
                  </w:pPr>
                  <w:r>
                    <w:rPr>
                      <w:rFonts w:hint="eastAsia"/>
                      <w:color w:val="auto"/>
                    </w:rPr>
                    <w:t>急性毒性</w:t>
                  </w:r>
                </w:p>
              </w:tc>
              <w:tc>
                <w:tcPr>
                  <w:tcW w:w="1287" w:type="dxa"/>
                  <w:tcBorders>
                    <w:tl2br w:val="nil"/>
                    <w:tr2bl w:val="nil"/>
                  </w:tcBorders>
                  <w:vAlign w:val="center"/>
                </w:tcPr>
                <w:p w14:paraId="5EE52956">
                  <w:pPr>
                    <w:pStyle w:val="54"/>
                    <w:bidi w:val="0"/>
                    <w:rPr>
                      <w:color w:val="auto"/>
                    </w:rPr>
                  </w:pPr>
                  <w:r>
                    <w:rPr>
                      <w:rFonts w:hint="default"/>
                      <w:color w:val="auto"/>
                      <w:lang w:val="en-US" w:eastAsia="zh-CN"/>
                    </w:rPr>
                    <w:t>1</w:t>
                  </w:r>
                </w:p>
              </w:tc>
              <w:tc>
                <w:tcPr>
                  <w:tcW w:w="579" w:type="pct"/>
                  <w:tcBorders>
                    <w:tl2br w:val="nil"/>
                    <w:tr2bl w:val="nil"/>
                  </w:tcBorders>
                  <w:vAlign w:val="center"/>
                </w:tcPr>
                <w:p w14:paraId="03E740FA">
                  <w:pPr>
                    <w:pStyle w:val="54"/>
                    <w:bidi w:val="0"/>
                    <w:rPr>
                      <w:color w:val="auto"/>
                    </w:rPr>
                  </w:pPr>
                  <w:r>
                    <w:rPr>
                      <w:rFonts w:hint="eastAsia"/>
                      <w:color w:val="auto"/>
                    </w:rPr>
                    <w:t>100</w:t>
                  </w:r>
                </w:p>
              </w:tc>
              <w:tc>
                <w:tcPr>
                  <w:tcW w:w="1329" w:type="dxa"/>
                  <w:tcBorders>
                    <w:tl2br w:val="nil"/>
                    <w:tr2bl w:val="nil"/>
                  </w:tcBorders>
                  <w:vAlign w:val="center"/>
                </w:tcPr>
                <w:p w14:paraId="6A454AC4">
                  <w:pPr>
                    <w:pStyle w:val="54"/>
                    <w:bidi w:val="0"/>
                    <w:rPr>
                      <w:color w:val="auto"/>
                    </w:rPr>
                  </w:pPr>
                  <w:r>
                    <w:rPr>
                      <w:rFonts w:hint="eastAsia"/>
                      <w:color w:val="auto"/>
                      <w:lang w:val="en-US" w:eastAsia="zh-CN"/>
                    </w:rPr>
                    <w:t xml:space="preserve">0.010000 </w:t>
                  </w:r>
                </w:p>
              </w:tc>
              <w:tc>
                <w:tcPr>
                  <w:tcW w:w="525" w:type="pct"/>
                  <w:vMerge w:val="continue"/>
                  <w:tcBorders>
                    <w:tl2br w:val="nil"/>
                    <w:tr2bl w:val="nil"/>
                  </w:tcBorders>
                  <w:vAlign w:val="center"/>
                </w:tcPr>
                <w:p w14:paraId="21E7CA8A">
                  <w:pPr>
                    <w:pStyle w:val="54"/>
                    <w:rPr>
                      <w:color w:val="auto"/>
                    </w:rPr>
                  </w:pPr>
                </w:p>
              </w:tc>
            </w:tr>
            <w:tr w14:paraId="487E7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280" w:type="pct"/>
                  <w:tcBorders>
                    <w:tl2br w:val="nil"/>
                    <w:tr2bl w:val="nil"/>
                  </w:tcBorders>
                  <w:vAlign w:val="center"/>
                </w:tcPr>
                <w:p w14:paraId="0B824F99">
                  <w:pPr>
                    <w:pStyle w:val="54"/>
                    <w:rPr>
                      <w:color w:val="auto"/>
                    </w:rPr>
                  </w:pPr>
                  <w:r>
                    <w:rPr>
                      <w:rFonts w:hint="eastAsia"/>
                      <w:color w:val="auto"/>
                    </w:rPr>
                    <w:t>4</w:t>
                  </w:r>
                </w:p>
              </w:tc>
              <w:tc>
                <w:tcPr>
                  <w:tcW w:w="631" w:type="pct"/>
                  <w:tcBorders>
                    <w:tl2br w:val="nil"/>
                    <w:tr2bl w:val="nil"/>
                  </w:tcBorders>
                  <w:vAlign w:val="center"/>
                </w:tcPr>
                <w:p w14:paraId="67417464">
                  <w:pPr>
                    <w:pStyle w:val="54"/>
                    <w:rPr>
                      <w:color w:val="auto"/>
                    </w:rPr>
                  </w:pPr>
                  <w:r>
                    <w:rPr>
                      <w:rFonts w:hint="eastAsia"/>
                      <w:color w:val="auto"/>
                    </w:rPr>
                    <w:t>润滑油</w:t>
                  </w:r>
                </w:p>
              </w:tc>
              <w:tc>
                <w:tcPr>
                  <w:tcW w:w="758" w:type="pct"/>
                  <w:tcBorders>
                    <w:tl2br w:val="nil"/>
                    <w:tr2bl w:val="nil"/>
                  </w:tcBorders>
                  <w:vAlign w:val="center"/>
                </w:tcPr>
                <w:p w14:paraId="26295C5B">
                  <w:pPr>
                    <w:pStyle w:val="54"/>
                    <w:rPr>
                      <w:color w:val="auto"/>
                    </w:rPr>
                  </w:pPr>
                  <w:r>
                    <w:rPr>
                      <w:rFonts w:hint="eastAsia"/>
                      <w:color w:val="auto"/>
                    </w:rPr>
                    <w:t>油类物质</w:t>
                  </w:r>
                </w:p>
              </w:tc>
              <w:tc>
                <w:tcPr>
                  <w:tcW w:w="669" w:type="pct"/>
                  <w:tcBorders>
                    <w:tl2br w:val="nil"/>
                    <w:tr2bl w:val="nil"/>
                  </w:tcBorders>
                  <w:vAlign w:val="center"/>
                </w:tcPr>
                <w:p w14:paraId="13FAFB3A">
                  <w:pPr>
                    <w:pStyle w:val="54"/>
                    <w:rPr>
                      <w:color w:val="auto"/>
                    </w:rPr>
                  </w:pPr>
                  <w:r>
                    <w:rPr>
                      <w:rFonts w:hint="eastAsia"/>
                      <w:color w:val="auto"/>
                    </w:rPr>
                    <w:t>易燃</w:t>
                  </w:r>
                </w:p>
              </w:tc>
              <w:tc>
                <w:tcPr>
                  <w:tcW w:w="1287" w:type="dxa"/>
                  <w:tcBorders>
                    <w:tl2br w:val="nil"/>
                    <w:tr2bl w:val="nil"/>
                  </w:tcBorders>
                  <w:vAlign w:val="center"/>
                </w:tcPr>
                <w:p w14:paraId="13975566">
                  <w:pPr>
                    <w:pStyle w:val="54"/>
                    <w:bidi w:val="0"/>
                    <w:rPr>
                      <w:color w:val="auto"/>
                    </w:rPr>
                  </w:pPr>
                  <w:r>
                    <w:rPr>
                      <w:rFonts w:hint="default"/>
                      <w:color w:val="auto"/>
                      <w:lang w:val="en-US" w:eastAsia="zh-CN"/>
                    </w:rPr>
                    <w:t>0.2</w:t>
                  </w:r>
                </w:p>
              </w:tc>
              <w:tc>
                <w:tcPr>
                  <w:tcW w:w="579" w:type="pct"/>
                  <w:tcBorders>
                    <w:tl2br w:val="nil"/>
                    <w:tr2bl w:val="nil"/>
                  </w:tcBorders>
                  <w:vAlign w:val="center"/>
                </w:tcPr>
                <w:p w14:paraId="5B55855E">
                  <w:pPr>
                    <w:pStyle w:val="54"/>
                    <w:bidi w:val="0"/>
                    <w:rPr>
                      <w:color w:val="auto"/>
                    </w:rPr>
                  </w:pPr>
                  <w:r>
                    <w:rPr>
                      <w:rFonts w:hint="eastAsia"/>
                      <w:color w:val="auto"/>
                    </w:rPr>
                    <w:t>2500</w:t>
                  </w:r>
                </w:p>
              </w:tc>
              <w:tc>
                <w:tcPr>
                  <w:tcW w:w="1329" w:type="dxa"/>
                  <w:tcBorders>
                    <w:tl2br w:val="nil"/>
                    <w:tr2bl w:val="nil"/>
                  </w:tcBorders>
                  <w:vAlign w:val="center"/>
                </w:tcPr>
                <w:p w14:paraId="5D21B32B">
                  <w:pPr>
                    <w:pStyle w:val="54"/>
                    <w:bidi w:val="0"/>
                    <w:rPr>
                      <w:color w:val="auto"/>
                    </w:rPr>
                  </w:pPr>
                  <w:r>
                    <w:rPr>
                      <w:rFonts w:hint="eastAsia"/>
                      <w:color w:val="auto"/>
                      <w:lang w:val="en-US" w:eastAsia="zh-CN"/>
                    </w:rPr>
                    <w:t xml:space="preserve">0.000080 </w:t>
                  </w:r>
                </w:p>
              </w:tc>
              <w:tc>
                <w:tcPr>
                  <w:tcW w:w="525" w:type="pct"/>
                  <w:vMerge w:val="continue"/>
                  <w:tcBorders>
                    <w:tl2br w:val="nil"/>
                    <w:tr2bl w:val="nil"/>
                  </w:tcBorders>
                  <w:vAlign w:val="center"/>
                </w:tcPr>
                <w:p w14:paraId="0813EE77">
                  <w:pPr>
                    <w:pStyle w:val="54"/>
                    <w:rPr>
                      <w:color w:val="auto"/>
                    </w:rPr>
                  </w:pPr>
                </w:p>
              </w:tc>
            </w:tr>
            <w:tr w14:paraId="52592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280" w:type="pct"/>
                  <w:tcBorders>
                    <w:tl2br w:val="nil"/>
                    <w:tr2bl w:val="nil"/>
                  </w:tcBorders>
                  <w:vAlign w:val="center"/>
                </w:tcPr>
                <w:p w14:paraId="2222901F">
                  <w:pPr>
                    <w:pStyle w:val="54"/>
                    <w:rPr>
                      <w:color w:val="auto"/>
                    </w:rPr>
                  </w:pPr>
                  <w:r>
                    <w:rPr>
                      <w:rFonts w:hint="eastAsia"/>
                      <w:color w:val="auto"/>
                    </w:rPr>
                    <w:t>5</w:t>
                  </w:r>
                </w:p>
              </w:tc>
              <w:tc>
                <w:tcPr>
                  <w:tcW w:w="631" w:type="pct"/>
                  <w:tcBorders>
                    <w:tl2br w:val="nil"/>
                    <w:tr2bl w:val="nil"/>
                  </w:tcBorders>
                  <w:vAlign w:val="center"/>
                </w:tcPr>
                <w:p w14:paraId="4FED3FE6">
                  <w:pPr>
                    <w:pStyle w:val="54"/>
                    <w:rPr>
                      <w:color w:val="auto"/>
                    </w:rPr>
                  </w:pPr>
                  <w:r>
                    <w:rPr>
                      <w:rFonts w:hint="eastAsia"/>
                      <w:color w:val="auto"/>
                    </w:rPr>
                    <w:t>液压油</w:t>
                  </w:r>
                </w:p>
              </w:tc>
              <w:tc>
                <w:tcPr>
                  <w:tcW w:w="758" w:type="pct"/>
                  <w:tcBorders>
                    <w:tl2br w:val="nil"/>
                    <w:tr2bl w:val="nil"/>
                  </w:tcBorders>
                  <w:vAlign w:val="center"/>
                </w:tcPr>
                <w:p w14:paraId="569045DF">
                  <w:pPr>
                    <w:pStyle w:val="54"/>
                    <w:rPr>
                      <w:color w:val="auto"/>
                    </w:rPr>
                  </w:pPr>
                  <w:r>
                    <w:rPr>
                      <w:rFonts w:hint="eastAsia"/>
                      <w:color w:val="auto"/>
                    </w:rPr>
                    <w:t>油类物质</w:t>
                  </w:r>
                </w:p>
              </w:tc>
              <w:tc>
                <w:tcPr>
                  <w:tcW w:w="669" w:type="pct"/>
                  <w:tcBorders>
                    <w:tl2br w:val="nil"/>
                    <w:tr2bl w:val="nil"/>
                  </w:tcBorders>
                  <w:vAlign w:val="center"/>
                </w:tcPr>
                <w:p w14:paraId="0E68905C">
                  <w:pPr>
                    <w:pStyle w:val="54"/>
                    <w:rPr>
                      <w:color w:val="auto"/>
                    </w:rPr>
                  </w:pPr>
                  <w:r>
                    <w:rPr>
                      <w:rFonts w:hint="eastAsia"/>
                      <w:color w:val="auto"/>
                    </w:rPr>
                    <w:t>易燃</w:t>
                  </w:r>
                </w:p>
              </w:tc>
              <w:tc>
                <w:tcPr>
                  <w:tcW w:w="1287" w:type="dxa"/>
                  <w:tcBorders>
                    <w:tl2br w:val="nil"/>
                    <w:tr2bl w:val="nil"/>
                  </w:tcBorders>
                  <w:vAlign w:val="center"/>
                </w:tcPr>
                <w:p w14:paraId="7CF40B50">
                  <w:pPr>
                    <w:pStyle w:val="54"/>
                    <w:bidi w:val="0"/>
                    <w:rPr>
                      <w:rFonts w:hint="default"/>
                      <w:color w:val="auto"/>
                      <w:lang w:val="en-US" w:eastAsia="zh-CN"/>
                    </w:rPr>
                  </w:pPr>
                  <w:r>
                    <w:rPr>
                      <w:rFonts w:hint="default"/>
                      <w:color w:val="auto"/>
                      <w:lang w:val="en-US" w:eastAsia="zh-CN"/>
                    </w:rPr>
                    <w:t>0.025</w:t>
                  </w:r>
                </w:p>
              </w:tc>
              <w:tc>
                <w:tcPr>
                  <w:tcW w:w="579" w:type="pct"/>
                  <w:tcBorders>
                    <w:tl2br w:val="nil"/>
                    <w:tr2bl w:val="nil"/>
                  </w:tcBorders>
                  <w:vAlign w:val="center"/>
                </w:tcPr>
                <w:p w14:paraId="7B1693F4">
                  <w:pPr>
                    <w:pStyle w:val="54"/>
                    <w:bidi w:val="0"/>
                    <w:rPr>
                      <w:color w:val="auto"/>
                    </w:rPr>
                  </w:pPr>
                  <w:r>
                    <w:rPr>
                      <w:rFonts w:hint="eastAsia"/>
                      <w:color w:val="auto"/>
                    </w:rPr>
                    <w:t>2500</w:t>
                  </w:r>
                </w:p>
              </w:tc>
              <w:tc>
                <w:tcPr>
                  <w:tcW w:w="1329" w:type="dxa"/>
                  <w:tcBorders>
                    <w:tl2br w:val="nil"/>
                    <w:tr2bl w:val="nil"/>
                  </w:tcBorders>
                  <w:vAlign w:val="center"/>
                </w:tcPr>
                <w:p w14:paraId="00A4C967">
                  <w:pPr>
                    <w:pStyle w:val="54"/>
                    <w:bidi w:val="0"/>
                    <w:rPr>
                      <w:color w:val="auto"/>
                    </w:rPr>
                  </w:pPr>
                  <w:r>
                    <w:rPr>
                      <w:rFonts w:hint="eastAsia"/>
                      <w:color w:val="auto"/>
                      <w:lang w:val="en-US" w:eastAsia="zh-CN"/>
                    </w:rPr>
                    <w:t xml:space="preserve">0.000010 </w:t>
                  </w:r>
                </w:p>
              </w:tc>
              <w:tc>
                <w:tcPr>
                  <w:tcW w:w="525" w:type="pct"/>
                  <w:vMerge w:val="continue"/>
                  <w:tcBorders>
                    <w:tl2br w:val="nil"/>
                    <w:tr2bl w:val="nil"/>
                  </w:tcBorders>
                  <w:vAlign w:val="center"/>
                </w:tcPr>
                <w:p w14:paraId="7DC6B116">
                  <w:pPr>
                    <w:pStyle w:val="54"/>
                    <w:rPr>
                      <w:color w:val="auto"/>
                    </w:rPr>
                  </w:pPr>
                </w:p>
              </w:tc>
            </w:tr>
            <w:tr w14:paraId="6743C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280" w:type="pct"/>
                  <w:tcBorders>
                    <w:tl2br w:val="nil"/>
                    <w:tr2bl w:val="nil"/>
                  </w:tcBorders>
                  <w:vAlign w:val="center"/>
                </w:tcPr>
                <w:p w14:paraId="7A8978BA">
                  <w:pPr>
                    <w:pStyle w:val="54"/>
                    <w:rPr>
                      <w:color w:val="auto"/>
                    </w:rPr>
                  </w:pPr>
                  <w:r>
                    <w:rPr>
                      <w:rFonts w:hint="eastAsia"/>
                      <w:color w:val="auto"/>
                    </w:rPr>
                    <w:t>6</w:t>
                  </w:r>
                </w:p>
              </w:tc>
              <w:tc>
                <w:tcPr>
                  <w:tcW w:w="631" w:type="pct"/>
                  <w:tcBorders>
                    <w:tl2br w:val="nil"/>
                    <w:tr2bl w:val="nil"/>
                  </w:tcBorders>
                  <w:vAlign w:val="center"/>
                </w:tcPr>
                <w:p w14:paraId="77AFB2AA">
                  <w:pPr>
                    <w:pStyle w:val="54"/>
                    <w:rPr>
                      <w:color w:val="auto"/>
                    </w:rPr>
                  </w:pPr>
                  <w:r>
                    <w:rPr>
                      <w:rFonts w:hint="eastAsia"/>
                      <w:color w:val="auto"/>
                    </w:rPr>
                    <w:t>机油</w:t>
                  </w:r>
                </w:p>
              </w:tc>
              <w:tc>
                <w:tcPr>
                  <w:tcW w:w="758" w:type="pct"/>
                  <w:tcBorders>
                    <w:tl2br w:val="nil"/>
                    <w:tr2bl w:val="nil"/>
                  </w:tcBorders>
                  <w:vAlign w:val="center"/>
                </w:tcPr>
                <w:p w14:paraId="43389182">
                  <w:pPr>
                    <w:pStyle w:val="54"/>
                    <w:rPr>
                      <w:color w:val="auto"/>
                    </w:rPr>
                  </w:pPr>
                  <w:r>
                    <w:rPr>
                      <w:rFonts w:hint="eastAsia"/>
                      <w:color w:val="auto"/>
                    </w:rPr>
                    <w:t>油类物质</w:t>
                  </w:r>
                </w:p>
              </w:tc>
              <w:tc>
                <w:tcPr>
                  <w:tcW w:w="669" w:type="pct"/>
                  <w:tcBorders>
                    <w:tl2br w:val="nil"/>
                    <w:tr2bl w:val="nil"/>
                  </w:tcBorders>
                  <w:vAlign w:val="center"/>
                </w:tcPr>
                <w:p w14:paraId="0FC86043">
                  <w:pPr>
                    <w:pStyle w:val="54"/>
                    <w:rPr>
                      <w:color w:val="auto"/>
                    </w:rPr>
                  </w:pPr>
                  <w:r>
                    <w:rPr>
                      <w:rFonts w:hint="eastAsia"/>
                      <w:color w:val="auto"/>
                    </w:rPr>
                    <w:t>易燃</w:t>
                  </w:r>
                </w:p>
              </w:tc>
              <w:tc>
                <w:tcPr>
                  <w:tcW w:w="1287" w:type="dxa"/>
                  <w:tcBorders>
                    <w:tl2br w:val="nil"/>
                    <w:tr2bl w:val="nil"/>
                  </w:tcBorders>
                  <w:vAlign w:val="center"/>
                </w:tcPr>
                <w:p w14:paraId="231B2021">
                  <w:pPr>
                    <w:pStyle w:val="54"/>
                    <w:bidi w:val="0"/>
                    <w:rPr>
                      <w:rFonts w:hint="default"/>
                      <w:color w:val="auto"/>
                      <w:lang w:val="en-US" w:eastAsia="zh-CN"/>
                    </w:rPr>
                  </w:pPr>
                  <w:r>
                    <w:rPr>
                      <w:rFonts w:hint="default"/>
                      <w:color w:val="auto"/>
                      <w:lang w:val="en-US" w:eastAsia="zh-CN"/>
                    </w:rPr>
                    <w:t>0.25</w:t>
                  </w:r>
                </w:p>
              </w:tc>
              <w:tc>
                <w:tcPr>
                  <w:tcW w:w="579" w:type="pct"/>
                  <w:tcBorders>
                    <w:tl2br w:val="nil"/>
                    <w:tr2bl w:val="nil"/>
                  </w:tcBorders>
                  <w:vAlign w:val="center"/>
                </w:tcPr>
                <w:p w14:paraId="368B172C">
                  <w:pPr>
                    <w:pStyle w:val="54"/>
                    <w:bidi w:val="0"/>
                    <w:rPr>
                      <w:color w:val="auto"/>
                    </w:rPr>
                  </w:pPr>
                  <w:r>
                    <w:rPr>
                      <w:rFonts w:hint="eastAsia"/>
                      <w:color w:val="auto"/>
                    </w:rPr>
                    <w:t>2500</w:t>
                  </w:r>
                </w:p>
              </w:tc>
              <w:tc>
                <w:tcPr>
                  <w:tcW w:w="1329" w:type="dxa"/>
                  <w:tcBorders>
                    <w:tl2br w:val="nil"/>
                    <w:tr2bl w:val="nil"/>
                  </w:tcBorders>
                  <w:vAlign w:val="center"/>
                </w:tcPr>
                <w:p w14:paraId="524361CD">
                  <w:pPr>
                    <w:pStyle w:val="54"/>
                    <w:bidi w:val="0"/>
                    <w:rPr>
                      <w:color w:val="auto"/>
                    </w:rPr>
                  </w:pPr>
                  <w:r>
                    <w:rPr>
                      <w:rFonts w:hint="eastAsia"/>
                      <w:color w:val="auto"/>
                      <w:lang w:val="en-US" w:eastAsia="zh-CN"/>
                    </w:rPr>
                    <w:t xml:space="preserve">0.000100 </w:t>
                  </w:r>
                </w:p>
              </w:tc>
              <w:tc>
                <w:tcPr>
                  <w:tcW w:w="525" w:type="pct"/>
                  <w:vMerge w:val="continue"/>
                  <w:tcBorders>
                    <w:tl2br w:val="nil"/>
                    <w:tr2bl w:val="nil"/>
                  </w:tcBorders>
                  <w:vAlign w:val="center"/>
                </w:tcPr>
                <w:p w14:paraId="6EA51EAA">
                  <w:pPr>
                    <w:pStyle w:val="54"/>
                    <w:rPr>
                      <w:color w:val="auto"/>
                    </w:rPr>
                  </w:pPr>
                </w:p>
              </w:tc>
            </w:tr>
            <w:tr w14:paraId="6B5B9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280" w:type="pct"/>
                  <w:tcBorders>
                    <w:tl2br w:val="nil"/>
                    <w:tr2bl w:val="nil"/>
                  </w:tcBorders>
                  <w:vAlign w:val="center"/>
                </w:tcPr>
                <w:p w14:paraId="285F07A3">
                  <w:pPr>
                    <w:pStyle w:val="54"/>
                    <w:rPr>
                      <w:color w:val="auto"/>
                    </w:rPr>
                  </w:pPr>
                  <w:r>
                    <w:rPr>
                      <w:rFonts w:hint="eastAsia"/>
                      <w:color w:val="auto"/>
                    </w:rPr>
                    <w:t>7</w:t>
                  </w:r>
                </w:p>
              </w:tc>
              <w:tc>
                <w:tcPr>
                  <w:tcW w:w="631" w:type="pct"/>
                  <w:tcBorders>
                    <w:tl2br w:val="nil"/>
                    <w:tr2bl w:val="nil"/>
                  </w:tcBorders>
                  <w:vAlign w:val="center"/>
                </w:tcPr>
                <w:p w14:paraId="68C1B38E">
                  <w:pPr>
                    <w:pStyle w:val="54"/>
                    <w:rPr>
                      <w:color w:val="auto"/>
                    </w:rPr>
                  </w:pPr>
                  <w:r>
                    <w:rPr>
                      <w:rFonts w:hint="eastAsia"/>
                      <w:color w:val="auto"/>
                    </w:rPr>
                    <w:t>天然气</w:t>
                  </w:r>
                </w:p>
              </w:tc>
              <w:tc>
                <w:tcPr>
                  <w:tcW w:w="758" w:type="pct"/>
                  <w:tcBorders>
                    <w:tl2br w:val="nil"/>
                    <w:tr2bl w:val="nil"/>
                  </w:tcBorders>
                  <w:vAlign w:val="center"/>
                </w:tcPr>
                <w:p w14:paraId="427B68A1">
                  <w:pPr>
                    <w:pStyle w:val="54"/>
                    <w:rPr>
                      <w:color w:val="auto"/>
                    </w:rPr>
                  </w:pPr>
                  <w:r>
                    <w:rPr>
                      <w:rFonts w:hint="eastAsia"/>
                      <w:color w:val="auto"/>
                    </w:rPr>
                    <w:t>74-82-8</w:t>
                  </w:r>
                </w:p>
              </w:tc>
              <w:tc>
                <w:tcPr>
                  <w:tcW w:w="669" w:type="pct"/>
                  <w:tcBorders>
                    <w:tl2br w:val="nil"/>
                    <w:tr2bl w:val="nil"/>
                  </w:tcBorders>
                  <w:vAlign w:val="center"/>
                </w:tcPr>
                <w:p w14:paraId="7EF6C506">
                  <w:pPr>
                    <w:pStyle w:val="54"/>
                    <w:rPr>
                      <w:color w:val="auto"/>
                    </w:rPr>
                  </w:pPr>
                  <w:r>
                    <w:rPr>
                      <w:rFonts w:hint="eastAsia"/>
                      <w:color w:val="auto"/>
                    </w:rPr>
                    <w:t>易燃易爆</w:t>
                  </w:r>
                </w:p>
              </w:tc>
              <w:tc>
                <w:tcPr>
                  <w:tcW w:w="1287" w:type="dxa"/>
                  <w:tcBorders>
                    <w:tl2br w:val="nil"/>
                    <w:tr2bl w:val="nil"/>
                  </w:tcBorders>
                  <w:vAlign w:val="center"/>
                </w:tcPr>
                <w:p w14:paraId="369792F9">
                  <w:pPr>
                    <w:pStyle w:val="54"/>
                    <w:rPr>
                      <w:color w:val="auto"/>
                    </w:rPr>
                  </w:pPr>
                  <w:r>
                    <w:rPr>
                      <w:rFonts w:hint="eastAsia"/>
                      <w:color w:val="auto"/>
                    </w:rPr>
                    <w:t>8.62</w:t>
                  </w:r>
                  <w:r>
                    <w:rPr>
                      <w:color w:val="auto"/>
                    </w:rPr>
                    <w:t>×</w:t>
                  </w:r>
                  <w:r>
                    <w:rPr>
                      <w:rFonts w:hint="eastAsia"/>
                      <w:color w:val="auto"/>
                    </w:rPr>
                    <w:t>10</w:t>
                  </w:r>
                  <w:r>
                    <w:rPr>
                      <w:rFonts w:hint="eastAsia"/>
                      <w:color w:val="auto"/>
                      <w:vertAlign w:val="superscript"/>
                    </w:rPr>
                    <w:t>-3</w:t>
                  </w:r>
                </w:p>
              </w:tc>
              <w:tc>
                <w:tcPr>
                  <w:tcW w:w="579" w:type="pct"/>
                  <w:tcBorders>
                    <w:tl2br w:val="nil"/>
                    <w:tr2bl w:val="nil"/>
                  </w:tcBorders>
                  <w:vAlign w:val="center"/>
                </w:tcPr>
                <w:p w14:paraId="4F505422">
                  <w:pPr>
                    <w:pStyle w:val="54"/>
                    <w:bidi w:val="0"/>
                    <w:rPr>
                      <w:color w:val="auto"/>
                    </w:rPr>
                  </w:pPr>
                  <w:r>
                    <w:rPr>
                      <w:rFonts w:hint="eastAsia"/>
                      <w:color w:val="auto"/>
                    </w:rPr>
                    <w:t>10</w:t>
                  </w:r>
                </w:p>
              </w:tc>
              <w:tc>
                <w:tcPr>
                  <w:tcW w:w="1329" w:type="dxa"/>
                  <w:tcBorders>
                    <w:tl2br w:val="nil"/>
                    <w:tr2bl w:val="nil"/>
                  </w:tcBorders>
                  <w:vAlign w:val="center"/>
                </w:tcPr>
                <w:p w14:paraId="53757FFB">
                  <w:pPr>
                    <w:pStyle w:val="54"/>
                    <w:bidi w:val="0"/>
                    <w:rPr>
                      <w:color w:val="auto"/>
                    </w:rPr>
                  </w:pPr>
                  <w:r>
                    <w:rPr>
                      <w:rFonts w:hint="eastAsia"/>
                      <w:color w:val="auto"/>
                      <w:lang w:val="en-US" w:eastAsia="zh-CN"/>
                    </w:rPr>
                    <w:t xml:space="preserve">0.000862 </w:t>
                  </w:r>
                </w:p>
              </w:tc>
              <w:tc>
                <w:tcPr>
                  <w:tcW w:w="525" w:type="pct"/>
                  <w:tcBorders>
                    <w:tl2br w:val="nil"/>
                    <w:tr2bl w:val="nil"/>
                  </w:tcBorders>
                  <w:vAlign w:val="center"/>
                </w:tcPr>
                <w:p w14:paraId="177706F4">
                  <w:pPr>
                    <w:pStyle w:val="54"/>
                    <w:rPr>
                      <w:color w:val="auto"/>
                    </w:rPr>
                  </w:pPr>
                  <w:r>
                    <w:rPr>
                      <w:rFonts w:hint="eastAsia"/>
                      <w:color w:val="auto"/>
                    </w:rPr>
                    <w:t>天然气管道</w:t>
                  </w:r>
                </w:p>
              </w:tc>
            </w:tr>
            <w:tr w14:paraId="3B232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280" w:type="pct"/>
                  <w:tcBorders>
                    <w:tl2br w:val="nil"/>
                    <w:tr2bl w:val="nil"/>
                  </w:tcBorders>
                  <w:vAlign w:val="center"/>
                </w:tcPr>
                <w:p w14:paraId="18B3CBED">
                  <w:pPr>
                    <w:pStyle w:val="54"/>
                    <w:rPr>
                      <w:color w:val="auto"/>
                    </w:rPr>
                  </w:pPr>
                  <w:r>
                    <w:rPr>
                      <w:rFonts w:hint="eastAsia"/>
                      <w:color w:val="auto"/>
                    </w:rPr>
                    <w:t>8</w:t>
                  </w:r>
                </w:p>
              </w:tc>
              <w:tc>
                <w:tcPr>
                  <w:tcW w:w="631" w:type="pct"/>
                  <w:tcBorders>
                    <w:tl2br w:val="nil"/>
                    <w:tr2bl w:val="nil"/>
                  </w:tcBorders>
                  <w:vAlign w:val="center"/>
                </w:tcPr>
                <w:p w14:paraId="5ED69C88">
                  <w:pPr>
                    <w:pStyle w:val="54"/>
                    <w:rPr>
                      <w:color w:val="auto"/>
                    </w:rPr>
                  </w:pPr>
                  <w:r>
                    <w:rPr>
                      <w:rFonts w:hint="eastAsia"/>
                      <w:color w:val="auto"/>
                    </w:rPr>
                    <w:t>废机油</w:t>
                  </w:r>
                </w:p>
              </w:tc>
              <w:tc>
                <w:tcPr>
                  <w:tcW w:w="758" w:type="pct"/>
                  <w:tcBorders>
                    <w:tl2br w:val="nil"/>
                    <w:tr2bl w:val="nil"/>
                  </w:tcBorders>
                  <w:vAlign w:val="center"/>
                </w:tcPr>
                <w:p w14:paraId="1AA3B461">
                  <w:pPr>
                    <w:pStyle w:val="54"/>
                    <w:rPr>
                      <w:color w:val="auto"/>
                    </w:rPr>
                  </w:pPr>
                  <w:r>
                    <w:rPr>
                      <w:rFonts w:hint="eastAsia"/>
                      <w:color w:val="auto"/>
                    </w:rPr>
                    <w:t>油类物质</w:t>
                  </w:r>
                </w:p>
              </w:tc>
              <w:tc>
                <w:tcPr>
                  <w:tcW w:w="669" w:type="pct"/>
                  <w:tcBorders>
                    <w:tl2br w:val="nil"/>
                    <w:tr2bl w:val="nil"/>
                  </w:tcBorders>
                  <w:vAlign w:val="center"/>
                </w:tcPr>
                <w:p w14:paraId="30B81A0E">
                  <w:pPr>
                    <w:pStyle w:val="54"/>
                    <w:rPr>
                      <w:color w:val="auto"/>
                    </w:rPr>
                  </w:pPr>
                  <w:r>
                    <w:rPr>
                      <w:rFonts w:hint="eastAsia"/>
                      <w:color w:val="auto"/>
                    </w:rPr>
                    <w:t>易燃</w:t>
                  </w:r>
                </w:p>
              </w:tc>
              <w:tc>
                <w:tcPr>
                  <w:tcW w:w="1287" w:type="dxa"/>
                  <w:tcBorders>
                    <w:tl2br w:val="nil"/>
                    <w:tr2bl w:val="nil"/>
                  </w:tcBorders>
                  <w:vAlign w:val="center"/>
                </w:tcPr>
                <w:p w14:paraId="7A68F356">
                  <w:pPr>
                    <w:pStyle w:val="54"/>
                    <w:bidi w:val="0"/>
                    <w:rPr>
                      <w:rFonts w:hint="default"/>
                      <w:color w:val="auto"/>
                      <w:lang w:val="en-US" w:eastAsia="zh-CN"/>
                    </w:rPr>
                  </w:pPr>
                  <w:r>
                    <w:rPr>
                      <w:rFonts w:hint="default"/>
                      <w:color w:val="auto"/>
                      <w:lang w:val="en-US" w:eastAsia="zh-CN"/>
                    </w:rPr>
                    <w:t>0.2</w:t>
                  </w:r>
                </w:p>
              </w:tc>
              <w:tc>
                <w:tcPr>
                  <w:tcW w:w="579" w:type="pct"/>
                  <w:tcBorders>
                    <w:tl2br w:val="nil"/>
                    <w:tr2bl w:val="nil"/>
                  </w:tcBorders>
                  <w:vAlign w:val="center"/>
                </w:tcPr>
                <w:p w14:paraId="07EFF26E">
                  <w:pPr>
                    <w:pStyle w:val="54"/>
                    <w:bidi w:val="0"/>
                    <w:rPr>
                      <w:color w:val="auto"/>
                    </w:rPr>
                  </w:pPr>
                  <w:r>
                    <w:rPr>
                      <w:rFonts w:hint="eastAsia"/>
                      <w:color w:val="auto"/>
                    </w:rPr>
                    <w:t>2500</w:t>
                  </w:r>
                </w:p>
              </w:tc>
              <w:tc>
                <w:tcPr>
                  <w:tcW w:w="1329" w:type="dxa"/>
                  <w:tcBorders>
                    <w:tl2br w:val="nil"/>
                    <w:tr2bl w:val="nil"/>
                  </w:tcBorders>
                  <w:vAlign w:val="center"/>
                </w:tcPr>
                <w:p w14:paraId="33BB86BC">
                  <w:pPr>
                    <w:pStyle w:val="54"/>
                    <w:bidi w:val="0"/>
                    <w:rPr>
                      <w:color w:val="auto"/>
                    </w:rPr>
                  </w:pPr>
                  <w:r>
                    <w:rPr>
                      <w:rFonts w:hint="eastAsia"/>
                      <w:color w:val="auto"/>
                      <w:lang w:val="en-US" w:eastAsia="zh-CN"/>
                    </w:rPr>
                    <w:t xml:space="preserve">0.000080 </w:t>
                  </w:r>
                </w:p>
              </w:tc>
              <w:tc>
                <w:tcPr>
                  <w:tcW w:w="525" w:type="pct"/>
                  <w:vMerge w:val="restart"/>
                  <w:tcBorders>
                    <w:tl2br w:val="nil"/>
                    <w:tr2bl w:val="nil"/>
                  </w:tcBorders>
                  <w:vAlign w:val="center"/>
                </w:tcPr>
                <w:p w14:paraId="69D29F3B">
                  <w:pPr>
                    <w:pStyle w:val="54"/>
                    <w:rPr>
                      <w:color w:val="auto"/>
                    </w:rPr>
                  </w:pPr>
                  <w:r>
                    <w:rPr>
                      <w:rFonts w:hint="eastAsia"/>
                      <w:color w:val="auto"/>
                    </w:rPr>
                    <w:t>危废库</w:t>
                  </w:r>
                </w:p>
              </w:tc>
            </w:tr>
            <w:tr w14:paraId="2E839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280" w:type="pct"/>
                  <w:tcBorders>
                    <w:tl2br w:val="nil"/>
                    <w:tr2bl w:val="nil"/>
                  </w:tcBorders>
                  <w:vAlign w:val="center"/>
                </w:tcPr>
                <w:p w14:paraId="786CEE00">
                  <w:pPr>
                    <w:pStyle w:val="54"/>
                    <w:rPr>
                      <w:color w:val="auto"/>
                    </w:rPr>
                  </w:pPr>
                  <w:r>
                    <w:rPr>
                      <w:rFonts w:hint="eastAsia"/>
                      <w:color w:val="auto"/>
                    </w:rPr>
                    <w:t>9</w:t>
                  </w:r>
                </w:p>
              </w:tc>
              <w:tc>
                <w:tcPr>
                  <w:tcW w:w="631" w:type="pct"/>
                  <w:tcBorders>
                    <w:tl2br w:val="nil"/>
                    <w:tr2bl w:val="nil"/>
                  </w:tcBorders>
                  <w:vAlign w:val="center"/>
                </w:tcPr>
                <w:p w14:paraId="3E899301">
                  <w:pPr>
                    <w:pStyle w:val="54"/>
                    <w:rPr>
                      <w:color w:val="auto"/>
                    </w:rPr>
                  </w:pPr>
                  <w:r>
                    <w:rPr>
                      <w:rFonts w:hint="eastAsia"/>
                      <w:color w:val="auto"/>
                    </w:rPr>
                    <w:t>废液压油</w:t>
                  </w:r>
                </w:p>
              </w:tc>
              <w:tc>
                <w:tcPr>
                  <w:tcW w:w="758" w:type="pct"/>
                  <w:tcBorders>
                    <w:tl2br w:val="nil"/>
                    <w:tr2bl w:val="nil"/>
                  </w:tcBorders>
                  <w:vAlign w:val="center"/>
                </w:tcPr>
                <w:p w14:paraId="157EF33C">
                  <w:pPr>
                    <w:pStyle w:val="54"/>
                    <w:rPr>
                      <w:color w:val="auto"/>
                    </w:rPr>
                  </w:pPr>
                  <w:r>
                    <w:rPr>
                      <w:rFonts w:hint="eastAsia"/>
                      <w:color w:val="auto"/>
                    </w:rPr>
                    <w:t>油类物质</w:t>
                  </w:r>
                </w:p>
              </w:tc>
              <w:tc>
                <w:tcPr>
                  <w:tcW w:w="669" w:type="pct"/>
                  <w:tcBorders>
                    <w:tl2br w:val="nil"/>
                    <w:tr2bl w:val="nil"/>
                  </w:tcBorders>
                  <w:vAlign w:val="center"/>
                </w:tcPr>
                <w:p w14:paraId="73880CE0">
                  <w:pPr>
                    <w:pStyle w:val="54"/>
                    <w:rPr>
                      <w:color w:val="auto"/>
                    </w:rPr>
                  </w:pPr>
                  <w:r>
                    <w:rPr>
                      <w:rFonts w:hint="eastAsia"/>
                      <w:color w:val="auto"/>
                    </w:rPr>
                    <w:t>易燃</w:t>
                  </w:r>
                </w:p>
              </w:tc>
              <w:tc>
                <w:tcPr>
                  <w:tcW w:w="1287" w:type="dxa"/>
                  <w:tcBorders>
                    <w:tl2br w:val="nil"/>
                    <w:tr2bl w:val="nil"/>
                  </w:tcBorders>
                  <w:vAlign w:val="center"/>
                </w:tcPr>
                <w:p w14:paraId="359FB825">
                  <w:pPr>
                    <w:pStyle w:val="54"/>
                    <w:bidi w:val="0"/>
                    <w:rPr>
                      <w:rFonts w:hint="default"/>
                      <w:color w:val="auto"/>
                      <w:lang w:val="en-US" w:eastAsia="zh-CN"/>
                    </w:rPr>
                  </w:pPr>
                  <w:r>
                    <w:rPr>
                      <w:rFonts w:hint="default"/>
                      <w:color w:val="auto"/>
                      <w:lang w:val="en-US" w:eastAsia="zh-CN"/>
                    </w:rPr>
                    <w:t>0.02</w:t>
                  </w:r>
                </w:p>
              </w:tc>
              <w:tc>
                <w:tcPr>
                  <w:tcW w:w="579" w:type="pct"/>
                  <w:tcBorders>
                    <w:tl2br w:val="nil"/>
                    <w:tr2bl w:val="nil"/>
                  </w:tcBorders>
                  <w:vAlign w:val="center"/>
                </w:tcPr>
                <w:p w14:paraId="25CE70DF">
                  <w:pPr>
                    <w:pStyle w:val="54"/>
                    <w:bidi w:val="0"/>
                    <w:rPr>
                      <w:color w:val="auto"/>
                    </w:rPr>
                  </w:pPr>
                  <w:r>
                    <w:rPr>
                      <w:rFonts w:hint="eastAsia"/>
                      <w:color w:val="auto"/>
                    </w:rPr>
                    <w:t>2500</w:t>
                  </w:r>
                </w:p>
              </w:tc>
              <w:tc>
                <w:tcPr>
                  <w:tcW w:w="1329" w:type="dxa"/>
                  <w:tcBorders>
                    <w:tl2br w:val="nil"/>
                    <w:tr2bl w:val="nil"/>
                  </w:tcBorders>
                  <w:vAlign w:val="center"/>
                </w:tcPr>
                <w:p w14:paraId="4B567435">
                  <w:pPr>
                    <w:pStyle w:val="54"/>
                    <w:bidi w:val="0"/>
                    <w:rPr>
                      <w:color w:val="auto"/>
                    </w:rPr>
                  </w:pPr>
                  <w:r>
                    <w:rPr>
                      <w:rFonts w:hint="eastAsia"/>
                      <w:color w:val="auto"/>
                      <w:lang w:val="en-US" w:eastAsia="zh-CN"/>
                    </w:rPr>
                    <w:t xml:space="preserve">0.000008 </w:t>
                  </w:r>
                </w:p>
              </w:tc>
              <w:tc>
                <w:tcPr>
                  <w:tcW w:w="525" w:type="pct"/>
                  <w:vMerge w:val="continue"/>
                  <w:tcBorders>
                    <w:tl2br w:val="nil"/>
                    <w:tr2bl w:val="nil"/>
                  </w:tcBorders>
                  <w:vAlign w:val="center"/>
                </w:tcPr>
                <w:p w14:paraId="4EB75F36">
                  <w:pPr>
                    <w:pStyle w:val="54"/>
                    <w:rPr>
                      <w:color w:val="auto"/>
                    </w:rPr>
                  </w:pPr>
                </w:p>
              </w:tc>
            </w:tr>
            <w:tr w14:paraId="2CBB5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280" w:type="pct"/>
                  <w:tcBorders>
                    <w:tl2br w:val="nil"/>
                    <w:tr2bl w:val="nil"/>
                  </w:tcBorders>
                  <w:vAlign w:val="center"/>
                </w:tcPr>
                <w:p w14:paraId="47C23B82">
                  <w:pPr>
                    <w:pStyle w:val="54"/>
                    <w:rPr>
                      <w:color w:val="auto"/>
                    </w:rPr>
                  </w:pPr>
                  <w:r>
                    <w:rPr>
                      <w:rFonts w:hint="eastAsia"/>
                      <w:color w:val="auto"/>
                    </w:rPr>
                    <w:t>10</w:t>
                  </w:r>
                </w:p>
              </w:tc>
              <w:tc>
                <w:tcPr>
                  <w:tcW w:w="631" w:type="pct"/>
                  <w:tcBorders>
                    <w:tl2br w:val="nil"/>
                    <w:tr2bl w:val="nil"/>
                  </w:tcBorders>
                  <w:vAlign w:val="center"/>
                </w:tcPr>
                <w:p w14:paraId="34669235">
                  <w:pPr>
                    <w:pStyle w:val="54"/>
                    <w:rPr>
                      <w:color w:val="auto"/>
                    </w:rPr>
                  </w:pPr>
                  <w:r>
                    <w:rPr>
                      <w:rFonts w:hint="eastAsia"/>
                      <w:color w:val="auto"/>
                    </w:rPr>
                    <w:t>废包装桶</w:t>
                  </w:r>
                </w:p>
              </w:tc>
              <w:tc>
                <w:tcPr>
                  <w:tcW w:w="758" w:type="pct"/>
                  <w:tcBorders>
                    <w:tl2br w:val="nil"/>
                    <w:tr2bl w:val="nil"/>
                  </w:tcBorders>
                  <w:vAlign w:val="center"/>
                </w:tcPr>
                <w:p w14:paraId="3C996A68">
                  <w:pPr>
                    <w:pStyle w:val="54"/>
                    <w:rPr>
                      <w:color w:val="auto"/>
                    </w:rPr>
                  </w:pPr>
                  <w:r>
                    <w:rPr>
                      <w:rFonts w:hint="eastAsia"/>
                      <w:color w:val="auto"/>
                    </w:rPr>
                    <w:t>油类物质</w:t>
                  </w:r>
                </w:p>
              </w:tc>
              <w:tc>
                <w:tcPr>
                  <w:tcW w:w="669" w:type="pct"/>
                  <w:tcBorders>
                    <w:tl2br w:val="nil"/>
                    <w:tr2bl w:val="nil"/>
                  </w:tcBorders>
                  <w:vAlign w:val="center"/>
                </w:tcPr>
                <w:p w14:paraId="27906C9B">
                  <w:pPr>
                    <w:pStyle w:val="54"/>
                    <w:rPr>
                      <w:color w:val="auto"/>
                    </w:rPr>
                  </w:pPr>
                  <w:r>
                    <w:rPr>
                      <w:rFonts w:hint="eastAsia"/>
                      <w:color w:val="auto"/>
                    </w:rPr>
                    <w:t>易燃</w:t>
                  </w:r>
                </w:p>
              </w:tc>
              <w:tc>
                <w:tcPr>
                  <w:tcW w:w="1287" w:type="dxa"/>
                  <w:tcBorders>
                    <w:tl2br w:val="nil"/>
                    <w:tr2bl w:val="nil"/>
                  </w:tcBorders>
                  <w:vAlign w:val="center"/>
                </w:tcPr>
                <w:p w14:paraId="0D32387C">
                  <w:pPr>
                    <w:pStyle w:val="54"/>
                    <w:bidi w:val="0"/>
                    <w:rPr>
                      <w:rFonts w:hint="default"/>
                      <w:color w:val="auto"/>
                      <w:lang w:val="en-US" w:eastAsia="zh-CN"/>
                    </w:rPr>
                  </w:pPr>
                  <w:r>
                    <w:rPr>
                      <w:rFonts w:hint="default"/>
                      <w:color w:val="auto"/>
                      <w:lang w:val="en-US" w:eastAsia="zh-CN"/>
                    </w:rPr>
                    <w:t>0.01</w:t>
                  </w:r>
                </w:p>
              </w:tc>
              <w:tc>
                <w:tcPr>
                  <w:tcW w:w="579" w:type="pct"/>
                  <w:tcBorders>
                    <w:tl2br w:val="nil"/>
                    <w:tr2bl w:val="nil"/>
                  </w:tcBorders>
                  <w:vAlign w:val="center"/>
                </w:tcPr>
                <w:p w14:paraId="3AB14487">
                  <w:pPr>
                    <w:pStyle w:val="54"/>
                    <w:bidi w:val="0"/>
                    <w:rPr>
                      <w:color w:val="auto"/>
                    </w:rPr>
                  </w:pPr>
                  <w:r>
                    <w:rPr>
                      <w:rFonts w:hint="eastAsia"/>
                      <w:color w:val="auto"/>
                    </w:rPr>
                    <w:t>2500</w:t>
                  </w:r>
                </w:p>
              </w:tc>
              <w:tc>
                <w:tcPr>
                  <w:tcW w:w="1329" w:type="dxa"/>
                  <w:tcBorders>
                    <w:tl2br w:val="nil"/>
                    <w:tr2bl w:val="nil"/>
                  </w:tcBorders>
                  <w:vAlign w:val="center"/>
                </w:tcPr>
                <w:p w14:paraId="70518E24">
                  <w:pPr>
                    <w:pStyle w:val="54"/>
                    <w:bidi w:val="0"/>
                    <w:rPr>
                      <w:color w:val="auto"/>
                    </w:rPr>
                  </w:pPr>
                  <w:r>
                    <w:rPr>
                      <w:rFonts w:hint="eastAsia"/>
                      <w:color w:val="auto"/>
                      <w:lang w:val="en-US" w:eastAsia="zh-CN"/>
                    </w:rPr>
                    <w:t xml:space="preserve">0.000004 </w:t>
                  </w:r>
                </w:p>
              </w:tc>
              <w:tc>
                <w:tcPr>
                  <w:tcW w:w="525" w:type="pct"/>
                  <w:vMerge w:val="continue"/>
                  <w:tcBorders>
                    <w:tl2br w:val="nil"/>
                    <w:tr2bl w:val="nil"/>
                  </w:tcBorders>
                  <w:vAlign w:val="center"/>
                </w:tcPr>
                <w:p w14:paraId="5F72DE5C">
                  <w:pPr>
                    <w:pStyle w:val="54"/>
                    <w:rPr>
                      <w:color w:val="auto"/>
                    </w:rPr>
                  </w:pPr>
                </w:p>
              </w:tc>
            </w:tr>
            <w:tr w14:paraId="2C8F16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280" w:type="pct"/>
                  <w:tcBorders>
                    <w:tl2br w:val="nil"/>
                    <w:tr2bl w:val="nil"/>
                  </w:tcBorders>
                  <w:vAlign w:val="center"/>
                </w:tcPr>
                <w:p w14:paraId="1D4956F5">
                  <w:pPr>
                    <w:pStyle w:val="54"/>
                    <w:rPr>
                      <w:color w:val="auto"/>
                    </w:rPr>
                  </w:pPr>
                  <w:r>
                    <w:rPr>
                      <w:rFonts w:hint="eastAsia"/>
                      <w:color w:val="auto"/>
                    </w:rPr>
                    <w:t>11</w:t>
                  </w:r>
                </w:p>
              </w:tc>
              <w:tc>
                <w:tcPr>
                  <w:tcW w:w="631" w:type="pct"/>
                  <w:tcBorders>
                    <w:tl2br w:val="nil"/>
                    <w:tr2bl w:val="nil"/>
                  </w:tcBorders>
                  <w:shd w:val="clear" w:color="auto" w:fill="auto"/>
                  <w:vAlign w:val="center"/>
                </w:tcPr>
                <w:p w14:paraId="553133CD">
                  <w:pPr>
                    <w:pStyle w:val="54"/>
                    <w:rPr>
                      <w:color w:val="auto"/>
                    </w:rPr>
                  </w:pPr>
                  <w:r>
                    <w:rPr>
                      <w:rFonts w:hint="eastAsia"/>
                      <w:color w:val="auto"/>
                    </w:rPr>
                    <w:t>废活性炭</w:t>
                  </w:r>
                </w:p>
              </w:tc>
              <w:tc>
                <w:tcPr>
                  <w:tcW w:w="758" w:type="pct"/>
                  <w:tcBorders>
                    <w:tl2br w:val="nil"/>
                    <w:tr2bl w:val="nil"/>
                  </w:tcBorders>
                  <w:shd w:val="clear" w:color="auto" w:fill="auto"/>
                  <w:vAlign w:val="center"/>
                </w:tcPr>
                <w:p w14:paraId="7EE4536E">
                  <w:pPr>
                    <w:pStyle w:val="54"/>
                    <w:rPr>
                      <w:color w:val="auto"/>
                    </w:rPr>
                  </w:pPr>
                  <w:r>
                    <w:rPr>
                      <w:rFonts w:hint="eastAsia"/>
                      <w:color w:val="auto"/>
                      <w:lang w:val="en-US" w:eastAsia="zh-CN"/>
                    </w:rPr>
                    <w:t>健康危险急性毒性物质（类别2，类别3）</w:t>
                  </w:r>
                </w:p>
              </w:tc>
              <w:tc>
                <w:tcPr>
                  <w:tcW w:w="669" w:type="pct"/>
                  <w:tcBorders>
                    <w:tl2br w:val="nil"/>
                    <w:tr2bl w:val="nil"/>
                  </w:tcBorders>
                  <w:vAlign w:val="center"/>
                </w:tcPr>
                <w:p w14:paraId="639574A6">
                  <w:pPr>
                    <w:pStyle w:val="54"/>
                    <w:rPr>
                      <w:color w:val="auto"/>
                    </w:rPr>
                  </w:pPr>
                  <w:r>
                    <w:rPr>
                      <w:rFonts w:hint="eastAsia"/>
                      <w:color w:val="auto"/>
                    </w:rPr>
                    <w:t>急性毒性</w:t>
                  </w:r>
                </w:p>
              </w:tc>
              <w:tc>
                <w:tcPr>
                  <w:tcW w:w="1287" w:type="dxa"/>
                  <w:tcBorders>
                    <w:tl2br w:val="nil"/>
                    <w:tr2bl w:val="nil"/>
                  </w:tcBorders>
                  <w:vAlign w:val="center"/>
                </w:tcPr>
                <w:p w14:paraId="6345A617">
                  <w:pPr>
                    <w:pStyle w:val="54"/>
                    <w:bidi w:val="0"/>
                    <w:rPr>
                      <w:rFonts w:hint="default"/>
                      <w:color w:val="auto"/>
                      <w:lang w:val="en-US" w:eastAsia="zh-CN"/>
                    </w:rPr>
                  </w:pPr>
                  <w:r>
                    <w:rPr>
                      <w:rFonts w:hint="default"/>
                      <w:color w:val="auto"/>
                      <w:lang w:val="en-US" w:eastAsia="zh-CN"/>
                    </w:rPr>
                    <w:t>0.7</w:t>
                  </w:r>
                </w:p>
              </w:tc>
              <w:tc>
                <w:tcPr>
                  <w:tcW w:w="579" w:type="pct"/>
                  <w:tcBorders>
                    <w:tl2br w:val="nil"/>
                    <w:tr2bl w:val="nil"/>
                  </w:tcBorders>
                  <w:vAlign w:val="center"/>
                </w:tcPr>
                <w:p w14:paraId="13CEE125">
                  <w:pPr>
                    <w:pStyle w:val="54"/>
                    <w:bidi w:val="0"/>
                    <w:rPr>
                      <w:rFonts w:hint="default" w:eastAsia="宋体"/>
                      <w:color w:val="auto"/>
                      <w:lang w:val="en-US" w:eastAsia="zh-CN"/>
                    </w:rPr>
                  </w:pPr>
                  <w:r>
                    <w:rPr>
                      <w:rFonts w:hint="eastAsia"/>
                      <w:color w:val="auto"/>
                      <w:lang w:val="en-US" w:eastAsia="zh-CN"/>
                    </w:rPr>
                    <w:t>50</w:t>
                  </w:r>
                </w:p>
              </w:tc>
              <w:tc>
                <w:tcPr>
                  <w:tcW w:w="1329" w:type="dxa"/>
                  <w:tcBorders>
                    <w:tl2br w:val="nil"/>
                    <w:tr2bl w:val="nil"/>
                  </w:tcBorders>
                  <w:vAlign w:val="center"/>
                </w:tcPr>
                <w:p w14:paraId="41C2D0C7">
                  <w:pPr>
                    <w:keepNext w:val="0"/>
                    <w:keepLines w:val="0"/>
                    <w:widowControl/>
                    <w:suppressLineNumbers w:val="0"/>
                    <w:jc w:val="center"/>
                    <w:textAlignment w:val="center"/>
                    <w:rPr>
                      <w:color w:val="auto"/>
                    </w:rPr>
                  </w:pPr>
                  <w:r>
                    <w:rPr>
                      <w:rFonts w:hint="default" w:ascii="Times New Roman" w:hAnsi="Times New Roman" w:eastAsia="宋体" w:cs="Times New Roman"/>
                      <w:i w:val="0"/>
                      <w:iCs w:val="0"/>
                      <w:color w:val="000000"/>
                      <w:kern w:val="0"/>
                      <w:sz w:val="21"/>
                      <w:szCs w:val="21"/>
                      <w:u w:val="none"/>
                      <w:lang w:val="en-US" w:eastAsia="zh-CN" w:bidi="ar"/>
                    </w:rPr>
                    <w:t xml:space="preserve">0.014000 </w:t>
                  </w:r>
                </w:p>
              </w:tc>
              <w:tc>
                <w:tcPr>
                  <w:tcW w:w="525" w:type="pct"/>
                  <w:vMerge w:val="continue"/>
                  <w:tcBorders>
                    <w:tl2br w:val="nil"/>
                    <w:tr2bl w:val="nil"/>
                  </w:tcBorders>
                  <w:vAlign w:val="center"/>
                </w:tcPr>
                <w:p w14:paraId="392B48C8">
                  <w:pPr>
                    <w:pStyle w:val="54"/>
                    <w:rPr>
                      <w:color w:val="auto"/>
                    </w:rPr>
                  </w:pPr>
                </w:p>
              </w:tc>
            </w:tr>
            <w:tr w14:paraId="25099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684" w:type="pct"/>
                  <w:gridSpan w:val="6"/>
                  <w:tcBorders>
                    <w:tl2br w:val="nil"/>
                    <w:tr2bl w:val="nil"/>
                  </w:tcBorders>
                  <w:vAlign w:val="center"/>
                </w:tcPr>
                <w:p w14:paraId="5F50C4CF">
                  <w:pPr>
                    <w:pStyle w:val="54"/>
                    <w:bidi w:val="0"/>
                    <w:rPr>
                      <w:color w:val="auto"/>
                    </w:rPr>
                  </w:pPr>
                  <w:r>
                    <w:rPr>
                      <w:color w:val="auto"/>
                    </w:rPr>
                    <w:t>Q</w:t>
                  </w:r>
                </w:p>
              </w:tc>
              <w:tc>
                <w:tcPr>
                  <w:tcW w:w="1329" w:type="dxa"/>
                  <w:tcBorders>
                    <w:tl2br w:val="nil"/>
                    <w:tr2bl w:val="nil"/>
                  </w:tcBorders>
                  <w:shd w:val="clear" w:color="auto" w:fill="auto"/>
                  <w:vAlign w:val="center"/>
                </w:tcPr>
                <w:p w14:paraId="69FA495E">
                  <w:pPr>
                    <w:keepNext w:val="0"/>
                    <w:keepLines w:val="0"/>
                    <w:widowControl/>
                    <w:suppressLineNumbers w:val="0"/>
                    <w:jc w:val="center"/>
                    <w:textAlignment w:val="center"/>
                    <w:rPr>
                      <w:color w:val="auto"/>
                    </w:rPr>
                  </w:pPr>
                  <w:r>
                    <w:rPr>
                      <w:rFonts w:hint="default" w:ascii="Times New Roman" w:hAnsi="Times New Roman" w:eastAsia="宋体" w:cs="Times New Roman"/>
                      <w:i w:val="0"/>
                      <w:iCs w:val="0"/>
                      <w:color w:val="000000"/>
                      <w:kern w:val="0"/>
                      <w:sz w:val="21"/>
                      <w:szCs w:val="21"/>
                      <w:u w:val="none"/>
                      <w:lang w:val="en-US" w:eastAsia="zh-CN" w:bidi="ar"/>
                    </w:rPr>
                    <w:t xml:space="preserve">0.060144 </w:t>
                  </w:r>
                </w:p>
              </w:tc>
              <w:tc>
                <w:tcPr>
                  <w:tcW w:w="525" w:type="pct"/>
                  <w:tcBorders>
                    <w:tl2br w:val="nil"/>
                    <w:tr2bl w:val="nil"/>
                  </w:tcBorders>
                  <w:vAlign w:val="center"/>
                </w:tcPr>
                <w:p w14:paraId="26FEC069">
                  <w:pPr>
                    <w:pStyle w:val="54"/>
                    <w:rPr>
                      <w:color w:val="auto"/>
                    </w:rPr>
                  </w:pPr>
                  <w:r>
                    <w:rPr>
                      <w:color w:val="auto"/>
                    </w:rPr>
                    <w:t>/</w:t>
                  </w:r>
                </w:p>
              </w:tc>
            </w:tr>
          </w:tbl>
          <w:p w14:paraId="08205672">
            <w:pPr>
              <w:pStyle w:val="50"/>
              <w:ind w:firstLine="480"/>
              <w:rPr>
                <w:color w:val="auto"/>
              </w:rPr>
            </w:pPr>
            <w:r>
              <w:rPr>
                <w:color w:val="auto"/>
              </w:rPr>
              <w:t>本项目风险物质数量与临界量比值Q=</w:t>
            </w:r>
            <w:r>
              <w:rPr>
                <w:rFonts w:hint="eastAsia"/>
                <w:color w:val="auto"/>
                <w:lang w:val="en-US" w:eastAsia="zh-CN"/>
              </w:rPr>
              <w:t>0.060144</w:t>
            </w:r>
            <w:r>
              <w:rPr>
                <w:color w:val="auto"/>
              </w:rPr>
              <w:t>&lt;1，因此本项目环境风险潜势为Ⅰ，环境风险简单分析即可。</w:t>
            </w:r>
          </w:p>
          <w:p w14:paraId="19F9C86D">
            <w:pPr>
              <w:pStyle w:val="50"/>
              <w:ind w:firstLine="480"/>
              <w:rPr>
                <w:color w:val="auto"/>
              </w:rPr>
            </w:pPr>
            <w:r>
              <w:rPr>
                <w:color w:val="auto"/>
              </w:rPr>
              <w:t>本</w:t>
            </w:r>
            <w:r>
              <w:rPr>
                <w:rFonts w:hint="eastAsia"/>
                <w:color w:val="auto"/>
              </w:rPr>
              <w:t>扩建</w:t>
            </w:r>
            <w:r>
              <w:rPr>
                <w:color w:val="auto"/>
              </w:rPr>
              <w:t>项目涉及到的易燃</w:t>
            </w:r>
            <w:r>
              <w:rPr>
                <w:rFonts w:hint="eastAsia"/>
                <w:color w:val="auto"/>
              </w:rPr>
              <w:t>、急性毒性</w:t>
            </w:r>
            <w:r>
              <w:rPr>
                <w:color w:val="auto"/>
              </w:rPr>
              <w:t>危险物质风险源分布情况、可能影响途径、相应环境风险防范措施见建设项目环境风险简单分析内容</w:t>
            </w:r>
            <w:r>
              <w:rPr>
                <w:color w:val="auto"/>
              </w:rPr>
              <w:fldChar w:fldCharType="begin"/>
            </w:r>
            <w:r>
              <w:rPr>
                <w:color w:val="auto"/>
              </w:rPr>
              <w:instrText xml:space="preserve"> REF _Ref10223 \h </w:instrText>
            </w:r>
            <w:r>
              <w:rPr>
                <w:color w:val="auto"/>
              </w:rPr>
              <w:fldChar w:fldCharType="separate"/>
            </w:r>
            <w:r>
              <w:rPr>
                <w:color w:val="auto"/>
              </w:rPr>
              <w:t>表4- 24</w:t>
            </w:r>
            <w:r>
              <w:rPr>
                <w:color w:val="auto"/>
              </w:rPr>
              <w:fldChar w:fldCharType="end"/>
            </w:r>
            <w:r>
              <w:rPr>
                <w:color w:val="auto"/>
              </w:rPr>
              <w:t>。</w:t>
            </w:r>
          </w:p>
          <w:p w14:paraId="4FC1CF1D">
            <w:pPr>
              <w:pStyle w:val="52"/>
              <w:rPr>
                <w:color w:val="auto"/>
              </w:rPr>
            </w:pPr>
            <w:bookmarkStart w:id="121" w:name="_Ref10223"/>
            <w:r>
              <w:rPr>
                <w:color w:val="auto"/>
              </w:rPr>
              <w:t xml:space="preserve">表4- </w:t>
            </w:r>
            <w:r>
              <w:rPr>
                <w:color w:val="auto"/>
              </w:rPr>
              <w:fldChar w:fldCharType="begin"/>
            </w:r>
            <w:r>
              <w:rPr>
                <w:color w:val="auto"/>
              </w:rPr>
              <w:instrText xml:space="preserve"> SEQ 表4- \* ARABIC </w:instrText>
            </w:r>
            <w:r>
              <w:rPr>
                <w:color w:val="auto"/>
              </w:rPr>
              <w:fldChar w:fldCharType="separate"/>
            </w:r>
            <w:r>
              <w:rPr>
                <w:color w:val="auto"/>
              </w:rPr>
              <w:t>24</w:t>
            </w:r>
            <w:r>
              <w:rPr>
                <w:color w:val="auto"/>
              </w:rPr>
              <w:fldChar w:fldCharType="end"/>
            </w:r>
            <w:bookmarkEnd w:id="121"/>
            <w:r>
              <w:rPr>
                <w:rFonts w:hint="eastAsia"/>
                <w:color w:val="auto"/>
              </w:rPr>
              <w:t xml:space="preserve"> </w:t>
            </w:r>
            <w:r>
              <w:rPr>
                <w:color w:val="auto"/>
              </w:rPr>
              <w:t>危险物质、风险源分布、可能影响途径及风险防范措施表</w:t>
            </w:r>
          </w:p>
          <w:tbl>
            <w:tblPr>
              <w:tblStyle w:val="1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2"/>
              <w:gridCol w:w="873"/>
              <w:gridCol w:w="2516"/>
              <w:gridCol w:w="951"/>
              <w:gridCol w:w="2523"/>
            </w:tblGrid>
            <w:tr w14:paraId="6F586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7" w:type="pct"/>
                  <w:tcBorders>
                    <w:tl2br w:val="nil"/>
                    <w:tr2bl w:val="nil"/>
                  </w:tcBorders>
                  <w:vAlign w:val="center"/>
                </w:tcPr>
                <w:p w14:paraId="242CBE22">
                  <w:pPr>
                    <w:pStyle w:val="54"/>
                    <w:rPr>
                      <w:b/>
                      <w:bCs/>
                      <w:color w:val="auto"/>
                    </w:rPr>
                  </w:pPr>
                  <w:r>
                    <w:rPr>
                      <w:b/>
                      <w:bCs/>
                      <w:color w:val="auto"/>
                    </w:rPr>
                    <w:t>建设项目名称</w:t>
                  </w:r>
                </w:p>
              </w:tc>
              <w:tc>
                <w:tcPr>
                  <w:tcW w:w="4082" w:type="pct"/>
                  <w:gridSpan w:val="4"/>
                  <w:tcBorders>
                    <w:tl2br w:val="nil"/>
                    <w:tr2bl w:val="nil"/>
                  </w:tcBorders>
                  <w:vAlign w:val="center"/>
                </w:tcPr>
                <w:p w14:paraId="72173172">
                  <w:pPr>
                    <w:pStyle w:val="54"/>
                    <w:rPr>
                      <w:color w:val="auto"/>
                    </w:rPr>
                  </w:pPr>
                  <w:r>
                    <w:rPr>
                      <w:rFonts w:hint="eastAsia"/>
                      <w:color w:val="auto"/>
                    </w:rPr>
                    <w:t>年产32000吨无氧铜杆项目</w:t>
                  </w:r>
                </w:p>
              </w:tc>
            </w:tr>
            <w:tr w14:paraId="60EE6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7" w:type="pct"/>
                  <w:tcBorders>
                    <w:tl2br w:val="nil"/>
                    <w:tr2bl w:val="nil"/>
                  </w:tcBorders>
                  <w:vAlign w:val="center"/>
                </w:tcPr>
                <w:p w14:paraId="1FA5278D">
                  <w:pPr>
                    <w:pStyle w:val="54"/>
                    <w:rPr>
                      <w:b/>
                      <w:bCs/>
                      <w:color w:val="auto"/>
                    </w:rPr>
                  </w:pPr>
                  <w:r>
                    <w:rPr>
                      <w:b/>
                      <w:bCs/>
                      <w:color w:val="auto"/>
                    </w:rPr>
                    <w:t>建设地点</w:t>
                  </w:r>
                </w:p>
              </w:tc>
              <w:tc>
                <w:tcPr>
                  <w:tcW w:w="4082" w:type="pct"/>
                  <w:gridSpan w:val="4"/>
                  <w:tcBorders>
                    <w:tl2br w:val="nil"/>
                    <w:tr2bl w:val="nil"/>
                  </w:tcBorders>
                  <w:vAlign w:val="center"/>
                </w:tcPr>
                <w:p w14:paraId="2A015DC9">
                  <w:pPr>
                    <w:pStyle w:val="54"/>
                    <w:rPr>
                      <w:color w:val="auto"/>
                    </w:rPr>
                  </w:pPr>
                  <w:r>
                    <w:rPr>
                      <w:rFonts w:hint="eastAsia"/>
                      <w:color w:val="auto"/>
                    </w:rPr>
                    <w:t>宿迁市泗阳县王集镇发展大道东路8号</w:t>
                  </w:r>
                </w:p>
              </w:tc>
            </w:tr>
            <w:tr w14:paraId="53F98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7" w:type="pct"/>
                  <w:tcBorders>
                    <w:tl2br w:val="nil"/>
                    <w:tr2bl w:val="nil"/>
                  </w:tcBorders>
                  <w:vAlign w:val="center"/>
                </w:tcPr>
                <w:p w14:paraId="16AF6F90">
                  <w:pPr>
                    <w:pStyle w:val="54"/>
                    <w:rPr>
                      <w:b/>
                      <w:bCs/>
                      <w:color w:val="auto"/>
                    </w:rPr>
                  </w:pPr>
                  <w:r>
                    <w:rPr>
                      <w:b/>
                      <w:bCs/>
                      <w:color w:val="auto"/>
                    </w:rPr>
                    <w:t>地理坐标</w:t>
                  </w:r>
                </w:p>
              </w:tc>
              <w:tc>
                <w:tcPr>
                  <w:tcW w:w="519" w:type="pct"/>
                  <w:tcBorders>
                    <w:tl2br w:val="nil"/>
                    <w:tr2bl w:val="nil"/>
                  </w:tcBorders>
                  <w:vAlign w:val="center"/>
                </w:tcPr>
                <w:p w14:paraId="506C6175">
                  <w:pPr>
                    <w:pStyle w:val="54"/>
                    <w:rPr>
                      <w:color w:val="auto"/>
                    </w:rPr>
                  </w:pPr>
                  <w:r>
                    <w:rPr>
                      <w:color w:val="auto"/>
                    </w:rPr>
                    <w:t>经度</w:t>
                  </w:r>
                </w:p>
              </w:tc>
              <w:tc>
                <w:tcPr>
                  <w:tcW w:w="1497" w:type="pct"/>
                  <w:tcBorders>
                    <w:tl2br w:val="nil"/>
                    <w:tr2bl w:val="nil"/>
                  </w:tcBorders>
                  <w:vAlign w:val="center"/>
                </w:tcPr>
                <w:p w14:paraId="21937070">
                  <w:pPr>
                    <w:pStyle w:val="54"/>
                    <w:rPr>
                      <w:color w:val="auto"/>
                    </w:rPr>
                  </w:pPr>
                  <w:r>
                    <w:rPr>
                      <w:color w:val="auto"/>
                    </w:rPr>
                    <w:t>118度</w:t>
                  </w:r>
                  <w:r>
                    <w:rPr>
                      <w:rFonts w:hint="eastAsia"/>
                      <w:color w:val="auto"/>
                    </w:rPr>
                    <w:t>44</w:t>
                  </w:r>
                  <w:r>
                    <w:rPr>
                      <w:color w:val="auto"/>
                    </w:rPr>
                    <w:t>分</w:t>
                  </w:r>
                  <w:r>
                    <w:rPr>
                      <w:rFonts w:hint="eastAsia"/>
                      <w:color w:val="auto"/>
                    </w:rPr>
                    <w:t>23.5212</w:t>
                  </w:r>
                  <w:r>
                    <w:rPr>
                      <w:color w:val="auto"/>
                    </w:rPr>
                    <w:t>秒</w:t>
                  </w:r>
                </w:p>
              </w:tc>
              <w:tc>
                <w:tcPr>
                  <w:tcW w:w="566" w:type="pct"/>
                  <w:tcBorders>
                    <w:tl2br w:val="nil"/>
                    <w:tr2bl w:val="nil"/>
                  </w:tcBorders>
                  <w:vAlign w:val="center"/>
                </w:tcPr>
                <w:p w14:paraId="7C93814D">
                  <w:pPr>
                    <w:pStyle w:val="54"/>
                    <w:rPr>
                      <w:color w:val="auto"/>
                    </w:rPr>
                  </w:pPr>
                  <w:r>
                    <w:rPr>
                      <w:color w:val="auto"/>
                    </w:rPr>
                    <w:t>纬度</w:t>
                  </w:r>
                </w:p>
              </w:tc>
              <w:tc>
                <w:tcPr>
                  <w:tcW w:w="1498" w:type="pct"/>
                  <w:tcBorders>
                    <w:tl2br w:val="nil"/>
                    <w:tr2bl w:val="nil"/>
                  </w:tcBorders>
                  <w:vAlign w:val="center"/>
                </w:tcPr>
                <w:p w14:paraId="7331D8DB">
                  <w:pPr>
                    <w:pStyle w:val="54"/>
                    <w:rPr>
                      <w:color w:val="auto"/>
                    </w:rPr>
                  </w:pPr>
                  <w:r>
                    <w:rPr>
                      <w:color w:val="auto"/>
                    </w:rPr>
                    <w:t>33度</w:t>
                  </w:r>
                  <w:r>
                    <w:rPr>
                      <w:rFonts w:hint="eastAsia"/>
                      <w:color w:val="auto"/>
                    </w:rPr>
                    <w:t>50</w:t>
                  </w:r>
                  <w:r>
                    <w:rPr>
                      <w:color w:val="auto"/>
                    </w:rPr>
                    <w:t>分</w:t>
                  </w:r>
                  <w:r>
                    <w:rPr>
                      <w:rFonts w:hint="eastAsia"/>
                      <w:color w:val="auto"/>
                    </w:rPr>
                    <w:t>46.7304秒</w:t>
                  </w:r>
                </w:p>
              </w:tc>
            </w:tr>
            <w:tr w14:paraId="69835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7" w:type="pct"/>
                  <w:tcBorders>
                    <w:tl2br w:val="nil"/>
                    <w:tr2bl w:val="nil"/>
                  </w:tcBorders>
                  <w:vAlign w:val="center"/>
                </w:tcPr>
                <w:p w14:paraId="0D29F74D">
                  <w:pPr>
                    <w:pStyle w:val="54"/>
                    <w:rPr>
                      <w:b/>
                      <w:bCs/>
                      <w:color w:val="auto"/>
                    </w:rPr>
                  </w:pPr>
                  <w:r>
                    <w:rPr>
                      <w:b/>
                      <w:bCs/>
                      <w:color w:val="auto"/>
                    </w:rPr>
                    <w:t>主要危险物质及分布</w:t>
                  </w:r>
                </w:p>
              </w:tc>
              <w:tc>
                <w:tcPr>
                  <w:tcW w:w="4082" w:type="pct"/>
                  <w:gridSpan w:val="4"/>
                  <w:tcBorders>
                    <w:tl2br w:val="nil"/>
                    <w:tr2bl w:val="nil"/>
                  </w:tcBorders>
                  <w:vAlign w:val="center"/>
                </w:tcPr>
                <w:p w14:paraId="4EF02DCB">
                  <w:pPr>
                    <w:pStyle w:val="54"/>
                    <w:ind w:firstLine="420" w:firstLineChars="200"/>
                    <w:jc w:val="both"/>
                    <w:rPr>
                      <w:color w:val="auto"/>
                    </w:rPr>
                  </w:pPr>
                  <w:r>
                    <w:rPr>
                      <w:color w:val="auto"/>
                    </w:rPr>
                    <w:t>本项目主要风险物质为</w:t>
                  </w:r>
                  <w:r>
                    <w:rPr>
                      <w:rFonts w:hint="eastAsia"/>
                      <w:color w:val="auto"/>
                    </w:rPr>
                    <w:t>液压油、润滑油以</w:t>
                  </w:r>
                  <w:r>
                    <w:rPr>
                      <w:color w:val="auto"/>
                    </w:rPr>
                    <w:t>及危险废物，</w:t>
                  </w:r>
                  <w:r>
                    <w:rPr>
                      <w:rFonts w:hint="eastAsia"/>
                      <w:color w:val="auto"/>
                    </w:rPr>
                    <w:t>液压油、润滑油储存在原料库内，</w:t>
                  </w:r>
                  <w:r>
                    <w:rPr>
                      <w:color w:val="auto"/>
                    </w:rPr>
                    <w:t>危险废物</w:t>
                  </w:r>
                  <w:r>
                    <w:rPr>
                      <w:rFonts w:hint="eastAsia"/>
                      <w:color w:val="auto"/>
                    </w:rPr>
                    <w:t>储存在</w:t>
                  </w:r>
                  <w:r>
                    <w:rPr>
                      <w:color w:val="auto"/>
                    </w:rPr>
                    <w:t>危废库内。</w:t>
                  </w:r>
                </w:p>
              </w:tc>
            </w:tr>
            <w:tr w14:paraId="26E0D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917" w:type="pct"/>
                  <w:tcBorders>
                    <w:tl2br w:val="nil"/>
                    <w:tr2bl w:val="nil"/>
                  </w:tcBorders>
                  <w:vAlign w:val="center"/>
                </w:tcPr>
                <w:p w14:paraId="4D763F76">
                  <w:pPr>
                    <w:pStyle w:val="54"/>
                    <w:rPr>
                      <w:b/>
                      <w:bCs/>
                      <w:color w:val="auto"/>
                    </w:rPr>
                  </w:pPr>
                  <w:r>
                    <w:rPr>
                      <w:b/>
                      <w:bCs/>
                      <w:color w:val="auto"/>
                    </w:rPr>
                    <w:t>环境影响途径及危害后果</w:t>
                  </w:r>
                  <w:r>
                    <w:rPr>
                      <w:rFonts w:hint="eastAsia"/>
                      <w:b/>
                      <w:bCs/>
                      <w:color w:val="auto"/>
                    </w:rPr>
                    <w:t>（</w:t>
                  </w:r>
                  <w:r>
                    <w:rPr>
                      <w:b/>
                      <w:bCs/>
                      <w:color w:val="auto"/>
                    </w:rPr>
                    <w:t>大气、地表水、地下水等</w:t>
                  </w:r>
                  <w:r>
                    <w:rPr>
                      <w:rFonts w:hint="eastAsia"/>
                      <w:b/>
                      <w:bCs/>
                      <w:color w:val="auto"/>
                    </w:rPr>
                    <w:t>）</w:t>
                  </w:r>
                </w:p>
              </w:tc>
              <w:tc>
                <w:tcPr>
                  <w:tcW w:w="4082" w:type="pct"/>
                  <w:gridSpan w:val="4"/>
                  <w:tcBorders>
                    <w:tl2br w:val="nil"/>
                    <w:tr2bl w:val="nil"/>
                  </w:tcBorders>
                  <w:vAlign w:val="center"/>
                </w:tcPr>
                <w:p w14:paraId="294A5AEF">
                  <w:pPr>
                    <w:widowControl/>
                    <w:autoSpaceDE/>
                    <w:autoSpaceDN/>
                    <w:adjustRightInd/>
                    <w:snapToGrid/>
                    <w:spacing w:line="240" w:lineRule="auto"/>
                    <w:ind w:firstLine="420" w:firstLineChars="200"/>
                    <w:rPr>
                      <w:color w:val="auto"/>
                    </w:rPr>
                  </w:pPr>
                  <w:r>
                    <w:rPr>
                      <w:color w:val="auto"/>
                    </w:rPr>
                    <w:t>地表水、地下水：</w:t>
                  </w:r>
                  <w:r>
                    <w:rPr>
                      <w:rFonts w:hint="eastAsia"/>
                      <w:color w:val="auto"/>
                    </w:rPr>
                    <w:t>液压油、润滑油</w:t>
                  </w:r>
                  <w:r>
                    <w:rPr>
                      <w:color w:val="auto"/>
                    </w:rPr>
                    <w:t>及危险废物发生泄漏，若处理不及时或处理措施采取不当，污染物会进入地表水、地下水，对地表水、地下水水质造成不同程度污染。大气：</w:t>
                  </w:r>
                  <w:r>
                    <w:rPr>
                      <w:rFonts w:hint="eastAsia"/>
                      <w:color w:val="auto"/>
                    </w:rPr>
                    <w:t>液压油、润滑油</w:t>
                  </w:r>
                  <w:r>
                    <w:rPr>
                      <w:color w:val="auto"/>
                    </w:rPr>
                    <w:t>及危险废物等易燃物遇到明火等点火源可引起火灾事故，同时造成大气污染。土壤：</w:t>
                  </w:r>
                  <w:r>
                    <w:rPr>
                      <w:rFonts w:hint="eastAsia"/>
                      <w:color w:val="auto"/>
                    </w:rPr>
                    <w:t>液压油、润滑油</w:t>
                  </w:r>
                  <w:r>
                    <w:rPr>
                      <w:color w:val="auto"/>
                    </w:rPr>
                    <w:t>及危险废物发生渗漏，若处理不及时或处理措施采取不当，污染物会进入土壤，对土壤环境造成不同程度污染。</w:t>
                  </w:r>
                </w:p>
              </w:tc>
            </w:tr>
            <w:tr w14:paraId="5ADD6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917" w:type="pct"/>
                  <w:tcBorders>
                    <w:tl2br w:val="nil"/>
                    <w:tr2bl w:val="nil"/>
                  </w:tcBorders>
                  <w:vAlign w:val="center"/>
                </w:tcPr>
                <w:p w14:paraId="5D078090">
                  <w:pPr>
                    <w:pStyle w:val="54"/>
                    <w:rPr>
                      <w:b/>
                      <w:bCs/>
                      <w:color w:val="auto"/>
                    </w:rPr>
                  </w:pPr>
                  <w:r>
                    <w:rPr>
                      <w:b/>
                      <w:bCs/>
                      <w:color w:val="auto"/>
                    </w:rPr>
                    <w:t>环境风险防范措施</w:t>
                  </w:r>
                </w:p>
              </w:tc>
              <w:tc>
                <w:tcPr>
                  <w:tcW w:w="4082" w:type="pct"/>
                  <w:gridSpan w:val="4"/>
                  <w:tcBorders>
                    <w:tl2br w:val="nil"/>
                    <w:tr2bl w:val="nil"/>
                  </w:tcBorders>
                  <w:vAlign w:val="center"/>
                </w:tcPr>
                <w:p w14:paraId="2EAB5D26">
                  <w:pPr>
                    <w:pStyle w:val="54"/>
                    <w:ind w:firstLine="422" w:firstLineChars="200"/>
                    <w:jc w:val="both"/>
                    <w:rPr>
                      <w:b/>
                      <w:bCs/>
                      <w:color w:val="auto"/>
                    </w:rPr>
                  </w:pPr>
                  <w:r>
                    <w:rPr>
                      <w:b/>
                      <w:bCs/>
                      <w:color w:val="auto"/>
                    </w:rPr>
                    <w:t>1）泄漏防范措施</w:t>
                  </w:r>
                </w:p>
                <w:p w14:paraId="1034844E">
                  <w:pPr>
                    <w:pStyle w:val="54"/>
                    <w:ind w:firstLine="420" w:firstLineChars="200"/>
                    <w:jc w:val="both"/>
                    <w:rPr>
                      <w:color w:val="auto"/>
                    </w:rPr>
                  </w:pPr>
                  <w:r>
                    <w:rPr>
                      <w:color w:val="auto"/>
                    </w:rPr>
                    <w:t>①危废仓库、</w:t>
                  </w:r>
                  <w:r>
                    <w:rPr>
                      <w:rFonts w:hint="eastAsia"/>
                      <w:color w:val="auto"/>
                    </w:rPr>
                    <w:t>原料仓库（液压油和润滑油区）</w:t>
                  </w:r>
                  <w:r>
                    <w:rPr>
                      <w:color w:val="auto"/>
                    </w:rPr>
                    <w:t>等要求，设置防渗漏的地基并设置</w:t>
                  </w:r>
                  <w:r>
                    <w:rPr>
                      <w:rFonts w:hint="eastAsia"/>
                      <w:color w:val="auto"/>
                    </w:rPr>
                    <w:t>导流沟</w:t>
                  </w:r>
                  <w:r>
                    <w:rPr>
                      <w:color w:val="auto"/>
                    </w:rPr>
                    <w:t>，以确保任何物质的冒溢能被回收。危废库防渗需满足《危险废物贮存污染控制标准》</w:t>
                  </w:r>
                  <w:r>
                    <w:rPr>
                      <w:rFonts w:hint="eastAsia"/>
                      <w:color w:val="auto"/>
                    </w:rPr>
                    <w:t>（</w:t>
                  </w:r>
                  <w:r>
                    <w:rPr>
                      <w:color w:val="auto"/>
                    </w:rPr>
                    <w:t>GB18597-2023</w:t>
                  </w:r>
                  <w:r>
                    <w:rPr>
                      <w:rFonts w:hint="eastAsia"/>
                      <w:color w:val="auto"/>
                    </w:rPr>
                    <w:t>）</w:t>
                  </w:r>
                  <w:r>
                    <w:rPr>
                      <w:color w:val="auto"/>
                    </w:rPr>
                    <w:t>中相关规定，即贮存场基础防渗层至少2mm厚高密度聚乙烯膜等人工防渗材料</w:t>
                  </w:r>
                  <w:r>
                    <w:rPr>
                      <w:rFonts w:hint="eastAsia"/>
                      <w:color w:val="auto"/>
                    </w:rPr>
                    <w:t>（</w:t>
                  </w:r>
                  <w:r>
                    <w:rPr>
                      <w:color w:val="auto"/>
                    </w:rPr>
                    <w:t>渗透系数不大于1.0×10</w:t>
                  </w:r>
                  <w:r>
                    <w:rPr>
                      <w:color w:val="auto"/>
                      <w:vertAlign w:val="superscript"/>
                    </w:rPr>
                    <w:t>-10</w:t>
                  </w:r>
                  <w:r>
                    <w:rPr>
                      <w:color w:val="auto"/>
                    </w:rPr>
                    <w:t>cm/s</w:t>
                  </w:r>
                  <w:r>
                    <w:rPr>
                      <w:rFonts w:hint="eastAsia"/>
                      <w:color w:val="auto"/>
                    </w:rPr>
                    <w:t>）</w:t>
                  </w:r>
                  <w:r>
                    <w:rPr>
                      <w:color w:val="auto"/>
                    </w:rPr>
                    <w:t>，或者其他防渗性能等效的材料。</w:t>
                  </w:r>
                </w:p>
                <w:p w14:paraId="6B173A56">
                  <w:pPr>
                    <w:pStyle w:val="54"/>
                    <w:ind w:firstLine="420" w:firstLineChars="200"/>
                    <w:jc w:val="both"/>
                    <w:rPr>
                      <w:color w:val="auto"/>
                    </w:rPr>
                  </w:pPr>
                  <w:r>
                    <w:rPr>
                      <w:color w:val="auto"/>
                    </w:rPr>
                    <w:t>②做好泄漏物质的收集工作，并配备相应的应急物资</w:t>
                  </w:r>
                  <w:r>
                    <w:rPr>
                      <w:rFonts w:hint="eastAsia"/>
                      <w:color w:val="auto"/>
                    </w:rPr>
                    <w:t>（</w:t>
                  </w:r>
                  <w:r>
                    <w:rPr>
                      <w:color w:val="auto"/>
                    </w:rPr>
                    <w:t>包括空桶、沙土等</w:t>
                  </w:r>
                  <w:r>
                    <w:rPr>
                      <w:rFonts w:hint="eastAsia"/>
                      <w:color w:val="auto"/>
                    </w:rPr>
                    <w:t>）</w:t>
                  </w:r>
                  <w:r>
                    <w:rPr>
                      <w:color w:val="auto"/>
                    </w:rPr>
                    <w:t>，清理后的废物作相应处置。</w:t>
                  </w:r>
                </w:p>
                <w:p w14:paraId="2D2E5299">
                  <w:pPr>
                    <w:autoSpaceDE/>
                    <w:autoSpaceDN/>
                    <w:adjustRightInd/>
                    <w:spacing w:line="240" w:lineRule="auto"/>
                    <w:ind w:firstLine="420" w:firstLineChars="200"/>
                    <w:rPr>
                      <w:color w:val="auto"/>
                    </w:rPr>
                  </w:pPr>
                  <w:r>
                    <w:rPr>
                      <w:color w:val="auto"/>
                    </w:rPr>
                    <w:t>③建立日常巡视制度，定期对设备进行维护保养。</w:t>
                  </w:r>
                </w:p>
                <w:p w14:paraId="405E6341">
                  <w:pPr>
                    <w:pStyle w:val="22"/>
                    <w:tabs>
                      <w:tab w:val="left" w:pos="349"/>
                    </w:tabs>
                    <w:ind w:firstLine="422" w:firstLineChars="200"/>
                    <w:jc w:val="both"/>
                    <w:rPr>
                      <w:b/>
                      <w:bCs/>
                      <w:color w:val="auto"/>
                    </w:rPr>
                  </w:pPr>
                  <w:r>
                    <w:rPr>
                      <w:rFonts w:hint="eastAsia"/>
                      <w:b/>
                      <w:bCs/>
                      <w:color w:val="auto"/>
                    </w:rPr>
                    <w:t>2</w:t>
                  </w:r>
                  <w:r>
                    <w:rPr>
                      <w:b/>
                      <w:bCs/>
                      <w:color w:val="auto"/>
                    </w:rPr>
                    <w:t>）火灾环境风险措施</w:t>
                  </w:r>
                </w:p>
                <w:p w14:paraId="7C8CB945">
                  <w:pPr>
                    <w:pStyle w:val="22"/>
                    <w:ind w:firstLine="420" w:firstLineChars="200"/>
                    <w:jc w:val="both"/>
                    <w:rPr>
                      <w:color w:val="auto"/>
                    </w:rPr>
                  </w:pPr>
                  <w:r>
                    <w:rPr>
                      <w:color w:val="auto"/>
                    </w:rPr>
                    <w:t>本项目易燃物质遇有火苗、火星、电弧或适当的温度，容易引起火灾。因此，本项目对环境风险应采用以下措施：</w:t>
                  </w:r>
                </w:p>
                <w:p w14:paraId="3EC0E3EE">
                  <w:pPr>
                    <w:pStyle w:val="22"/>
                    <w:tabs>
                      <w:tab w:val="left" w:pos="6124"/>
                    </w:tabs>
                    <w:ind w:firstLine="420" w:firstLineChars="200"/>
                    <w:jc w:val="both"/>
                    <w:rPr>
                      <w:color w:val="auto"/>
                    </w:rPr>
                  </w:pPr>
                  <w:r>
                    <w:rPr>
                      <w:color w:val="auto"/>
                    </w:rPr>
                    <w:t>①车间内严禁烟火；</w:t>
                  </w:r>
                </w:p>
                <w:p w14:paraId="2650DD52">
                  <w:pPr>
                    <w:pStyle w:val="22"/>
                    <w:ind w:firstLine="420" w:firstLineChars="200"/>
                    <w:jc w:val="both"/>
                    <w:rPr>
                      <w:color w:val="auto"/>
                    </w:rPr>
                  </w:pPr>
                  <w:r>
                    <w:rPr>
                      <w:color w:val="auto"/>
                    </w:rPr>
                    <w:t>②</w:t>
                  </w:r>
                  <w:r>
                    <w:rPr>
                      <w:color w:val="auto"/>
                      <w:lang w:val="zh-CN"/>
                    </w:rPr>
                    <w:t>组织义务消防员，并进行定期的培训和训练</w:t>
                  </w:r>
                  <w:r>
                    <w:rPr>
                      <w:color w:val="auto"/>
                    </w:rPr>
                    <w:t>；</w:t>
                  </w:r>
                </w:p>
                <w:p w14:paraId="1769B511">
                  <w:pPr>
                    <w:pStyle w:val="22"/>
                    <w:ind w:firstLine="420" w:firstLineChars="200"/>
                    <w:jc w:val="both"/>
                    <w:rPr>
                      <w:color w:val="auto"/>
                    </w:rPr>
                  </w:pPr>
                  <w:r>
                    <w:rPr>
                      <w:color w:val="auto"/>
                    </w:rPr>
                    <w:t>③配置消防设备设施；</w:t>
                  </w:r>
                </w:p>
                <w:p w14:paraId="2BCA91A6">
                  <w:pPr>
                    <w:pStyle w:val="22"/>
                    <w:ind w:firstLine="420" w:firstLineChars="200"/>
                    <w:jc w:val="both"/>
                    <w:rPr>
                      <w:color w:val="auto"/>
                    </w:rPr>
                  </w:pPr>
                  <w:r>
                    <w:rPr>
                      <w:color w:val="auto"/>
                    </w:rPr>
                    <w:t>④规划</w:t>
                  </w:r>
                  <w:r>
                    <w:rPr>
                      <w:color w:val="auto"/>
                      <w:lang w:val="zh-CN"/>
                    </w:rPr>
                    <w:t>足够的消防通道</w:t>
                  </w:r>
                  <w:r>
                    <w:rPr>
                      <w:color w:val="auto"/>
                    </w:rPr>
                    <w:t>。</w:t>
                  </w:r>
                </w:p>
                <w:p w14:paraId="2CAD42CF">
                  <w:pPr>
                    <w:autoSpaceDE/>
                    <w:autoSpaceDN/>
                    <w:adjustRightInd/>
                    <w:spacing w:line="240" w:lineRule="auto"/>
                    <w:ind w:firstLine="422" w:firstLineChars="200"/>
                    <w:rPr>
                      <w:b/>
                      <w:bCs/>
                      <w:color w:val="auto"/>
                    </w:rPr>
                  </w:pPr>
                  <w:r>
                    <w:rPr>
                      <w:rFonts w:hint="eastAsia"/>
                      <w:b/>
                      <w:bCs/>
                      <w:color w:val="auto"/>
                    </w:rPr>
                    <w:t>3</w:t>
                  </w:r>
                  <w:r>
                    <w:rPr>
                      <w:b/>
                      <w:bCs/>
                      <w:color w:val="auto"/>
                    </w:rPr>
                    <w:t>）废气处理设施风险防范措施</w:t>
                  </w:r>
                </w:p>
                <w:p w14:paraId="7C947333">
                  <w:pPr>
                    <w:pStyle w:val="22"/>
                    <w:ind w:firstLine="420" w:firstLineChars="200"/>
                    <w:jc w:val="both"/>
                    <w:rPr>
                      <w:color w:val="auto"/>
                    </w:rPr>
                  </w:pPr>
                  <w:r>
                    <w:rPr>
                      <w:color w:val="auto"/>
                    </w:rPr>
                    <w:t>①平时加强废气处理设施的维护保养，及时发现处理设备的隐患，并及时进行维修，确保废气处理系统正常运行，安装风机异常报警装置，确保废气排放的污染物达标排放；</w:t>
                  </w:r>
                </w:p>
                <w:p w14:paraId="639140E3">
                  <w:pPr>
                    <w:pStyle w:val="22"/>
                    <w:ind w:firstLine="420" w:firstLineChars="200"/>
                    <w:jc w:val="both"/>
                    <w:rPr>
                      <w:color w:val="auto"/>
                    </w:rPr>
                  </w:pPr>
                  <w:r>
                    <w:rPr>
                      <w:color w:val="auto"/>
                    </w:rPr>
                    <w:t>②建立健全的环保机构，对管理人员和技术人员进行岗位培训，对废气处理实行全过程跟踪控制。</w:t>
                  </w:r>
                </w:p>
                <w:p w14:paraId="54336D4E">
                  <w:pPr>
                    <w:pStyle w:val="22"/>
                    <w:ind w:firstLine="422" w:firstLineChars="200"/>
                    <w:jc w:val="both"/>
                    <w:rPr>
                      <w:b/>
                      <w:bCs/>
                      <w:color w:val="auto"/>
                    </w:rPr>
                  </w:pPr>
                  <w:r>
                    <w:rPr>
                      <w:rFonts w:hint="eastAsia"/>
                      <w:b/>
                      <w:bCs/>
                      <w:color w:val="auto"/>
                    </w:rPr>
                    <w:t>4</w:t>
                  </w:r>
                  <w:r>
                    <w:rPr>
                      <w:b/>
                      <w:bCs/>
                      <w:color w:val="auto"/>
                    </w:rPr>
                    <w:t>）突发环境事件应急措施与应急联动要求</w:t>
                  </w:r>
                </w:p>
                <w:p w14:paraId="549EF608">
                  <w:pPr>
                    <w:pStyle w:val="22"/>
                    <w:ind w:firstLine="420" w:firstLineChars="200"/>
                    <w:jc w:val="both"/>
                    <w:rPr>
                      <w:color w:val="auto"/>
                    </w:rPr>
                  </w:pPr>
                  <w:r>
                    <w:rPr>
                      <w:color w:val="auto"/>
                    </w:rPr>
                    <w:t>企业应根据生产特点和事故隐患分析，制定事故应急计划，建立事故应急组织管理制度，包括事故现场指挥人员、事故处理人员等各自的职责、任务，事故处理步骤，事故隔离区域和人员疏散等，并定期组织消防安全演练。有效预防、及时控制和消除突发环境污染事件的危害；提高公司应急人员的应急反应能力；确保迅速有效地处理突发环境污染造成的局部或区域环境污染事件。</w:t>
                  </w:r>
                </w:p>
                <w:p w14:paraId="74B62A8E">
                  <w:pPr>
                    <w:autoSpaceDE/>
                    <w:autoSpaceDN/>
                    <w:adjustRightInd/>
                    <w:spacing w:line="240" w:lineRule="auto"/>
                    <w:ind w:firstLine="420" w:firstLineChars="200"/>
                    <w:rPr>
                      <w:color w:val="auto"/>
                    </w:rPr>
                  </w:pPr>
                  <w:r>
                    <w:rPr>
                      <w:color w:val="auto"/>
                    </w:rPr>
                    <w:t>根据《关于做好生态环境和应急管理部门联动工作的意见》（苏环办〔2020〕101号）和《关于做好生态环境和应急管理部门联动工作的通知》（宿环发〔2020〕38号），</w:t>
                  </w:r>
                  <w:r>
                    <w:rPr>
                      <w:rFonts w:hint="eastAsia" w:ascii="Times New Roman" w:hAnsi="Times New Roman" w:eastAsia="宋体" w:cs="Times New Roman"/>
                      <w:color w:val="auto"/>
                      <w:lang w:val="en-US" w:eastAsia="zh-CN"/>
                    </w:rPr>
                    <w:t>建议企业</w:t>
                  </w:r>
                  <w:r>
                    <w:rPr>
                      <w:rFonts w:hint="eastAsia" w:cs="Times New Roman"/>
                      <w:color w:val="auto"/>
                      <w:lang w:val="en-US" w:eastAsia="zh-CN"/>
                    </w:rPr>
                    <w:t>按照要求</w:t>
                  </w:r>
                  <w:r>
                    <w:rPr>
                      <w:rFonts w:hint="eastAsia" w:ascii="Times New Roman" w:hAnsi="Times New Roman" w:eastAsia="宋体" w:cs="Times New Roman"/>
                      <w:color w:val="auto"/>
                      <w:lang w:val="en-US" w:eastAsia="zh-CN"/>
                    </w:rPr>
                    <w:t>开展</w:t>
                  </w:r>
                  <w:r>
                    <w:rPr>
                      <w:rFonts w:hint="eastAsia" w:cs="Times New Roman"/>
                      <w:color w:val="auto"/>
                      <w:lang w:val="en-US" w:eastAsia="zh-CN"/>
                    </w:rPr>
                    <w:t>编制</w:t>
                  </w:r>
                  <w:r>
                    <w:rPr>
                      <w:rFonts w:hint="eastAsia" w:ascii="Times New Roman" w:hAnsi="Times New Roman" w:eastAsia="宋体" w:cs="Times New Roman"/>
                      <w:color w:val="auto"/>
                      <w:lang w:val="en-US" w:eastAsia="zh-CN"/>
                    </w:rPr>
                    <w:t>环保设施安全评价工作，做好环保设施的平面布局，确保有效防控安全事故发生。</w:t>
                  </w:r>
                  <w:r>
                    <w:rPr>
                      <w:color w:val="auto"/>
                    </w:rPr>
                    <w:t>企业应建立项目源头审批联动机制、建立危险废物监管联动机制、建立环境治理设施监管联动机制、建立联合执法机制。</w:t>
                  </w:r>
                </w:p>
              </w:tc>
            </w:tr>
            <w:tr w14:paraId="41E7D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5000" w:type="pct"/>
                  <w:gridSpan w:val="5"/>
                  <w:tcBorders>
                    <w:tl2br w:val="nil"/>
                    <w:tr2bl w:val="nil"/>
                  </w:tcBorders>
                  <w:vAlign w:val="center"/>
                </w:tcPr>
                <w:p w14:paraId="306A99A2">
                  <w:pPr>
                    <w:pStyle w:val="54"/>
                    <w:jc w:val="left"/>
                    <w:rPr>
                      <w:color w:val="auto"/>
                    </w:rPr>
                  </w:pPr>
                  <w:r>
                    <w:rPr>
                      <w:color w:val="auto"/>
                    </w:rPr>
                    <w:t>填表说明</w:t>
                  </w:r>
                  <w:r>
                    <w:rPr>
                      <w:rFonts w:hint="eastAsia"/>
                      <w:color w:val="auto"/>
                    </w:rPr>
                    <w:t>（</w:t>
                  </w:r>
                  <w:r>
                    <w:rPr>
                      <w:color w:val="auto"/>
                    </w:rPr>
                    <w:t>列出项目相关信息及评价说明</w:t>
                  </w:r>
                  <w:r>
                    <w:rPr>
                      <w:rFonts w:hint="eastAsia"/>
                      <w:color w:val="auto"/>
                    </w:rPr>
                    <w:t>）</w:t>
                  </w:r>
                  <w:r>
                    <w:rPr>
                      <w:color w:val="auto"/>
                    </w:rPr>
                    <w:t>：项目环境风险潜势为Ⅰ，评价等级为简单分析</w:t>
                  </w:r>
                </w:p>
              </w:tc>
            </w:tr>
          </w:tbl>
          <w:p w14:paraId="0C18B2E4">
            <w:pPr>
              <w:pStyle w:val="54"/>
              <w:jc w:val="both"/>
              <w:rPr>
                <w:color w:val="auto"/>
              </w:rPr>
            </w:pPr>
          </w:p>
        </w:tc>
      </w:tr>
    </w:tbl>
    <w:p w14:paraId="14323A55">
      <w:pPr>
        <w:pStyle w:val="50"/>
        <w:ind w:firstLine="480"/>
        <w:rPr>
          <w:color w:val="auto"/>
        </w:rPr>
        <w:sectPr>
          <w:pgSz w:w="11906" w:h="16838"/>
          <w:pgMar w:top="1701" w:right="1417" w:bottom="1701" w:left="1417" w:header="851" w:footer="851" w:gutter="0"/>
          <w:cols w:space="720" w:num="1"/>
          <w:docGrid w:linePitch="312" w:charSpace="0"/>
        </w:sectPr>
      </w:pPr>
      <w:bookmarkStart w:id="122" w:name="_Toc7041"/>
    </w:p>
    <w:p w14:paraId="31F80AC1">
      <w:pPr>
        <w:pStyle w:val="2"/>
        <w:spacing w:line="240" w:lineRule="auto"/>
        <w:rPr>
          <w:color w:val="auto"/>
        </w:rPr>
      </w:pPr>
      <w:bookmarkStart w:id="123" w:name="_Toc24336"/>
      <w:r>
        <w:rPr>
          <w:color w:val="auto"/>
        </w:rPr>
        <w:t>五、</w:t>
      </w:r>
      <w:bookmarkStart w:id="124" w:name="_Hlk54167917"/>
      <w:r>
        <w:rPr>
          <w:color w:val="auto"/>
        </w:rPr>
        <w:t>环境保护措施监督检查清单</w:t>
      </w:r>
      <w:bookmarkEnd w:id="122"/>
      <w:bookmarkEnd w:id="123"/>
      <w:bookmarkEnd w:id="124"/>
    </w:p>
    <w:tbl>
      <w:tblPr>
        <w:tblStyle w:val="17"/>
        <w:tblW w:w="512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2"/>
        <w:gridCol w:w="388"/>
        <w:gridCol w:w="1558"/>
        <w:gridCol w:w="1187"/>
        <w:gridCol w:w="2333"/>
        <w:gridCol w:w="3086"/>
      </w:tblGrid>
      <w:tr w14:paraId="17559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510" w:type="pct"/>
            <w:tcBorders>
              <w:tl2br w:val="single" w:color="auto" w:sz="4" w:space="0"/>
            </w:tcBorders>
            <w:shd w:val="clear" w:color="auto" w:fill="auto"/>
            <w:vAlign w:val="center"/>
          </w:tcPr>
          <w:p w14:paraId="34950516">
            <w:pPr>
              <w:pStyle w:val="52"/>
              <w:jc w:val="right"/>
              <w:rPr>
                <w:color w:val="auto"/>
              </w:rPr>
            </w:pPr>
            <w:bookmarkStart w:id="125" w:name="_Toc10537"/>
            <w:r>
              <w:rPr>
                <w:color w:val="auto"/>
              </w:rPr>
              <w:t xml:space="preserve">   内容</w:t>
            </w:r>
          </w:p>
          <w:p w14:paraId="6736FDF2">
            <w:pPr>
              <w:pStyle w:val="52"/>
              <w:rPr>
                <w:color w:val="auto"/>
              </w:rPr>
            </w:pPr>
          </w:p>
          <w:p w14:paraId="1C420F6F">
            <w:pPr>
              <w:pStyle w:val="52"/>
              <w:jc w:val="left"/>
              <w:rPr>
                <w:color w:val="auto"/>
              </w:rPr>
            </w:pPr>
            <w:r>
              <w:rPr>
                <w:color w:val="auto"/>
              </w:rPr>
              <w:t>要素</w:t>
            </w:r>
          </w:p>
        </w:tc>
        <w:tc>
          <w:tcPr>
            <w:tcW w:w="1021" w:type="pct"/>
            <w:gridSpan w:val="2"/>
            <w:shd w:val="clear" w:color="auto" w:fill="auto"/>
            <w:vAlign w:val="center"/>
          </w:tcPr>
          <w:p w14:paraId="7CD13B39">
            <w:pPr>
              <w:pStyle w:val="52"/>
              <w:rPr>
                <w:color w:val="auto"/>
              </w:rPr>
            </w:pPr>
            <w:r>
              <w:rPr>
                <w:color w:val="auto"/>
              </w:rPr>
              <w:t>排放口（编号、名称）/污染源</w:t>
            </w:r>
          </w:p>
        </w:tc>
        <w:tc>
          <w:tcPr>
            <w:tcW w:w="623" w:type="pct"/>
            <w:shd w:val="clear" w:color="auto" w:fill="auto"/>
            <w:vAlign w:val="center"/>
          </w:tcPr>
          <w:p w14:paraId="5D33D4F8">
            <w:pPr>
              <w:pStyle w:val="52"/>
              <w:rPr>
                <w:color w:val="auto"/>
              </w:rPr>
            </w:pPr>
            <w:r>
              <w:rPr>
                <w:color w:val="auto"/>
              </w:rPr>
              <w:t>污染物</w:t>
            </w:r>
          </w:p>
          <w:p w14:paraId="551CE61F">
            <w:pPr>
              <w:pStyle w:val="52"/>
              <w:rPr>
                <w:color w:val="auto"/>
              </w:rPr>
            </w:pPr>
            <w:r>
              <w:rPr>
                <w:color w:val="auto"/>
              </w:rPr>
              <w:t>项目</w:t>
            </w:r>
          </w:p>
        </w:tc>
        <w:tc>
          <w:tcPr>
            <w:tcW w:w="1225" w:type="pct"/>
            <w:shd w:val="clear" w:color="auto" w:fill="auto"/>
            <w:vAlign w:val="center"/>
          </w:tcPr>
          <w:p w14:paraId="685F42BA">
            <w:pPr>
              <w:pStyle w:val="52"/>
              <w:rPr>
                <w:color w:val="auto"/>
              </w:rPr>
            </w:pPr>
            <w:r>
              <w:rPr>
                <w:color w:val="auto"/>
              </w:rPr>
              <w:t>环境保护措施</w:t>
            </w:r>
          </w:p>
        </w:tc>
        <w:tc>
          <w:tcPr>
            <w:tcW w:w="1619" w:type="pct"/>
            <w:shd w:val="clear" w:color="auto" w:fill="auto"/>
            <w:vAlign w:val="center"/>
          </w:tcPr>
          <w:p w14:paraId="43E21B39">
            <w:pPr>
              <w:pStyle w:val="52"/>
              <w:rPr>
                <w:color w:val="auto"/>
              </w:rPr>
            </w:pPr>
            <w:r>
              <w:rPr>
                <w:color w:val="auto"/>
              </w:rPr>
              <w:t>执行标准</w:t>
            </w:r>
          </w:p>
        </w:tc>
      </w:tr>
      <w:tr w14:paraId="20B222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10" w:type="pct"/>
            <w:vMerge w:val="restart"/>
            <w:shd w:val="clear" w:color="auto" w:fill="auto"/>
            <w:vAlign w:val="center"/>
          </w:tcPr>
          <w:p w14:paraId="759B7006">
            <w:pPr>
              <w:pStyle w:val="54"/>
              <w:rPr>
                <w:color w:val="auto"/>
              </w:rPr>
            </w:pPr>
            <w:r>
              <w:rPr>
                <w:color w:val="auto"/>
              </w:rPr>
              <w:t>大气环境</w:t>
            </w:r>
          </w:p>
        </w:tc>
        <w:tc>
          <w:tcPr>
            <w:tcW w:w="203" w:type="pct"/>
            <w:vMerge w:val="restart"/>
            <w:shd w:val="clear" w:color="auto" w:fill="auto"/>
            <w:vAlign w:val="center"/>
          </w:tcPr>
          <w:p w14:paraId="2ABF50A9">
            <w:pPr>
              <w:pStyle w:val="54"/>
              <w:rPr>
                <w:color w:val="auto"/>
              </w:rPr>
            </w:pPr>
            <w:r>
              <w:rPr>
                <w:color w:val="auto"/>
              </w:rPr>
              <w:t>有组织</w:t>
            </w:r>
          </w:p>
        </w:tc>
        <w:tc>
          <w:tcPr>
            <w:tcW w:w="817" w:type="pct"/>
            <w:shd w:val="clear" w:color="auto" w:fill="auto"/>
            <w:vAlign w:val="center"/>
          </w:tcPr>
          <w:p w14:paraId="474C1264">
            <w:pPr>
              <w:pStyle w:val="54"/>
              <w:rPr>
                <w:color w:val="auto"/>
              </w:rPr>
            </w:pPr>
            <w:r>
              <w:rPr>
                <w:color w:val="auto"/>
              </w:rPr>
              <w:t>上引法无氧铜杆连铸机组</w:t>
            </w:r>
            <w:r>
              <w:rPr>
                <w:rFonts w:hint="eastAsia"/>
                <w:color w:val="auto"/>
              </w:rPr>
              <w:t>（</w:t>
            </w:r>
            <w:r>
              <w:rPr>
                <w:color w:val="auto"/>
              </w:rPr>
              <w:t>DA00</w:t>
            </w:r>
            <w:r>
              <w:rPr>
                <w:rFonts w:hint="eastAsia"/>
                <w:color w:val="auto"/>
              </w:rPr>
              <w:t>3）</w:t>
            </w:r>
          </w:p>
        </w:tc>
        <w:tc>
          <w:tcPr>
            <w:tcW w:w="623" w:type="pct"/>
            <w:shd w:val="clear" w:color="auto" w:fill="auto"/>
            <w:vAlign w:val="center"/>
          </w:tcPr>
          <w:p w14:paraId="3C0FC038">
            <w:pPr>
              <w:pStyle w:val="54"/>
              <w:rPr>
                <w:color w:val="auto"/>
              </w:rPr>
            </w:pPr>
            <w:r>
              <w:rPr>
                <w:rFonts w:hint="eastAsia"/>
                <w:color w:val="auto"/>
              </w:rPr>
              <w:t>颗粒物</w:t>
            </w:r>
          </w:p>
        </w:tc>
        <w:tc>
          <w:tcPr>
            <w:tcW w:w="1225" w:type="pct"/>
            <w:shd w:val="clear" w:color="auto" w:fill="auto"/>
            <w:vAlign w:val="center"/>
          </w:tcPr>
          <w:p w14:paraId="18B65DEC">
            <w:pPr>
              <w:pStyle w:val="54"/>
              <w:rPr>
                <w:color w:val="auto"/>
              </w:rPr>
            </w:pPr>
            <w:r>
              <w:rPr>
                <w:rFonts w:hint="eastAsia"/>
                <w:color w:val="auto"/>
              </w:rPr>
              <w:t>集气罩</w:t>
            </w:r>
            <w:r>
              <w:rPr>
                <w:color w:val="auto"/>
              </w:rPr>
              <w:t>+</w:t>
            </w:r>
            <w:r>
              <w:rPr>
                <w:rFonts w:hint="eastAsia"/>
                <w:color w:val="auto"/>
              </w:rPr>
              <w:t>布袋除尘器</w:t>
            </w:r>
            <w:r>
              <w:rPr>
                <w:color w:val="auto"/>
              </w:rPr>
              <w:t>+15m排气筒（DA00</w:t>
            </w:r>
            <w:r>
              <w:rPr>
                <w:rFonts w:hint="eastAsia"/>
                <w:color w:val="auto"/>
              </w:rPr>
              <w:t>3</w:t>
            </w:r>
            <w:r>
              <w:rPr>
                <w:color w:val="auto"/>
              </w:rPr>
              <w:t>）</w:t>
            </w:r>
          </w:p>
        </w:tc>
        <w:tc>
          <w:tcPr>
            <w:tcW w:w="1619" w:type="pct"/>
            <w:shd w:val="clear" w:color="auto" w:fill="auto"/>
            <w:vAlign w:val="center"/>
          </w:tcPr>
          <w:p w14:paraId="64631CBA">
            <w:pPr>
              <w:pStyle w:val="54"/>
              <w:rPr>
                <w:color w:val="auto"/>
              </w:rPr>
            </w:pPr>
            <w:r>
              <w:rPr>
                <w:color w:val="auto"/>
              </w:rPr>
              <w:t>《工业炉窑大气污染物排放标准》（DB 32/3728-2020）表1</w:t>
            </w:r>
          </w:p>
        </w:tc>
      </w:tr>
      <w:tr w14:paraId="0A555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10" w:type="pct"/>
            <w:vMerge w:val="continue"/>
            <w:shd w:val="clear" w:color="auto" w:fill="auto"/>
            <w:vAlign w:val="center"/>
          </w:tcPr>
          <w:p w14:paraId="482F0532">
            <w:pPr>
              <w:pStyle w:val="54"/>
              <w:rPr>
                <w:color w:val="auto"/>
              </w:rPr>
            </w:pPr>
          </w:p>
        </w:tc>
        <w:tc>
          <w:tcPr>
            <w:tcW w:w="203" w:type="pct"/>
            <w:vMerge w:val="continue"/>
            <w:shd w:val="clear" w:color="auto" w:fill="auto"/>
            <w:vAlign w:val="center"/>
          </w:tcPr>
          <w:p w14:paraId="3691DB54">
            <w:pPr>
              <w:pStyle w:val="54"/>
              <w:rPr>
                <w:color w:val="auto"/>
              </w:rPr>
            </w:pPr>
          </w:p>
        </w:tc>
        <w:tc>
          <w:tcPr>
            <w:tcW w:w="817" w:type="pct"/>
            <w:shd w:val="clear" w:color="auto" w:fill="auto"/>
            <w:vAlign w:val="center"/>
          </w:tcPr>
          <w:p w14:paraId="68639108">
            <w:pPr>
              <w:pStyle w:val="54"/>
              <w:rPr>
                <w:color w:val="auto"/>
              </w:rPr>
            </w:pPr>
            <w:r>
              <w:rPr>
                <w:rFonts w:hint="eastAsia"/>
                <w:color w:val="auto"/>
              </w:rPr>
              <w:t>危废库（DA002）</w:t>
            </w:r>
          </w:p>
        </w:tc>
        <w:tc>
          <w:tcPr>
            <w:tcW w:w="623" w:type="pct"/>
            <w:shd w:val="clear" w:color="auto" w:fill="auto"/>
            <w:vAlign w:val="center"/>
          </w:tcPr>
          <w:p w14:paraId="757B8694">
            <w:pPr>
              <w:pStyle w:val="54"/>
              <w:rPr>
                <w:color w:val="auto"/>
              </w:rPr>
            </w:pPr>
            <w:r>
              <w:rPr>
                <w:rFonts w:hint="eastAsia"/>
                <w:color w:val="auto"/>
              </w:rPr>
              <w:t>NMHC</w:t>
            </w:r>
          </w:p>
        </w:tc>
        <w:tc>
          <w:tcPr>
            <w:tcW w:w="1225" w:type="pct"/>
            <w:shd w:val="clear" w:color="auto" w:fill="auto"/>
            <w:vAlign w:val="center"/>
          </w:tcPr>
          <w:p w14:paraId="75D1DBA9">
            <w:pPr>
              <w:pStyle w:val="54"/>
              <w:rPr>
                <w:color w:val="auto"/>
              </w:rPr>
            </w:pPr>
            <w:r>
              <w:rPr>
                <w:rFonts w:hint="eastAsia"/>
                <w:color w:val="auto"/>
              </w:rPr>
              <w:t>负压风管+二级活性炭吸附装置+15m排气筒（DA002）</w:t>
            </w:r>
          </w:p>
        </w:tc>
        <w:tc>
          <w:tcPr>
            <w:tcW w:w="1619" w:type="pct"/>
            <w:shd w:val="clear" w:color="auto" w:fill="auto"/>
            <w:vAlign w:val="center"/>
          </w:tcPr>
          <w:p w14:paraId="427AA3E1">
            <w:pPr>
              <w:pStyle w:val="54"/>
              <w:rPr>
                <w:color w:val="auto"/>
              </w:rPr>
            </w:pPr>
            <w:r>
              <w:rPr>
                <w:color w:val="auto"/>
              </w:rPr>
              <w:t>《大气污染物综合排放标准》（DB 32/4041-2021）表</w:t>
            </w:r>
            <w:r>
              <w:rPr>
                <w:rFonts w:hint="eastAsia"/>
                <w:color w:val="auto"/>
              </w:rPr>
              <w:t>1</w:t>
            </w:r>
          </w:p>
        </w:tc>
      </w:tr>
      <w:tr w14:paraId="3787E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10" w:type="pct"/>
            <w:vMerge w:val="continue"/>
            <w:shd w:val="clear" w:color="auto" w:fill="auto"/>
            <w:vAlign w:val="center"/>
          </w:tcPr>
          <w:p w14:paraId="2098813C">
            <w:pPr>
              <w:rPr>
                <w:color w:val="auto"/>
              </w:rPr>
            </w:pPr>
          </w:p>
        </w:tc>
        <w:tc>
          <w:tcPr>
            <w:tcW w:w="203" w:type="pct"/>
            <w:vMerge w:val="restart"/>
            <w:shd w:val="clear" w:color="auto" w:fill="auto"/>
            <w:vAlign w:val="center"/>
          </w:tcPr>
          <w:p w14:paraId="35CAD2C9">
            <w:pPr>
              <w:pStyle w:val="54"/>
              <w:rPr>
                <w:color w:val="auto"/>
              </w:rPr>
            </w:pPr>
            <w:r>
              <w:rPr>
                <w:color w:val="auto"/>
              </w:rPr>
              <w:t>无组织</w:t>
            </w:r>
          </w:p>
        </w:tc>
        <w:tc>
          <w:tcPr>
            <w:tcW w:w="817" w:type="pct"/>
            <w:vMerge w:val="restart"/>
            <w:shd w:val="clear" w:color="auto" w:fill="auto"/>
            <w:vAlign w:val="center"/>
          </w:tcPr>
          <w:p w14:paraId="50B78495">
            <w:pPr>
              <w:pStyle w:val="54"/>
              <w:rPr>
                <w:color w:val="auto"/>
              </w:rPr>
            </w:pPr>
            <w:r>
              <w:rPr>
                <w:color w:val="auto"/>
              </w:rPr>
              <w:t>厂界</w:t>
            </w:r>
          </w:p>
        </w:tc>
        <w:tc>
          <w:tcPr>
            <w:tcW w:w="623" w:type="pct"/>
            <w:shd w:val="clear" w:color="auto" w:fill="auto"/>
            <w:vAlign w:val="center"/>
          </w:tcPr>
          <w:p w14:paraId="2E330E4D">
            <w:pPr>
              <w:pStyle w:val="54"/>
              <w:rPr>
                <w:color w:val="auto"/>
              </w:rPr>
            </w:pPr>
            <w:r>
              <w:rPr>
                <w:rFonts w:hint="eastAsia"/>
                <w:color w:val="auto"/>
              </w:rPr>
              <w:t>颗粒物</w:t>
            </w:r>
          </w:p>
        </w:tc>
        <w:tc>
          <w:tcPr>
            <w:tcW w:w="1225" w:type="pct"/>
            <w:vMerge w:val="restart"/>
            <w:shd w:val="clear" w:color="auto" w:fill="auto"/>
            <w:vAlign w:val="center"/>
          </w:tcPr>
          <w:p w14:paraId="53462BCE">
            <w:pPr>
              <w:pStyle w:val="54"/>
              <w:rPr>
                <w:color w:val="auto"/>
              </w:rPr>
            </w:pPr>
            <w:r>
              <w:rPr>
                <w:color w:val="auto"/>
              </w:rPr>
              <w:t>加强管理，提高废气收集效率</w:t>
            </w:r>
          </w:p>
        </w:tc>
        <w:tc>
          <w:tcPr>
            <w:tcW w:w="1619" w:type="pct"/>
            <w:vMerge w:val="restart"/>
            <w:shd w:val="clear" w:color="auto" w:fill="auto"/>
            <w:vAlign w:val="center"/>
          </w:tcPr>
          <w:p w14:paraId="1AB63AD2">
            <w:pPr>
              <w:pStyle w:val="54"/>
              <w:rPr>
                <w:color w:val="auto"/>
              </w:rPr>
            </w:pPr>
            <w:r>
              <w:rPr>
                <w:color w:val="auto"/>
              </w:rPr>
              <w:t>《大气污染物综合排放标准》（DB 32/4041-2021）表3</w:t>
            </w:r>
          </w:p>
        </w:tc>
      </w:tr>
      <w:tr w14:paraId="773CD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10" w:type="pct"/>
            <w:vMerge w:val="continue"/>
            <w:shd w:val="clear" w:color="auto" w:fill="auto"/>
            <w:vAlign w:val="center"/>
          </w:tcPr>
          <w:p w14:paraId="105540B9">
            <w:pPr>
              <w:rPr>
                <w:color w:val="auto"/>
              </w:rPr>
            </w:pPr>
          </w:p>
        </w:tc>
        <w:tc>
          <w:tcPr>
            <w:tcW w:w="203" w:type="pct"/>
            <w:vMerge w:val="continue"/>
            <w:shd w:val="clear" w:color="auto" w:fill="auto"/>
            <w:vAlign w:val="center"/>
          </w:tcPr>
          <w:p w14:paraId="7793B539">
            <w:pPr>
              <w:pStyle w:val="54"/>
              <w:rPr>
                <w:color w:val="auto"/>
              </w:rPr>
            </w:pPr>
          </w:p>
        </w:tc>
        <w:tc>
          <w:tcPr>
            <w:tcW w:w="817" w:type="pct"/>
            <w:vMerge w:val="continue"/>
            <w:shd w:val="clear" w:color="auto" w:fill="auto"/>
            <w:vAlign w:val="center"/>
          </w:tcPr>
          <w:p w14:paraId="1A2B9991">
            <w:pPr>
              <w:pStyle w:val="54"/>
              <w:rPr>
                <w:color w:val="auto"/>
              </w:rPr>
            </w:pPr>
          </w:p>
        </w:tc>
        <w:tc>
          <w:tcPr>
            <w:tcW w:w="623" w:type="pct"/>
            <w:shd w:val="clear" w:color="auto" w:fill="auto"/>
            <w:vAlign w:val="center"/>
          </w:tcPr>
          <w:p w14:paraId="06F3FB08">
            <w:pPr>
              <w:pStyle w:val="54"/>
              <w:rPr>
                <w:color w:val="auto"/>
              </w:rPr>
            </w:pPr>
            <w:r>
              <w:rPr>
                <w:rFonts w:hint="eastAsia"/>
                <w:color w:val="auto"/>
              </w:rPr>
              <w:t>NMHC</w:t>
            </w:r>
          </w:p>
        </w:tc>
        <w:tc>
          <w:tcPr>
            <w:tcW w:w="1225" w:type="pct"/>
            <w:vMerge w:val="continue"/>
            <w:shd w:val="clear" w:color="auto" w:fill="auto"/>
            <w:vAlign w:val="center"/>
          </w:tcPr>
          <w:p w14:paraId="2BDE3DD9">
            <w:pPr>
              <w:pStyle w:val="54"/>
              <w:rPr>
                <w:color w:val="auto"/>
              </w:rPr>
            </w:pPr>
          </w:p>
        </w:tc>
        <w:tc>
          <w:tcPr>
            <w:tcW w:w="1619" w:type="pct"/>
            <w:vMerge w:val="continue"/>
            <w:shd w:val="clear" w:color="auto" w:fill="auto"/>
            <w:vAlign w:val="center"/>
          </w:tcPr>
          <w:p w14:paraId="12328936">
            <w:pPr>
              <w:pStyle w:val="54"/>
              <w:rPr>
                <w:color w:val="auto"/>
              </w:rPr>
            </w:pPr>
          </w:p>
        </w:tc>
      </w:tr>
      <w:tr w14:paraId="47158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10" w:type="pct"/>
            <w:vMerge w:val="continue"/>
            <w:shd w:val="clear" w:color="auto" w:fill="auto"/>
            <w:vAlign w:val="center"/>
          </w:tcPr>
          <w:p w14:paraId="0B88AC72">
            <w:pPr>
              <w:rPr>
                <w:color w:val="auto"/>
              </w:rPr>
            </w:pPr>
          </w:p>
        </w:tc>
        <w:tc>
          <w:tcPr>
            <w:tcW w:w="203" w:type="pct"/>
            <w:vMerge w:val="continue"/>
            <w:shd w:val="clear" w:color="auto" w:fill="auto"/>
            <w:vAlign w:val="center"/>
          </w:tcPr>
          <w:p w14:paraId="4AB008C1">
            <w:pPr>
              <w:rPr>
                <w:color w:val="auto"/>
              </w:rPr>
            </w:pPr>
          </w:p>
        </w:tc>
        <w:tc>
          <w:tcPr>
            <w:tcW w:w="817" w:type="pct"/>
            <w:shd w:val="clear" w:color="auto" w:fill="auto"/>
            <w:vAlign w:val="center"/>
          </w:tcPr>
          <w:p w14:paraId="723091D3">
            <w:pPr>
              <w:pStyle w:val="54"/>
              <w:rPr>
                <w:color w:val="auto"/>
              </w:rPr>
            </w:pPr>
            <w:r>
              <w:rPr>
                <w:color w:val="auto"/>
              </w:rPr>
              <w:t>厂区内</w:t>
            </w:r>
          </w:p>
        </w:tc>
        <w:tc>
          <w:tcPr>
            <w:tcW w:w="623" w:type="pct"/>
            <w:shd w:val="clear" w:color="auto" w:fill="auto"/>
            <w:vAlign w:val="center"/>
          </w:tcPr>
          <w:p w14:paraId="3D9E40DD">
            <w:pPr>
              <w:pStyle w:val="54"/>
              <w:rPr>
                <w:color w:val="auto"/>
              </w:rPr>
            </w:pPr>
            <w:r>
              <w:rPr>
                <w:rFonts w:hint="eastAsia"/>
                <w:color w:val="auto"/>
              </w:rPr>
              <w:t>NMHC</w:t>
            </w:r>
          </w:p>
        </w:tc>
        <w:tc>
          <w:tcPr>
            <w:tcW w:w="1225" w:type="pct"/>
            <w:vMerge w:val="continue"/>
            <w:shd w:val="clear" w:color="auto" w:fill="auto"/>
            <w:vAlign w:val="center"/>
          </w:tcPr>
          <w:p w14:paraId="3F05B98C">
            <w:pPr>
              <w:rPr>
                <w:color w:val="auto"/>
              </w:rPr>
            </w:pPr>
          </w:p>
        </w:tc>
        <w:tc>
          <w:tcPr>
            <w:tcW w:w="1619" w:type="pct"/>
            <w:shd w:val="clear" w:color="auto" w:fill="auto"/>
            <w:vAlign w:val="center"/>
          </w:tcPr>
          <w:p w14:paraId="7884898C">
            <w:pPr>
              <w:pStyle w:val="54"/>
              <w:rPr>
                <w:color w:val="auto"/>
              </w:rPr>
            </w:pPr>
            <w:r>
              <w:rPr>
                <w:color w:val="auto"/>
              </w:rPr>
              <w:t>《大气污染物综合排放标准》（DB 32/4041-2021）表</w:t>
            </w:r>
            <w:r>
              <w:rPr>
                <w:rFonts w:hint="eastAsia"/>
                <w:color w:val="auto"/>
              </w:rPr>
              <w:t>2</w:t>
            </w:r>
          </w:p>
        </w:tc>
      </w:tr>
      <w:tr w14:paraId="17B4F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510" w:type="pct"/>
            <w:shd w:val="clear" w:color="auto" w:fill="auto"/>
            <w:vAlign w:val="center"/>
          </w:tcPr>
          <w:p w14:paraId="7E3C300E">
            <w:pPr>
              <w:pStyle w:val="54"/>
              <w:rPr>
                <w:color w:val="auto"/>
              </w:rPr>
            </w:pPr>
            <w:r>
              <w:rPr>
                <w:color w:val="auto"/>
              </w:rPr>
              <w:t>地表水环境</w:t>
            </w:r>
          </w:p>
        </w:tc>
        <w:tc>
          <w:tcPr>
            <w:tcW w:w="1021" w:type="pct"/>
            <w:gridSpan w:val="2"/>
            <w:shd w:val="clear" w:color="auto" w:fill="auto"/>
            <w:vAlign w:val="center"/>
          </w:tcPr>
          <w:p w14:paraId="7E616A9C">
            <w:pPr>
              <w:pStyle w:val="54"/>
              <w:rPr>
                <w:color w:val="auto"/>
              </w:rPr>
            </w:pPr>
            <w:r>
              <w:rPr>
                <w:color w:val="auto"/>
              </w:rPr>
              <w:t>职工生活污水</w:t>
            </w:r>
          </w:p>
        </w:tc>
        <w:tc>
          <w:tcPr>
            <w:tcW w:w="623" w:type="pct"/>
            <w:shd w:val="clear" w:color="auto" w:fill="auto"/>
            <w:vAlign w:val="center"/>
          </w:tcPr>
          <w:p w14:paraId="72FFF063">
            <w:pPr>
              <w:pStyle w:val="54"/>
              <w:rPr>
                <w:color w:val="auto"/>
              </w:rPr>
            </w:pPr>
            <w:r>
              <w:rPr>
                <w:color w:val="auto"/>
              </w:rPr>
              <w:t>pH、COD、SS、氨氮、TN</w:t>
            </w:r>
            <w:r>
              <w:rPr>
                <w:rFonts w:hint="eastAsia"/>
                <w:color w:val="auto"/>
              </w:rPr>
              <w:t>、</w:t>
            </w:r>
            <w:r>
              <w:rPr>
                <w:color w:val="auto"/>
              </w:rPr>
              <w:t>TP</w:t>
            </w:r>
            <w:r>
              <w:rPr>
                <w:rFonts w:hint="eastAsia"/>
                <w:color w:val="auto"/>
              </w:rPr>
              <w:t>、动植物油</w:t>
            </w:r>
          </w:p>
        </w:tc>
        <w:tc>
          <w:tcPr>
            <w:tcW w:w="1225" w:type="pct"/>
            <w:shd w:val="clear" w:color="auto" w:fill="auto"/>
            <w:vAlign w:val="center"/>
          </w:tcPr>
          <w:p w14:paraId="4F647B85">
            <w:pPr>
              <w:pStyle w:val="54"/>
              <w:rPr>
                <w:color w:val="auto"/>
              </w:rPr>
            </w:pPr>
            <w:r>
              <w:rPr>
                <w:rFonts w:hint="eastAsia"/>
                <w:color w:val="auto"/>
              </w:rPr>
              <w:t>厂区内化粪池</w:t>
            </w:r>
          </w:p>
        </w:tc>
        <w:tc>
          <w:tcPr>
            <w:tcW w:w="1619" w:type="pct"/>
            <w:shd w:val="clear" w:color="auto" w:fill="auto"/>
            <w:vAlign w:val="center"/>
          </w:tcPr>
          <w:p w14:paraId="5508F7E8">
            <w:pPr>
              <w:pStyle w:val="54"/>
              <w:rPr>
                <w:color w:val="auto"/>
              </w:rPr>
            </w:pPr>
            <w:r>
              <w:rPr>
                <w:rFonts w:hint="eastAsia"/>
                <w:color w:val="auto"/>
              </w:rPr>
              <w:t>王集镇污水处理厂</w:t>
            </w:r>
            <w:r>
              <w:rPr>
                <w:color w:val="auto"/>
              </w:rPr>
              <w:t>接管标准</w:t>
            </w:r>
          </w:p>
        </w:tc>
      </w:tr>
      <w:tr w14:paraId="15D618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510" w:type="pct"/>
            <w:shd w:val="clear" w:color="auto" w:fill="auto"/>
            <w:vAlign w:val="center"/>
          </w:tcPr>
          <w:p w14:paraId="1AE03C17">
            <w:pPr>
              <w:pStyle w:val="54"/>
              <w:rPr>
                <w:color w:val="auto"/>
              </w:rPr>
            </w:pPr>
            <w:r>
              <w:rPr>
                <w:color w:val="auto"/>
              </w:rPr>
              <w:t>声环境</w:t>
            </w:r>
          </w:p>
        </w:tc>
        <w:tc>
          <w:tcPr>
            <w:tcW w:w="1021" w:type="pct"/>
            <w:gridSpan w:val="2"/>
            <w:shd w:val="clear" w:color="auto" w:fill="auto"/>
            <w:vAlign w:val="center"/>
          </w:tcPr>
          <w:p w14:paraId="03CC7533">
            <w:pPr>
              <w:pStyle w:val="54"/>
              <w:rPr>
                <w:color w:val="auto"/>
              </w:rPr>
            </w:pPr>
            <w:r>
              <w:rPr>
                <w:color w:val="auto"/>
              </w:rPr>
              <w:t>生产车间</w:t>
            </w:r>
          </w:p>
        </w:tc>
        <w:tc>
          <w:tcPr>
            <w:tcW w:w="623" w:type="pct"/>
            <w:shd w:val="clear" w:color="auto" w:fill="auto"/>
            <w:vAlign w:val="center"/>
          </w:tcPr>
          <w:p w14:paraId="2A41584F">
            <w:pPr>
              <w:pStyle w:val="54"/>
              <w:rPr>
                <w:color w:val="auto"/>
              </w:rPr>
            </w:pPr>
            <w:r>
              <w:rPr>
                <w:color w:val="auto"/>
              </w:rPr>
              <w:t>设备噪声</w:t>
            </w:r>
          </w:p>
        </w:tc>
        <w:tc>
          <w:tcPr>
            <w:tcW w:w="1225" w:type="pct"/>
            <w:shd w:val="clear" w:color="auto" w:fill="auto"/>
            <w:vAlign w:val="center"/>
          </w:tcPr>
          <w:p w14:paraId="71A26051">
            <w:pPr>
              <w:pStyle w:val="54"/>
              <w:rPr>
                <w:color w:val="auto"/>
              </w:rPr>
            </w:pPr>
            <w:r>
              <w:rPr>
                <w:color w:val="auto"/>
              </w:rPr>
              <w:t>合理布局、定期维护等措施</w:t>
            </w:r>
          </w:p>
        </w:tc>
        <w:tc>
          <w:tcPr>
            <w:tcW w:w="1619" w:type="pct"/>
            <w:shd w:val="clear" w:color="auto" w:fill="auto"/>
            <w:vAlign w:val="center"/>
          </w:tcPr>
          <w:p w14:paraId="4DC1AAB6">
            <w:pPr>
              <w:pStyle w:val="54"/>
              <w:rPr>
                <w:color w:val="auto"/>
              </w:rPr>
            </w:pPr>
            <w:r>
              <w:rPr>
                <w:color w:val="auto"/>
              </w:rPr>
              <w:t>《工业企业厂界环境噪声排放标准》（GB</w:t>
            </w:r>
            <w:r>
              <w:rPr>
                <w:rFonts w:hint="eastAsia"/>
                <w:color w:val="auto"/>
              </w:rPr>
              <w:t xml:space="preserve"> </w:t>
            </w:r>
            <w:r>
              <w:rPr>
                <w:color w:val="auto"/>
              </w:rPr>
              <w:t>12348-2008）中3类标准</w:t>
            </w:r>
          </w:p>
        </w:tc>
      </w:tr>
      <w:tr w14:paraId="24184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 w:hRule="atLeast"/>
          <w:jc w:val="center"/>
        </w:trPr>
        <w:tc>
          <w:tcPr>
            <w:tcW w:w="510" w:type="pct"/>
            <w:shd w:val="clear" w:color="auto" w:fill="auto"/>
            <w:vAlign w:val="center"/>
          </w:tcPr>
          <w:p w14:paraId="7ED77397">
            <w:pPr>
              <w:pStyle w:val="54"/>
              <w:rPr>
                <w:color w:val="auto"/>
              </w:rPr>
            </w:pPr>
            <w:r>
              <w:rPr>
                <w:color w:val="auto"/>
              </w:rPr>
              <w:t>电磁</w:t>
            </w:r>
          </w:p>
          <w:p w14:paraId="0B89EED3">
            <w:pPr>
              <w:pStyle w:val="54"/>
              <w:rPr>
                <w:color w:val="auto"/>
              </w:rPr>
            </w:pPr>
            <w:r>
              <w:rPr>
                <w:color w:val="auto"/>
              </w:rPr>
              <w:t>辐射</w:t>
            </w:r>
          </w:p>
        </w:tc>
        <w:tc>
          <w:tcPr>
            <w:tcW w:w="1021" w:type="pct"/>
            <w:gridSpan w:val="2"/>
            <w:shd w:val="clear" w:color="auto" w:fill="auto"/>
            <w:vAlign w:val="center"/>
          </w:tcPr>
          <w:p w14:paraId="2F73D111">
            <w:pPr>
              <w:pStyle w:val="54"/>
              <w:rPr>
                <w:color w:val="auto"/>
              </w:rPr>
            </w:pPr>
            <w:r>
              <w:rPr>
                <w:color w:val="auto"/>
              </w:rPr>
              <w:t>/</w:t>
            </w:r>
          </w:p>
        </w:tc>
        <w:tc>
          <w:tcPr>
            <w:tcW w:w="623" w:type="pct"/>
            <w:shd w:val="clear" w:color="auto" w:fill="auto"/>
            <w:vAlign w:val="center"/>
          </w:tcPr>
          <w:p w14:paraId="7BB3D565">
            <w:pPr>
              <w:pStyle w:val="54"/>
              <w:rPr>
                <w:color w:val="auto"/>
              </w:rPr>
            </w:pPr>
            <w:r>
              <w:rPr>
                <w:color w:val="auto"/>
              </w:rPr>
              <w:t>/</w:t>
            </w:r>
          </w:p>
        </w:tc>
        <w:tc>
          <w:tcPr>
            <w:tcW w:w="1225" w:type="pct"/>
            <w:shd w:val="clear" w:color="auto" w:fill="auto"/>
            <w:vAlign w:val="center"/>
          </w:tcPr>
          <w:p w14:paraId="13ED6793">
            <w:pPr>
              <w:pStyle w:val="54"/>
              <w:rPr>
                <w:color w:val="auto"/>
              </w:rPr>
            </w:pPr>
            <w:r>
              <w:rPr>
                <w:color w:val="auto"/>
              </w:rPr>
              <w:t>/</w:t>
            </w:r>
          </w:p>
        </w:tc>
        <w:tc>
          <w:tcPr>
            <w:tcW w:w="1619" w:type="pct"/>
            <w:shd w:val="clear" w:color="auto" w:fill="auto"/>
            <w:vAlign w:val="center"/>
          </w:tcPr>
          <w:p w14:paraId="0B02489F">
            <w:pPr>
              <w:pStyle w:val="54"/>
              <w:rPr>
                <w:color w:val="auto"/>
              </w:rPr>
            </w:pPr>
            <w:r>
              <w:rPr>
                <w:color w:val="auto"/>
              </w:rPr>
              <w:t>/</w:t>
            </w:r>
          </w:p>
        </w:tc>
      </w:tr>
      <w:tr w14:paraId="767B1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10" w:type="pct"/>
            <w:vMerge w:val="restart"/>
            <w:shd w:val="clear" w:color="auto" w:fill="auto"/>
            <w:vAlign w:val="center"/>
          </w:tcPr>
          <w:p w14:paraId="70695B82">
            <w:pPr>
              <w:pStyle w:val="54"/>
              <w:rPr>
                <w:color w:val="auto"/>
              </w:rPr>
            </w:pPr>
            <w:r>
              <w:rPr>
                <w:color w:val="auto"/>
              </w:rPr>
              <w:t>固体</w:t>
            </w:r>
          </w:p>
          <w:p w14:paraId="1D94AFAE">
            <w:pPr>
              <w:pStyle w:val="54"/>
              <w:rPr>
                <w:color w:val="auto"/>
              </w:rPr>
            </w:pPr>
            <w:r>
              <w:rPr>
                <w:color w:val="auto"/>
              </w:rPr>
              <w:t>废物</w:t>
            </w:r>
          </w:p>
        </w:tc>
        <w:tc>
          <w:tcPr>
            <w:tcW w:w="1021" w:type="pct"/>
            <w:gridSpan w:val="2"/>
            <w:shd w:val="clear" w:color="auto" w:fill="auto"/>
            <w:vAlign w:val="center"/>
          </w:tcPr>
          <w:p w14:paraId="5A5CE7B4">
            <w:pPr>
              <w:pStyle w:val="54"/>
              <w:rPr>
                <w:color w:val="auto"/>
              </w:rPr>
            </w:pPr>
            <w:r>
              <w:rPr>
                <w:rFonts w:hint="eastAsia"/>
                <w:color w:val="auto"/>
              </w:rPr>
              <w:t>炉渣</w:t>
            </w:r>
          </w:p>
        </w:tc>
        <w:tc>
          <w:tcPr>
            <w:tcW w:w="623" w:type="pct"/>
            <w:vMerge w:val="restart"/>
            <w:shd w:val="clear" w:color="auto" w:fill="auto"/>
            <w:vAlign w:val="center"/>
          </w:tcPr>
          <w:p w14:paraId="3506D33A">
            <w:pPr>
              <w:pStyle w:val="54"/>
              <w:rPr>
                <w:color w:val="auto"/>
              </w:rPr>
            </w:pPr>
            <w:r>
              <w:rPr>
                <w:color w:val="auto"/>
              </w:rPr>
              <w:t>一般固废</w:t>
            </w:r>
          </w:p>
        </w:tc>
        <w:tc>
          <w:tcPr>
            <w:tcW w:w="1225" w:type="pct"/>
            <w:vMerge w:val="restart"/>
            <w:shd w:val="clear" w:color="auto" w:fill="auto"/>
            <w:vAlign w:val="center"/>
          </w:tcPr>
          <w:p w14:paraId="24F3AE48">
            <w:pPr>
              <w:pStyle w:val="54"/>
              <w:rPr>
                <w:color w:val="auto"/>
              </w:rPr>
            </w:pPr>
            <w:r>
              <w:rPr>
                <w:color w:val="auto"/>
              </w:rPr>
              <w:t>收集后暂存一般固废库，</w:t>
            </w:r>
            <w:r>
              <w:rPr>
                <w:rFonts w:hint="eastAsia"/>
                <w:color w:val="auto"/>
              </w:rPr>
              <w:t>定期</w:t>
            </w:r>
            <w:r>
              <w:rPr>
                <w:color w:val="auto"/>
              </w:rPr>
              <w:t>外售综合利用</w:t>
            </w:r>
          </w:p>
        </w:tc>
        <w:tc>
          <w:tcPr>
            <w:tcW w:w="1619" w:type="pct"/>
            <w:vMerge w:val="restart"/>
            <w:shd w:val="clear" w:color="auto" w:fill="auto"/>
            <w:vAlign w:val="center"/>
          </w:tcPr>
          <w:p w14:paraId="40836624">
            <w:pPr>
              <w:pStyle w:val="54"/>
              <w:rPr>
                <w:color w:val="auto"/>
              </w:rPr>
            </w:pPr>
            <w:r>
              <w:rPr>
                <w:color w:val="auto"/>
              </w:rPr>
              <w:t>《一般工业固体废物贮存和填埋污染控制标准》（GB</w:t>
            </w:r>
            <w:r>
              <w:rPr>
                <w:rFonts w:hint="eastAsia"/>
                <w:color w:val="auto"/>
              </w:rPr>
              <w:t xml:space="preserve"> </w:t>
            </w:r>
            <w:r>
              <w:rPr>
                <w:color w:val="auto"/>
              </w:rPr>
              <w:t>18599-2020）的相关要求</w:t>
            </w:r>
          </w:p>
        </w:tc>
      </w:tr>
      <w:tr w14:paraId="602A2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10" w:type="pct"/>
            <w:vMerge w:val="continue"/>
            <w:shd w:val="clear" w:color="auto" w:fill="auto"/>
            <w:vAlign w:val="center"/>
          </w:tcPr>
          <w:p w14:paraId="6971DBD8">
            <w:pPr>
              <w:pStyle w:val="54"/>
              <w:rPr>
                <w:color w:val="auto"/>
              </w:rPr>
            </w:pPr>
          </w:p>
        </w:tc>
        <w:tc>
          <w:tcPr>
            <w:tcW w:w="1021" w:type="pct"/>
            <w:gridSpan w:val="2"/>
            <w:shd w:val="clear" w:color="auto" w:fill="auto"/>
            <w:vAlign w:val="center"/>
          </w:tcPr>
          <w:p w14:paraId="1044B279">
            <w:pPr>
              <w:pStyle w:val="54"/>
              <w:rPr>
                <w:color w:val="auto"/>
              </w:rPr>
            </w:pPr>
            <w:r>
              <w:rPr>
                <w:rFonts w:hint="eastAsia"/>
                <w:color w:val="auto"/>
              </w:rPr>
              <w:t>除尘灰</w:t>
            </w:r>
          </w:p>
        </w:tc>
        <w:tc>
          <w:tcPr>
            <w:tcW w:w="623" w:type="pct"/>
            <w:vMerge w:val="continue"/>
            <w:shd w:val="clear" w:color="auto" w:fill="auto"/>
            <w:vAlign w:val="center"/>
          </w:tcPr>
          <w:p w14:paraId="567EC02E">
            <w:pPr>
              <w:pStyle w:val="54"/>
              <w:rPr>
                <w:color w:val="auto"/>
              </w:rPr>
            </w:pPr>
          </w:p>
        </w:tc>
        <w:tc>
          <w:tcPr>
            <w:tcW w:w="1225" w:type="pct"/>
            <w:vMerge w:val="continue"/>
            <w:shd w:val="clear" w:color="auto" w:fill="auto"/>
            <w:vAlign w:val="center"/>
          </w:tcPr>
          <w:p w14:paraId="6AF59370">
            <w:pPr>
              <w:pStyle w:val="54"/>
              <w:rPr>
                <w:color w:val="auto"/>
              </w:rPr>
            </w:pPr>
          </w:p>
        </w:tc>
        <w:tc>
          <w:tcPr>
            <w:tcW w:w="1619" w:type="pct"/>
            <w:vMerge w:val="continue"/>
            <w:shd w:val="clear" w:color="auto" w:fill="auto"/>
            <w:vAlign w:val="center"/>
          </w:tcPr>
          <w:p w14:paraId="34307239">
            <w:pPr>
              <w:pStyle w:val="54"/>
              <w:rPr>
                <w:color w:val="auto"/>
              </w:rPr>
            </w:pPr>
          </w:p>
        </w:tc>
      </w:tr>
      <w:tr w14:paraId="1D3221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10" w:type="pct"/>
            <w:vMerge w:val="continue"/>
            <w:shd w:val="clear" w:color="auto" w:fill="auto"/>
            <w:vAlign w:val="center"/>
          </w:tcPr>
          <w:p w14:paraId="2D2B249E">
            <w:pPr>
              <w:pStyle w:val="54"/>
              <w:rPr>
                <w:color w:val="auto"/>
              </w:rPr>
            </w:pPr>
          </w:p>
        </w:tc>
        <w:tc>
          <w:tcPr>
            <w:tcW w:w="1021" w:type="pct"/>
            <w:gridSpan w:val="2"/>
            <w:shd w:val="clear" w:color="auto" w:fill="auto"/>
            <w:vAlign w:val="center"/>
          </w:tcPr>
          <w:p w14:paraId="73E4888D">
            <w:pPr>
              <w:pStyle w:val="54"/>
              <w:rPr>
                <w:color w:val="auto"/>
              </w:rPr>
            </w:pPr>
            <w:r>
              <w:rPr>
                <w:rFonts w:hint="eastAsia"/>
                <w:color w:val="auto"/>
              </w:rPr>
              <w:t>废布袋</w:t>
            </w:r>
          </w:p>
        </w:tc>
        <w:tc>
          <w:tcPr>
            <w:tcW w:w="623" w:type="pct"/>
            <w:vMerge w:val="continue"/>
            <w:shd w:val="clear" w:color="auto" w:fill="auto"/>
            <w:vAlign w:val="center"/>
          </w:tcPr>
          <w:p w14:paraId="4423E8F2">
            <w:pPr>
              <w:pStyle w:val="54"/>
              <w:rPr>
                <w:color w:val="auto"/>
              </w:rPr>
            </w:pPr>
          </w:p>
        </w:tc>
        <w:tc>
          <w:tcPr>
            <w:tcW w:w="1225" w:type="pct"/>
            <w:vMerge w:val="continue"/>
            <w:shd w:val="clear" w:color="auto" w:fill="auto"/>
            <w:vAlign w:val="center"/>
          </w:tcPr>
          <w:p w14:paraId="5D8AB614">
            <w:pPr>
              <w:pStyle w:val="54"/>
              <w:rPr>
                <w:color w:val="auto"/>
              </w:rPr>
            </w:pPr>
          </w:p>
        </w:tc>
        <w:tc>
          <w:tcPr>
            <w:tcW w:w="1619" w:type="pct"/>
            <w:vMerge w:val="continue"/>
            <w:shd w:val="clear" w:color="auto" w:fill="auto"/>
            <w:vAlign w:val="center"/>
          </w:tcPr>
          <w:p w14:paraId="4321D4ED">
            <w:pPr>
              <w:pStyle w:val="54"/>
              <w:rPr>
                <w:color w:val="auto"/>
              </w:rPr>
            </w:pPr>
          </w:p>
        </w:tc>
      </w:tr>
      <w:tr w14:paraId="5E6D9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10" w:type="pct"/>
            <w:vMerge w:val="continue"/>
            <w:shd w:val="clear" w:color="auto" w:fill="auto"/>
            <w:vAlign w:val="center"/>
          </w:tcPr>
          <w:p w14:paraId="0DBFDD73">
            <w:pPr>
              <w:pStyle w:val="54"/>
              <w:rPr>
                <w:color w:val="auto"/>
              </w:rPr>
            </w:pPr>
          </w:p>
        </w:tc>
        <w:tc>
          <w:tcPr>
            <w:tcW w:w="1021" w:type="pct"/>
            <w:gridSpan w:val="2"/>
            <w:shd w:val="clear" w:color="auto" w:fill="auto"/>
            <w:vAlign w:val="center"/>
          </w:tcPr>
          <w:p w14:paraId="3CAFA86B">
            <w:pPr>
              <w:pStyle w:val="54"/>
              <w:rPr>
                <w:color w:val="auto"/>
              </w:rPr>
            </w:pPr>
            <w:r>
              <w:rPr>
                <w:rFonts w:hint="eastAsia"/>
                <w:color w:val="auto"/>
              </w:rPr>
              <w:t>废液压油</w:t>
            </w:r>
          </w:p>
        </w:tc>
        <w:tc>
          <w:tcPr>
            <w:tcW w:w="623" w:type="pct"/>
            <w:vMerge w:val="restart"/>
            <w:shd w:val="clear" w:color="auto" w:fill="auto"/>
            <w:vAlign w:val="center"/>
          </w:tcPr>
          <w:p w14:paraId="5EE63F52">
            <w:pPr>
              <w:pStyle w:val="54"/>
              <w:rPr>
                <w:color w:val="auto"/>
              </w:rPr>
            </w:pPr>
            <w:r>
              <w:rPr>
                <w:rFonts w:hint="eastAsia"/>
                <w:color w:val="auto"/>
              </w:rPr>
              <w:t>危险固废</w:t>
            </w:r>
          </w:p>
        </w:tc>
        <w:tc>
          <w:tcPr>
            <w:tcW w:w="1225" w:type="pct"/>
            <w:vMerge w:val="restart"/>
            <w:shd w:val="clear" w:color="auto" w:fill="auto"/>
            <w:vAlign w:val="center"/>
          </w:tcPr>
          <w:p w14:paraId="6EE56D3B">
            <w:pPr>
              <w:pStyle w:val="54"/>
              <w:rPr>
                <w:color w:val="auto"/>
              </w:rPr>
            </w:pPr>
            <w:r>
              <w:rPr>
                <w:color w:val="auto"/>
              </w:rPr>
              <w:t>收集后暂存危废库，</w:t>
            </w:r>
            <w:r>
              <w:rPr>
                <w:rFonts w:hint="eastAsia"/>
                <w:color w:val="auto"/>
              </w:rPr>
              <w:t>定期</w:t>
            </w:r>
            <w:r>
              <w:rPr>
                <w:color w:val="auto"/>
              </w:rPr>
              <w:t>委托有资质单位处置</w:t>
            </w:r>
          </w:p>
        </w:tc>
        <w:tc>
          <w:tcPr>
            <w:tcW w:w="1619" w:type="pct"/>
            <w:vMerge w:val="restart"/>
            <w:shd w:val="clear" w:color="auto" w:fill="auto"/>
            <w:vAlign w:val="center"/>
          </w:tcPr>
          <w:p w14:paraId="62A5DBD0">
            <w:pPr>
              <w:pStyle w:val="54"/>
              <w:rPr>
                <w:color w:val="auto"/>
              </w:rPr>
            </w:pPr>
            <w:r>
              <w:rPr>
                <w:color w:val="auto"/>
              </w:rPr>
              <w:t>《危险废物贮存污染控制标准》</w:t>
            </w:r>
            <w:r>
              <w:rPr>
                <w:rFonts w:hint="eastAsia"/>
                <w:color w:val="auto"/>
              </w:rPr>
              <w:t>（</w:t>
            </w:r>
            <w:r>
              <w:rPr>
                <w:color w:val="auto"/>
              </w:rPr>
              <w:t>GB18597-2023</w:t>
            </w:r>
            <w:r>
              <w:rPr>
                <w:rFonts w:hint="eastAsia"/>
                <w:color w:val="auto"/>
              </w:rPr>
              <w:t>）</w:t>
            </w:r>
          </w:p>
        </w:tc>
      </w:tr>
      <w:tr w14:paraId="29EE3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10" w:type="pct"/>
            <w:vMerge w:val="continue"/>
            <w:shd w:val="clear" w:color="auto" w:fill="auto"/>
            <w:vAlign w:val="center"/>
          </w:tcPr>
          <w:p w14:paraId="4451AB76">
            <w:pPr>
              <w:pStyle w:val="54"/>
              <w:rPr>
                <w:color w:val="auto"/>
              </w:rPr>
            </w:pPr>
          </w:p>
        </w:tc>
        <w:tc>
          <w:tcPr>
            <w:tcW w:w="1021" w:type="pct"/>
            <w:gridSpan w:val="2"/>
            <w:shd w:val="clear" w:color="auto" w:fill="auto"/>
            <w:vAlign w:val="center"/>
          </w:tcPr>
          <w:p w14:paraId="6495A6AD">
            <w:pPr>
              <w:pStyle w:val="54"/>
              <w:rPr>
                <w:color w:val="auto"/>
              </w:rPr>
            </w:pPr>
            <w:r>
              <w:rPr>
                <w:rFonts w:hint="eastAsia"/>
                <w:color w:val="auto"/>
              </w:rPr>
              <w:t>废包装桶</w:t>
            </w:r>
          </w:p>
        </w:tc>
        <w:tc>
          <w:tcPr>
            <w:tcW w:w="623" w:type="pct"/>
            <w:vMerge w:val="continue"/>
            <w:shd w:val="clear" w:color="auto" w:fill="auto"/>
            <w:vAlign w:val="center"/>
          </w:tcPr>
          <w:p w14:paraId="286C8437">
            <w:pPr>
              <w:pStyle w:val="54"/>
              <w:rPr>
                <w:color w:val="auto"/>
              </w:rPr>
            </w:pPr>
          </w:p>
        </w:tc>
        <w:tc>
          <w:tcPr>
            <w:tcW w:w="1225" w:type="pct"/>
            <w:vMerge w:val="continue"/>
            <w:shd w:val="clear" w:color="auto" w:fill="auto"/>
            <w:vAlign w:val="center"/>
          </w:tcPr>
          <w:p w14:paraId="411B0A95">
            <w:pPr>
              <w:pStyle w:val="54"/>
              <w:rPr>
                <w:color w:val="auto"/>
              </w:rPr>
            </w:pPr>
          </w:p>
        </w:tc>
        <w:tc>
          <w:tcPr>
            <w:tcW w:w="1619" w:type="pct"/>
            <w:vMerge w:val="continue"/>
            <w:shd w:val="clear" w:color="auto" w:fill="auto"/>
            <w:vAlign w:val="center"/>
          </w:tcPr>
          <w:p w14:paraId="60A7AAAB">
            <w:pPr>
              <w:pStyle w:val="54"/>
              <w:rPr>
                <w:color w:val="auto"/>
              </w:rPr>
            </w:pPr>
          </w:p>
        </w:tc>
      </w:tr>
      <w:tr w14:paraId="217A7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10" w:type="pct"/>
            <w:vMerge w:val="continue"/>
            <w:shd w:val="clear" w:color="auto" w:fill="auto"/>
            <w:vAlign w:val="center"/>
          </w:tcPr>
          <w:p w14:paraId="2FAD608E">
            <w:pPr>
              <w:pStyle w:val="54"/>
              <w:rPr>
                <w:color w:val="auto"/>
              </w:rPr>
            </w:pPr>
          </w:p>
        </w:tc>
        <w:tc>
          <w:tcPr>
            <w:tcW w:w="1021" w:type="pct"/>
            <w:gridSpan w:val="2"/>
            <w:shd w:val="clear" w:color="auto" w:fill="auto"/>
            <w:vAlign w:val="center"/>
          </w:tcPr>
          <w:p w14:paraId="1F8198B3">
            <w:pPr>
              <w:pStyle w:val="54"/>
              <w:rPr>
                <w:color w:val="auto"/>
              </w:rPr>
            </w:pPr>
            <w:r>
              <w:rPr>
                <w:rFonts w:hint="eastAsia"/>
                <w:color w:val="auto"/>
              </w:rPr>
              <w:t>生活垃圾</w:t>
            </w:r>
          </w:p>
        </w:tc>
        <w:tc>
          <w:tcPr>
            <w:tcW w:w="623" w:type="pct"/>
            <w:shd w:val="clear" w:color="auto" w:fill="auto"/>
            <w:vAlign w:val="center"/>
          </w:tcPr>
          <w:p w14:paraId="435122B3">
            <w:pPr>
              <w:pStyle w:val="54"/>
              <w:rPr>
                <w:color w:val="auto"/>
              </w:rPr>
            </w:pPr>
            <w:r>
              <w:rPr>
                <w:rFonts w:hint="eastAsia"/>
                <w:color w:val="auto"/>
              </w:rPr>
              <w:t>/</w:t>
            </w:r>
          </w:p>
        </w:tc>
        <w:tc>
          <w:tcPr>
            <w:tcW w:w="1225" w:type="pct"/>
            <w:shd w:val="clear" w:color="auto" w:fill="auto"/>
            <w:vAlign w:val="center"/>
          </w:tcPr>
          <w:p w14:paraId="21FB4212">
            <w:pPr>
              <w:pStyle w:val="54"/>
              <w:rPr>
                <w:color w:val="auto"/>
              </w:rPr>
            </w:pPr>
            <w:r>
              <w:rPr>
                <w:color w:val="auto"/>
              </w:rPr>
              <w:t>由环卫部门清运处理</w:t>
            </w:r>
          </w:p>
        </w:tc>
        <w:tc>
          <w:tcPr>
            <w:tcW w:w="1619" w:type="pct"/>
            <w:shd w:val="clear" w:color="auto" w:fill="auto"/>
            <w:vAlign w:val="center"/>
          </w:tcPr>
          <w:p w14:paraId="3113196A">
            <w:pPr>
              <w:pStyle w:val="54"/>
              <w:rPr>
                <w:color w:val="auto"/>
              </w:rPr>
            </w:pPr>
            <w:r>
              <w:rPr>
                <w:rFonts w:hint="eastAsia"/>
                <w:color w:val="auto"/>
              </w:rPr>
              <w:t>/</w:t>
            </w:r>
          </w:p>
        </w:tc>
      </w:tr>
      <w:tr w14:paraId="2105A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10" w:type="pct"/>
            <w:shd w:val="clear" w:color="auto" w:fill="auto"/>
            <w:vAlign w:val="center"/>
          </w:tcPr>
          <w:p w14:paraId="7D825ADB">
            <w:pPr>
              <w:pStyle w:val="54"/>
              <w:rPr>
                <w:color w:val="auto"/>
              </w:rPr>
            </w:pPr>
            <w:r>
              <w:rPr>
                <w:color w:val="auto"/>
              </w:rPr>
              <w:t>土壤及地下水污染防治措施</w:t>
            </w:r>
          </w:p>
        </w:tc>
        <w:tc>
          <w:tcPr>
            <w:tcW w:w="4489" w:type="pct"/>
            <w:gridSpan w:val="5"/>
            <w:shd w:val="clear" w:color="auto" w:fill="auto"/>
            <w:vAlign w:val="center"/>
          </w:tcPr>
          <w:p w14:paraId="32CE5D0B">
            <w:pPr>
              <w:pStyle w:val="54"/>
              <w:ind w:firstLine="420" w:firstLineChars="200"/>
              <w:jc w:val="both"/>
              <w:rPr>
                <w:color w:val="auto"/>
              </w:rPr>
            </w:pPr>
            <w:r>
              <w:rPr>
                <w:color w:val="auto"/>
              </w:rPr>
              <w:t>①源头控制措施。实施清洁生产，实现废物资源化利用，减少污染物的排放；加强环境管理；</w:t>
            </w:r>
          </w:p>
          <w:p w14:paraId="5DB45740">
            <w:pPr>
              <w:pStyle w:val="54"/>
              <w:ind w:firstLine="420" w:firstLineChars="200"/>
              <w:jc w:val="both"/>
              <w:rPr>
                <w:color w:val="auto"/>
              </w:rPr>
            </w:pPr>
            <w:r>
              <w:rPr>
                <w:color w:val="auto"/>
              </w:rPr>
              <w:t>②分区防渗。重点防渗区：</w:t>
            </w:r>
            <w:r>
              <w:rPr>
                <w:rFonts w:hint="eastAsia"/>
                <w:color w:val="auto"/>
              </w:rPr>
              <w:t>危废仓库、原料库（液压油和润滑油区）</w:t>
            </w:r>
            <w:r>
              <w:rPr>
                <w:color w:val="auto"/>
              </w:rPr>
              <w:t>；一般防渗区：车间内除重点防渗区外其他区域；简单防渗区：</w:t>
            </w:r>
            <w:r>
              <w:rPr>
                <w:rFonts w:hint="eastAsia"/>
                <w:color w:val="auto"/>
              </w:rPr>
              <w:t>办公区</w:t>
            </w:r>
            <w:r>
              <w:rPr>
                <w:color w:val="auto"/>
              </w:rPr>
              <w:t>。</w:t>
            </w:r>
          </w:p>
        </w:tc>
      </w:tr>
      <w:tr w14:paraId="48326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510" w:type="pct"/>
            <w:shd w:val="clear" w:color="auto" w:fill="auto"/>
            <w:vAlign w:val="center"/>
          </w:tcPr>
          <w:p w14:paraId="07424A4E">
            <w:pPr>
              <w:pStyle w:val="54"/>
              <w:rPr>
                <w:color w:val="auto"/>
              </w:rPr>
            </w:pPr>
            <w:r>
              <w:rPr>
                <w:color w:val="auto"/>
              </w:rPr>
              <w:t>生态保护措施</w:t>
            </w:r>
          </w:p>
        </w:tc>
        <w:tc>
          <w:tcPr>
            <w:tcW w:w="4489" w:type="pct"/>
            <w:gridSpan w:val="5"/>
            <w:shd w:val="clear" w:color="auto" w:fill="auto"/>
            <w:vAlign w:val="center"/>
          </w:tcPr>
          <w:p w14:paraId="0630418C">
            <w:pPr>
              <w:pStyle w:val="54"/>
              <w:ind w:firstLine="420" w:firstLineChars="200"/>
              <w:jc w:val="both"/>
              <w:rPr>
                <w:color w:val="auto"/>
              </w:rPr>
            </w:pPr>
            <w:r>
              <w:rPr>
                <w:color w:val="auto"/>
              </w:rPr>
              <w:t>本项目位于工业园区，区域内无需特殊保护的动植物，人群活动密集，生物多样性程度低，且本项目位于园区内，不占用其他土地资源，不会改变土地功能，不会产生显著的生态影响。</w:t>
            </w:r>
          </w:p>
        </w:tc>
      </w:tr>
      <w:tr w14:paraId="7726E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510" w:type="pct"/>
            <w:shd w:val="clear" w:color="auto" w:fill="auto"/>
            <w:vAlign w:val="center"/>
          </w:tcPr>
          <w:p w14:paraId="1DED6D56">
            <w:pPr>
              <w:pStyle w:val="54"/>
              <w:rPr>
                <w:color w:val="auto"/>
              </w:rPr>
            </w:pPr>
            <w:r>
              <w:rPr>
                <w:color w:val="auto"/>
              </w:rPr>
              <w:t>环境风险防范措施</w:t>
            </w:r>
          </w:p>
        </w:tc>
        <w:tc>
          <w:tcPr>
            <w:tcW w:w="4489" w:type="pct"/>
            <w:gridSpan w:val="5"/>
            <w:shd w:val="clear" w:color="auto" w:fill="auto"/>
            <w:vAlign w:val="center"/>
          </w:tcPr>
          <w:p w14:paraId="3EA4C5D2">
            <w:pPr>
              <w:pStyle w:val="54"/>
              <w:ind w:firstLine="422" w:firstLineChars="200"/>
              <w:jc w:val="both"/>
              <w:rPr>
                <w:rFonts w:hint="eastAsia" w:eastAsia="宋体"/>
                <w:b/>
                <w:bCs/>
                <w:color w:val="auto"/>
                <w:lang w:val="en-US" w:eastAsia="zh-CN"/>
              </w:rPr>
            </w:pPr>
            <w:r>
              <w:rPr>
                <w:rFonts w:hint="eastAsia"/>
                <w:b/>
                <w:bCs/>
                <w:color w:val="auto"/>
              </w:rPr>
              <w:t>1、</w:t>
            </w:r>
            <w:r>
              <w:rPr>
                <w:rFonts w:hint="eastAsia"/>
                <w:b/>
                <w:bCs/>
                <w:color w:val="auto"/>
                <w:lang w:val="en-US" w:eastAsia="zh-CN"/>
              </w:rPr>
              <w:t>风险物质</w:t>
            </w:r>
            <w:r>
              <w:rPr>
                <w:rFonts w:hint="eastAsia"/>
                <w:b/>
                <w:bCs/>
                <w:color w:val="auto"/>
              </w:rPr>
              <w:t>发生</w:t>
            </w:r>
            <w:r>
              <w:rPr>
                <w:rFonts w:hint="eastAsia"/>
                <w:b/>
                <w:bCs/>
                <w:color w:val="auto"/>
                <w:lang w:val="en-US" w:eastAsia="zh-CN"/>
              </w:rPr>
              <w:t>泄漏</w:t>
            </w:r>
          </w:p>
          <w:p w14:paraId="74589477">
            <w:pPr>
              <w:pStyle w:val="54"/>
              <w:ind w:firstLine="420" w:firstLineChars="200"/>
              <w:jc w:val="both"/>
              <w:rPr>
                <w:color w:val="auto"/>
              </w:rPr>
            </w:pPr>
            <w:r>
              <w:rPr>
                <w:rFonts w:hint="eastAsia"/>
                <w:color w:val="auto"/>
              </w:rPr>
              <w:t>①污染源切断：第一时间关闭相关阀门，摸清泄漏源，利用堵漏工具进行堵漏，对液体泄漏物的包装桶泄漏口朝上，转储泄漏物质从而完成切断工作。</w:t>
            </w:r>
          </w:p>
          <w:p w14:paraId="1CBE5426">
            <w:pPr>
              <w:pStyle w:val="54"/>
              <w:ind w:firstLine="420" w:firstLineChars="200"/>
              <w:jc w:val="both"/>
              <w:rPr>
                <w:color w:val="auto"/>
              </w:rPr>
            </w:pPr>
            <w:r>
              <w:rPr>
                <w:rFonts w:hint="eastAsia"/>
                <w:color w:val="auto"/>
              </w:rPr>
              <w:t>②污染物控制：若少量液体物料泄漏则由现场处置组使用沙土吸附，将吸附泄漏物的沙土收集至收集桶中进行集中处置；少量固体物料泄漏使用洁净的铲子收集至收集桶中进行集中处置。对被污染的机器、设备、设施、工具、器材及防护用品等，由救援人员进行集中洗消，洗消水统一收集至事故池再进行处置，防止造成二次污染。现场救险人员在进入泄漏现场应穿戴符合国家标准要求的防护用具，撤离泄漏现场并经洗消后方可解除防护。</w:t>
            </w:r>
          </w:p>
          <w:p w14:paraId="7DC82CFB">
            <w:pPr>
              <w:pStyle w:val="54"/>
              <w:ind w:firstLine="420" w:firstLineChars="200"/>
              <w:jc w:val="both"/>
              <w:rPr>
                <w:color w:val="auto"/>
              </w:rPr>
            </w:pPr>
            <w:r>
              <w:rPr>
                <w:rFonts w:hint="eastAsia"/>
                <w:color w:val="auto"/>
              </w:rPr>
              <w:t>③污染物消除：由善后处理组将进入雨水系统的事故废水引入事故应急池。待事故结束后，将事故应急池内消防废水进行妥善处理，完成产生水污染后的消除措施。</w:t>
            </w:r>
          </w:p>
          <w:p w14:paraId="6B4EF182">
            <w:pPr>
              <w:pStyle w:val="54"/>
              <w:ind w:firstLine="420" w:firstLineChars="200"/>
              <w:jc w:val="both"/>
              <w:rPr>
                <w:color w:val="auto"/>
              </w:rPr>
            </w:pPr>
            <w:r>
              <w:rPr>
                <w:rFonts w:hint="eastAsia"/>
                <w:color w:val="auto"/>
              </w:rPr>
              <w:t>④污染物监测：待善后处理组将事故废水已收集，由应急监测组联系外界监测单位，进行大气、水污染相关监测。</w:t>
            </w:r>
          </w:p>
          <w:p w14:paraId="66A9A5D0">
            <w:pPr>
              <w:pStyle w:val="54"/>
              <w:ind w:firstLine="422" w:firstLineChars="200"/>
              <w:jc w:val="both"/>
              <w:rPr>
                <w:b/>
                <w:bCs/>
                <w:color w:val="auto"/>
              </w:rPr>
            </w:pPr>
            <w:r>
              <w:rPr>
                <w:rFonts w:hint="eastAsia"/>
                <w:b/>
                <w:bCs/>
                <w:color w:val="auto"/>
              </w:rPr>
              <w:t>2、废气处理设施发生故障</w:t>
            </w:r>
          </w:p>
          <w:p w14:paraId="66D314DB">
            <w:pPr>
              <w:pStyle w:val="54"/>
              <w:numPr>
                <w:ilvl w:val="255"/>
                <w:numId w:val="0"/>
              </w:numPr>
              <w:ind w:firstLine="420" w:firstLineChars="200"/>
              <w:jc w:val="both"/>
              <w:rPr>
                <w:color w:val="auto"/>
              </w:rPr>
            </w:pPr>
            <w:r>
              <w:rPr>
                <w:rFonts w:hint="eastAsia"/>
                <w:color w:val="auto"/>
              </w:rPr>
              <w:t>①污染源切断：项目因废气处理设施故障对公司生产人员及大气环境等造成一定的影响，现场巡查人员发现异常立即通过通讯联络组于第一时间联系应急处置组，现场处置组做好个人安全防护来到现场，关闭相关设施阀门，停止相关生产。</w:t>
            </w:r>
          </w:p>
          <w:p w14:paraId="31678B61">
            <w:pPr>
              <w:pStyle w:val="54"/>
              <w:numPr>
                <w:ilvl w:val="255"/>
                <w:numId w:val="0"/>
              </w:numPr>
              <w:ind w:firstLine="420" w:firstLineChars="200"/>
              <w:jc w:val="both"/>
              <w:rPr>
                <w:color w:val="auto"/>
              </w:rPr>
            </w:pPr>
            <w:r>
              <w:rPr>
                <w:rFonts w:hint="eastAsia"/>
                <w:color w:val="auto"/>
              </w:rPr>
              <w:t>②污染物控制：现场处置组关闭废气处理设施，停止工作运行，控制污染物继续产生。</w:t>
            </w:r>
          </w:p>
          <w:p w14:paraId="2CD570D7">
            <w:pPr>
              <w:pStyle w:val="54"/>
              <w:numPr>
                <w:ilvl w:val="255"/>
                <w:numId w:val="0"/>
              </w:numPr>
              <w:ind w:firstLine="420" w:firstLineChars="200"/>
              <w:jc w:val="both"/>
              <w:rPr>
                <w:color w:val="auto"/>
              </w:rPr>
            </w:pPr>
            <w:r>
              <w:rPr>
                <w:rFonts w:hint="eastAsia"/>
                <w:color w:val="auto"/>
              </w:rPr>
              <w:t>③污染物消除：善后处理组打开车间通风设备，做好室内外通风换气工作。</w:t>
            </w:r>
          </w:p>
          <w:p w14:paraId="311BE0B1">
            <w:pPr>
              <w:pStyle w:val="54"/>
              <w:numPr>
                <w:ilvl w:val="255"/>
                <w:numId w:val="0"/>
              </w:numPr>
              <w:ind w:firstLine="420" w:firstLineChars="200"/>
              <w:jc w:val="both"/>
              <w:rPr>
                <w:color w:val="auto"/>
              </w:rPr>
            </w:pPr>
            <w:r>
              <w:rPr>
                <w:rFonts w:hint="eastAsia"/>
                <w:color w:val="auto"/>
              </w:rPr>
              <w:t>④污染物监测：待善后处理组消除污染物后，由应急监测组联系外界监测单位，进行大气相关监测。</w:t>
            </w:r>
          </w:p>
        </w:tc>
      </w:tr>
      <w:tr w14:paraId="6396C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510" w:type="pct"/>
            <w:shd w:val="clear" w:color="auto" w:fill="auto"/>
            <w:vAlign w:val="center"/>
          </w:tcPr>
          <w:p w14:paraId="728EEC1D">
            <w:pPr>
              <w:pStyle w:val="54"/>
              <w:rPr>
                <w:color w:val="auto"/>
              </w:rPr>
            </w:pPr>
            <w:r>
              <w:rPr>
                <w:color w:val="auto"/>
              </w:rPr>
              <w:t>其他环境管理要求</w:t>
            </w:r>
          </w:p>
        </w:tc>
        <w:tc>
          <w:tcPr>
            <w:tcW w:w="4489" w:type="pct"/>
            <w:gridSpan w:val="5"/>
            <w:shd w:val="clear" w:color="auto" w:fill="auto"/>
            <w:vAlign w:val="center"/>
          </w:tcPr>
          <w:p w14:paraId="605111F3">
            <w:pPr>
              <w:pStyle w:val="54"/>
              <w:ind w:firstLine="422" w:firstLineChars="200"/>
              <w:jc w:val="both"/>
              <w:rPr>
                <w:b/>
                <w:bCs/>
                <w:color w:val="auto"/>
              </w:rPr>
            </w:pPr>
            <w:r>
              <w:rPr>
                <w:b/>
                <w:bCs/>
                <w:color w:val="auto"/>
              </w:rPr>
              <w:t>1）环境管理计划</w:t>
            </w:r>
          </w:p>
          <w:p w14:paraId="076260FA">
            <w:pPr>
              <w:pStyle w:val="54"/>
              <w:ind w:firstLine="420" w:firstLineChars="200"/>
              <w:jc w:val="both"/>
              <w:rPr>
                <w:color w:val="auto"/>
              </w:rPr>
            </w:pPr>
            <w:r>
              <w:rPr>
                <w:color w:val="auto"/>
              </w:rPr>
              <w:t>①严格执行“三同时”制度。在项目筹备、设计和施工建设不同阶段，均应严格执行“三同时”制度，确保污染处理设施能够与生产工艺设施“同时设计、同时施工、同时竣工”；</w:t>
            </w:r>
          </w:p>
          <w:p w14:paraId="0B83BBA9">
            <w:pPr>
              <w:pStyle w:val="54"/>
              <w:ind w:firstLine="420" w:firstLineChars="200"/>
              <w:jc w:val="both"/>
              <w:rPr>
                <w:color w:val="auto"/>
              </w:rPr>
            </w:pPr>
            <w:r>
              <w:rPr>
                <w:color w:val="auto"/>
              </w:rPr>
              <w:t>②建立环境报告制度。应按有关法规的要求，严格执行排污申报制度；此外，在项目工程排污发生重大变化、污染治理设施发生重大改变或拟实施新、改、新建项目时必须及时向相关环保行政主管部门申报；</w:t>
            </w:r>
          </w:p>
          <w:p w14:paraId="1CF7046E">
            <w:pPr>
              <w:pStyle w:val="54"/>
              <w:ind w:firstLine="420" w:firstLineChars="200"/>
              <w:jc w:val="both"/>
              <w:rPr>
                <w:color w:val="auto"/>
              </w:rPr>
            </w:pPr>
            <w:r>
              <w:rPr>
                <w:color w:val="auto"/>
              </w:rPr>
              <w:t>③健全污染治理设施管理制度。建立健全污染治理设施的运行、检修、维护保养的作业规程和管理制度，将污染治理设施的管理与生产经营管理一同纳入公司日常管理工作的范畴，落实责任人，建立管理台账；</w:t>
            </w:r>
          </w:p>
          <w:p w14:paraId="015F2B21">
            <w:pPr>
              <w:pStyle w:val="54"/>
              <w:ind w:firstLine="420" w:firstLineChars="200"/>
              <w:jc w:val="both"/>
              <w:rPr>
                <w:color w:val="auto"/>
              </w:rPr>
            </w:pPr>
            <w:r>
              <w:rPr>
                <w:color w:val="auto"/>
              </w:rPr>
              <w:t>④建立环境目标管理责任制和奖惩条例。建立并实施各级人员的环境目标管理责任制，把环境目标责任完成情况与奖惩制度结合起来。设置环境保护奖惩条例，在公司内部形成注重环境管理，持续改进环境绩效的氛围；</w:t>
            </w:r>
          </w:p>
          <w:p w14:paraId="4356152D">
            <w:pPr>
              <w:pStyle w:val="54"/>
              <w:ind w:firstLine="420" w:firstLineChars="200"/>
              <w:jc w:val="both"/>
              <w:rPr>
                <w:color w:val="auto"/>
              </w:rPr>
            </w:pPr>
            <w:r>
              <w:rPr>
                <w:color w:val="auto"/>
              </w:rPr>
              <w:t>⑤应通过“江苏企业‘环保脸谱’（一企一档）”（江苏省生态环境厅）进行危险废物申报登记；</w:t>
            </w:r>
          </w:p>
          <w:p w14:paraId="60234544">
            <w:pPr>
              <w:pStyle w:val="54"/>
              <w:ind w:firstLine="420" w:firstLineChars="200"/>
              <w:jc w:val="both"/>
              <w:rPr>
                <w:color w:val="auto"/>
              </w:rPr>
            </w:pPr>
            <w:r>
              <w:rPr>
                <w:color w:val="auto"/>
              </w:rPr>
              <w:t>⑥建立风险管理及应急救援体系，执行环境监测计划、转移联单管理制度及国家和省有关转移管理的相关规定、处置过程安全操作规程、人员培训考核制度、档案管理制度、处置全过程管理制度；</w:t>
            </w:r>
          </w:p>
          <w:p w14:paraId="140F6A1A">
            <w:pPr>
              <w:pStyle w:val="54"/>
              <w:ind w:firstLine="420" w:firstLineChars="200"/>
              <w:jc w:val="both"/>
              <w:rPr>
                <w:color w:val="auto"/>
              </w:rPr>
            </w:pPr>
            <w:r>
              <w:rPr>
                <w:color w:val="auto"/>
              </w:rPr>
              <w:t>⑦规范建设危险废物贮存场所并按照要求设置警告标志，危废包装、容器和贮存场所应按照《危险废物贮存污染控制标准》（GB18597-2023）要求张贴标识；</w:t>
            </w:r>
          </w:p>
          <w:p w14:paraId="3E1D3E44">
            <w:pPr>
              <w:pStyle w:val="54"/>
              <w:ind w:firstLine="422" w:firstLineChars="200"/>
              <w:jc w:val="both"/>
              <w:rPr>
                <w:b/>
                <w:bCs/>
                <w:color w:val="auto"/>
              </w:rPr>
            </w:pPr>
            <w:r>
              <w:rPr>
                <w:b/>
                <w:bCs/>
                <w:color w:val="auto"/>
              </w:rPr>
              <w:t>2）排污许可管理制度</w:t>
            </w:r>
          </w:p>
          <w:p w14:paraId="414739A8">
            <w:pPr>
              <w:pStyle w:val="54"/>
              <w:ind w:firstLine="420" w:firstLineChars="200"/>
              <w:jc w:val="both"/>
              <w:rPr>
                <w:color w:val="auto"/>
              </w:rPr>
            </w:pPr>
            <w:r>
              <w:rPr>
                <w:color w:val="auto"/>
              </w:rPr>
              <w:t>根据《固定污染源排污许可分类管理名录（2019年版）》，</w:t>
            </w:r>
            <w:r>
              <w:rPr>
                <w:rFonts w:hint="eastAsia"/>
                <w:color w:val="auto"/>
              </w:rPr>
              <w:t>本扩建项目主体属于“二十七、有色金属冶炼和压延加工业32，79有色金属压延加工325-有轧制工序的”，排污许可应执行简化管理；现有项目主体也属于“二十七、有色金属冶炼和压延加工业32，79有色金属压延加工325-有轧制工序的”，排污许可执行简化管理，详见附件</w:t>
            </w:r>
            <w:r>
              <w:rPr>
                <w:rFonts w:hint="eastAsia"/>
                <w:color w:val="auto"/>
                <w:lang w:val="en-US" w:eastAsia="zh-CN"/>
              </w:rPr>
              <w:t>13</w:t>
            </w:r>
            <w:r>
              <w:rPr>
                <w:rFonts w:hint="eastAsia"/>
                <w:color w:val="auto"/>
              </w:rPr>
              <w:t>，因此本扩建项目建成后全厂排污许可执行简化管理。</w:t>
            </w:r>
          </w:p>
          <w:p w14:paraId="1D0A9C37">
            <w:pPr>
              <w:pStyle w:val="54"/>
              <w:ind w:firstLine="422" w:firstLineChars="200"/>
              <w:jc w:val="both"/>
              <w:rPr>
                <w:b/>
                <w:bCs/>
                <w:color w:val="auto"/>
              </w:rPr>
            </w:pPr>
            <w:r>
              <w:rPr>
                <w:b/>
                <w:bCs/>
                <w:color w:val="auto"/>
              </w:rPr>
              <w:t>3）自行监测计划</w:t>
            </w:r>
          </w:p>
          <w:p w14:paraId="76160867">
            <w:pPr>
              <w:pStyle w:val="54"/>
              <w:ind w:firstLine="420" w:firstLineChars="200"/>
              <w:jc w:val="both"/>
              <w:rPr>
                <w:color w:val="auto"/>
              </w:rPr>
            </w:pPr>
            <w:r>
              <w:rPr>
                <w:color w:val="auto"/>
              </w:rPr>
              <w:t>根据《排污单位自行监测技术指南 总则》</w:t>
            </w:r>
            <w:r>
              <w:rPr>
                <w:rFonts w:hint="eastAsia"/>
                <w:color w:val="auto"/>
              </w:rPr>
              <w:t>（</w:t>
            </w:r>
            <w:r>
              <w:rPr>
                <w:color w:val="auto"/>
              </w:rPr>
              <w:t>HJ</w:t>
            </w:r>
            <w:r>
              <w:rPr>
                <w:rFonts w:hint="eastAsia"/>
                <w:color w:val="auto"/>
              </w:rPr>
              <w:t xml:space="preserve"> </w:t>
            </w:r>
            <w:r>
              <w:rPr>
                <w:color w:val="auto"/>
              </w:rPr>
              <w:t>819-2017</w:t>
            </w:r>
            <w:r>
              <w:rPr>
                <w:rFonts w:hint="eastAsia"/>
                <w:color w:val="auto"/>
              </w:rPr>
              <w:t>）、《</w:t>
            </w:r>
            <w:r>
              <w:rPr>
                <w:color w:val="auto"/>
              </w:rPr>
              <w:t>排污许可证申请与核发技术规范 工业炉窑》（HJ</w:t>
            </w:r>
            <w:r>
              <w:rPr>
                <w:rFonts w:hint="eastAsia"/>
                <w:color w:val="auto"/>
              </w:rPr>
              <w:t xml:space="preserve"> </w:t>
            </w:r>
            <w:r>
              <w:rPr>
                <w:color w:val="auto"/>
              </w:rPr>
              <w:t>1121-2020）</w:t>
            </w:r>
            <w:r>
              <w:rPr>
                <w:rFonts w:hint="eastAsia"/>
                <w:color w:val="auto"/>
              </w:rPr>
              <w:t>，</w:t>
            </w:r>
            <w:r>
              <w:rPr>
                <w:color w:val="auto"/>
              </w:rPr>
              <w:t>建设单位定期委托有资质的检（监）测机构代其开展自行监测，根据监测结果编写自行监测年度报告并上报当地环境保护主管部门。</w:t>
            </w:r>
          </w:p>
          <w:p w14:paraId="65CC2E6C">
            <w:pPr>
              <w:pStyle w:val="54"/>
              <w:ind w:firstLine="422" w:firstLineChars="200"/>
              <w:jc w:val="both"/>
              <w:rPr>
                <w:b/>
                <w:bCs/>
                <w:color w:val="auto"/>
              </w:rPr>
            </w:pPr>
            <w:r>
              <w:rPr>
                <w:b/>
                <w:bCs/>
                <w:color w:val="auto"/>
              </w:rPr>
              <w:t>4）验收监测计划</w:t>
            </w:r>
          </w:p>
          <w:p w14:paraId="7D842808">
            <w:pPr>
              <w:pStyle w:val="54"/>
              <w:ind w:firstLine="420" w:firstLineChars="200"/>
              <w:jc w:val="both"/>
              <w:rPr>
                <w:color w:val="auto"/>
              </w:rPr>
            </w:pPr>
            <w:r>
              <w:rPr>
                <w:color w:val="auto"/>
              </w:rPr>
              <w:t>当本项目达到验收标准时，根据《建设项目竣工环境保护验收技术指南 污染影响类》委托有资质的检（监）测机构代其开展验收监测，根据监测结果编写验收监测报告。</w:t>
            </w:r>
          </w:p>
          <w:p w14:paraId="2D4E07AB">
            <w:pPr>
              <w:pStyle w:val="54"/>
              <w:rPr>
                <w:color w:val="auto"/>
              </w:rPr>
            </w:pPr>
          </w:p>
          <w:p w14:paraId="3677FE75">
            <w:pPr>
              <w:pStyle w:val="54"/>
              <w:rPr>
                <w:color w:val="auto"/>
              </w:rPr>
            </w:pPr>
          </w:p>
          <w:p w14:paraId="4FDA0F46">
            <w:pPr>
              <w:pStyle w:val="54"/>
              <w:rPr>
                <w:color w:val="auto"/>
              </w:rPr>
            </w:pPr>
          </w:p>
          <w:p w14:paraId="627FF5E1">
            <w:pPr>
              <w:pStyle w:val="54"/>
              <w:rPr>
                <w:color w:val="auto"/>
              </w:rPr>
            </w:pPr>
          </w:p>
          <w:p w14:paraId="78402CA5">
            <w:pPr>
              <w:pStyle w:val="54"/>
              <w:rPr>
                <w:color w:val="auto"/>
              </w:rPr>
            </w:pPr>
          </w:p>
          <w:p w14:paraId="0CB59A73">
            <w:pPr>
              <w:pStyle w:val="54"/>
              <w:rPr>
                <w:color w:val="auto"/>
              </w:rPr>
            </w:pPr>
          </w:p>
          <w:p w14:paraId="5C6C38FF">
            <w:pPr>
              <w:pStyle w:val="54"/>
              <w:rPr>
                <w:color w:val="auto"/>
              </w:rPr>
            </w:pPr>
          </w:p>
          <w:p w14:paraId="657BEFB4">
            <w:pPr>
              <w:pStyle w:val="54"/>
              <w:rPr>
                <w:color w:val="auto"/>
              </w:rPr>
            </w:pPr>
          </w:p>
          <w:p w14:paraId="57E7E7EA">
            <w:pPr>
              <w:pStyle w:val="54"/>
              <w:rPr>
                <w:color w:val="auto"/>
              </w:rPr>
            </w:pPr>
          </w:p>
          <w:p w14:paraId="4113FF90">
            <w:pPr>
              <w:pStyle w:val="54"/>
              <w:rPr>
                <w:color w:val="auto"/>
              </w:rPr>
            </w:pPr>
          </w:p>
        </w:tc>
      </w:tr>
    </w:tbl>
    <w:p w14:paraId="1D53F5C1">
      <w:pPr>
        <w:pStyle w:val="50"/>
        <w:ind w:firstLine="480"/>
        <w:rPr>
          <w:color w:val="auto"/>
        </w:rPr>
        <w:sectPr>
          <w:pgSz w:w="11906" w:h="16838"/>
          <w:pgMar w:top="1701" w:right="1417" w:bottom="1701" w:left="1417" w:header="851" w:footer="851" w:gutter="0"/>
          <w:cols w:space="720" w:num="1"/>
          <w:docGrid w:linePitch="312" w:charSpace="0"/>
        </w:sectPr>
      </w:pPr>
      <w:bookmarkStart w:id="126" w:name="_Toc76138559"/>
    </w:p>
    <w:p w14:paraId="5F25B218">
      <w:pPr>
        <w:pStyle w:val="2"/>
        <w:spacing w:line="240" w:lineRule="auto"/>
        <w:rPr>
          <w:color w:val="auto"/>
        </w:rPr>
      </w:pPr>
      <w:bookmarkStart w:id="127" w:name="_Toc17075"/>
      <w:r>
        <w:rPr>
          <w:color w:val="auto"/>
        </w:rPr>
        <w:t>六、结论</w:t>
      </w:r>
      <w:bookmarkEnd w:id="126"/>
      <w:bookmarkEnd w:id="127"/>
    </w:p>
    <w:tbl>
      <w:tblPr>
        <w:tblStyle w:val="17"/>
        <w:tblW w:w="952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524"/>
      </w:tblGrid>
      <w:tr w14:paraId="790B79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90" w:hRule="atLeast"/>
          <w:jc w:val="center"/>
        </w:trPr>
        <w:tc>
          <w:tcPr>
            <w:tcW w:w="5000" w:type="pct"/>
            <w:tcBorders>
              <w:top w:val="single" w:color="auto" w:sz="8" w:space="0"/>
              <w:left w:val="single" w:color="auto" w:sz="8" w:space="0"/>
              <w:bottom w:val="single" w:color="auto" w:sz="8" w:space="0"/>
              <w:right w:val="single" w:color="auto" w:sz="8" w:space="0"/>
            </w:tcBorders>
            <w:shd w:val="clear" w:color="auto" w:fill="auto"/>
            <w:vAlign w:val="center"/>
          </w:tcPr>
          <w:p w14:paraId="704D0C48">
            <w:pPr>
              <w:pStyle w:val="50"/>
              <w:ind w:firstLine="480"/>
              <w:rPr>
                <w:color w:val="auto"/>
              </w:rPr>
            </w:pPr>
            <w:r>
              <w:rPr>
                <w:rFonts w:hint="eastAsia"/>
                <w:color w:val="auto"/>
              </w:rPr>
              <w:t>江苏恒轩新材料科技有限公司年产32000吨无氧铜杆项目</w:t>
            </w:r>
            <w:r>
              <w:rPr>
                <w:color w:val="auto"/>
              </w:rPr>
              <w:t>拟建于</w:t>
            </w:r>
            <w:r>
              <w:rPr>
                <w:rFonts w:hint="eastAsia"/>
                <w:color w:val="auto"/>
              </w:rPr>
              <w:t>宿迁市泗阳县王集镇发展大道东路8号</w:t>
            </w:r>
            <w:r>
              <w:rPr>
                <w:color w:val="auto"/>
              </w:rPr>
              <w:t>。经分析论证后认为，本</w:t>
            </w:r>
            <w:r>
              <w:rPr>
                <w:rFonts w:hint="eastAsia"/>
                <w:color w:val="auto"/>
              </w:rPr>
              <w:t>扩建</w:t>
            </w:r>
            <w:r>
              <w:rPr>
                <w:color w:val="auto"/>
              </w:rPr>
              <w:t>项目的建设符合国家和地方产业政策、符合“三线一单”的控制要求；项目采取的污染防治措施可行可靠，可有效实现污染物达标排放，总体上对评价区域环境影响较小，不会降低区域的环境功能区划的要求；项目各类固废能够妥善处置；项目环境风险在可接受范围内；项目的实施将带来一定的社会效益和经济效益。</w:t>
            </w:r>
          </w:p>
          <w:p w14:paraId="0CBD990A">
            <w:pPr>
              <w:pStyle w:val="50"/>
              <w:ind w:firstLine="480"/>
              <w:rPr>
                <w:color w:val="auto"/>
              </w:rPr>
            </w:pPr>
            <w:r>
              <w:rPr>
                <w:color w:val="auto"/>
              </w:rPr>
              <w:t>总体来看，在落实各项环境保护对策措施和环境管理要求、加强风险防范措施的前提下，从环保角度论证，本</w:t>
            </w:r>
            <w:r>
              <w:rPr>
                <w:rFonts w:hint="eastAsia"/>
                <w:color w:val="auto"/>
              </w:rPr>
              <w:t>扩建</w:t>
            </w:r>
            <w:r>
              <w:rPr>
                <w:color w:val="auto"/>
              </w:rPr>
              <w:t>项目在拟建地建设是可行的。</w:t>
            </w:r>
          </w:p>
          <w:p w14:paraId="4B4AB8C8">
            <w:pPr>
              <w:pStyle w:val="50"/>
              <w:ind w:firstLine="480"/>
              <w:rPr>
                <w:color w:val="auto"/>
              </w:rPr>
            </w:pPr>
          </w:p>
          <w:p w14:paraId="2AED7FF1">
            <w:pPr>
              <w:pStyle w:val="50"/>
              <w:ind w:firstLine="480"/>
              <w:rPr>
                <w:color w:val="auto"/>
              </w:rPr>
            </w:pPr>
          </w:p>
          <w:p w14:paraId="0952A210">
            <w:pPr>
              <w:pStyle w:val="50"/>
              <w:ind w:firstLine="480"/>
              <w:rPr>
                <w:color w:val="auto"/>
              </w:rPr>
            </w:pPr>
          </w:p>
          <w:p w14:paraId="377D4D9B">
            <w:pPr>
              <w:pStyle w:val="50"/>
              <w:ind w:firstLine="480"/>
              <w:rPr>
                <w:color w:val="auto"/>
              </w:rPr>
            </w:pPr>
          </w:p>
          <w:p w14:paraId="7A815197">
            <w:pPr>
              <w:pStyle w:val="50"/>
              <w:ind w:firstLine="480"/>
              <w:rPr>
                <w:color w:val="auto"/>
              </w:rPr>
            </w:pPr>
          </w:p>
          <w:p w14:paraId="2EDF3E7B">
            <w:pPr>
              <w:pStyle w:val="50"/>
              <w:ind w:firstLine="480"/>
              <w:rPr>
                <w:color w:val="auto"/>
              </w:rPr>
            </w:pPr>
          </w:p>
          <w:p w14:paraId="4F16B664">
            <w:pPr>
              <w:pStyle w:val="50"/>
              <w:ind w:firstLine="480"/>
              <w:rPr>
                <w:color w:val="auto"/>
              </w:rPr>
            </w:pPr>
          </w:p>
          <w:p w14:paraId="6DCDDD2A">
            <w:pPr>
              <w:pStyle w:val="50"/>
              <w:ind w:firstLine="480"/>
              <w:rPr>
                <w:color w:val="auto"/>
              </w:rPr>
            </w:pPr>
          </w:p>
          <w:p w14:paraId="73BC5142">
            <w:pPr>
              <w:pStyle w:val="50"/>
              <w:ind w:firstLine="480"/>
              <w:rPr>
                <w:color w:val="auto"/>
              </w:rPr>
            </w:pPr>
          </w:p>
          <w:p w14:paraId="36D86CA4">
            <w:pPr>
              <w:pStyle w:val="50"/>
              <w:ind w:firstLine="480"/>
              <w:rPr>
                <w:color w:val="auto"/>
              </w:rPr>
            </w:pPr>
          </w:p>
          <w:p w14:paraId="7561D199">
            <w:pPr>
              <w:pStyle w:val="50"/>
              <w:ind w:firstLine="480"/>
              <w:rPr>
                <w:color w:val="auto"/>
              </w:rPr>
            </w:pPr>
          </w:p>
          <w:p w14:paraId="7CC57854">
            <w:pPr>
              <w:pStyle w:val="50"/>
              <w:ind w:firstLine="480"/>
              <w:rPr>
                <w:color w:val="auto"/>
              </w:rPr>
            </w:pPr>
          </w:p>
          <w:p w14:paraId="27E5F30D">
            <w:pPr>
              <w:pStyle w:val="50"/>
              <w:ind w:firstLine="480"/>
              <w:rPr>
                <w:color w:val="auto"/>
              </w:rPr>
            </w:pPr>
          </w:p>
          <w:p w14:paraId="632E0DCA">
            <w:pPr>
              <w:pStyle w:val="50"/>
              <w:ind w:firstLine="480"/>
              <w:rPr>
                <w:color w:val="auto"/>
              </w:rPr>
            </w:pPr>
          </w:p>
          <w:p w14:paraId="3228B708">
            <w:pPr>
              <w:pStyle w:val="50"/>
              <w:ind w:firstLine="480"/>
              <w:rPr>
                <w:color w:val="auto"/>
              </w:rPr>
            </w:pPr>
          </w:p>
          <w:p w14:paraId="4E3DD81F">
            <w:pPr>
              <w:pStyle w:val="50"/>
              <w:ind w:firstLine="480"/>
              <w:rPr>
                <w:color w:val="auto"/>
              </w:rPr>
            </w:pPr>
          </w:p>
          <w:p w14:paraId="04F6C869">
            <w:pPr>
              <w:pStyle w:val="50"/>
              <w:ind w:firstLine="480"/>
              <w:rPr>
                <w:color w:val="auto"/>
              </w:rPr>
            </w:pPr>
          </w:p>
          <w:p w14:paraId="404D79A6">
            <w:pPr>
              <w:pStyle w:val="50"/>
              <w:ind w:firstLine="480"/>
              <w:rPr>
                <w:color w:val="auto"/>
              </w:rPr>
            </w:pPr>
          </w:p>
          <w:p w14:paraId="2E5FC0AC">
            <w:pPr>
              <w:pStyle w:val="50"/>
              <w:ind w:firstLine="480"/>
              <w:rPr>
                <w:color w:val="auto"/>
              </w:rPr>
            </w:pPr>
          </w:p>
          <w:p w14:paraId="07913598">
            <w:pPr>
              <w:pStyle w:val="50"/>
              <w:ind w:firstLine="480"/>
              <w:rPr>
                <w:color w:val="auto"/>
              </w:rPr>
            </w:pPr>
          </w:p>
          <w:p w14:paraId="4891A2A9">
            <w:pPr>
              <w:pStyle w:val="50"/>
              <w:ind w:firstLine="480"/>
              <w:rPr>
                <w:color w:val="auto"/>
              </w:rPr>
            </w:pPr>
          </w:p>
          <w:p w14:paraId="6587DE5B">
            <w:pPr>
              <w:pStyle w:val="50"/>
              <w:ind w:firstLine="480"/>
              <w:rPr>
                <w:color w:val="auto"/>
              </w:rPr>
            </w:pPr>
          </w:p>
        </w:tc>
      </w:tr>
      <w:bookmarkEnd w:id="125"/>
    </w:tbl>
    <w:p w14:paraId="5AA98F0C">
      <w:pPr>
        <w:rPr>
          <w:color w:val="auto"/>
        </w:rPr>
        <w:sectPr>
          <w:pgSz w:w="11906" w:h="16838"/>
          <w:pgMar w:top="1701" w:right="1417" w:bottom="1701" w:left="1417" w:header="851" w:footer="851" w:gutter="0"/>
          <w:cols w:space="720" w:num="1"/>
          <w:docGrid w:linePitch="312" w:charSpace="0"/>
        </w:sectPr>
      </w:pPr>
    </w:p>
    <w:p w14:paraId="3A5D3FE8">
      <w:pPr>
        <w:pStyle w:val="2"/>
        <w:spacing w:line="240" w:lineRule="auto"/>
        <w:rPr>
          <w:color w:val="auto"/>
        </w:rPr>
      </w:pPr>
      <w:bookmarkStart w:id="128" w:name="_Toc8760"/>
      <w:bookmarkStart w:id="129" w:name="_Toc18646"/>
      <w:r>
        <w:rPr>
          <w:color w:val="auto"/>
        </w:rPr>
        <w:t>建设项目污染物排放量汇总表</w:t>
      </w:r>
      <w:bookmarkEnd w:id="128"/>
      <w:bookmarkEnd w:id="129"/>
    </w:p>
    <w:tbl>
      <w:tblPr>
        <w:tblStyle w:val="17"/>
        <w:tblW w:w="5000" w:type="pct"/>
        <w:tblInd w:w="-6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6"/>
        <w:gridCol w:w="342"/>
        <w:gridCol w:w="1497"/>
        <w:gridCol w:w="1539"/>
        <w:gridCol w:w="1539"/>
        <w:gridCol w:w="1539"/>
        <w:gridCol w:w="1539"/>
        <w:gridCol w:w="1539"/>
        <w:gridCol w:w="1780"/>
        <w:gridCol w:w="1302"/>
      </w:tblGrid>
      <w:tr w14:paraId="21112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324" w:type="pct"/>
            <w:tcBorders>
              <w:tl2br w:val="single" w:color="auto" w:sz="4" w:space="0"/>
            </w:tcBorders>
            <w:tcMar>
              <w:left w:w="28" w:type="dxa"/>
              <w:right w:w="28" w:type="dxa"/>
            </w:tcMar>
            <w:vAlign w:val="center"/>
          </w:tcPr>
          <w:p w14:paraId="4FAA142E">
            <w:pPr>
              <w:pStyle w:val="52"/>
              <w:jc w:val="right"/>
              <w:rPr>
                <w:color w:val="auto"/>
              </w:rPr>
            </w:pPr>
            <w:r>
              <w:rPr>
                <w:color w:val="auto"/>
              </w:rPr>
              <w:t xml:space="preserve">   项目</w:t>
            </w:r>
          </w:p>
          <w:p w14:paraId="3D132A80">
            <w:pPr>
              <w:pStyle w:val="52"/>
              <w:rPr>
                <w:color w:val="auto"/>
              </w:rPr>
            </w:pPr>
          </w:p>
          <w:p w14:paraId="5B5EC385">
            <w:pPr>
              <w:pStyle w:val="52"/>
              <w:jc w:val="left"/>
              <w:rPr>
                <w:color w:val="auto"/>
              </w:rPr>
            </w:pPr>
            <w:r>
              <w:rPr>
                <w:color w:val="auto"/>
              </w:rPr>
              <w:t>分类</w:t>
            </w:r>
          </w:p>
        </w:tc>
        <w:tc>
          <w:tcPr>
            <w:tcW w:w="681" w:type="pct"/>
            <w:gridSpan w:val="2"/>
            <w:tcMar>
              <w:left w:w="28" w:type="dxa"/>
              <w:right w:w="28" w:type="dxa"/>
            </w:tcMar>
            <w:vAlign w:val="center"/>
          </w:tcPr>
          <w:p w14:paraId="0DB4CF73">
            <w:pPr>
              <w:pStyle w:val="52"/>
              <w:rPr>
                <w:color w:val="auto"/>
              </w:rPr>
            </w:pPr>
            <w:r>
              <w:rPr>
                <w:color w:val="auto"/>
              </w:rPr>
              <w:t>污染物名称</w:t>
            </w:r>
          </w:p>
        </w:tc>
        <w:tc>
          <w:tcPr>
            <w:tcW w:w="570" w:type="pct"/>
            <w:tcMar>
              <w:left w:w="28" w:type="dxa"/>
              <w:right w:w="28" w:type="dxa"/>
            </w:tcMar>
            <w:vAlign w:val="center"/>
          </w:tcPr>
          <w:p w14:paraId="039CA599">
            <w:pPr>
              <w:pStyle w:val="52"/>
              <w:rPr>
                <w:color w:val="auto"/>
              </w:rPr>
            </w:pPr>
            <w:r>
              <w:rPr>
                <w:color w:val="auto"/>
              </w:rPr>
              <w:t>现有工程排放量（固体废物产生量）</w:t>
            </w:r>
            <w:r>
              <w:rPr>
                <w:color w:val="auto"/>
              </w:rPr>
              <w:fldChar w:fldCharType="begin"/>
            </w:r>
            <w:r>
              <w:rPr>
                <w:color w:val="auto"/>
              </w:rPr>
              <w:instrText xml:space="preserve"> = 1 \* GB3 \* MERGEFORMAT </w:instrText>
            </w:r>
            <w:r>
              <w:rPr>
                <w:color w:val="auto"/>
              </w:rPr>
              <w:fldChar w:fldCharType="separate"/>
            </w:r>
            <w:r>
              <w:rPr>
                <w:color w:val="auto"/>
              </w:rPr>
              <w:t>①</w:t>
            </w:r>
            <w:r>
              <w:rPr>
                <w:color w:val="auto"/>
              </w:rPr>
              <w:fldChar w:fldCharType="end"/>
            </w:r>
            <w:r>
              <w:rPr>
                <w:color w:val="auto"/>
              </w:rPr>
              <w:t>（t/a）</w:t>
            </w:r>
          </w:p>
        </w:tc>
        <w:tc>
          <w:tcPr>
            <w:tcW w:w="570" w:type="pct"/>
            <w:tcMar>
              <w:left w:w="28" w:type="dxa"/>
              <w:right w:w="28" w:type="dxa"/>
            </w:tcMar>
            <w:vAlign w:val="center"/>
          </w:tcPr>
          <w:p w14:paraId="7A1A6029">
            <w:pPr>
              <w:pStyle w:val="52"/>
              <w:rPr>
                <w:color w:val="auto"/>
              </w:rPr>
            </w:pPr>
            <w:r>
              <w:rPr>
                <w:color w:val="auto"/>
              </w:rPr>
              <w:t>现有工程许可排放量</w:t>
            </w:r>
            <w:r>
              <w:rPr>
                <w:color w:val="auto"/>
              </w:rPr>
              <w:fldChar w:fldCharType="begin"/>
            </w:r>
            <w:r>
              <w:rPr>
                <w:color w:val="auto"/>
              </w:rPr>
              <w:instrText xml:space="preserve"> = 2 \* GB3 \* MERGEFORMAT </w:instrText>
            </w:r>
            <w:r>
              <w:rPr>
                <w:color w:val="auto"/>
              </w:rPr>
              <w:fldChar w:fldCharType="separate"/>
            </w:r>
            <w:r>
              <w:rPr>
                <w:color w:val="auto"/>
              </w:rPr>
              <w:t>②</w:t>
            </w:r>
            <w:r>
              <w:rPr>
                <w:color w:val="auto"/>
              </w:rPr>
              <w:fldChar w:fldCharType="end"/>
            </w:r>
          </w:p>
          <w:p w14:paraId="5F0C380E">
            <w:pPr>
              <w:pStyle w:val="52"/>
              <w:rPr>
                <w:color w:val="auto"/>
              </w:rPr>
            </w:pPr>
            <w:r>
              <w:rPr>
                <w:rFonts w:hint="eastAsia"/>
                <w:color w:val="auto"/>
              </w:rPr>
              <w:t>（</w:t>
            </w:r>
            <w:r>
              <w:rPr>
                <w:color w:val="auto"/>
              </w:rPr>
              <w:t>t/a</w:t>
            </w:r>
            <w:r>
              <w:rPr>
                <w:rFonts w:hint="eastAsia"/>
                <w:color w:val="auto"/>
              </w:rPr>
              <w:t>）</w:t>
            </w:r>
          </w:p>
        </w:tc>
        <w:tc>
          <w:tcPr>
            <w:tcW w:w="570" w:type="pct"/>
            <w:tcMar>
              <w:left w:w="28" w:type="dxa"/>
              <w:right w:w="28" w:type="dxa"/>
            </w:tcMar>
            <w:vAlign w:val="center"/>
          </w:tcPr>
          <w:p w14:paraId="1A6421B8">
            <w:pPr>
              <w:pStyle w:val="52"/>
              <w:rPr>
                <w:color w:val="auto"/>
              </w:rPr>
            </w:pPr>
            <w:r>
              <w:rPr>
                <w:color w:val="auto"/>
              </w:rPr>
              <w:t>在建工程排放量（固体废物产生量）</w:t>
            </w:r>
            <w:r>
              <w:rPr>
                <w:color w:val="auto"/>
              </w:rPr>
              <w:fldChar w:fldCharType="begin"/>
            </w:r>
            <w:r>
              <w:rPr>
                <w:color w:val="auto"/>
              </w:rPr>
              <w:instrText xml:space="preserve"> = 3 \* GB3 \* MERGEFORMAT </w:instrText>
            </w:r>
            <w:r>
              <w:rPr>
                <w:color w:val="auto"/>
              </w:rPr>
              <w:fldChar w:fldCharType="separate"/>
            </w:r>
            <w:r>
              <w:rPr>
                <w:color w:val="auto"/>
              </w:rPr>
              <w:t>③</w:t>
            </w:r>
            <w:r>
              <w:rPr>
                <w:color w:val="auto"/>
              </w:rPr>
              <w:fldChar w:fldCharType="end"/>
            </w:r>
            <w:r>
              <w:rPr>
                <w:color w:val="auto"/>
              </w:rPr>
              <w:t>（t/a）</w:t>
            </w:r>
          </w:p>
        </w:tc>
        <w:tc>
          <w:tcPr>
            <w:tcW w:w="570" w:type="pct"/>
            <w:tcMar>
              <w:left w:w="28" w:type="dxa"/>
              <w:right w:w="28" w:type="dxa"/>
            </w:tcMar>
            <w:vAlign w:val="center"/>
          </w:tcPr>
          <w:p w14:paraId="132A2EE8">
            <w:pPr>
              <w:pStyle w:val="52"/>
              <w:rPr>
                <w:color w:val="auto"/>
              </w:rPr>
            </w:pPr>
            <w:r>
              <w:rPr>
                <w:color w:val="auto"/>
              </w:rPr>
              <w:t>本项目排放量（固体废物产生量）</w:t>
            </w:r>
            <w:r>
              <w:rPr>
                <w:color w:val="auto"/>
              </w:rPr>
              <w:fldChar w:fldCharType="begin"/>
            </w:r>
            <w:r>
              <w:rPr>
                <w:color w:val="auto"/>
              </w:rPr>
              <w:instrText xml:space="preserve"> = 4 \* GB3 \* MERGEFORMAT </w:instrText>
            </w:r>
            <w:r>
              <w:rPr>
                <w:color w:val="auto"/>
              </w:rPr>
              <w:fldChar w:fldCharType="separate"/>
            </w:r>
            <w:r>
              <w:rPr>
                <w:color w:val="auto"/>
              </w:rPr>
              <w:t>④</w:t>
            </w:r>
            <w:r>
              <w:rPr>
                <w:color w:val="auto"/>
              </w:rPr>
              <w:fldChar w:fldCharType="end"/>
            </w:r>
            <w:r>
              <w:rPr>
                <w:color w:val="auto"/>
              </w:rPr>
              <w:t>（t/a）</w:t>
            </w:r>
          </w:p>
        </w:tc>
        <w:tc>
          <w:tcPr>
            <w:tcW w:w="570" w:type="pct"/>
            <w:tcMar>
              <w:left w:w="28" w:type="dxa"/>
              <w:right w:w="28" w:type="dxa"/>
            </w:tcMar>
            <w:vAlign w:val="center"/>
          </w:tcPr>
          <w:p w14:paraId="00666650">
            <w:pPr>
              <w:pStyle w:val="52"/>
              <w:rPr>
                <w:color w:val="auto"/>
              </w:rPr>
            </w:pPr>
            <w:r>
              <w:rPr>
                <w:color w:val="auto"/>
              </w:rPr>
              <w:t>以新带老削减量（新建项目不填）</w:t>
            </w:r>
            <w:r>
              <w:rPr>
                <w:color w:val="auto"/>
              </w:rPr>
              <w:fldChar w:fldCharType="begin"/>
            </w:r>
            <w:r>
              <w:rPr>
                <w:color w:val="auto"/>
              </w:rPr>
              <w:instrText xml:space="preserve"> = 5 \* GB3 \* MERGEFORMAT </w:instrText>
            </w:r>
            <w:r>
              <w:rPr>
                <w:color w:val="auto"/>
              </w:rPr>
              <w:fldChar w:fldCharType="separate"/>
            </w:r>
            <w:r>
              <w:rPr>
                <w:color w:val="auto"/>
              </w:rPr>
              <w:t>⑤</w:t>
            </w:r>
            <w:r>
              <w:rPr>
                <w:color w:val="auto"/>
              </w:rPr>
              <w:fldChar w:fldCharType="end"/>
            </w:r>
            <w:r>
              <w:rPr>
                <w:color w:val="auto"/>
              </w:rPr>
              <w:t>（t/a）</w:t>
            </w:r>
          </w:p>
        </w:tc>
        <w:tc>
          <w:tcPr>
            <w:tcW w:w="659" w:type="pct"/>
            <w:tcMar>
              <w:left w:w="28" w:type="dxa"/>
              <w:right w:w="28" w:type="dxa"/>
            </w:tcMar>
            <w:vAlign w:val="center"/>
          </w:tcPr>
          <w:p w14:paraId="2165B987">
            <w:pPr>
              <w:pStyle w:val="52"/>
              <w:rPr>
                <w:color w:val="auto"/>
              </w:rPr>
            </w:pPr>
            <w:r>
              <w:rPr>
                <w:color w:val="auto"/>
              </w:rPr>
              <w:t>本项目建成后全厂排放量（固体废物产生量）</w:t>
            </w:r>
            <w:r>
              <w:rPr>
                <w:color w:val="auto"/>
              </w:rPr>
              <w:fldChar w:fldCharType="begin"/>
            </w:r>
            <w:r>
              <w:rPr>
                <w:color w:val="auto"/>
              </w:rPr>
              <w:instrText xml:space="preserve"> = 6 \* GB3 \* MERGEFORMAT </w:instrText>
            </w:r>
            <w:r>
              <w:rPr>
                <w:color w:val="auto"/>
              </w:rPr>
              <w:fldChar w:fldCharType="separate"/>
            </w:r>
            <w:r>
              <w:rPr>
                <w:color w:val="auto"/>
              </w:rPr>
              <w:t>⑥</w:t>
            </w:r>
            <w:r>
              <w:rPr>
                <w:color w:val="auto"/>
              </w:rPr>
              <w:fldChar w:fldCharType="end"/>
            </w:r>
            <w:r>
              <w:rPr>
                <w:color w:val="auto"/>
              </w:rPr>
              <w:t>（t/a）</w:t>
            </w:r>
          </w:p>
        </w:tc>
        <w:tc>
          <w:tcPr>
            <w:tcW w:w="482" w:type="pct"/>
            <w:tcMar>
              <w:left w:w="28" w:type="dxa"/>
              <w:right w:w="28" w:type="dxa"/>
            </w:tcMar>
            <w:vAlign w:val="center"/>
          </w:tcPr>
          <w:p w14:paraId="6C9F5921">
            <w:pPr>
              <w:pStyle w:val="52"/>
              <w:rPr>
                <w:color w:val="auto"/>
              </w:rPr>
            </w:pPr>
            <w:r>
              <w:rPr>
                <w:color w:val="auto"/>
              </w:rPr>
              <w:t>变化量</w:t>
            </w:r>
            <w:r>
              <w:rPr>
                <w:color w:val="auto"/>
              </w:rPr>
              <w:fldChar w:fldCharType="begin"/>
            </w:r>
            <w:r>
              <w:rPr>
                <w:color w:val="auto"/>
              </w:rPr>
              <w:instrText xml:space="preserve"> = 7 \* GB3 \* MERGEFORMAT </w:instrText>
            </w:r>
            <w:r>
              <w:rPr>
                <w:color w:val="auto"/>
              </w:rPr>
              <w:fldChar w:fldCharType="separate"/>
            </w:r>
            <w:r>
              <w:rPr>
                <w:color w:val="auto"/>
              </w:rPr>
              <w:t>⑦</w:t>
            </w:r>
            <w:r>
              <w:rPr>
                <w:color w:val="auto"/>
              </w:rPr>
              <w:fldChar w:fldCharType="end"/>
            </w:r>
            <w:r>
              <w:rPr>
                <w:color w:val="auto"/>
              </w:rPr>
              <w:t>（t/a）</w:t>
            </w:r>
          </w:p>
        </w:tc>
      </w:tr>
      <w:tr w14:paraId="69751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24" w:type="pct"/>
            <w:vMerge w:val="restart"/>
            <w:vAlign w:val="center"/>
          </w:tcPr>
          <w:p w14:paraId="7FE2C622">
            <w:pPr>
              <w:pStyle w:val="54"/>
              <w:rPr>
                <w:color w:val="auto"/>
              </w:rPr>
            </w:pPr>
            <w:r>
              <w:rPr>
                <w:color w:val="auto"/>
              </w:rPr>
              <w:t>废气</w:t>
            </w:r>
          </w:p>
        </w:tc>
        <w:tc>
          <w:tcPr>
            <w:tcW w:w="681" w:type="pct"/>
            <w:gridSpan w:val="2"/>
            <w:vAlign w:val="center"/>
          </w:tcPr>
          <w:p w14:paraId="218148F1">
            <w:pPr>
              <w:pStyle w:val="54"/>
              <w:rPr>
                <w:color w:val="auto"/>
              </w:rPr>
            </w:pPr>
            <w:r>
              <w:rPr>
                <w:rFonts w:hint="eastAsia"/>
                <w:color w:val="auto"/>
              </w:rPr>
              <w:t>颗粒物</w:t>
            </w:r>
          </w:p>
        </w:tc>
        <w:tc>
          <w:tcPr>
            <w:tcW w:w="1539" w:type="dxa"/>
            <w:shd w:val="clear" w:color="auto" w:fill="auto"/>
            <w:vAlign w:val="center"/>
          </w:tcPr>
          <w:p w14:paraId="508FE082">
            <w:pPr>
              <w:pStyle w:val="54"/>
              <w:rPr>
                <w:color w:val="auto"/>
              </w:rPr>
            </w:pPr>
            <w:r>
              <w:rPr>
                <w:color w:val="auto"/>
              </w:rPr>
              <w:t>1.672</w:t>
            </w:r>
          </w:p>
        </w:tc>
        <w:tc>
          <w:tcPr>
            <w:tcW w:w="570" w:type="pct"/>
            <w:vAlign w:val="center"/>
          </w:tcPr>
          <w:p w14:paraId="36867E8A">
            <w:pPr>
              <w:pStyle w:val="54"/>
              <w:rPr>
                <w:color w:val="auto"/>
              </w:rPr>
            </w:pPr>
            <w:r>
              <w:rPr>
                <w:color w:val="auto"/>
              </w:rPr>
              <w:t>1.672</w:t>
            </w:r>
          </w:p>
        </w:tc>
        <w:tc>
          <w:tcPr>
            <w:tcW w:w="570" w:type="pct"/>
            <w:vAlign w:val="center"/>
          </w:tcPr>
          <w:p w14:paraId="06CBDCD8">
            <w:pPr>
              <w:pStyle w:val="54"/>
              <w:rPr>
                <w:color w:val="auto"/>
              </w:rPr>
            </w:pPr>
            <w:r>
              <w:rPr>
                <w:color w:val="auto"/>
              </w:rPr>
              <w:t>0</w:t>
            </w:r>
          </w:p>
        </w:tc>
        <w:tc>
          <w:tcPr>
            <w:tcW w:w="570" w:type="pct"/>
            <w:shd w:val="clear" w:color="auto" w:fill="auto"/>
            <w:vAlign w:val="center"/>
          </w:tcPr>
          <w:p w14:paraId="3FA84381">
            <w:pPr>
              <w:pStyle w:val="54"/>
              <w:rPr>
                <w:color w:val="auto"/>
              </w:rPr>
            </w:pPr>
            <w:r>
              <w:rPr>
                <w:color w:val="auto"/>
              </w:rPr>
              <w:t>1.137</w:t>
            </w:r>
          </w:p>
        </w:tc>
        <w:tc>
          <w:tcPr>
            <w:tcW w:w="570" w:type="pct"/>
            <w:vAlign w:val="center"/>
          </w:tcPr>
          <w:p w14:paraId="79108A0C">
            <w:pPr>
              <w:pStyle w:val="54"/>
              <w:rPr>
                <w:color w:val="auto"/>
              </w:rPr>
            </w:pPr>
            <w:r>
              <w:rPr>
                <w:color w:val="auto"/>
              </w:rPr>
              <w:t>0</w:t>
            </w:r>
          </w:p>
        </w:tc>
        <w:tc>
          <w:tcPr>
            <w:tcW w:w="659" w:type="pct"/>
            <w:vAlign w:val="center"/>
          </w:tcPr>
          <w:p w14:paraId="68F8B6E1">
            <w:pPr>
              <w:pStyle w:val="54"/>
              <w:rPr>
                <w:rFonts w:hint="default" w:eastAsia="宋体"/>
                <w:color w:val="auto"/>
                <w:lang w:val="en-US" w:eastAsia="zh-CN"/>
              </w:rPr>
            </w:pPr>
            <w:r>
              <w:rPr>
                <w:rFonts w:hint="eastAsia"/>
                <w:color w:val="auto"/>
                <w:lang w:val="en-US" w:eastAsia="zh-CN"/>
              </w:rPr>
              <w:t>2.809</w:t>
            </w:r>
          </w:p>
        </w:tc>
        <w:tc>
          <w:tcPr>
            <w:tcW w:w="482" w:type="pct"/>
            <w:vAlign w:val="center"/>
          </w:tcPr>
          <w:p w14:paraId="160A1CE0">
            <w:pPr>
              <w:pStyle w:val="54"/>
              <w:rPr>
                <w:color w:val="auto"/>
              </w:rPr>
            </w:pPr>
            <w:r>
              <w:rPr>
                <w:rFonts w:hint="eastAsia"/>
                <w:color w:val="auto"/>
              </w:rPr>
              <w:t>+</w:t>
            </w:r>
            <w:r>
              <w:rPr>
                <w:color w:val="auto"/>
              </w:rPr>
              <w:t>1.137</w:t>
            </w:r>
          </w:p>
        </w:tc>
      </w:tr>
      <w:tr w14:paraId="4069E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24" w:type="pct"/>
            <w:vMerge w:val="continue"/>
            <w:vAlign w:val="center"/>
          </w:tcPr>
          <w:p w14:paraId="28FC0E4B">
            <w:pPr>
              <w:pStyle w:val="54"/>
              <w:rPr>
                <w:color w:val="auto"/>
              </w:rPr>
            </w:pPr>
          </w:p>
        </w:tc>
        <w:tc>
          <w:tcPr>
            <w:tcW w:w="681" w:type="pct"/>
            <w:gridSpan w:val="2"/>
            <w:vAlign w:val="center"/>
          </w:tcPr>
          <w:p w14:paraId="08E1711F">
            <w:pPr>
              <w:pStyle w:val="54"/>
              <w:rPr>
                <w:color w:val="auto"/>
              </w:rPr>
            </w:pPr>
            <w:r>
              <w:rPr>
                <w:rFonts w:hint="eastAsia"/>
                <w:color w:val="auto"/>
              </w:rPr>
              <w:t>SO</w:t>
            </w:r>
            <w:r>
              <w:rPr>
                <w:rFonts w:hint="eastAsia"/>
                <w:color w:val="auto"/>
                <w:vertAlign w:val="subscript"/>
              </w:rPr>
              <w:t>2</w:t>
            </w:r>
          </w:p>
        </w:tc>
        <w:tc>
          <w:tcPr>
            <w:tcW w:w="1539" w:type="dxa"/>
            <w:shd w:val="clear" w:color="auto" w:fill="auto"/>
            <w:vAlign w:val="center"/>
          </w:tcPr>
          <w:p w14:paraId="63835B00">
            <w:pPr>
              <w:pStyle w:val="54"/>
              <w:rPr>
                <w:color w:val="auto"/>
              </w:rPr>
            </w:pPr>
            <w:r>
              <w:rPr>
                <w:color w:val="auto"/>
              </w:rPr>
              <w:t>0.403</w:t>
            </w:r>
          </w:p>
        </w:tc>
        <w:tc>
          <w:tcPr>
            <w:tcW w:w="570" w:type="pct"/>
            <w:vAlign w:val="center"/>
          </w:tcPr>
          <w:p w14:paraId="442B2234">
            <w:pPr>
              <w:pStyle w:val="54"/>
              <w:rPr>
                <w:color w:val="auto"/>
              </w:rPr>
            </w:pPr>
            <w:r>
              <w:rPr>
                <w:color w:val="auto"/>
              </w:rPr>
              <w:t>0.403</w:t>
            </w:r>
          </w:p>
        </w:tc>
        <w:tc>
          <w:tcPr>
            <w:tcW w:w="570" w:type="pct"/>
            <w:vAlign w:val="center"/>
          </w:tcPr>
          <w:p w14:paraId="4CBA6E22">
            <w:pPr>
              <w:pStyle w:val="54"/>
              <w:rPr>
                <w:color w:val="auto"/>
              </w:rPr>
            </w:pPr>
            <w:r>
              <w:rPr>
                <w:color w:val="auto"/>
              </w:rPr>
              <w:t>0</w:t>
            </w:r>
          </w:p>
        </w:tc>
        <w:tc>
          <w:tcPr>
            <w:tcW w:w="570" w:type="pct"/>
            <w:shd w:val="clear" w:color="auto" w:fill="auto"/>
            <w:vAlign w:val="center"/>
          </w:tcPr>
          <w:p w14:paraId="755977E9">
            <w:pPr>
              <w:pStyle w:val="54"/>
              <w:rPr>
                <w:color w:val="auto"/>
              </w:rPr>
            </w:pPr>
            <w:r>
              <w:rPr>
                <w:rFonts w:hint="eastAsia"/>
                <w:color w:val="auto"/>
              </w:rPr>
              <w:t>0</w:t>
            </w:r>
          </w:p>
        </w:tc>
        <w:tc>
          <w:tcPr>
            <w:tcW w:w="570" w:type="pct"/>
            <w:vAlign w:val="center"/>
          </w:tcPr>
          <w:p w14:paraId="3FD3F793">
            <w:pPr>
              <w:pStyle w:val="54"/>
              <w:rPr>
                <w:color w:val="auto"/>
              </w:rPr>
            </w:pPr>
            <w:r>
              <w:rPr>
                <w:color w:val="auto"/>
              </w:rPr>
              <w:t>0</w:t>
            </w:r>
          </w:p>
        </w:tc>
        <w:tc>
          <w:tcPr>
            <w:tcW w:w="659" w:type="pct"/>
            <w:vAlign w:val="center"/>
          </w:tcPr>
          <w:p w14:paraId="2245C500">
            <w:pPr>
              <w:pStyle w:val="54"/>
              <w:rPr>
                <w:rFonts w:hint="default" w:eastAsia="宋体"/>
                <w:color w:val="auto"/>
                <w:lang w:val="en-US" w:eastAsia="zh-CN"/>
              </w:rPr>
            </w:pPr>
            <w:r>
              <w:rPr>
                <w:rFonts w:hint="eastAsia"/>
                <w:color w:val="auto"/>
                <w:lang w:val="en-US" w:eastAsia="zh-CN"/>
              </w:rPr>
              <w:t>0.403</w:t>
            </w:r>
          </w:p>
        </w:tc>
        <w:tc>
          <w:tcPr>
            <w:tcW w:w="482" w:type="pct"/>
            <w:vAlign w:val="center"/>
          </w:tcPr>
          <w:p w14:paraId="6CDB9C7A">
            <w:pPr>
              <w:pStyle w:val="54"/>
              <w:rPr>
                <w:color w:val="auto"/>
              </w:rPr>
            </w:pPr>
            <w:r>
              <w:rPr>
                <w:rFonts w:hint="eastAsia"/>
                <w:color w:val="auto"/>
              </w:rPr>
              <w:t>0</w:t>
            </w:r>
          </w:p>
        </w:tc>
      </w:tr>
      <w:tr w14:paraId="137FE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24" w:type="pct"/>
            <w:vMerge w:val="continue"/>
            <w:vAlign w:val="center"/>
          </w:tcPr>
          <w:p w14:paraId="7FF2B760">
            <w:pPr>
              <w:pStyle w:val="54"/>
              <w:rPr>
                <w:color w:val="auto"/>
              </w:rPr>
            </w:pPr>
          </w:p>
        </w:tc>
        <w:tc>
          <w:tcPr>
            <w:tcW w:w="681" w:type="pct"/>
            <w:gridSpan w:val="2"/>
            <w:vAlign w:val="center"/>
          </w:tcPr>
          <w:p w14:paraId="4F2D7EB9">
            <w:pPr>
              <w:pStyle w:val="54"/>
              <w:rPr>
                <w:color w:val="auto"/>
              </w:rPr>
            </w:pPr>
            <w:r>
              <w:rPr>
                <w:rFonts w:hint="eastAsia"/>
                <w:color w:val="auto"/>
              </w:rPr>
              <w:t>NOx</w:t>
            </w:r>
          </w:p>
        </w:tc>
        <w:tc>
          <w:tcPr>
            <w:tcW w:w="1539" w:type="dxa"/>
            <w:shd w:val="clear" w:color="auto" w:fill="auto"/>
            <w:vAlign w:val="center"/>
          </w:tcPr>
          <w:p w14:paraId="5FF7E845">
            <w:pPr>
              <w:pStyle w:val="54"/>
              <w:rPr>
                <w:color w:val="auto"/>
              </w:rPr>
            </w:pPr>
            <w:r>
              <w:rPr>
                <w:color w:val="auto"/>
              </w:rPr>
              <w:t>0.612</w:t>
            </w:r>
          </w:p>
        </w:tc>
        <w:tc>
          <w:tcPr>
            <w:tcW w:w="570" w:type="pct"/>
            <w:vAlign w:val="center"/>
          </w:tcPr>
          <w:p w14:paraId="20BB2386">
            <w:pPr>
              <w:pStyle w:val="54"/>
              <w:rPr>
                <w:color w:val="auto"/>
              </w:rPr>
            </w:pPr>
            <w:r>
              <w:rPr>
                <w:color w:val="auto"/>
              </w:rPr>
              <w:t>0.612</w:t>
            </w:r>
          </w:p>
        </w:tc>
        <w:tc>
          <w:tcPr>
            <w:tcW w:w="570" w:type="pct"/>
            <w:vAlign w:val="center"/>
          </w:tcPr>
          <w:p w14:paraId="2071ECE1">
            <w:pPr>
              <w:pStyle w:val="54"/>
              <w:rPr>
                <w:color w:val="auto"/>
              </w:rPr>
            </w:pPr>
            <w:r>
              <w:rPr>
                <w:color w:val="auto"/>
              </w:rPr>
              <w:t>0</w:t>
            </w:r>
          </w:p>
        </w:tc>
        <w:tc>
          <w:tcPr>
            <w:tcW w:w="570" w:type="pct"/>
            <w:shd w:val="clear" w:color="auto" w:fill="auto"/>
            <w:vAlign w:val="center"/>
          </w:tcPr>
          <w:p w14:paraId="0B6FCF31">
            <w:pPr>
              <w:pStyle w:val="54"/>
              <w:rPr>
                <w:color w:val="auto"/>
              </w:rPr>
            </w:pPr>
            <w:r>
              <w:rPr>
                <w:rFonts w:hint="eastAsia"/>
                <w:color w:val="auto"/>
              </w:rPr>
              <w:t>0</w:t>
            </w:r>
          </w:p>
        </w:tc>
        <w:tc>
          <w:tcPr>
            <w:tcW w:w="570" w:type="pct"/>
            <w:vAlign w:val="center"/>
          </w:tcPr>
          <w:p w14:paraId="1DD285AA">
            <w:pPr>
              <w:pStyle w:val="54"/>
              <w:rPr>
                <w:color w:val="auto"/>
              </w:rPr>
            </w:pPr>
            <w:r>
              <w:rPr>
                <w:color w:val="auto"/>
              </w:rPr>
              <w:t>0</w:t>
            </w:r>
          </w:p>
        </w:tc>
        <w:tc>
          <w:tcPr>
            <w:tcW w:w="659" w:type="pct"/>
            <w:vAlign w:val="center"/>
          </w:tcPr>
          <w:p w14:paraId="5D768256">
            <w:pPr>
              <w:pStyle w:val="54"/>
              <w:rPr>
                <w:rFonts w:hint="default" w:eastAsia="宋体"/>
                <w:color w:val="auto"/>
                <w:lang w:val="en-US" w:eastAsia="zh-CN"/>
              </w:rPr>
            </w:pPr>
            <w:r>
              <w:rPr>
                <w:rFonts w:hint="eastAsia"/>
                <w:color w:val="auto"/>
                <w:lang w:val="en-US" w:eastAsia="zh-CN"/>
              </w:rPr>
              <w:t>0.612</w:t>
            </w:r>
          </w:p>
        </w:tc>
        <w:tc>
          <w:tcPr>
            <w:tcW w:w="482" w:type="pct"/>
            <w:vAlign w:val="center"/>
          </w:tcPr>
          <w:p w14:paraId="1AE76464">
            <w:pPr>
              <w:pStyle w:val="54"/>
              <w:rPr>
                <w:color w:val="auto"/>
              </w:rPr>
            </w:pPr>
            <w:r>
              <w:rPr>
                <w:rFonts w:hint="eastAsia"/>
                <w:color w:val="auto"/>
              </w:rPr>
              <w:t>0</w:t>
            </w:r>
          </w:p>
        </w:tc>
      </w:tr>
      <w:tr w14:paraId="11D81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24" w:type="pct"/>
            <w:vMerge w:val="continue"/>
            <w:vAlign w:val="center"/>
          </w:tcPr>
          <w:p w14:paraId="7B412A8B">
            <w:pPr>
              <w:pStyle w:val="54"/>
              <w:rPr>
                <w:color w:val="auto"/>
              </w:rPr>
            </w:pPr>
          </w:p>
        </w:tc>
        <w:tc>
          <w:tcPr>
            <w:tcW w:w="681" w:type="pct"/>
            <w:gridSpan w:val="2"/>
            <w:vAlign w:val="center"/>
          </w:tcPr>
          <w:p w14:paraId="624B6A4A">
            <w:pPr>
              <w:pStyle w:val="54"/>
              <w:rPr>
                <w:color w:val="auto"/>
              </w:rPr>
            </w:pPr>
            <w:r>
              <w:rPr>
                <w:rFonts w:hint="eastAsia"/>
                <w:color w:val="auto"/>
              </w:rPr>
              <w:t>NMHC</w:t>
            </w:r>
          </w:p>
        </w:tc>
        <w:tc>
          <w:tcPr>
            <w:tcW w:w="1539" w:type="dxa"/>
            <w:shd w:val="clear" w:color="auto" w:fill="auto"/>
            <w:vAlign w:val="center"/>
          </w:tcPr>
          <w:p w14:paraId="6863952E">
            <w:pPr>
              <w:pStyle w:val="54"/>
              <w:rPr>
                <w:color w:val="auto"/>
              </w:rPr>
            </w:pPr>
            <w:r>
              <w:rPr>
                <w:color w:val="auto"/>
              </w:rPr>
              <w:t>0.119</w:t>
            </w:r>
          </w:p>
        </w:tc>
        <w:tc>
          <w:tcPr>
            <w:tcW w:w="570" w:type="pct"/>
            <w:vAlign w:val="center"/>
          </w:tcPr>
          <w:p w14:paraId="359C496C">
            <w:pPr>
              <w:pStyle w:val="54"/>
              <w:rPr>
                <w:color w:val="auto"/>
              </w:rPr>
            </w:pPr>
            <w:r>
              <w:rPr>
                <w:color w:val="auto"/>
              </w:rPr>
              <w:t>0.119</w:t>
            </w:r>
          </w:p>
        </w:tc>
        <w:tc>
          <w:tcPr>
            <w:tcW w:w="570" w:type="pct"/>
            <w:vAlign w:val="center"/>
          </w:tcPr>
          <w:p w14:paraId="64C23F1A">
            <w:pPr>
              <w:pStyle w:val="54"/>
              <w:rPr>
                <w:color w:val="auto"/>
              </w:rPr>
            </w:pPr>
            <w:r>
              <w:rPr>
                <w:color w:val="auto"/>
              </w:rPr>
              <w:t>0</w:t>
            </w:r>
          </w:p>
        </w:tc>
        <w:tc>
          <w:tcPr>
            <w:tcW w:w="570" w:type="pct"/>
            <w:shd w:val="clear" w:color="auto" w:fill="auto"/>
            <w:vAlign w:val="center"/>
          </w:tcPr>
          <w:p w14:paraId="79D9BB17">
            <w:pPr>
              <w:pStyle w:val="54"/>
              <w:rPr>
                <w:rFonts w:hint="eastAsia" w:eastAsia="宋体"/>
                <w:color w:val="auto"/>
                <w:lang w:eastAsia="zh-CN"/>
              </w:rPr>
            </w:pPr>
            <w:r>
              <w:rPr>
                <w:color w:val="auto"/>
              </w:rPr>
              <w:t>0.000</w:t>
            </w:r>
            <w:r>
              <w:rPr>
                <w:rFonts w:hint="eastAsia"/>
                <w:color w:val="auto"/>
                <w:lang w:val="en-US" w:eastAsia="zh-CN"/>
              </w:rPr>
              <w:t>2</w:t>
            </w:r>
          </w:p>
        </w:tc>
        <w:tc>
          <w:tcPr>
            <w:tcW w:w="570" w:type="pct"/>
            <w:vAlign w:val="center"/>
          </w:tcPr>
          <w:p w14:paraId="43C9927C">
            <w:pPr>
              <w:pStyle w:val="54"/>
              <w:rPr>
                <w:color w:val="auto"/>
              </w:rPr>
            </w:pPr>
            <w:r>
              <w:rPr>
                <w:color w:val="auto"/>
              </w:rPr>
              <w:t>0</w:t>
            </w:r>
          </w:p>
        </w:tc>
        <w:tc>
          <w:tcPr>
            <w:tcW w:w="659" w:type="pct"/>
            <w:vAlign w:val="center"/>
          </w:tcPr>
          <w:p w14:paraId="77B4229D">
            <w:pPr>
              <w:pStyle w:val="54"/>
              <w:rPr>
                <w:rFonts w:hint="default" w:eastAsia="宋体"/>
                <w:color w:val="auto"/>
                <w:lang w:val="en-US" w:eastAsia="zh-CN"/>
              </w:rPr>
            </w:pPr>
            <w:r>
              <w:rPr>
                <w:rFonts w:hint="eastAsia"/>
                <w:color w:val="auto"/>
                <w:lang w:val="en-US" w:eastAsia="zh-CN"/>
              </w:rPr>
              <w:t>0.1192</w:t>
            </w:r>
          </w:p>
        </w:tc>
        <w:tc>
          <w:tcPr>
            <w:tcW w:w="482" w:type="pct"/>
            <w:vAlign w:val="center"/>
          </w:tcPr>
          <w:p w14:paraId="5E56A5A6">
            <w:pPr>
              <w:pStyle w:val="54"/>
              <w:rPr>
                <w:rFonts w:hint="eastAsia" w:eastAsia="宋体"/>
                <w:color w:val="auto"/>
                <w:lang w:eastAsia="zh-CN"/>
              </w:rPr>
            </w:pPr>
            <w:r>
              <w:rPr>
                <w:rFonts w:hint="eastAsia"/>
                <w:color w:val="auto"/>
              </w:rPr>
              <w:t>+</w:t>
            </w:r>
            <w:r>
              <w:rPr>
                <w:color w:val="auto"/>
              </w:rPr>
              <w:t>0.000</w:t>
            </w:r>
            <w:r>
              <w:rPr>
                <w:rFonts w:hint="eastAsia"/>
                <w:color w:val="auto"/>
                <w:lang w:val="en-US" w:eastAsia="zh-CN"/>
              </w:rPr>
              <w:t>2</w:t>
            </w:r>
          </w:p>
        </w:tc>
      </w:tr>
      <w:tr w14:paraId="29632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24" w:type="pct"/>
            <w:vMerge w:val="restart"/>
            <w:vAlign w:val="center"/>
          </w:tcPr>
          <w:p w14:paraId="55314959">
            <w:pPr>
              <w:pStyle w:val="54"/>
              <w:rPr>
                <w:color w:val="auto"/>
              </w:rPr>
            </w:pPr>
            <w:r>
              <w:rPr>
                <w:color w:val="auto"/>
              </w:rPr>
              <w:t>废水</w:t>
            </w:r>
          </w:p>
        </w:tc>
        <w:tc>
          <w:tcPr>
            <w:tcW w:w="681" w:type="pct"/>
            <w:gridSpan w:val="2"/>
            <w:vAlign w:val="center"/>
          </w:tcPr>
          <w:p w14:paraId="29757E1A">
            <w:pPr>
              <w:pStyle w:val="54"/>
              <w:rPr>
                <w:color w:val="auto"/>
              </w:rPr>
            </w:pPr>
            <w:r>
              <w:rPr>
                <w:rFonts w:hint="eastAsia"/>
                <w:color w:val="auto"/>
              </w:rPr>
              <w:t>废水量</w:t>
            </w:r>
          </w:p>
        </w:tc>
        <w:tc>
          <w:tcPr>
            <w:tcW w:w="1539" w:type="dxa"/>
            <w:vAlign w:val="center"/>
          </w:tcPr>
          <w:p w14:paraId="38198903">
            <w:pPr>
              <w:pStyle w:val="54"/>
              <w:rPr>
                <w:color w:val="auto"/>
              </w:rPr>
            </w:pPr>
            <w:r>
              <w:rPr>
                <w:color w:val="auto"/>
              </w:rPr>
              <w:t>840</w:t>
            </w:r>
          </w:p>
        </w:tc>
        <w:tc>
          <w:tcPr>
            <w:tcW w:w="570" w:type="pct"/>
            <w:vAlign w:val="center"/>
          </w:tcPr>
          <w:p w14:paraId="3E423AEA">
            <w:pPr>
              <w:pStyle w:val="54"/>
              <w:rPr>
                <w:color w:val="auto"/>
              </w:rPr>
            </w:pPr>
            <w:r>
              <w:rPr>
                <w:color w:val="auto"/>
              </w:rPr>
              <w:t>840</w:t>
            </w:r>
          </w:p>
        </w:tc>
        <w:tc>
          <w:tcPr>
            <w:tcW w:w="570" w:type="pct"/>
            <w:shd w:val="clear" w:color="auto" w:fill="auto"/>
            <w:vAlign w:val="center"/>
          </w:tcPr>
          <w:p w14:paraId="671BAD88">
            <w:pPr>
              <w:pStyle w:val="54"/>
              <w:rPr>
                <w:color w:val="auto"/>
              </w:rPr>
            </w:pPr>
            <w:r>
              <w:rPr>
                <w:color w:val="auto"/>
              </w:rPr>
              <w:t>0</w:t>
            </w:r>
          </w:p>
        </w:tc>
        <w:tc>
          <w:tcPr>
            <w:tcW w:w="570" w:type="pct"/>
            <w:shd w:val="clear" w:color="auto" w:fill="auto"/>
            <w:vAlign w:val="center"/>
          </w:tcPr>
          <w:p w14:paraId="764A7DAD">
            <w:pPr>
              <w:pStyle w:val="54"/>
              <w:rPr>
                <w:color w:val="auto"/>
              </w:rPr>
            </w:pPr>
            <w:r>
              <w:rPr>
                <w:rFonts w:hint="eastAsia"/>
                <w:color w:val="auto"/>
              </w:rPr>
              <w:t>2160</w:t>
            </w:r>
          </w:p>
        </w:tc>
        <w:tc>
          <w:tcPr>
            <w:tcW w:w="1539" w:type="dxa"/>
            <w:shd w:val="clear" w:color="auto" w:fill="auto"/>
            <w:vAlign w:val="center"/>
          </w:tcPr>
          <w:p w14:paraId="052E077E">
            <w:pPr>
              <w:pStyle w:val="54"/>
              <w:rPr>
                <w:color w:val="auto"/>
              </w:rPr>
            </w:pPr>
            <w:r>
              <w:rPr>
                <w:color w:val="auto"/>
              </w:rPr>
              <w:t>840</w:t>
            </w:r>
          </w:p>
        </w:tc>
        <w:tc>
          <w:tcPr>
            <w:tcW w:w="659" w:type="pct"/>
            <w:vAlign w:val="center"/>
          </w:tcPr>
          <w:p w14:paraId="7E6AAE4B">
            <w:pPr>
              <w:pStyle w:val="54"/>
              <w:rPr>
                <w:color w:val="auto"/>
              </w:rPr>
            </w:pPr>
            <w:r>
              <w:rPr>
                <w:rFonts w:hint="eastAsia"/>
                <w:color w:val="auto"/>
              </w:rPr>
              <w:t>2160</w:t>
            </w:r>
          </w:p>
        </w:tc>
        <w:tc>
          <w:tcPr>
            <w:tcW w:w="482" w:type="pct"/>
            <w:vAlign w:val="center"/>
          </w:tcPr>
          <w:p w14:paraId="7E16461E">
            <w:pPr>
              <w:pStyle w:val="54"/>
              <w:rPr>
                <w:color w:val="auto"/>
              </w:rPr>
            </w:pPr>
            <w:r>
              <w:rPr>
                <w:rFonts w:hint="eastAsia"/>
                <w:color w:val="auto"/>
              </w:rPr>
              <w:t>+</w:t>
            </w:r>
            <w:r>
              <w:rPr>
                <w:rFonts w:hint="eastAsia"/>
                <w:color w:val="auto"/>
                <w:lang w:val="en-US" w:eastAsia="zh-CN"/>
              </w:rPr>
              <w:t>1320</w:t>
            </w:r>
          </w:p>
        </w:tc>
      </w:tr>
      <w:tr w14:paraId="39F04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trPr>
        <w:tc>
          <w:tcPr>
            <w:tcW w:w="324" w:type="pct"/>
            <w:vMerge w:val="continue"/>
            <w:vAlign w:val="center"/>
          </w:tcPr>
          <w:p w14:paraId="40CA0704">
            <w:pPr>
              <w:pStyle w:val="54"/>
              <w:rPr>
                <w:color w:val="auto"/>
              </w:rPr>
            </w:pPr>
          </w:p>
        </w:tc>
        <w:tc>
          <w:tcPr>
            <w:tcW w:w="681" w:type="pct"/>
            <w:gridSpan w:val="2"/>
            <w:vAlign w:val="center"/>
          </w:tcPr>
          <w:p w14:paraId="3D2B4C1E">
            <w:pPr>
              <w:pStyle w:val="54"/>
              <w:rPr>
                <w:color w:val="auto"/>
              </w:rPr>
            </w:pPr>
            <w:r>
              <w:rPr>
                <w:color w:val="auto"/>
              </w:rPr>
              <w:t>COD</w:t>
            </w:r>
          </w:p>
        </w:tc>
        <w:tc>
          <w:tcPr>
            <w:tcW w:w="1539" w:type="dxa"/>
            <w:vAlign w:val="center"/>
          </w:tcPr>
          <w:p w14:paraId="4A3C1F94">
            <w:pPr>
              <w:pStyle w:val="54"/>
              <w:rPr>
                <w:color w:val="auto"/>
              </w:rPr>
            </w:pPr>
            <w:r>
              <w:rPr>
                <w:color w:val="auto"/>
              </w:rPr>
              <w:t>0.2100</w:t>
            </w:r>
          </w:p>
        </w:tc>
        <w:tc>
          <w:tcPr>
            <w:tcW w:w="570" w:type="pct"/>
            <w:vAlign w:val="center"/>
          </w:tcPr>
          <w:p w14:paraId="5A9EBC2A">
            <w:pPr>
              <w:pStyle w:val="54"/>
              <w:rPr>
                <w:color w:val="auto"/>
              </w:rPr>
            </w:pPr>
            <w:r>
              <w:rPr>
                <w:color w:val="auto"/>
              </w:rPr>
              <w:t>0.2100</w:t>
            </w:r>
          </w:p>
        </w:tc>
        <w:tc>
          <w:tcPr>
            <w:tcW w:w="570" w:type="pct"/>
            <w:shd w:val="clear" w:color="auto" w:fill="auto"/>
            <w:vAlign w:val="center"/>
          </w:tcPr>
          <w:p w14:paraId="15AB06C5">
            <w:pPr>
              <w:pStyle w:val="54"/>
              <w:rPr>
                <w:color w:val="auto"/>
              </w:rPr>
            </w:pPr>
            <w:r>
              <w:rPr>
                <w:color w:val="auto"/>
              </w:rPr>
              <w:t>0</w:t>
            </w:r>
          </w:p>
        </w:tc>
        <w:tc>
          <w:tcPr>
            <w:tcW w:w="570" w:type="pct"/>
            <w:shd w:val="clear" w:color="auto" w:fill="auto"/>
            <w:vAlign w:val="center"/>
          </w:tcPr>
          <w:p w14:paraId="18725DDC">
            <w:pPr>
              <w:pStyle w:val="54"/>
              <w:rPr>
                <w:color w:val="auto"/>
              </w:rPr>
            </w:pPr>
            <w:r>
              <w:rPr>
                <w:color w:val="auto"/>
              </w:rPr>
              <w:t>0.8640</w:t>
            </w:r>
          </w:p>
        </w:tc>
        <w:tc>
          <w:tcPr>
            <w:tcW w:w="1539" w:type="dxa"/>
            <w:shd w:val="clear" w:color="auto" w:fill="auto"/>
            <w:vAlign w:val="center"/>
          </w:tcPr>
          <w:p w14:paraId="3D0CD700">
            <w:pPr>
              <w:pStyle w:val="54"/>
              <w:rPr>
                <w:color w:val="auto"/>
              </w:rPr>
            </w:pPr>
            <w:r>
              <w:rPr>
                <w:color w:val="auto"/>
              </w:rPr>
              <w:t>0.2100</w:t>
            </w:r>
          </w:p>
        </w:tc>
        <w:tc>
          <w:tcPr>
            <w:tcW w:w="659" w:type="pct"/>
            <w:vAlign w:val="center"/>
          </w:tcPr>
          <w:p w14:paraId="336D068D">
            <w:pPr>
              <w:pStyle w:val="54"/>
              <w:rPr>
                <w:color w:val="auto"/>
              </w:rPr>
            </w:pPr>
            <w:r>
              <w:rPr>
                <w:color w:val="auto"/>
              </w:rPr>
              <w:t>0.8640</w:t>
            </w:r>
          </w:p>
        </w:tc>
        <w:tc>
          <w:tcPr>
            <w:tcW w:w="482" w:type="pct"/>
            <w:vAlign w:val="center"/>
          </w:tcPr>
          <w:p w14:paraId="6AD8F1CE">
            <w:pPr>
              <w:pStyle w:val="54"/>
              <w:rPr>
                <w:color w:val="auto"/>
              </w:rPr>
            </w:pPr>
            <w:r>
              <w:rPr>
                <w:rFonts w:hint="eastAsia"/>
                <w:color w:val="auto"/>
              </w:rPr>
              <w:t>+</w:t>
            </w:r>
            <w:r>
              <w:rPr>
                <w:rFonts w:hint="eastAsia"/>
                <w:color w:val="auto"/>
                <w:lang w:val="en-US" w:eastAsia="zh-CN"/>
              </w:rPr>
              <w:t>0.6540</w:t>
            </w:r>
          </w:p>
        </w:tc>
      </w:tr>
      <w:tr w14:paraId="4F74ED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24" w:type="pct"/>
            <w:vMerge w:val="continue"/>
            <w:vAlign w:val="center"/>
          </w:tcPr>
          <w:p w14:paraId="3417FB7C">
            <w:pPr>
              <w:pStyle w:val="54"/>
              <w:rPr>
                <w:color w:val="auto"/>
              </w:rPr>
            </w:pPr>
          </w:p>
        </w:tc>
        <w:tc>
          <w:tcPr>
            <w:tcW w:w="681" w:type="pct"/>
            <w:gridSpan w:val="2"/>
            <w:vAlign w:val="center"/>
          </w:tcPr>
          <w:p w14:paraId="028C839F">
            <w:pPr>
              <w:pStyle w:val="54"/>
              <w:rPr>
                <w:color w:val="auto"/>
              </w:rPr>
            </w:pPr>
            <w:r>
              <w:rPr>
                <w:color w:val="auto"/>
              </w:rPr>
              <w:t>SS</w:t>
            </w:r>
          </w:p>
        </w:tc>
        <w:tc>
          <w:tcPr>
            <w:tcW w:w="1539" w:type="dxa"/>
            <w:vAlign w:val="center"/>
          </w:tcPr>
          <w:p w14:paraId="2E969291">
            <w:pPr>
              <w:pStyle w:val="54"/>
              <w:rPr>
                <w:color w:val="auto"/>
              </w:rPr>
            </w:pPr>
            <w:r>
              <w:rPr>
                <w:color w:val="auto"/>
              </w:rPr>
              <w:t>0.0840</w:t>
            </w:r>
          </w:p>
        </w:tc>
        <w:tc>
          <w:tcPr>
            <w:tcW w:w="570" w:type="pct"/>
            <w:vAlign w:val="center"/>
          </w:tcPr>
          <w:p w14:paraId="47DAD44C">
            <w:pPr>
              <w:pStyle w:val="54"/>
              <w:rPr>
                <w:color w:val="auto"/>
              </w:rPr>
            </w:pPr>
            <w:r>
              <w:rPr>
                <w:color w:val="auto"/>
              </w:rPr>
              <w:t>0.0840</w:t>
            </w:r>
          </w:p>
        </w:tc>
        <w:tc>
          <w:tcPr>
            <w:tcW w:w="570" w:type="pct"/>
            <w:shd w:val="clear" w:color="auto" w:fill="auto"/>
            <w:vAlign w:val="center"/>
          </w:tcPr>
          <w:p w14:paraId="16153105">
            <w:pPr>
              <w:pStyle w:val="54"/>
              <w:rPr>
                <w:color w:val="auto"/>
              </w:rPr>
            </w:pPr>
            <w:r>
              <w:rPr>
                <w:color w:val="auto"/>
              </w:rPr>
              <w:t>0</w:t>
            </w:r>
          </w:p>
        </w:tc>
        <w:tc>
          <w:tcPr>
            <w:tcW w:w="570" w:type="pct"/>
            <w:shd w:val="clear" w:color="auto" w:fill="auto"/>
            <w:vAlign w:val="center"/>
          </w:tcPr>
          <w:p w14:paraId="7F58AC0A">
            <w:pPr>
              <w:pStyle w:val="54"/>
              <w:rPr>
                <w:color w:val="auto"/>
              </w:rPr>
            </w:pPr>
            <w:r>
              <w:rPr>
                <w:color w:val="auto"/>
              </w:rPr>
              <w:t>0.5400</w:t>
            </w:r>
          </w:p>
        </w:tc>
        <w:tc>
          <w:tcPr>
            <w:tcW w:w="1539" w:type="dxa"/>
            <w:shd w:val="clear" w:color="auto" w:fill="auto"/>
            <w:vAlign w:val="center"/>
          </w:tcPr>
          <w:p w14:paraId="759D3264">
            <w:pPr>
              <w:pStyle w:val="54"/>
              <w:rPr>
                <w:color w:val="auto"/>
              </w:rPr>
            </w:pPr>
            <w:r>
              <w:rPr>
                <w:color w:val="auto"/>
              </w:rPr>
              <w:t>0.0840</w:t>
            </w:r>
          </w:p>
        </w:tc>
        <w:tc>
          <w:tcPr>
            <w:tcW w:w="659" w:type="pct"/>
            <w:vAlign w:val="center"/>
          </w:tcPr>
          <w:p w14:paraId="7B62CF36">
            <w:pPr>
              <w:pStyle w:val="54"/>
              <w:rPr>
                <w:color w:val="auto"/>
              </w:rPr>
            </w:pPr>
            <w:r>
              <w:rPr>
                <w:color w:val="auto"/>
              </w:rPr>
              <w:t>0.5400</w:t>
            </w:r>
          </w:p>
        </w:tc>
        <w:tc>
          <w:tcPr>
            <w:tcW w:w="482" w:type="pct"/>
            <w:vAlign w:val="center"/>
          </w:tcPr>
          <w:p w14:paraId="6FF7DBA6">
            <w:pPr>
              <w:pStyle w:val="54"/>
              <w:rPr>
                <w:color w:val="auto"/>
              </w:rPr>
            </w:pPr>
            <w:r>
              <w:rPr>
                <w:rFonts w:hint="eastAsia"/>
                <w:color w:val="auto"/>
              </w:rPr>
              <w:t>+</w:t>
            </w:r>
            <w:r>
              <w:rPr>
                <w:rFonts w:hint="eastAsia"/>
                <w:color w:val="auto"/>
                <w:lang w:val="en-US" w:eastAsia="zh-CN"/>
              </w:rPr>
              <w:t>0.4560</w:t>
            </w:r>
          </w:p>
        </w:tc>
      </w:tr>
      <w:tr w14:paraId="2035B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24" w:type="pct"/>
            <w:vMerge w:val="continue"/>
            <w:vAlign w:val="center"/>
          </w:tcPr>
          <w:p w14:paraId="62895400">
            <w:pPr>
              <w:pStyle w:val="54"/>
              <w:rPr>
                <w:color w:val="auto"/>
              </w:rPr>
            </w:pPr>
          </w:p>
        </w:tc>
        <w:tc>
          <w:tcPr>
            <w:tcW w:w="681" w:type="pct"/>
            <w:gridSpan w:val="2"/>
            <w:vAlign w:val="center"/>
          </w:tcPr>
          <w:p w14:paraId="622883CC">
            <w:pPr>
              <w:pStyle w:val="54"/>
              <w:rPr>
                <w:color w:val="auto"/>
              </w:rPr>
            </w:pPr>
            <w:r>
              <w:rPr>
                <w:rFonts w:hint="eastAsia"/>
                <w:color w:val="auto"/>
              </w:rPr>
              <w:t>氨氮</w:t>
            </w:r>
          </w:p>
        </w:tc>
        <w:tc>
          <w:tcPr>
            <w:tcW w:w="1539" w:type="dxa"/>
            <w:vAlign w:val="center"/>
          </w:tcPr>
          <w:p w14:paraId="45C15390">
            <w:pPr>
              <w:pStyle w:val="54"/>
              <w:rPr>
                <w:color w:val="auto"/>
              </w:rPr>
            </w:pPr>
            <w:r>
              <w:rPr>
                <w:color w:val="auto"/>
              </w:rPr>
              <w:t>0.0210</w:t>
            </w:r>
          </w:p>
        </w:tc>
        <w:tc>
          <w:tcPr>
            <w:tcW w:w="570" w:type="pct"/>
            <w:vAlign w:val="center"/>
          </w:tcPr>
          <w:p w14:paraId="51F7FFBB">
            <w:pPr>
              <w:pStyle w:val="54"/>
              <w:rPr>
                <w:color w:val="auto"/>
              </w:rPr>
            </w:pPr>
            <w:r>
              <w:rPr>
                <w:color w:val="auto"/>
              </w:rPr>
              <w:t>0.0210</w:t>
            </w:r>
          </w:p>
        </w:tc>
        <w:tc>
          <w:tcPr>
            <w:tcW w:w="570" w:type="pct"/>
            <w:shd w:val="clear" w:color="auto" w:fill="auto"/>
            <w:vAlign w:val="center"/>
          </w:tcPr>
          <w:p w14:paraId="4B677283">
            <w:pPr>
              <w:pStyle w:val="54"/>
              <w:rPr>
                <w:color w:val="auto"/>
              </w:rPr>
            </w:pPr>
            <w:r>
              <w:rPr>
                <w:color w:val="auto"/>
              </w:rPr>
              <w:t>0</w:t>
            </w:r>
          </w:p>
        </w:tc>
        <w:tc>
          <w:tcPr>
            <w:tcW w:w="570" w:type="pct"/>
            <w:shd w:val="clear" w:color="auto" w:fill="auto"/>
            <w:vAlign w:val="center"/>
          </w:tcPr>
          <w:p w14:paraId="273CA61C">
            <w:pPr>
              <w:pStyle w:val="54"/>
              <w:rPr>
                <w:color w:val="auto"/>
              </w:rPr>
            </w:pPr>
            <w:r>
              <w:rPr>
                <w:color w:val="auto"/>
              </w:rPr>
              <w:t>0.0648</w:t>
            </w:r>
          </w:p>
        </w:tc>
        <w:tc>
          <w:tcPr>
            <w:tcW w:w="1539" w:type="dxa"/>
            <w:shd w:val="clear" w:color="auto" w:fill="auto"/>
            <w:vAlign w:val="center"/>
          </w:tcPr>
          <w:p w14:paraId="00ADA733">
            <w:pPr>
              <w:pStyle w:val="54"/>
              <w:rPr>
                <w:color w:val="auto"/>
              </w:rPr>
            </w:pPr>
            <w:r>
              <w:rPr>
                <w:color w:val="auto"/>
              </w:rPr>
              <w:t>0.0210</w:t>
            </w:r>
          </w:p>
        </w:tc>
        <w:tc>
          <w:tcPr>
            <w:tcW w:w="659" w:type="pct"/>
            <w:vAlign w:val="center"/>
          </w:tcPr>
          <w:p w14:paraId="1599BFD6">
            <w:pPr>
              <w:pStyle w:val="54"/>
              <w:rPr>
                <w:color w:val="auto"/>
              </w:rPr>
            </w:pPr>
            <w:r>
              <w:rPr>
                <w:color w:val="auto"/>
              </w:rPr>
              <w:t>0.0648</w:t>
            </w:r>
          </w:p>
        </w:tc>
        <w:tc>
          <w:tcPr>
            <w:tcW w:w="482" w:type="pct"/>
            <w:vAlign w:val="center"/>
          </w:tcPr>
          <w:p w14:paraId="2618801A">
            <w:pPr>
              <w:pStyle w:val="54"/>
              <w:rPr>
                <w:color w:val="auto"/>
              </w:rPr>
            </w:pPr>
            <w:r>
              <w:rPr>
                <w:rFonts w:hint="eastAsia"/>
                <w:color w:val="auto"/>
              </w:rPr>
              <w:t>+</w:t>
            </w:r>
            <w:r>
              <w:rPr>
                <w:rFonts w:hint="eastAsia"/>
                <w:color w:val="auto"/>
                <w:lang w:val="en-US" w:eastAsia="zh-CN"/>
              </w:rPr>
              <w:t>0.0438</w:t>
            </w:r>
          </w:p>
        </w:tc>
      </w:tr>
      <w:tr w14:paraId="05681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24" w:type="pct"/>
            <w:vMerge w:val="continue"/>
            <w:vAlign w:val="center"/>
          </w:tcPr>
          <w:p w14:paraId="32C2B263">
            <w:pPr>
              <w:pStyle w:val="54"/>
              <w:rPr>
                <w:color w:val="auto"/>
              </w:rPr>
            </w:pPr>
          </w:p>
        </w:tc>
        <w:tc>
          <w:tcPr>
            <w:tcW w:w="681" w:type="pct"/>
            <w:gridSpan w:val="2"/>
            <w:vAlign w:val="center"/>
          </w:tcPr>
          <w:p w14:paraId="4EED996A">
            <w:pPr>
              <w:pStyle w:val="54"/>
              <w:rPr>
                <w:color w:val="auto"/>
              </w:rPr>
            </w:pPr>
            <w:r>
              <w:rPr>
                <w:color w:val="auto"/>
              </w:rPr>
              <w:t>TP</w:t>
            </w:r>
          </w:p>
        </w:tc>
        <w:tc>
          <w:tcPr>
            <w:tcW w:w="1539" w:type="dxa"/>
            <w:vAlign w:val="center"/>
          </w:tcPr>
          <w:p w14:paraId="7C5CC593">
            <w:pPr>
              <w:pStyle w:val="54"/>
              <w:rPr>
                <w:color w:val="auto"/>
              </w:rPr>
            </w:pPr>
            <w:r>
              <w:rPr>
                <w:color w:val="auto"/>
              </w:rPr>
              <w:t>0.0025</w:t>
            </w:r>
          </w:p>
        </w:tc>
        <w:tc>
          <w:tcPr>
            <w:tcW w:w="570" w:type="pct"/>
            <w:vAlign w:val="center"/>
          </w:tcPr>
          <w:p w14:paraId="0C416F3B">
            <w:pPr>
              <w:pStyle w:val="54"/>
              <w:rPr>
                <w:color w:val="auto"/>
              </w:rPr>
            </w:pPr>
            <w:r>
              <w:rPr>
                <w:color w:val="auto"/>
              </w:rPr>
              <w:t>0.0025</w:t>
            </w:r>
          </w:p>
        </w:tc>
        <w:tc>
          <w:tcPr>
            <w:tcW w:w="570" w:type="pct"/>
            <w:shd w:val="clear" w:color="auto" w:fill="auto"/>
            <w:vAlign w:val="center"/>
          </w:tcPr>
          <w:p w14:paraId="3F792301">
            <w:pPr>
              <w:pStyle w:val="54"/>
              <w:rPr>
                <w:color w:val="auto"/>
              </w:rPr>
            </w:pPr>
            <w:r>
              <w:rPr>
                <w:color w:val="auto"/>
              </w:rPr>
              <w:t>0</w:t>
            </w:r>
          </w:p>
        </w:tc>
        <w:tc>
          <w:tcPr>
            <w:tcW w:w="570" w:type="pct"/>
            <w:shd w:val="clear" w:color="auto" w:fill="auto"/>
            <w:vAlign w:val="center"/>
          </w:tcPr>
          <w:p w14:paraId="3771FC9E">
            <w:pPr>
              <w:pStyle w:val="54"/>
              <w:rPr>
                <w:color w:val="auto"/>
              </w:rPr>
            </w:pPr>
            <w:r>
              <w:rPr>
                <w:color w:val="auto"/>
              </w:rPr>
              <w:t>0.0076</w:t>
            </w:r>
          </w:p>
        </w:tc>
        <w:tc>
          <w:tcPr>
            <w:tcW w:w="1539" w:type="dxa"/>
            <w:shd w:val="clear" w:color="auto" w:fill="auto"/>
            <w:vAlign w:val="center"/>
          </w:tcPr>
          <w:p w14:paraId="1D5C19CE">
            <w:pPr>
              <w:pStyle w:val="54"/>
              <w:rPr>
                <w:color w:val="auto"/>
              </w:rPr>
            </w:pPr>
            <w:r>
              <w:rPr>
                <w:color w:val="auto"/>
              </w:rPr>
              <w:t>0.0025</w:t>
            </w:r>
          </w:p>
        </w:tc>
        <w:tc>
          <w:tcPr>
            <w:tcW w:w="659" w:type="pct"/>
            <w:vAlign w:val="center"/>
          </w:tcPr>
          <w:p w14:paraId="0A103849">
            <w:pPr>
              <w:pStyle w:val="54"/>
              <w:rPr>
                <w:color w:val="auto"/>
              </w:rPr>
            </w:pPr>
            <w:r>
              <w:rPr>
                <w:color w:val="auto"/>
              </w:rPr>
              <w:t>0.0076</w:t>
            </w:r>
          </w:p>
        </w:tc>
        <w:tc>
          <w:tcPr>
            <w:tcW w:w="482" w:type="pct"/>
            <w:vAlign w:val="center"/>
          </w:tcPr>
          <w:p w14:paraId="65D65F67">
            <w:pPr>
              <w:pStyle w:val="54"/>
              <w:rPr>
                <w:color w:val="auto"/>
              </w:rPr>
            </w:pPr>
            <w:r>
              <w:rPr>
                <w:rFonts w:hint="eastAsia"/>
                <w:color w:val="auto"/>
              </w:rPr>
              <w:t>+</w:t>
            </w:r>
            <w:r>
              <w:rPr>
                <w:rFonts w:hint="eastAsia"/>
                <w:color w:val="auto"/>
                <w:lang w:val="en-US" w:eastAsia="zh-CN"/>
              </w:rPr>
              <w:t>0.0051</w:t>
            </w:r>
          </w:p>
        </w:tc>
      </w:tr>
      <w:tr w14:paraId="7206E8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24" w:type="pct"/>
            <w:vMerge w:val="continue"/>
            <w:vAlign w:val="center"/>
          </w:tcPr>
          <w:p w14:paraId="6E7BAA14">
            <w:pPr>
              <w:pStyle w:val="54"/>
              <w:rPr>
                <w:color w:val="auto"/>
              </w:rPr>
            </w:pPr>
          </w:p>
        </w:tc>
        <w:tc>
          <w:tcPr>
            <w:tcW w:w="681" w:type="pct"/>
            <w:gridSpan w:val="2"/>
            <w:vAlign w:val="center"/>
          </w:tcPr>
          <w:p w14:paraId="6A7E935C">
            <w:pPr>
              <w:pStyle w:val="54"/>
              <w:rPr>
                <w:color w:val="auto"/>
              </w:rPr>
            </w:pPr>
            <w:r>
              <w:rPr>
                <w:color w:val="auto"/>
              </w:rPr>
              <w:t>TN</w:t>
            </w:r>
          </w:p>
        </w:tc>
        <w:tc>
          <w:tcPr>
            <w:tcW w:w="1539" w:type="dxa"/>
            <w:vAlign w:val="center"/>
          </w:tcPr>
          <w:p w14:paraId="62B02363">
            <w:pPr>
              <w:pStyle w:val="54"/>
              <w:rPr>
                <w:color w:val="auto"/>
              </w:rPr>
            </w:pPr>
            <w:r>
              <w:rPr>
                <w:color w:val="auto"/>
              </w:rPr>
              <w:t>0.0336</w:t>
            </w:r>
          </w:p>
        </w:tc>
        <w:tc>
          <w:tcPr>
            <w:tcW w:w="570" w:type="pct"/>
            <w:vAlign w:val="center"/>
          </w:tcPr>
          <w:p w14:paraId="243BCCCB">
            <w:pPr>
              <w:pStyle w:val="54"/>
              <w:rPr>
                <w:color w:val="auto"/>
              </w:rPr>
            </w:pPr>
            <w:r>
              <w:rPr>
                <w:color w:val="auto"/>
              </w:rPr>
              <w:t>0.0336</w:t>
            </w:r>
          </w:p>
        </w:tc>
        <w:tc>
          <w:tcPr>
            <w:tcW w:w="570" w:type="pct"/>
            <w:shd w:val="clear" w:color="auto" w:fill="auto"/>
            <w:vAlign w:val="center"/>
          </w:tcPr>
          <w:p w14:paraId="3354E871">
            <w:pPr>
              <w:pStyle w:val="54"/>
              <w:rPr>
                <w:color w:val="auto"/>
              </w:rPr>
            </w:pPr>
            <w:r>
              <w:rPr>
                <w:color w:val="auto"/>
              </w:rPr>
              <w:t>0</w:t>
            </w:r>
          </w:p>
        </w:tc>
        <w:tc>
          <w:tcPr>
            <w:tcW w:w="570" w:type="pct"/>
            <w:shd w:val="clear" w:color="auto" w:fill="auto"/>
            <w:vAlign w:val="center"/>
          </w:tcPr>
          <w:p w14:paraId="08A4E972">
            <w:pPr>
              <w:pStyle w:val="54"/>
              <w:rPr>
                <w:color w:val="auto"/>
              </w:rPr>
            </w:pPr>
            <w:r>
              <w:rPr>
                <w:color w:val="auto"/>
              </w:rPr>
              <w:t>0.0864</w:t>
            </w:r>
          </w:p>
        </w:tc>
        <w:tc>
          <w:tcPr>
            <w:tcW w:w="1539" w:type="dxa"/>
            <w:shd w:val="clear" w:color="auto" w:fill="auto"/>
            <w:vAlign w:val="center"/>
          </w:tcPr>
          <w:p w14:paraId="1D5EEB9C">
            <w:pPr>
              <w:pStyle w:val="54"/>
              <w:rPr>
                <w:color w:val="auto"/>
              </w:rPr>
            </w:pPr>
            <w:r>
              <w:rPr>
                <w:color w:val="auto"/>
              </w:rPr>
              <w:t>0.0336</w:t>
            </w:r>
          </w:p>
        </w:tc>
        <w:tc>
          <w:tcPr>
            <w:tcW w:w="659" w:type="pct"/>
            <w:vAlign w:val="center"/>
          </w:tcPr>
          <w:p w14:paraId="046EC123">
            <w:pPr>
              <w:pStyle w:val="54"/>
              <w:rPr>
                <w:color w:val="auto"/>
              </w:rPr>
            </w:pPr>
            <w:r>
              <w:rPr>
                <w:color w:val="auto"/>
              </w:rPr>
              <w:t>0.0864</w:t>
            </w:r>
          </w:p>
        </w:tc>
        <w:tc>
          <w:tcPr>
            <w:tcW w:w="482" w:type="pct"/>
            <w:vAlign w:val="center"/>
          </w:tcPr>
          <w:p w14:paraId="4017029A">
            <w:pPr>
              <w:pStyle w:val="54"/>
              <w:rPr>
                <w:color w:val="auto"/>
              </w:rPr>
            </w:pPr>
            <w:r>
              <w:rPr>
                <w:rFonts w:hint="eastAsia"/>
                <w:color w:val="auto"/>
              </w:rPr>
              <w:t>+</w:t>
            </w:r>
            <w:r>
              <w:rPr>
                <w:rFonts w:hint="eastAsia"/>
                <w:color w:val="auto"/>
                <w:lang w:val="en-US" w:eastAsia="zh-CN"/>
              </w:rPr>
              <w:t>0.0528</w:t>
            </w:r>
          </w:p>
        </w:tc>
      </w:tr>
      <w:tr w14:paraId="5245C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24" w:type="pct"/>
            <w:vMerge w:val="continue"/>
            <w:vAlign w:val="center"/>
          </w:tcPr>
          <w:p w14:paraId="686D2A23">
            <w:pPr>
              <w:pStyle w:val="54"/>
              <w:rPr>
                <w:color w:val="auto"/>
              </w:rPr>
            </w:pPr>
          </w:p>
        </w:tc>
        <w:tc>
          <w:tcPr>
            <w:tcW w:w="681" w:type="pct"/>
            <w:gridSpan w:val="2"/>
            <w:vAlign w:val="center"/>
          </w:tcPr>
          <w:p w14:paraId="4BBBEC0C">
            <w:pPr>
              <w:pStyle w:val="54"/>
              <w:rPr>
                <w:color w:val="auto"/>
              </w:rPr>
            </w:pPr>
            <w:r>
              <w:rPr>
                <w:rFonts w:hint="eastAsia"/>
                <w:color w:val="auto"/>
              </w:rPr>
              <w:t>动植物油</w:t>
            </w:r>
          </w:p>
        </w:tc>
        <w:tc>
          <w:tcPr>
            <w:tcW w:w="570" w:type="pct"/>
            <w:vAlign w:val="center"/>
          </w:tcPr>
          <w:p w14:paraId="5468628A">
            <w:pPr>
              <w:pStyle w:val="54"/>
              <w:rPr>
                <w:color w:val="auto"/>
              </w:rPr>
            </w:pPr>
            <w:r>
              <w:rPr>
                <w:rFonts w:hint="eastAsia"/>
                <w:color w:val="auto"/>
              </w:rPr>
              <w:t>/</w:t>
            </w:r>
          </w:p>
        </w:tc>
        <w:tc>
          <w:tcPr>
            <w:tcW w:w="570" w:type="pct"/>
            <w:vAlign w:val="center"/>
          </w:tcPr>
          <w:p w14:paraId="2AF06BA5">
            <w:pPr>
              <w:pStyle w:val="54"/>
              <w:rPr>
                <w:color w:val="auto"/>
              </w:rPr>
            </w:pPr>
            <w:r>
              <w:rPr>
                <w:rFonts w:hint="eastAsia"/>
                <w:color w:val="auto"/>
              </w:rPr>
              <w:t>/</w:t>
            </w:r>
          </w:p>
        </w:tc>
        <w:tc>
          <w:tcPr>
            <w:tcW w:w="570" w:type="pct"/>
            <w:shd w:val="clear" w:color="auto" w:fill="auto"/>
            <w:vAlign w:val="center"/>
          </w:tcPr>
          <w:p w14:paraId="13E06278">
            <w:pPr>
              <w:pStyle w:val="54"/>
              <w:rPr>
                <w:color w:val="auto"/>
              </w:rPr>
            </w:pPr>
            <w:r>
              <w:rPr>
                <w:rFonts w:hint="eastAsia"/>
                <w:color w:val="auto"/>
              </w:rPr>
              <w:t>0</w:t>
            </w:r>
          </w:p>
        </w:tc>
        <w:tc>
          <w:tcPr>
            <w:tcW w:w="570" w:type="pct"/>
            <w:shd w:val="clear" w:color="auto" w:fill="auto"/>
            <w:vAlign w:val="center"/>
          </w:tcPr>
          <w:p w14:paraId="328A9D2C">
            <w:pPr>
              <w:pStyle w:val="54"/>
              <w:rPr>
                <w:color w:val="auto"/>
              </w:rPr>
            </w:pPr>
            <w:r>
              <w:rPr>
                <w:color w:val="auto"/>
              </w:rPr>
              <w:t>0.1080</w:t>
            </w:r>
          </w:p>
        </w:tc>
        <w:tc>
          <w:tcPr>
            <w:tcW w:w="570" w:type="pct"/>
            <w:shd w:val="clear" w:color="auto" w:fill="auto"/>
            <w:vAlign w:val="center"/>
          </w:tcPr>
          <w:p w14:paraId="2A3BFBA2">
            <w:pPr>
              <w:pStyle w:val="54"/>
              <w:rPr>
                <w:rFonts w:hint="eastAsia" w:eastAsia="宋体"/>
                <w:color w:val="auto"/>
                <w:lang w:eastAsia="zh-CN"/>
              </w:rPr>
            </w:pPr>
            <w:r>
              <w:rPr>
                <w:rFonts w:hint="eastAsia"/>
                <w:color w:val="auto"/>
                <w:lang w:val="en-US" w:eastAsia="zh-CN"/>
              </w:rPr>
              <w:t>/</w:t>
            </w:r>
          </w:p>
        </w:tc>
        <w:tc>
          <w:tcPr>
            <w:tcW w:w="659" w:type="pct"/>
            <w:vAlign w:val="center"/>
          </w:tcPr>
          <w:p w14:paraId="6BA23B2D">
            <w:pPr>
              <w:pStyle w:val="54"/>
              <w:rPr>
                <w:color w:val="auto"/>
              </w:rPr>
            </w:pPr>
            <w:r>
              <w:rPr>
                <w:color w:val="auto"/>
              </w:rPr>
              <w:t>0.1080</w:t>
            </w:r>
          </w:p>
        </w:tc>
        <w:tc>
          <w:tcPr>
            <w:tcW w:w="482" w:type="pct"/>
            <w:vAlign w:val="center"/>
          </w:tcPr>
          <w:p w14:paraId="60A9AACC">
            <w:pPr>
              <w:pStyle w:val="54"/>
              <w:rPr>
                <w:color w:val="auto"/>
              </w:rPr>
            </w:pPr>
            <w:r>
              <w:rPr>
                <w:rFonts w:hint="eastAsia"/>
                <w:color w:val="auto"/>
              </w:rPr>
              <w:t>+</w:t>
            </w:r>
            <w:r>
              <w:rPr>
                <w:rFonts w:hint="eastAsia"/>
                <w:color w:val="auto"/>
                <w:lang w:val="en-US" w:eastAsia="zh-CN"/>
              </w:rPr>
              <w:t>0.0180</w:t>
            </w:r>
          </w:p>
        </w:tc>
      </w:tr>
      <w:tr w14:paraId="14A93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24" w:type="pct"/>
            <w:vMerge w:val="restart"/>
            <w:vAlign w:val="center"/>
          </w:tcPr>
          <w:p w14:paraId="7E3EEEAA">
            <w:pPr>
              <w:pStyle w:val="54"/>
              <w:rPr>
                <w:color w:val="auto"/>
              </w:rPr>
            </w:pPr>
            <w:r>
              <w:rPr>
                <w:color w:val="auto"/>
              </w:rPr>
              <w:t>固废</w:t>
            </w:r>
          </w:p>
        </w:tc>
        <w:tc>
          <w:tcPr>
            <w:tcW w:w="126" w:type="pct"/>
            <w:vMerge w:val="restart"/>
            <w:vAlign w:val="center"/>
          </w:tcPr>
          <w:p w14:paraId="4935BBB0">
            <w:pPr>
              <w:pStyle w:val="54"/>
              <w:rPr>
                <w:color w:val="auto"/>
              </w:rPr>
            </w:pPr>
            <w:r>
              <w:rPr>
                <w:color w:val="auto"/>
              </w:rPr>
              <w:t>一般</w:t>
            </w:r>
          </w:p>
          <w:p w14:paraId="7C1FD4D2">
            <w:pPr>
              <w:pStyle w:val="54"/>
              <w:rPr>
                <w:color w:val="auto"/>
              </w:rPr>
            </w:pPr>
            <w:r>
              <w:rPr>
                <w:color w:val="auto"/>
              </w:rPr>
              <w:t>固废</w:t>
            </w:r>
          </w:p>
        </w:tc>
        <w:tc>
          <w:tcPr>
            <w:tcW w:w="554" w:type="pct"/>
            <w:vAlign w:val="center"/>
          </w:tcPr>
          <w:p w14:paraId="06133C68">
            <w:pPr>
              <w:pStyle w:val="54"/>
              <w:rPr>
                <w:color w:val="auto"/>
              </w:rPr>
            </w:pPr>
            <w:r>
              <w:rPr>
                <w:rFonts w:hint="eastAsia"/>
                <w:color w:val="auto"/>
              </w:rPr>
              <w:t>炭黑</w:t>
            </w:r>
          </w:p>
        </w:tc>
        <w:tc>
          <w:tcPr>
            <w:tcW w:w="570" w:type="pct"/>
            <w:vAlign w:val="center"/>
          </w:tcPr>
          <w:p w14:paraId="62B28F07">
            <w:pPr>
              <w:pStyle w:val="54"/>
              <w:rPr>
                <w:rFonts w:hint="default" w:eastAsia="宋体"/>
                <w:color w:val="auto"/>
                <w:lang w:val="en-US" w:eastAsia="zh-CN"/>
              </w:rPr>
            </w:pPr>
            <w:r>
              <w:rPr>
                <w:rFonts w:hint="eastAsia"/>
                <w:color w:val="auto"/>
                <w:lang w:val="en-US" w:eastAsia="zh-CN"/>
              </w:rPr>
              <w:t>20</w:t>
            </w:r>
          </w:p>
        </w:tc>
        <w:tc>
          <w:tcPr>
            <w:tcW w:w="570" w:type="pct"/>
            <w:vAlign w:val="center"/>
          </w:tcPr>
          <w:p w14:paraId="35C3C32D">
            <w:pPr>
              <w:pStyle w:val="54"/>
              <w:rPr>
                <w:color w:val="auto"/>
              </w:rPr>
            </w:pPr>
            <w:r>
              <w:rPr>
                <w:color w:val="auto"/>
              </w:rPr>
              <w:t>/</w:t>
            </w:r>
          </w:p>
        </w:tc>
        <w:tc>
          <w:tcPr>
            <w:tcW w:w="570" w:type="pct"/>
            <w:vAlign w:val="center"/>
          </w:tcPr>
          <w:p w14:paraId="61DA3213">
            <w:pPr>
              <w:pStyle w:val="54"/>
              <w:rPr>
                <w:color w:val="auto"/>
              </w:rPr>
            </w:pPr>
            <w:r>
              <w:rPr>
                <w:color w:val="auto"/>
              </w:rPr>
              <w:t>0</w:t>
            </w:r>
          </w:p>
        </w:tc>
        <w:tc>
          <w:tcPr>
            <w:tcW w:w="570" w:type="pct"/>
            <w:vAlign w:val="center"/>
          </w:tcPr>
          <w:p w14:paraId="3357220E">
            <w:pPr>
              <w:pStyle w:val="54"/>
              <w:rPr>
                <w:color w:val="auto"/>
              </w:rPr>
            </w:pPr>
            <w:r>
              <w:rPr>
                <w:rFonts w:hint="eastAsia"/>
                <w:color w:val="auto"/>
              </w:rPr>
              <w:t>/</w:t>
            </w:r>
          </w:p>
        </w:tc>
        <w:tc>
          <w:tcPr>
            <w:tcW w:w="570" w:type="pct"/>
            <w:vAlign w:val="center"/>
          </w:tcPr>
          <w:p w14:paraId="4135541A">
            <w:pPr>
              <w:pStyle w:val="54"/>
              <w:rPr>
                <w:color w:val="auto"/>
              </w:rPr>
            </w:pPr>
            <w:r>
              <w:rPr>
                <w:color w:val="auto"/>
              </w:rPr>
              <w:t>0</w:t>
            </w:r>
          </w:p>
        </w:tc>
        <w:tc>
          <w:tcPr>
            <w:tcW w:w="659" w:type="pct"/>
            <w:vAlign w:val="center"/>
          </w:tcPr>
          <w:p w14:paraId="09DB0598">
            <w:pPr>
              <w:pStyle w:val="54"/>
              <w:rPr>
                <w:rFonts w:hint="default" w:eastAsia="宋体"/>
                <w:color w:val="auto"/>
                <w:lang w:val="en-US" w:eastAsia="zh-CN"/>
              </w:rPr>
            </w:pPr>
            <w:r>
              <w:rPr>
                <w:rFonts w:hint="eastAsia"/>
                <w:color w:val="auto"/>
                <w:lang w:val="en-US" w:eastAsia="zh-CN"/>
              </w:rPr>
              <w:t>20</w:t>
            </w:r>
          </w:p>
        </w:tc>
        <w:tc>
          <w:tcPr>
            <w:tcW w:w="482" w:type="pct"/>
            <w:vAlign w:val="center"/>
          </w:tcPr>
          <w:p w14:paraId="2EE8320D">
            <w:pPr>
              <w:pStyle w:val="54"/>
              <w:rPr>
                <w:color w:val="auto"/>
              </w:rPr>
            </w:pPr>
            <w:r>
              <w:rPr>
                <w:rFonts w:hint="eastAsia"/>
                <w:color w:val="auto"/>
              </w:rPr>
              <w:t>0</w:t>
            </w:r>
          </w:p>
        </w:tc>
      </w:tr>
      <w:tr w14:paraId="0185B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 w:hRule="atLeast"/>
        </w:trPr>
        <w:tc>
          <w:tcPr>
            <w:tcW w:w="324" w:type="pct"/>
            <w:vMerge w:val="continue"/>
            <w:vAlign w:val="center"/>
          </w:tcPr>
          <w:p w14:paraId="4C3A183A">
            <w:pPr>
              <w:pStyle w:val="54"/>
              <w:rPr>
                <w:color w:val="auto"/>
              </w:rPr>
            </w:pPr>
          </w:p>
        </w:tc>
        <w:tc>
          <w:tcPr>
            <w:tcW w:w="126" w:type="pct"/>
            <w:vMerge w:val="continue"/>
            <w:vAlign w:val="center"/>
          </w:tcPr>
          <w:p w14:paraId="6B6EA99E">
            <w:pPr>
              <w:pStyle w:val="54"/>
              <w:rPr>
                <w:color w:val="auto"/>
              </w:rPr>
            </w:pPr>
          </w:p>
        </w:tc>
        <w:tc>
          <w:tcPr>
            <w:tcW w:w="554" w:type="pct"/>
            <w:shd w:val="clear" w:color="auto" w:fill="auto"/>
            <w:vAlign w:val="center"/>
          </w:tcPr>
          <w:p w14:paraId="67387EDB">
            <w:pPr>
              <w:pStyle w:val="54"/>
              <w:rPr>
                <w:color w:val="auto"/>
              </w:rPr>
            </w:pPr>
            <w:r>
              <w:rPr>
                <w:rFonts w:hint="eastAsia"/>
                <w:color w:val="auto"/>
              </w:rPr>
              <w:t>钢带</w:t>
            </w:r>
          </w:p>
        </w:tc>
        <w:tc>
          <w:tcPr>
            <w:tcW w:w="570" w:type="pct"/>
            <w:vAlign w:val="center"/>
          </w:tcPr>
          <w:p w14:paraId="586BDE15">
            <w:pPr>
              <w:pStyle w:val="54"/>
              <w:rPr>
                <w:rFonts w:hint="eastAsia" w:eastAsia="宋体"/>
                <w:color w:val="auto"/>
                <w:lang w:eastAsia="zh-CN"/>
              </w:rPr>
            </w:pPr>
            <w:r>
              <w:rPr>
                <w:rFonts w:hint="eastAsia"/>
                <w:color w:val="auto"/>
                <w:lang w:val="en-US" w:eastAsia="zh-CN"/>
              </w:rPr>
              <w:t>7</w:t>
            </w:r>
          </w:p>
        </w:tc>
        <w:tc>
          <w:tcPr>
            <w:tcW w:w="570" w:type="pct"/>
            <w:vAlign w:val="center"/>
          </w:tcPr>
          <w:p w14:paraId="1876D98D">
            <w:pPr>
              <w:pStyle w:val="54"/>
              <w:rPr>
                <w:color w:val="auto"/>
              </w:rPr>
            </w:pPr>
            <w:r>
              <w:rPr>
                <w:color w:val="auto"/>
              </w:rPr>
              <w:t>/</w:t>
            </w:r>
          </w:p>
        </w:tc>
        <w:tc>
          <w:tcPr>
            <w:tcW w:w="570" w:type="pct"/>
            <w:vAlign w:val="center"/>
          </w:tcPr>
          <w:p w14:paraId="5C728F01">
            <w:pPr>
              <w:pStyle w:val="54"/>
              <w:rPr>
                <w:color w:val="auto"/>
              </w:rPr>
            </w:pPr>
            <w:r>
              <w:rPr>
                <w:rFonts w:hint="eastAsia"/>
                <w:color w:val="auto"/>
              </w:rPr>
              <w:t>0</w:t>
            </w:r>
          </w:p>
        </w:tc>
        <w:tc>
          <w:tcPr>
            <w:tcW w:w="570" w:type="pct"/>
            <w:vAlign w:val="center"/>
          </w:tcPr>
          <w:p w14:paraId="7E558E2B">
            <w:pPr>
              <w:pStyle w:val="54"/>
              <w:rPr>
                <w:color w:val="auto"/>
              </w:rPr>
            </w:pPr>
            <w:r>
              <w:rPr>
                <w:rFonts w:hint="eastAsia"/>
                <w:color w:val="auto"/>
              </w:rPr>
              <w:t>/</w:t>
            </w:r>
          </w:p>
        </w:tc>
        <w:tc>
          <w:tcPr>
            <w:tcW w:w="570" w:type="pct"/>
            <w:vAlign w:val="center"/>
          </w:tcPr>
          <w:p w14:paraId="5EDA409F">
            <w:pPr>
              <w:pStyle w:val="54"/>
              <w:rPr>
                <w:color w:val="auto"/>
              </w:rPr>
            </w:pPr>
            <w:r>
              <w:rPr>
                <w:rFonts w:hint="eastAsia"/>
                <w:color w:val="auto"/>
              </w:rPr>
              <w:t>0</w:t>
            </w:r>
          </w:p>
        </w:tc>
        <w:tc>
          <w:tcPr>
            <w:tcW w:w="659" w:type="pct"/>
            <w:vAlign w:val="center"/>
          </w:tcPr>
          <w:p w14:paraId="1C81EC78">
            <w:pPr>
              <w:pStyle w:val="54"/>
              <w:rPr>
                <w:rFonts w:hint="eastAsia" w:eastAsia="宋体"/>
                <w:color w:val="auto"/>
                <w:lang w:eastAsia="zh-CN"/>
              </w:rPr>
            </w:pPr>
            <w:r>
              <w:rPr>
                <w:rFonts w:hint="eastAsia"/>
                <w:color w:val="auto"/>
                <w:lang w:val="en-US" w:eastAsia="zh-CN"/>
              </w:rPr>
              <w:t>7</w:t>
            </w:r>
          </w:p>
        </w:tc>
        <w:tc>
          <w:tcPr>
            <w:tcW w:w="482" w:type="pct"/>
            <w:vAlign w:val="center"/>
          </w:tcPr>
          <w:p w14:paraId="17494311">
            <w:pPr>
              <w:pStyle w:val="54"/>
              <w:rPr>
                <w:color w:val="auto"/>
              </w:rPr>
            </w:pPr>
            <w:r>
              <w:rPr>
                <w:rFonts w:hint="eastAsia"/>
                <w:color w:val="auto"/>
              </w:rPr>
              <w:t>0</w:t>
            </w:r>
          </w:p>
        </w:tc>
      </w:tr>
      <w:tr w14:paraId="048F61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 w:hRule="atLeast"/>
        </w:trPr>
        <w:tc>
          <w:tcPr>
            <w:tcW w:w="324" w:type="pct"/>
            <w:vMerge w:val="continue"/>
            <w:vAlign w:val="center"/>
          </w:tcPr>
          <w:p w14:paraId="4EC445C5">
            <w:pPr>
              <w:pStyle w:val="54"/>
              <w:rPr>
                <w:color w:val="auto"/>
              </w:rPr>
            </w:pPr>
          </w:p>
        </w:tc>
        <w:tc>
          <w:tcPr>
            <w:tcW w:w="126" w:type="pct"/>
            <w:vMerge w:val="continue"/>
            <w:vAlign w:val="center"/>
          </w:tcPr>
          <w:p w14:paraId="1977F511">
            <w:pPr>
              <w:pStyle w:val="54"/>
              <w:rPr>
                <w:color w:val="auto"/>
              </w:rPr>
            </w:pPr>
          </w:p>
        </w:tc>
        <w:tc>
          <w:tcPr>
            <w:tcW w:w="554" w:type="pct"/>
            <w:shd w:val="clear" w:color="auto" w:fill="auto"/>
            <w:vAlign w:val="center"/>
          </w:tcPr>
          <w:p w14:paraId="7D2F3703">
            <w:pPr>
              <w:pStyle w:val="54"/>
              <w:rPr>
                <w:color w:val="auto"/>
              </w:rPr>
            </w:pPr>
            <w:r>
              <w:rPr>
                <w:rFonts w:hint="eastAsia"/>
                <w:color w:val="auto"/>
              </w:rPr>
              <w:t>除尘灰</w:t>
            </w:r>
          </w:p>
        </w:tc>
        <w:tc>
          <w:tcPr>
            <w:tcW w:w="570" w:type="pct"/>
            <w:vAlign w:val="center"/>
          </w:tcPr>
          <w:p w14:paraId="412A0752">
            <w:pPr>
              <w:pStyle w:val="54"/>
              <w:rPr>
                <w:rFonts w:hint="eastAsia" w:eastAsia="宋体"/>
                <w:color w:val="auto"/>
                <w:lang w:eastAsia="zh-CN"/>
              </w:rPr>
            </w:pPr>
            <w:r>
              <w:rPr>
                <w:rFonts w:hint="eastAsia"/>
                <w:color w:val="auto"/>
                <w:lang w:val="en-US" w:eastAsia="zh-CN"/>
              </w:rPr>
              <w:t>6</w:t>
            </w:r>
          </w:p>
        </w:tc>
        <w:tc>
          <w:tcPr>
            <w:tcW w:w="570" w:type="pct"/>
            <w:shd w:val="clear" w:color="auto" w:fill="auto"/>
            <w:vAlign w:val="center"/>
          </w:tcPr>
          <w:p w14:paraId="04301957">
            <w:pPr>
              <w:pStyle w:val="54"/>
              <w:rPr>
                <w:color w:val="auto"/>
              </w:rPr>
            </w:pPr>
            <w:r>
              <w:rPr>
                <w:color w:val="auto"/>
              </w:rPr>
              <w:t>/</w:t>
            </w:r>
          </w:p>
        </w:tc>
        <w:tc>
          <w:tcPr>
            <w:tcW w:w="570" w:type="pct"/>
            <w:vAlign w:val="center"/>
          </w:tcPr>
          <w:p w14:paraId="09CEE882">
            <w:pPr>
              <w:pStyle w:val="54"/>
              <w:rPr>
                <w:color w:val="auto"/>
              </w:rPr>
            </w:pPr>
            <w:r>
              <w:rPr>
                <w:rFonts w:hint="eastAsia"/>
                <w:color w:val="auto"/>
              </w:rPr>
              <w:t>0</w:t>
            </w:r>
          </w:p>
        </w:tc>
        <w:tc>
          <w:tcPr>
            <w:tcW w:w="570" w:type="pct"/>
            <w:vAlign w:val="center"/>
          </w:tcPr>
          <w:p w14:paraId="44B1BB0D">
            <w:pPr>
              <w:pStyle w:val="54"/>
              <w:rPr>
                <w:color w:val="auto"/>
              </w:rPr>
            </w:pPr>
            <w:r>
              <w:rPr>
                <w:rFonts w:hint="eastAsia"/>
                <w:color w:val="auto"/>
              </w:rPr>
              <w:t>10.23</w:t>
            </w:r>
          </w:p>
        </w:tc>
        <w:tc>
          <w:tcPr>
            <w:tcW w:w="570" w:type="pct"/>
            <w:vAlign w:val="center"/>
          </w:tcPr>
          <w:p w14:paraId="36C6EC5C">
            <w:pPr>
              <w:pStyle w:val="54"/>
              <w:rPr>
                <w:color w:val="auto"/>
              </w:rPr>
            </w:pPr>
            <w:r>
              <w:rPr>
                <w:rFonts w:hint="eastAsia"/>
                <w:color w:val="auto"/>
              </w:rPr>
              <w:t>0</w:t>
            </w:r>
          </w:p>
        </w:tc>
        <w:tc>
          <w:tcPr>
            <w:tcW w:w="659" w:type="pct"/>
            <w:vAlign w:val="center"/>
          </w:tcPr>
          <w:p w14:paraId="6D4BADE4">
            <w:pPr>
              <w:pStyle w:val="54"/>
              <w:rPr>
                <w:rFonts w:hint="default" w:eastAsia="宋体"/>
                <w:color w:val="auto"/>
                <w:lang w:val="en-US" w:eastAsia="zh-CN"/>
              </w:rPr>
            </w:pPr>
            <w:r>
              <w:rPr>
                <w:rFonts w:hint="eastAsia"/>
                <w:color w:val="auto"/>
                <w:lang w:val="en-US" w:eastAsia="zh-CN"/>
              </w:rPr>
              <w:t>16.23</w:t>
            </w:r>
          </w:p>
        </w:tc>
        <w:tc>
          <w:tcPr>
            <w:tcW w:w="482" w:type="pct"/>
            <w:vAlign w:val="center"/>
          </w:tcPr>
          <w:p w14:paraId="3D99B549">
            <w:pPr>
              <w:pStyle w:val="54"/>
              <w:rPr>
                <w:color w:val="auto"/>
              </w:rPr>
            </w:pPr>
            <w:r>
              <w:rPr>
                <w:rFonts w:hint="eastAsia"/>
                <w:color w:val="auto"/>
              </w:rPr>
              <w:t>+10.23</w:t>
            </w:r>
          </w:p>
        </w:tc>
      </w:tr>
      <w:tr w14:paraId="245C9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 w:hRule="atLeast"/>
        </w:trPr>
        <w:tc>
          <w:tcPr>
            <w:tcW w:w="324" w:type="pct"/>
            <w:vMerge w:val="continue"/>
            <w:vAlign w:val="center"/>
          </w:tcPr>
          <w:p w14:paraId="06E4BBA5">
            <w:pPr>
              <w:pStyle w:val="54"/>
              <w:rPr>
                <w:color w:val="auto"/>
              </w:rPr>
            </w:pPr>
          </w:p>
        </w:tc>
        <w:tc>
          <w:tcPr>
            <w:tcW w:w="126" w:type="pct"/>
            <w:vMerge w:val="continue"/>
            <w:vAlign w:val="center"/>
          </w:tcPr>
          <w:p w14:paraId="05915CEB">
            <w:pPr>
              <w:pStyle w:val="54"/>
              <w:rPr>
                <w:color w:val="auto"/>
              </w:rPr>
            </w:pPr>
          </w:p>
        </w:tc>
        <w:tc>
          <w:tcPr>
            <w:tcW w:w="554" w:type="pct"/>
            <w:shd w:val="clear" w:color="auto" w:fill="auto"/>
            <w:vAlign w:val="center"/>
          </w:tcPr>
          <w:p w14:paraId="1817EC24">
            <w:pPr>
              <w:pStyle w:val="54"/>
              <w:rPr>
                <w:color w:val="auto"/>
              </w:rPr>
            </w:pPr>
            <w:r>
              <w:rPr>
                <w:rFonts w:hint="eastAsia"/>
                <w:color w:val="auto"/>
              </w:rPr>
              <w:t>废布袋</w:t>
            </w:r>
          </w:p>
        </w:tc>
        <w:tc>
          <w:tcPr>
            <w:tcW w:w="570" w:type="pct"/>
            <w:vAlign w:val="center"/>
          </w:tcPr>
          <w:p w14:paraId="6D2DBB0B">
            <w:pPr>
              <w:pStyle w:val="54"/>
              <w:rPr>
                <w:rFonts w:hint="default" w:eastAsia="宋体"/>
                <w:color w:val="auto"/>
                <w:lang w:val="en-US" w:eastAsia="zh-CN"/>
              </w:rPr>
            </w:pPr>
            <w:r>
              <w:rPr>
                <w:rFonts w:hint="eastAsia"/>
                <w:color w:val="auto"/>
                <w:lang w:val="en-US" w:eastAsia="zh-CN"/>
              </w:rPr>
              <w:t>0.7</w:t>
            </w:r>
          </w:p>
        </w:tc>
        <w:tc>
          <w:tcPr>
            <w:tcW w:w="570" w:type="pct"/>
            <w:shd w:val="clear" w:color="auto" w:fill="auto"/>
            <w:vAlign w:val="center"/>
          </w:tcPr>
          <w:p w14:paraId="6EA4A879">
            <w:pPr>
              <w:pStyle w:val="54"/>
              <w:rPr>
                <w:color w:val="auto"/>
              </w:rPr>
            </w:pPr>
            <w:r>
              <w:rPr>
                <w:color w:val="auto"/>
              </w:rPr>
              <w:t>/</w:t>
            </w:r>
          </w:p>
        </w:tc>
        <w:tc>
          <w:tcPr>
            <w:tcW w:w="570" w:type="pct"/>
            <w:vAlign w:val="center"/>
          </w:tcPr>
          <w:p w14:paraId="74205EC0">
            <w:pPr>
              <w:pStyle w:val="54"/>
              <w:rPr>
                <w:color w:val="auto"/>
              </w:rPr>
            </w:pPr>
            <w:r>
              <w:rPr>
                <w:rFonts w:hint="eastAsia"/>
                <w:color w:val="auto"/>
              </w:rPr>
              <w:t>0</w:t>
            </w:r>
          </w:p>
        </w:tc>
        <w:tc>
          <w:tcPr>
            <w:tcW w:w="570" w:type="pct"/>
            <w:vAlign w:val="center"/>
          </w:tcPr>
          <w:p w14:paraId="3782C799">
            <w:pPr>
              <w:pStyle w:val="54"/>
              <w:rPr>
                <w:rFonts w:hint="default" w:eastAsia="宋体"/>
                <w:color w:val="auto"/>
                <w:lang w:val="en-US" w:eastAsia="zh-CN"/>
              </w:rPr>
            </w:pPr>
            <w:r>
              <w:rPr>
                <w:rFonts w:hint="eastAsia"/>
                <w:color w:val="auto"/>
                <w:lang w:val="en-US" w:eastAsia="zh-CN"/>
              </w:rPr>
              <w:t>0.1</w:t>
            </w:r>
          </w:p>
        </w:tc>
        <w:tc>
          <w:tcPr>
            <w:tcW w:w="570" w:type="pct"/>
            <w:vAlign w:val="center"/>
          </w:tcPr>
          <w:p w14:paraId="381286C5">
            <w:pPr>
              <w:pStyle w:val="54"/>
              <w:rPr>
                <w:color w:val="auto"/>
              </w:rPr>
            </w:pPr>
            <w:r>
              <w:rPr>
                <w:rFonts w:hint="eastAsia"/>
                <w:color w:val="auto"/>
              </w:rPr>
              <w:t>0</w:t>
            </w:r>
          </w:p>
        </w:tc>
        <w:tc>
          <w:tcPr>
            <w:tcW w:w="659" w:type="pct"/>
            <w:vAlign w:val="center"/>
          </w:tcPr>
          <w:p w14:paraId="45BA0242">
            <w:pPr>
              <w:pStyle w:val="54"/>
              <w:rPr>
                <w:rFonts w:hint="default" w:eastAsia="宋体"/>
                <w:color w:val="auto"/>
                <w:lang w:val="en-US" w:eastAsia="zh-CN"/>
              </w:rPr>
            </w:pPr>
            <w:r>
              <w:rPr>
                <w:rFonts w:hint="eastAsia"/>
                <w:color w:val="auto"/>
                <w:lang w:val="en-US" w:eastAsia="zh-CN"/>
              </w:rPr>
              <w:t>0.8</w:t>
            </w:r>
          </w:p>
        </w:tc>
        <w:tc>
          <w:tcPr>
            <w:tcW w:w="482" w:type="pct"/>
            <w:vAlign w:val="center"/>
          </w:tcPr>
          <w:p w14:paraId="1A420FE1">
            <w:pPr>
              <w:pStyle w:val="54"/>
              <w:rPr>
                <w:rFonts w:hint="default" w:eastAsia="宋体"/>
                <w:color w:val="auto"/>
                <w:lang w:val="en-US" w:eastAsia="zh-CN"/>
              </w:rPr>
            </w:pPr>
            <w:r>
              <w:rPr>
                <w:rFonts w:hint="eastAsia"/>
                <w:color w:val="auto"/>
              </w:rPr>
              <w:t>+</w:t>
            </w:r>
            <w:r>
              <w:rPr>
                <w:rFonts w:hint="eastAsia"/>
                <w:color w:val="auto"/>
                <w:lang w:val="en-US" w:eastAsia="zh-CN"/>
              </w:rPr>
              <w:t>0.1</w:t>
            </w:r>
          </w:p>
        </w:tc>
      </w:tr>
      <w:tr w14:paraId="61BDD8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24" w:type="pct"/>
            <w:vMerge w:val="continue"/>
            <w:vAlign w:val="center"/>
          </w:tcPr>
          <w:p w14:paraId="5DB07BF1">
            <w:pPr>
              <w:pStyle w:val="54"/>
              <w:rPr>
                <w:color w:val="auto"/>
              </w:rPr>
            </w:pPr>
          </w:p>
        </w:tc>
        <w:tc>
          <w:tcPr>
            <w:tcW w:w="126" w:type="pct"/>
            <w:vMerge w:val="continue"/>
            <w:vAlign w:val="center"/>
          </w:tcPr>
          <w:p w14:paraId="31881477">
            <w:pPr>
              <w:pStyle w:val="54"/>
              <w:rPr>
                <w:color w:val="auto"/>
              </w:rPr>
            </w:pPr>
          </w:p>
        </w:tc>
        <w:tc>
          <w:tcPr>
            <w:tcW w:w="554" w:type="pct"/>
            <w:shd w:val="clear" w:color="auto" w:fill="auto"/>
            <w:vAlign w:val="center"/>
          </w:tcPr>
          <w:p w14:paraId="44D50766">
            <w:pPr>
              <w:pStyle w:val="54"/>
              <w:rPr>
                <w:color w:val="auto"/>
              </w:rPr>
            </w:pPr>
            <w:r>
              <w:rPr>
                <w:rFonts w:hint="eastAsia"/>
                <w:color w:val="auto"/>
              </w:rPr>
              <w:t>炉渣</w:t>
            </w:r>
          </w:p>
        </w:tc>
        <w:tc>
          <w:tcPr>
            <w:tcW w:w="570" w:type="pct"/>
            <w:vAlign w:val="center"/>
          </w:tcPr>
          <w:p w14:paraId="54BC31B6">
            <w:pPr>
              <w:pStyle w:val="54"/>
              <w:rPr>
                <w:rFonts w:hint="default" w:eastAsia="宋体"/>
                <w:color w:val="auto"/>
                <w:lang w:val="en-US" w:eastAsia="zh-CN"/>
              </w:rPr>
            </w:pPr>
            <w:r>
              <w:rPr>
                <w:rFonts w:hint="eastAsia"/>
                <w:color w:val="auto"/>
                <w:lang w:val="en-US" w:eastAsia="zh-CN"/>
              </w:rPr>
              <w:t>240</w:t>
            </w:r>
          </w:p>
        </w:tc>
        <w:tc>
          <w:tcPr>
            <w:tcW w:w="570" w:type="pct"/>
            <w:shd w:val="clear" w:color="auto" w:fill="auto"/>
            <w:vAlign w:val="center"/>
          </w:tcPr>
          <w:p w14:paraId="7AC8D3BC">
            <w:pPr>
              <w:pStyle w:val="54"/>
              <w:rPr>
                <w:color w:val="auto"/>
              </w:rPr>
            </w:pPr>
            <w:r>
              <w:rPr>
                <w:color w:val="auto"/>
              </w:rPr>
              <w:t>/</w:t>
            </w:r>
          </w:p>
        </w:tc>
        <w:tc>
          <w:tcPr>
            <w:tcW w:w="570" w:type="pct"/>
            <w:vAlign w:val="center"/>
          </w:tcPr>
          <w:p w14:paraId="0FA7FE13">
            <w:pPr>
              <w:pStyle w:val="54"/>
              <w:rPr>
                <w:color w:val="auto"/>
              </w:rPr>
            </w:pPr>
            <w:r>
              <w:rPr>
                <w:rFonts w:hint="eastAsia"/>
                <w:color w:val="auto"/>
              </w:rPr>
              <w:t>0</w:t>
            </w:r>
          </w:p>
        </w:tc>
        <w:tc>
          <w:tcPr>
            <w:tcW w:w="570" w:type="pct"/>
            <w:vAlign w:val="center"/>
          </w:tcPr>
          <w:p w14:paraId="1B2F36F0">
            <w:pPr>
              <w:pStyle w:val="54"/>
              <w:rPr>
                <w:rFonts w:hint="default" w:eastAsia="宋体"/>
                <w:color w:val="auto"/>
                <w:lang w:val="en-US" w:eastAsia="zh-CN"/>
              </w:rPr>
            </w:pPr>
            <w:r>
              <w:rPr>
                <w:rFonts w:hint="eastAsia"/>
                <w:color w:val="auto"/>
                <w:lang w:val="en-US" w:eastAsia="zh-CN"/>
              </w:rPr>
              <w:t>13</w:t>
            </w:r>
          </w:p>
        </w:tc>
        <w:tc>
          <w:tcPr>
            <w:tcW w:w="570" w:type="pct"/>
            <w:vAlign w:val="center"/>
          </w:tcPr>
          <w:p w14:paraId="088679D1">
            <w:pPr>
              <w:pStyle w:val="54"/>
              <w:rPr>
                <w:color w:val="auto"/>
              </w:rPr>
            </w:pPr>
            <w:r>
              <w:rPr>
                <w:rFonts w:hint="eastAsia"/>
                <w:color w:val="auto"/>
              </w:rPr>
              <w:t>0</w:t>
            </w:r>
          </w:p>
        </w:tc>
        <w:tc>
          <w:tcPr>
            <w:tcW w:w="659" w:type="pct"/>
            <w:vAlign w:val="center"/>
          </w:tcPr>
          <w:p w14:paraId="37D0AFFB">
            <w:pPr>
              <w:pStyle w:val="54"/>
              <w:rPr>
                <w:rFonts w:hint="default" w:eastAsia="宋体"/>
                <w:color w:val="auto"/>
                <w:lang w:val="en-US" w:eastAsia="zh-CN"/>
              </w:rPr>
            </w:pPr>
            <w:r>
              <w:rPr>
                <w:rFonts w:hint="eastAsia"/>
                <w:color w:val="auto"/>
                <w:lang w:val="en-US" w:eastAsia="zh-CN"/>
              </w:rPr>
              <w:t>253</w:t>
            </w:r>
          </w:p>
        </w:tc>
        <w:tc>
          <w:tcPr>
            <w:tcW w:w="482" w:type="pct"/>
            <w:vAlign w:val="center"/>
          </w:tcPr>
          <w:p w14:paraId="21189262">
            <w:pPr>
              <w:pStyle w:val="54"/>
              <w:rPr>
                <w:rFonts w:hint="default" w:eastAsia="宋体"/>
                <w:color w:val="auto"/>
                <w:lang w:val="en-US" w:eastAsia="zh-CN"/>
              </w:rPr>
            </w:pPr>
            <w:r>
              <w:rPr>
                <w:rFonts w:hint="eastAsia"/>
                <w:color w:val="auto"/>
              </w:rPr>
              <w:t>+</w:t>
            </w:r>
            <w:r>
              <w:rPr>
                <w:rFonts w:hint="eastAsia"/>
                <w:color w:val="auto"/>
                <w:lang w:val="en-US" w:eastAsia="zh-CN"/>
              </w:rPr>
              <w:t>13</w:t>
            </w:r>
          </w:p>
        </w:tc>
      </w:tr>
      <w:tr w14:paraId="6FD56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 w:hRule="atLeast"/>
        </w:trPr>
        <w:tc>
          <w:tcPr>
            <w:tcW w:w="324" w:type="pct"/>
            <w:vMerge w:val="continue"/>
            <w:vAlign w:val="center"/>
          </w:tcPr>
          <w:p w14:paraId="191564BE">
            <w:pPr>
              <w:pStyle w:val="54"/>
              <w:rPr>
                <w:color w:val="auto"/>
              </w:rPr>
            </w:pPr>
          </w:p>
        </w:tc>
        <w:tc>
          <w:tcPr>
            <w:tcW w:w="126" w:type="pct"/>
            <w:vMerge w:val="restart"/>
            <w:vAlign w:val="center"/>
          </w:tcPr>
          <w:p w14:paraId="7EA6F6F5">
            <w:pPr>
              <w:pStyle w:val="54"/>
              <w:rPr>
                <w:color w:val="auto"/>
              </w:rPr>
            </w:pPr>
            <w:r>
              <w:rPr>
                <w:rFonts w:hint="eastAsia"/>
                <w:color w:val="auto"/>
              </w:rPr>
              <w:t>危险固废</w:t>
            </w:r>
          </w:p>
        </w:tc>
        <w:tc>
          <w:tcPr>
            <w:tcW w:w="554" w:type="pct"/>
            <w:shd w:val="clear" w:color="auto" w:fill="auto"/>
            <w:vAlign w:val="center"/>
          </w:tcPr>
          <w:p w14:paraId="6A064EB7">
            <w:pPr>
              <w:pStyle w:val="54"/>
              <w:rPr>
                <w:color w:val="auto"/>
              </w:rPr>
            </w:pPr>
            <w:r>
              <w:rPr>
                <w:rFonts w:hint="eastAsia"/>
                <w:color w:val="auto"/>
              </w:rPr>
              <w:t>废乳化液</w:t>
            </w:r>
          </w:p>
        </w:tc>
        <w:tc>
          <w:tcPr>
            <w:tcW w:w="570" w:type="pct"/>
            <w:vAlign w:val="center"/>
          </w:tcPr>
          <w:p w14:paraId="1F2F6842">
            <w:pPr>
              <w:pStyle w:val="54"/>
              <w:rPr>
                <w:rFonts w:hint="default" w:eastAsia="宋体"/>
                <w:color w:val="auto"/>
                <w:lang w:val="en-US" w:eastAsia="zh-CN"/>
              </w:rPr>
            </w:pPr>
            <w:r>
              <w:rPr>
                <w:rFonts w:hint="eastAsia"/>
                <w:color w:val="auto"/>
                <w:lang w:val="en-US" w:eastAsia="zh-CN"/>
              </w:rPr>
              <w:t>1.5</w:t>
            </w:r>
          </w:p>
        </w:tc>
        <w:tc>
          <w:tcPr>
            <w:tcW w:w="570" w:type="pct"/>
            <w:vAlign w:val="center"/>
          </w:tcPr>
          <w:p w14:paraId="732C7CCC">
            <w:pPr>
              <w:pStyle w:val="54"/>
              <w:rPr>
                <w:color w:val="auto"/>
              </w:rPr>
            </w:pPr>
            <w:r>
              <w:rPr>
                <w:color w:val="auto"/>
              </w:rPr>
              <w:t>/</w:t>
            </w:r>
          </w:p>
        </w:tc>
        <w:tc>
          <w:tcPr>
            <w:tcW w:w="570" w:type="pct"/>
            <w:vAlign w:val="center"/>
          </w:tcPr>
          <w:p w14:paraId="1F0EC159">
            <w:pPr>
              <w:pStyle w:val="54"/>
              <w:rPr>
                <w:color w:val="auto"/>
              </w:rPr>
            </w:pPr>
            <w:r>
              <w:rPr>
                <w:rFonts w:hint="eastAsia"/>
                <w:color w:val="auto"/>
              </w:rPr>
              <w:t>0</w:t>
            </w:r>
          </w:p>
        </w:tc>
        <w:tc>
          <w:tcPr>
            <w:tcW w:w="570" w:type="pct"/>
            <w:vAlign w:val="center"/>
          </w:tcPr>
          <w:p w14:paraId="548A1F91">
            <w:pPr>
              <w:pStyle w:val="54"/>
              <w:rPr>
                <w:color w:val="auto"/>
              </w:rPr>
            </w:pPr>
            <w:r>
              <w:rPr>
                <w:rFonts w:hint="eastAsia"/>
                <w:color w:val="auto"/>
              </w:rPr>
              <w:t>/</w:t>
            </w:r>
          </w:p>
        </w:tc>
        <w:tc>
          <w:tcPr>
            <w:tcW w:w="570" w:type="pct"/>
            <w:vAlign w:val="center"/>
          </w:tcPr>
          <w:p w14:paraId="10C12550">
            <w:pPr>
              <w:pStyle w:val="54"/>
              <w:rPr>
                <w:color w:val="auto"/>
              </w:rPr>
            </w:pPr>
            <w:r>
              <w:rPr>
                <w:rFonts w:hint="eastAsia"/>
                <w:color w:val="auto"/>
              </w:rPr>
              <w:t>0</w:t>
            </w:r>
          </w:p>
        </w:tc>
        <w:tc>
          <w:tcPr>
            <w:tcW w:w="659" w:type="pct"/>
            <w:vAlign w:val="center"/>
          </w:tcPr>
          <w:p w14:paraId="640DC83F">
            <w:pPr>
              <w:pStyle w:val="54"/>
              <w:rPr>
                <w:rFonts w:hint="default" w:eastAsia="宋体"/>
                <w:color w:val="auto"/>
                <w:lang w:val="en-US" w:eastAsia="zh-CN"/>
              </w:rPr>
            </w:pPr>
            <w:r>
              <w:rPr>
                <w:rFonts w:hint="eastAsia"/>
                <w:color w:val="auto"/>
                <w:lang w:val="en-US" w:eastAsia="zh-CN"/>
              </w:rPr>
              <w:t>1.5</w:t>
            </w:r>
          </w:p>
        </w:tc>
        <w:tc>
          <w:tcPr>
            <w:tcW w:w="482" w:type="pct"/>
            <w:vAlign w:val="center"/>
          </w:tcPr>
          <w:p w14:paraId="7623E281">
            <w:pPr>
              <w:pStyle w:val="54"/>
              <w:rPr>
                <w:color w:val="auto"/>
              </w:rPr>
            </w:pPr>
            <w:r>
              <w:rPr>
                <w:rFonts w:hint="eastAsia"/>
                <w:color w:val="auto"/>
              </w:rPr>
              <w:t>0</w:t>
            </w:r>
          </w:p>
        </w:tc>
      </w:tr>
      <w:tr w14:paraId="65922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24" w:type="pct"/>
            <w:vMerge w:val="continue"/>
            <w:vAlign w:val="center"/>
          </w:tcPr>
          <w:p w14:paraId="57CE51FC">
            <w:pPr>
              <w:pStyle w:val="54"/>
              <w:rPr>
                <w:color w:val="auto"/>
              </w:rPr>
            </w:pPr>
          </w:p>
        </w:tc>
        <w:tc>
          <w:tcPr>
            <w:tcW w:w="126" w:type="pct"/>
            <w:vMerge w:val="continue"/>
            <w:vAlign w:val="center"/>
          </w:tcPr>
          <w:p w14:paraId="585437FC">
            <w:pPr>
              <w:pStyle w:val="54"/>
              <w:rPr>
                <w:color w:val="auto"/>
              </w:rPr>
            </w:pPr>
          </w:p>
        </w:tc>
        <w:tc>
          <w:tcPr>
            <w:tcW w:w="554" w:type="pct"/>
            <w:vAlign w:val="center"/>
          </w:tcPr>
          <w:p w14:paraId="6C1F99FB">
            <w:pPr>
              <w:pStyle w:val="54"/>
              <w:rPr>
                <w:color w:val="auto"/>
              </w:rPr>
            </w:pPr>
            <w:r>
              <w:rPr>
                <w:rFonts w:hint="eastAsia"/>
                <w:color w:val="auto"/>
              </w:rPr>
              <w:t>废清洗液</w:t>
            </w:r>
          </w:p>
        </w:tc>
        <w:tc>
          <w:tcPr>
            <w:tcW w:w="570" w:type="pct"/>
            <w:vAlign w:val="center"/>
          </w:tcPr>
          <w:p w14:paraId="043296C4">
            <w:pPr>
              <w:pStyle w:val="54"/>
              <w:rPr>
                <w:rFonts w:hint="eastAsia" w:eastAsia="宋体"/>
                <w:color w:val="auto"/>
                <w:lang w:eastAsia="zh-CN"/>
              </w:rPr>
            </w:pPr>
            <w:r>
              <w:rPr>
                <w:rFonts w:hint="eastAsia"/>
                <w:color w:val="auto"/>
                <w:lang w:val="en-US" w:eastAsia="zh-CN"/>
              </w:rPr>
              <w:t>2</w:t>
            </w:r>
          </w:p>
        </w:tc>
        <w:tc>
          <w:tcPr>
            <w:tcW w:w="570" w:type="pct"/>
            <w:vAlign w:val="center"/>
          </w:tcPr>
          <w:p w14:paraId="69857DC8">
            <w:pPr>
              <w:pStyle w:val="54"/>
              <w:rPr>
                <w:color w:val="auto"/>
              </w:rPr>
            </w:pPr>
            <w:r>
              <w:rPr>
                <w:color w:val="auto"/>
              </w:rPr>
              <w:t>/</w:t>
            </w:r>
          </w:p>
        </w:tc>
        <w:tc>
          <w:tcPr>
            <w:tcW w:w="570" w:type="pct"/>
            <w:vAlign w:val="center"/>
          </w:tcPr>
          <w:p w14:paraId="66104AA7">
            <w:pPr>
              <w:pStyle w:val="54"/>
              <w:rPr>
                <w:color w:val="auto"/>
              </w:rPr>
            </w:pPr>
            <w:r>
              <w:rPr>
                <w:rFonts w:hint="eastAsia"/>
                <w:color w:val="auto"/>
              </w:rPr>
              <w:t>0</w:t>
            </w:r>
          </w:p>
        </w:tc>
        <w:tc>
          <w:tcPr>
            <w:tcW w:w="570" w:type="pct"/>
            <w:vAlign w:val="center"/>
          </w:tcPr>
          <w:p w14:paraId="59B5220A">
            <w:pPr>
              <w:pStyle w:val="54"/>
              <w:rPr>
                <w:color w:val="auto"/>
              </w:rPr>
            </w:pPr>
            <w:r>
              <w:rPr>
                <w:rFonts w:hint="eastAsia"/>
                <w:color w:val="auto"/>
              </w:rPr>
              <w:t>/</w:t>
            </w:r>
          </w:p>
        </w:tc>
        <w:tc>
          <w:tcPr>
            <w:tcW w:w="570" w:type="pct"/>
            <w:vAlign w:val="center"/>
          </w:tcPr>
          <w:p w14:paraId="6F816EB0">
            <w:pPr>
              <w:pStyle w:val="54"/>
              <w:rPr>
                <w:color w:val="auto"/>
              </w:rPr>
            </w:pPr>
            <w:r>
              <w:rPr>
                <w:rFonts w:hint="eastAsia"/>
                <w:color w:val="auto"/>
              </w:rPr>
              <w:t>0</w:t>
            </w:r>
          </w:p>
        </w:tc>
        <w:tc>
          <w:tcPr>
            <w:tcW w:w="659" w:type="pct"/>
            <w:vAlign w:val="center"/>
          </w:tcPr>
          <w:p w14:paraId="140F2E24">
            <w:pPr>
              <w:pStyle w:val="54"/>
              <w:rPr>
                <w:rFonts w:hint="eastAsia" w:eastAsia="宋体"/>
                <w:color w:val="auto"/>
                <w:lang w:eastAsia="zh-CN"/>
              </w:rPr>
            </w:pPr>
            <w:r>
              <w:rPr>
                <w:rFonts w:hint="eastAsia"/>
                <w:color w:val="auto"/>
                <w:lang w:val="en-US" w:eastAsia="zh-CN"/>
              </w:rPr>
              <w:t>2</w:t>
            </w:r>
          </w:p>
        </w:tc>
        <w:tc>
          <w:tcPr>
            <w:tcW w:w="482" w:type="pct"/>
            <w:vAlign w:val="center"/>
          </w:tcPr>
          <w:p w14:paraId="486D7366">
            <w:pPr>
              <w:pStyle w:val="54"/>
              <w:rPr>
                <w:color w:val="auto"/>
              </w:rPr>
            </w:pPr>
            <w:r>
              <w:rPr>
                <w:rFonts w:hint="eastAsia"/>
                <w:color w:val="auto"/>
              </w:rPr>
              <w:t>0</w:t>
            </w:r>
          </w:p>
        </w:tc>
      </w:tr>
      <w:tr w14:paraId="741B2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24" w:type="pct"/>
            <w:vMerge w:val="continue"/>
            <w:vAlign w:val="center"/>
          </w:tcPr>
          <w:p w14:paraId="2AAB6CCD">
            <w:pPr>
              <w:pStyle w:val="54"/>
              <w:rPr>
                <w:color w:val="auto"/>
              </w:rPr>
            </w:pPr>
          </w:p>
        </w:tc>
        <w:tc>
          <w:tcPr>
            <w:tcW w:w="126" w:type="pct"/>
            <w:vMerge w:val="continue"/>
            <w:vAlign w:val="center"/>
          </w:tcPr>
          <w:p w14:paraId="3EAC9559">
            <w:pPr>
              <w:pStyle w:val="54"/>
              <w:rPr>
                <w:color w:val="auto"/>
              </w:rPr>
            </w:pPr>
          </w:p>
        </w:tc>
        <w:tc>
          <w:tcPr>
            <w:tcW w:w="554" w:type="pct"/>
            <w:vAlign w:val="center"/>
          </w:tcPr>
          <w:p w14:paraId="6A26F1DF">
            <w:pPr>
              <w:pStyle w:val="54"/>
              <w:rPr>
                <w:color w:val="auto"/>
              </w:rPr>
            </w:pPr>
            <w:r>
              <w:rPr>
                <w:rFonts w:hint="eastAsia"/>
                <w:color w:val="auto"/>
              </w:rPr>
              <w:t>废活性炭</w:t>
            </w:r>
          </w:p>
        </w:tc>
        <w:tc>
          <w:tcPr>
            <w:tcW w:w="570" w:type="pct"/>
            <w:vAlign w:val="center"/>
          </w:tcPr>
          <w:p w14:paraId="5341E304">
            <w:pPr>
              <w:pStyle w:val="54"/>
              <w:rPr>
                <w:rFonts w:hint="default" w:eastAsia="宋体"/>
                <w:color w:val="auto"/>
                <w:lang w:val="en-US" w:eastAsia="zh-CN"/>
              </w:rPr>
            </w:pPr>
            <w:r>
              <w:rPr>
                <w:rFonts w:hint="eastAsia"/>
                <w:color w:val="auto"/>
                <w:lang w:val="en-US" w:eastAsia="zh-CN"/>
              </w:rPr>
              <w:t>0.7</w:t>
            </w:r>
          </w:p>
        </w:tc>
        <w:tc>
          <w:tcPr>
            <w:tcW w:w="570" w:type="pct"/>
            <w:vAlign w:val="center"/>
          </w:tcPr>
          <w:p w14:paraId="4FA37295">
            <w:pPr>
              <w:pStyle w:val="54"/>
              <w:rPr>
                <w:color w:val="auto"/>
              </w:rPr>
            </w:pPr>
            <w:r>
              <w:rPr>
                <w:color w:val="auto"/>
              </w:rPr>
              <w:t>/</w:t>
            </w:r>
          </w:p>
        </w:tc>
        <w:tc>
          <w:tcPr>
            <w:tcW w:w="570" w:type="pct"/>
            <w:vAlign w:val="center"/>
          </w:tcPr>
          <w:p w14:paraId="4B4C7694">
            <w:pPr>
              <w:pStyle w:val="54"/>
              <w:rPr>
                <w:color w:val="auto"/>
              </w:rPr>
            </w:pPr>
            <w:r>
              <w:rPr>
                <w:rFonts w:hint="eastAsia"/>
                <w:color w:val="auto"/>
              </w:rPr>
              <w:t>0</w:t>
            </w:r>
          </w:p>
        </w:tc>
        <w:tc>
          <w:tcPr>
            <w:tcW w:w="570" w:type="pct"/>
            <w:vAlign w:val="center"/>
          </w:tcPr>
          <w:p w14:paraId="634AB085">
            <w:pPr>
              <w:pStyle w:val="54"/>
              <w:rPr>
                <w:color w:val="auto"/>
              </w:rPr>
            </w:pPr>
            <w:r>
              <w:rPr>
                <w:rFonts w:hint="eastAsia"/>
                <w:color w:val="auto"/>
              </w:rPr>
              <w:t>/</w:t>
            </w:r>
          </w:p>
        </w:tc>
        <w:tc>
          <w:tcPr>
            <w:tcW w:w="570" w:type="pct"/>
            <w:vAlign w:val="center"/>
          </w:tcPr>
          <w:p w14:paraId="088D3A26">
            <w:pPr>
              <w:pStyle w:val="54"/>
              <w:rPr>
                <w:color w:val="auto"/>
              </w:rPr>
            </w:pPr>
            <w:r>
              <w:rPr>
                <w:rFonts w:hint="eastAsia"/>
                <w:color w:val="auto"/>
              </w:rPr>
              <w:t>0</w:t>
            </w:r>
          </w:p>
        </w:tc>
        <w:tc>
          <w:tcPr>
            <w:tcW w:w="659" w:type="pct"/>
            <w:vAlign w:val="center"/>
          </w:tcPr>
          <w:p w14:paraId="4CCA2BE3">
            <w:pPr>
              <w:pStyle w:val="54"/>
              <w:rPr>
                <w:rFonts w:hint="default" w:eastAsia="宋体"/>
                <w:color w:val="auto"/>
                <w:lang w:val="en-US" w:eastAsia="zh-CN"/>
              </w:rPr>
            </w:pPr>
            <w:r>
              <w:rPr>
                <w:rFonts w:hint="eastAsia"/>
                <w:color w:val="auto"/>
                <w:lang w:val="en-US" w:eastAsia="zh-CN"/>
              </w:rPr>
              <w:t>0.7</w:t>
            </w:r>
          </w:p>
        </w:tc>
        <w:tc>
          <w:tcPr>
            <w:tcW w:w="482" w:type="pct"/>
            <w:vAlign w:val="center"/>
          </w:tcPr>
          <w:p w14:paraId="611C36B4">
            <w:pPr>
              <w:pStyle w:val="54"/>
              <w:rPr>
                <w:color w:val="auto"/>
              </w:rPr>
            </w:pPr>
            <w:r>
              <w:rPr>
                <w:rFonts w:hint="eastAsia"/>
                <w:color w:val="auto"/>
              </w:rPr>
              <w:t>0</w:t>
            </w:r>
          </w:p>
        </w:tc>
      </w:tr>
      <w:tr w14:paraId="68542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 w:hRule="atLeast"/>
        </w:trPr>
        <w:tc>
          <w:tcPr>
            <w:tcW w:w="324" w:type="pct"/>
            <w:vMerge w:val="continue"/>
            <w:vAlign w:val="center"/>
          </w:tcPr>
          <w:p w14:paraId="307FD6EC">
            <w:pPr>
              <w:pStyle w:val="54"/>
              <w:rPr>
                <w:color w:val="auto"/>
              </w:rPr>
            </w:pPr>
          </w:p>
        </w:tc>
        <w:tc>
          <w:tcPr>
            <w:tcW w:w="126" w:type="pct"/>
            <w:vMerge w:val="continue"/>
            <w:vAlign w:val="center"/>
          </w:tcPr>
          <w:p w14:paraId="61EEC92A">
            <w:pPr>
              <w:pStyle w:val="54"/>
              <w:rPr>
                <w:color w:val="auto"/>
              </w:rPr>
            </w:pPr>
          </w:p>
        </w:tc>
        <w:tc>
          <w:tcPr>
            <w:tcW w:w="554" w:type="pct"/>
            <w:vAlign w:val="center"/>
          </w:tcPr>
          <w:p w14:paraId="14A8EC0C">
            <w:pPr>
              <w:pStyle w:val="54"/>
              <w:rPr>
                <w:color w:val="auto"/>
              </w:rPr>
            </w:pPr>
            <w:r>
              <w:rPr>
                <w:rFonts w:hint="eastAsia"/>
                <w:color w:val="auto"/>
              </w:rPr>
              <w:t>废机油</w:t>
            </w:r>
          </w:p>
        </w:tc>
        <w:tc>
          <w:tcPr>
            <w:tcW w:w="570" w:type="pct"/>
            <w:vAlign w:val="center"/>
          </w:tcPr>
          <w:p w14:paraId="5E8F128D">
            <w:pPr>
              <w:pStyle w:val="54"/>
              <w:rPr>
                <w:rFonts w:hint="default" w:eastAsia="宋体"/>
                <w:color w:val="auto"/>
                <w:lang w:val="en-US" w:eastAsia="zh-CN"/>
              </w:rPr>
            </w:pPr>
            <w:r>
              <w:rPr>
                <w:rFonts w:hint="eastAsia"/>
                <w:color w:val="auto"/>
                <w:lang w:val="en-US" w:eastAsia="zh-CN"/>
              </w:rPr>
              <w:t>0.2</w:t>
            </w:r>
          </w:p>
        </w:tc>
        <w:tc>
          <w:tcPr>
            <w:tcW w:w="570" w:type="pct"/>
            <w:vAlign w:val="center"/>
          </w:tcPr>
          <w:p w14:paraId="0A9ABC8A">
            <w:pPr>
              <w:pStyle w:val="54"/>
              <w:rPr>
                <w:color w:val="auto"/>
              </w:rPr>
            </w:pPr>
            <w:r>
              <w:rPr>
                <w:color w:val="auto"/>
              </w:rPr>
              <w:t>/</w:t>
            </w:r>
          </w:p>
        </w:tc>
        <w:tc>
          <w:tcPr>
            <w:tcW w:w="570" w:type="pct"/>
            <w:vAlign w:val="center"/>
          </w:tcPr>
          <w:p w14:paraId="6D8BF1B9">
            <w:pPr>
              <w:pStyle w:val="54"/>
              <w:rPr>
                <w:color w:val="auto"/>
              </w:rPr>
            </w:pPr>
            <w:r>
              <w:rPr>
                <w:rFonts w:hint="eastAsia"/>
                <w:color w:val="auto"/>
              </w:rPr>
              <w:t>0</w:t>
            </w:r>
          </w:p>
        </w:tc>
        <w:tc>
          <w:tcPr>
            <w:tcW w:w="570" w:type="pct"/>
            <w:vAlign w:val="center"/>
          </w:tcPr>
          <w:p w14:paraId="589C4A68">
            <w:pPr>
              <w:pStyle w:val="54"/>
              <w:rPr>
                <w:color w:val="auto"/>
              </w:rPr>
            </w:pPr>
            <w:r>
              <w:rPr>
                <w:rFonts w:hint="eastAsia"/>
                <w:color w:val="auto"/>
              </w:rPr>
              <w:t>/</w:t>
            </w:r>
          </w:p>
        </w:tc>
        <w:tc>
          <w:tcPr>
            <w:tcW w:w="570" w:type="pct"/>
            <w:vAlign w:val="center"/>
          </w:tcPr>
          <w:p w14:paraId="38AC544D">
            <w:pPr>
              <w:pStyle w:val="54"/>
              <w:rPr>
                <w:color w:val="auto"/>
              </w:rPr>
            </w:pPr>
            <w:r>
              <w:rPr>
                <w:rFonts w:hint="eastAsia"/>
                <w:color w:val="auto"/>
              </w:rPr>
              <w:t>0</w:t>
            </w:r>
          </w:p>
        </w:tc>
        <w:tc>
          <w:tcPr>
            <w:tcW w:w="659" w:type="pct"/>
            <w:vAlign w:val="center"/>
          </w:tcPr>
          <w:p w14:paraId="76F0E74C">
            <w:pPr>
              <w:pStyle w:val="54"/>
              <w:rPr>
                <w:rFonts w:hint="default" w:eastAsia="宋体"/>
                <w:color w:val="auto"/>
                <w:lang w:val="en-US" w:eastAsia="zh-CN"/>
              </w:rPr>
            </w:pPr>
            <w:r>
              <w:rPr>
                <w:rFonts w:hint="eastAsia"/>
                <w:color w:val="auto"/>
                <w:lang w:val="en-US" w:eastAsia="zh-CN"/>
              </w:rPr>
              <w:t>0.2</w:t>
            </w:r>
          </w:p>
        </w:tc>
        <w:tc>
          <w:tcPr>
            <w:tcW w:w="482" w:type="pct"/>
            <w:vAlign w:val="center"/>
          </w:tcPr>
          <w:p w14:paraId="3E097CE1">
            <w:pPr>
              <w:pStyle w:val="54"/>
              <w:rPr>
                <w:color w:val="auto"/>
              </w:rPr>
            </w:pPr>
            <w:r>
              <w:rPr>
                <w:rFonts w:hint="eastAsia"/>
                <w:color w:val="auto"/>
              </w:rPr>
              <w:t>0</w:t>
            </w:r>
          </w:p>
        </w:tc>
      </w:tr>
      <w:tr w14:paraId="2FD3D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24" w:type="pct"/>
            <w:vMerge w:val="continue"/>
            <w:vAlign w:val="center"/>
          </w:tcPr>
          <w:p w14:paraId="7C7DB855">
            <w:pPr>
              <w:pStyle w:val="54"/>
              <w:rPr>
                <w:color w:val="auto"/>
              </w:rPr>
            </w:pPr>
          </w:p>
        </w:tc>
        <w:tc>
          <w:tcPr>
            <w:tcW w:w="126" w:type="pct"/>
            <w:vMerge w:val="continue"/>
            <w:vAlign w:val="center"/>
          </w:tcPr>
          <w:p w14:paraId="769D64C6">
            <w:pPr>
              <w:pStyle w:val="54"/>
              <w:rPr>
                <w:color w:val="auto"/>
              </w:rPr>
            </w:pPr>
          </w:p>
        </w:tc>
        <w:tc>
          <w:tcPr>
            <w:tcW w:w="554" w:type="pct"/>
            <w:vAlign w:val="center"/>
          </w:tcPr>
          <w:p w14:paraId="6B545F18">
            <w:pPr>
              <w:pStyle w:val="54"/>
              <w:rPr>
                <w:color w:val="auto"/>
              </w:rPr>
            </w:pPr>
            <w:r>
              <w:rPr>
                <w:rFonts w:hint="eastAsia"/>
                <w:color w:val="auto"/>
              </w:rPr>
              <w:t>废液压油</w:t>
            </w:r>
          </w:p>
        </w:tc>
        <w:tc>
          <w:tcPr>
            <w:tcW w:w="570" w:type="pct"/>
            <w:vAlign w:val="center"/>
          </w:tcPr>
          <w:p w14:paraId="5D09D432">
            <w:pPr>
              <w:pStyle w:val="54"/>
              <w:rPr>
                <w:color w:val="auto"/>
              </w:rPr>
            </w:pPr>
            <w:r>
              <w:rPr>
                <w:rFonts w:hint="eastAsia"/>
                <w:color w:val="auto"/>
              </w:rPr>
              <w:t>/</w:t>
            </w:r>
          </w:p>
        </w:tc>
        <w:tc>
          <w:tcPr>
            <w:tcW w:w="570" w:type="pct"/>
            <w:vAlign w:val="center"/>
          </w:tcPr>
          <w:p w14:paraId="5A639F73">
            <w:pPr>
              <w:pStyle w:val="54"/>
              <w:rPr>
                <w:color w:val="auto"/>
              </w:rPr>
            </w:pPr>
            <w:r>
              <w:rPr>
                <w:color w:val="auto"/>
              </w:rPr>
              <w:t>/</w:t>
            </w:r>
          </w:p>
        </w:tc>
        <w:tc>
          <w:tcPr>
            <w:tcW w:w="570" w:type="pct"/>
            <w:vAlign w:val="center"/>
          </w:tcPr>
          <w:p w14:paraId="303670E0">
            <w:pPr>
              <w:pStyle w:val="54"/>
              <w:rPr>
                <w:color w:val="auto"/>
              </w:rPr>
            </w:pPr>
            <w:r>
              <w:rPr>
                <w:color w:val="auto"/>
              </w:rPr>
              <w:t>0</w:t>
            </w:r>
          </w:p>
        </w:tc>
        <w:tc>
          <w:tcPr>
            <w:tcW w:w="570" w:type="pct"/>
            <w:vAlign w:val="center"/>
          </w:tcPr>
          <w:p w14:paraId="22F60B91">
            <w:pPr>
              <w:pStyle w:val="54"/>
              <w:rPr>
                <w:rFonts w:hint="default" w:eastAsia="宋体"/>
                <w:color w:val="auto"/>
                <w:lang w:val="en-US" w:eastAsia="zh-CN"/>
              </w:rPr>
            </w:pPr>
            <w:r>
              <w:rPr>
                <w:rFonts w:hint="eastAsia"/>
                <w:color w:val="auto"/>
                <w:lang w:val="en-US" w:eastAsia="zh-CN"/>
              </w:rPr>
              <w:t>0.02</w:t>
            </w:r>
          </w:p>
        </w:tc>
        <w:tc>
          <w:tcPr>
            <w:tcW w:w="570" w:type="pct"/>
            <w:vAlign w:val="center"/>
          </w:tcPr>
          <w:p w14:paraId="1A34A13A">
            <w:pPr>
              <w:pStyle w:val="54"/>
              <w:rPr>
                <w:color w:val="auto"/>
              </w:rPr>
            </w:pPr>
            <w:r>
              <w:rPr>
                <w:color w:val="auto"/>
              </w:rPr>
              <w:t>0</w:t>
            </w:r>
          </w:p>
        </w:tc>
        <w:tc>
          <w:tcPr>
            <w:tcW w:w="659" w:type="pct"/>
            <w:vAlign w:val="center"/>
          </w:tcPr>
          <w:p w14:paraId="59EC886C">
            <w:pPr>
              <w:pStyle w:val="54"/>
              <w:rPr>
                <w:rFonts w:hint="default" w:eastAsia="宋体"/>
                <w:color w:val="auto"/>
                <w:lang w:val="en-US" w:eastAsia="zh-CN"/>
              </w:rPr>
            </w:pPr>
            <w:r>
              <w:rPr>
                <w:rFonts w:hint="eastAsia"/>
                <w:color w:val="auto"/>
                <w:lang w:val="en-US" w:eastAsia="zh-CN"/>
              </w:rPr>
              <w:t>0.02</w:t>
            </w:r>
          </w:p>
        </w:tc>
        <w:tc>
          <w:tcPr>
            <w:tcW w:w="482" w:type="pct"/>
            <w:vAlign w:val="center"/>
          </w:tcPr>
          <w:p w14:paraId="202C2283">
            <w:pPr>
              <w:pStyle w:val="54"/>
              <w:rPr>
                <w:rFonts w:hint="default" w:eastAsia="宋体"/>
                <w:color w:val="auto"/>
                <w:lang w:val="en-US" w:eastAsia="zh-CN"/>
              </w:rPr>
            </w:pPr>
            <w:r>
              <w:rPr>
                <w:rFonts w:hint="eastAsia"/>
                <w:color w:val="auto"/>
              </w:rPr>
              <w:t>+</w:t>
            </w:r>
            <w:r>
              <w:rPr>
                <w:rFonts w:hint="eastAsia"/>
                <w:color w:val="auto"/>
                <w:lang w:val="en-US" w:eastAsia="zh-CN"/>
              </w:rPr>
              <w:t>0.02</w:t>
            </w:r>
          </w:p>
        </w:tc>
      </w:tr>
      <w:tr w14:paraId="573D6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24" w:type="pct"/>
            <w:vMerge w:val="continue"/>
            <w:vAlign w:val="center"/>
          </w:tcPr>
          <w:p w14:paraId="1009E001">
            <w:pPr>
              <w:pStyle w:val="54"/>
              <w:rPr>
                <w:color w:val="auto"/>
              </w:rPr>
            </w:pPr>
          </w:p>
        </w:tc>
        <w:tc>
          <w:tcPr>
            <w:tcW w:w="126" w:type="pct"/>
            <w:vMerge w:val="continue"/>
            <w:vAlign w:val="center"/>
          </w:tcPr>
          <w:p w14:paraId="48224D27">
            <w:pPr>
              <w:pStyle w:val="54"/>
              <w:rPr>
                <w:color w:val="auto"/>
              </w:rPr>
            </w:pPr>
          </w:p>
        </w:tc>
        <w:tc>
          <w:tcPr>
            <w:tcW w:w="554" w:type="pct"/>
            <w:vAlign w:val="center"/>
          </w:tcPr>
          <w:p w14:paraId="6DD45AC0">
            <w:pPr>
              <w:pStyle w:val="54"/>
              <w:rPr>
                <w:color w:val="auto"/>
              </w:rPr>
            </w:pPr>
            <w:r>
              <w:rPr>
                <w:rFonts w:hint="eastAsia"/>
                <w:color w:val="auto"/>
              </w:rPr>
              <w:t>废包装桶</w:t>
            </w:r>
          </w:p>
        </w:tc>
        <w:tc>
          <w:tcPr>
            <w:tcW w:w="570" w:type="pct"/>
            <w:vAlign w:val="center"/>
          </w:tcPr>
          <w:p w14:paraId="3078764B">
            <w:pPr>
              <w:pStyle w:val="54"/>
              <w:rPr>
                <w:rFonts w:hint="default" w:eastAsia="宋体"/>
                <w:color w:val="auto"/>
                <w:lang w:val="en-US" w:eastAsia="zh-CN"/>
              </w:rPr>
            </w:pPr>
            <w:r>
              <w:rPr>
                <w:rFonts w:hint="eastAsia"/>
                <w:color w:val="auto"/>
                <w:lang w:val="en-US" w:eastAsia="zh-CN"/>
              </w:rPr>
              <w:t>0.1</w:t>
            </w:r>
          </w:p>
        </w:tc>
        <w:tc>
          <w:tcPr>
            <w:tcW w:w="570" w:type="pct"/>
            <w:vAlign w:val="center"/>
          </w:tcPr>
          <w:p w14:paraId="2093FA94">
            <w:pPr>
              <w:pStyle w:val="54"/>
              <w:rPr>
                <w:color w:val="auto"/>
              </w:rPr>
            </w:pPr>
            <w:r>
              <w:rPr>
                <w:color w:val="auto"/>
              </w:rPr>
              <w:t>/</w:t>
            </w:r>
          </w:p>
        </w:tc>
        <w:tc>
          <w:tcPr>
            <w:tcW w:w="570" w:type="pct"/>
            <w:vAlign w:val="center"/>
          </w:tcPr>
          <w:p w14:paraId="6B140DB7">
            <w:pPr>
              <w:pStyle w:val="54"/>
              <w:rPr>
                <w:color w:val="auto"/>
              </w:rPr>
            </w:pPr>
            <w:r>
              <w:rPr>
                <w:rFonts w:hint="eastAsia"/>
                <w:color w:val="auto"/>
              </w:rPr>
              <w:t>0</w:t>
            </w:r>
          </w:p>
        </w:tc>
        <w:tc>
          <w:tcPr>
            <w:tcW w:w="570" w:type="pct"/>
            <w:vAlign w:val="center"/>
          </w:tcPr>
          <w:p w14:paraId="03B1A247">
            <w:pPr>
              <w:pStyle w:val="54"/>
              <w:rPr>
                <w:rFonts w:hint="default" w:eastAsia="宋体"/>
                <w:color w:val="auto"/>
                <w:lang w:val="en-US" w:eastAsia="zh-CN"/>
              </w:rPr>
            </w:pPr>
            <w:r>
              <w:rPr>
                <w:rFonts w:hint="eastAsia"/>
                <w:color w:val="auto"/>
                <w:lang w:val="en-US" w:eastAsia="zh-CN"/>
              </w:rPr>
              <w:t>0.01</w:t>
            </w:r>
          </w:p>
        </w:tc>
        <w:tc>
          <w:tcPr>
            <w:tcW w:w="570" w:type="pct"/>
            <w:vAlign w:val="center"/>
          </w:tcPr>
          <w:p w14:paraId="4BBAA83E">
            <w:pPr>
              <w:pStyle w:val="54"/>
              <w:rPr>
                <w:color w:val="auto"/>
              </w:rPr>
            </w:pPr>
            <w:r>
              <w:rPr>
                <w:rFonts w:hint="eastAsia"/>
                <w:color w:val="auto"/>
              </w:rPr>
              <w:t>0</w:t>
            </w:r>
          </w:p>
        </w:tc>
        <w:tc>
          <w:tcPr>
            <w:tcW w:w="659" w:type="pct"/>
            <w:vAlign w:val="center"/>
          </w:tcPr>
          <w:p w14:paraId="54A7B2BD">
            <w:pPr>
              <w:pStyle w:val="54"/>
              <w:rPr>
                <w:rFonts w:hint="default" w:eastAsia="宋体"/>
                <w:color w:val="auto"/>
                <w:lang w:val="en-US" w:eastAsia="zh-CN"/>
              </w:rPr>
            </w:pPr>
            <w:r>
              <w:rPr>
                <w:rFonts w:hint="eastAsia"/>
                <w:color w:val="auto"/>
                <w:lang w:val="en-US" w:eastAsia="zh-CN"/>
              </w:rPr>
              <w:t>0.11</w:t>
            </w:r>
          </w:p>
        </w:tc>
        <w:tc>
          <w:tcPr>
            <w:tcW w:w="482" w:type="pct"/>
            <w:vAlign w:val="center"/>
          </w:tcPr>
          <w:p w14:paraId="4F03F28B">
            <w:pPr>
              <w:pStyle w:val="54"/>
              <w:rPr>
                <w:color w:val="auto"/>
              </w:rPr>
            </w:pPr>
            <w:r>
              <w:rPr>
                <w:rFonts w:hint="eastAsia"/>
                <w:color w:val="auto"/>
              </w:rPr>
              <w:t>+0.</w:t>
            </w:r>
            <w:r>
              <w:rPr>
                <w:rFonts w:hint="eastAsia"/>
                <w:color w:val="auto"/>
                <w:lang w:val="en-US" w:eastAsia="zh-CN"/>
              </w:rPr>
              <w:t>0</w:t>
            </w:r>
            <w:r>
              <w:rPr>
                <w:rFonts w:hint="eastAsia"/>
                <w:color w:val="auto"/>
              </w:rPr>
              <w:t>1</w:t>
            </w:r>
          </w:p>
        </w:tc>
      </w:tr>
      <w:tr w14:paraId="000FA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24" w:type="pct"/>
            <w:vMerge w:val="continue"/>
            <w:vAlign w:val="center"/>
          </w:tcPr>
          <w:p w14:paraId="7676CEA1">
            <w:pPr>
              <w:pStyle w:val="54"/>
              <w:rPr>
                <w:color w:val="auto"/>
              </w:rPr>
            </w:pPr>
          </w:p>
        </w:tc>
        <w:tc>
          <w:tcPr>
            <w:tcW w:w="681" w:type="pct"/>
            <w:gridSpan w:val="2"/>
            <w:vAlign w:val="center"/>
          </w:tcPr>
          <w:p w14:paraId="66C6BB6F">
            <w:pPr>
              <w:pStyle w:val="54"/>
              <w:rPr>
                <w:color w:val="auto"/>
              </w:rPr>
            </w:pPr>
            <w:r>
              <w:rPr>
                <w:color w:val="auto"/>
              </w:rPr>
              <w:t>生活垃圾</w:t>
            </w:r>
          </w:p>
        </w:tc>
        <w:tc>
          <w:tcPr>
            <w:tcW w:w="570" w:type="pct"/>
            <w:vAlign w:val="center"/>
          </w:tcPr>
          <w:p w14:paraId="6B7D9E91">
            <w:pPr>
              <w:pStyle w:val="54"/>
              <w:rPr>
                <w:color w:val="auto"/>
              </w:rPr>
            </w:pPr>
            <w:r>
              <w:rPr>
                <w:rFonts w:hint="eastAsia"/>
                <w:color w:val="auto"/>
              </w:rPr>
              <w:t>4.5</w:t>
            </w:r>
          </w:p>
        </w:tc>
        <w:tc>
          <w:tcPr>
            <w:tcW w:w="570" w:type="pct"/>
            <w:vAlign w:val="center"/>
          </w:tcPr>
          <w:p w14:paraId="4D245688">
            <w:pPr>
              <w:pStyle w:val="54"/>
              <w:rPr>
                <w:color w:val="auto"/>
              </w:rPr>
            </w:pPr>
            <w:r>
              <w:rPr>
                <w:rFonts w:hint="eastAsia"/>
                <w:color w:val="auto"/>
              </w:rPr>
              <w:t>/</w:t>
            </w:r>
          </w:p>
        </w:tc>
        <w:tc>
          <w:tcPr>
            <w:tcW w:w="570" w:type="pct"/>
            <w:vAlign w:val="center"/>
          </w:tcPr>
          <w:p w14:paraId="3672BE89">
            <w:pPr>
              <w:pStyle w:val="54"/>
              <w:rPr>
                <w:color w:val="auto"/>
              </w:rPr>
            </w:pPr>
            <w:r>
              <w:rPr>
                <w:rFonts w:hint="eastAsia"/>
                <w:color w:val="auto"/>
              </w:rPr>
              <w:t>0</w:t>
            </w:r>
          </w:p>
        </w:tc>
        <w:tc>
          <w:tcPr>
            <w:tcW w:w="570" w:type="pct"/>
            <w:vAlign w:val="center"/>
          </w:tcPr>
          <w:p w14:paraId="15609E1F">
            <w:pPr>
              <w:pStyle w:val="54"/>
              <w:rPr>
                <w:color w:val="auto"/>
              </w:rPr>
            </w:pPr>
            <w:r>
              <w:rPr>
                <w:rFonts w:hint="eastAsia"/>
                <w:color w:val="auto"/>
              </w:rPr>
              <w:t>4.5</w:t>
            </w:r>
          </w:p>
        </w:tc>
        <w:tc>
          <w:tcPr>
            <w:tcW w:w="570" w:type="pct"/>
            <w:vAlign w:val="center"/>
          </w:tcPr>
          <w:p w14:paraId="648F238F">
            <w:pPr>
              <w:pStyle w:val="54"/>
              <w:rPr>
                <w:color w:val="auto"/>
              </w:rPr>
            </w:pPr>
            <w:r>
              <w:rPr>
                <w:rFonts w:hint="eastAsia"/>
                <w:color w:val="auto"/>
              </w:rPr>
              <w:t>0</w:t>
            </w:r>
          </w:p>
        </w:tc>
        <w:tc>
          <w:tcPr>
            <w:tcW w:w="659" w:type="pct"/>
            <w:vAlign w:val="center"/>
          </w:tcPr>
          <w:p w14:paraId="18984136">
            <w:pPr>
              <w:pStyle w:val="54"/>
              <w:rPr>
                <w:color w:val="auto"/>
              </w:rPr>
            </w:pPr>
            <w:r>
              <w:rPr>
                <w:rFonts w:hint="eastAsia"/>
                <w:color w:val="auto"/>
              </w:rPr>
              <w:t>9</w:t>
            </w:r>
          </w:p>
        </w:tc>
        <w:tc>
          <w:tcPr>
            <w:tcW w:w="482" w:type="pct"/>
            <w:vAlign w:val="center"/>
          </w:tcPr>
          <w:p w14:paraId="09B839C8">
            <w:pPr>
              <w:pStyle w:val="54"/>
              <w:rPr>
                <w:color w:val="auto"/>
              </w:rPr>
            </w:pPr>
            <w:r>
              <w:rPr>
                <w:rFonts w:hint="eastAsia"/>
                <w:color w:val="auto"/>
              </w:rPr>
              <w:t>+4.5</w:t>
            </w:r>
          </w:p>
        </w:tc>
      </w:tr>
    </w:tbl>
    <w:p w14:paraId="0E238114">
      <w:pPr>
        <w:pStyle w:val="54"/>
        <w:jc w:val="left"/>
        <w:rPr>
          <w:color w:val="auto"/>
        </w:rPr>
      </w:pPr>
      <w:r>
        <w:rPr>
          <w:color w:val="auto"/>
        </w:rPr>
        <w:t>注：</w:t>
      </w:r>
      <w:r>
        <w:rPr>
          <w:color w:val="auto"/>
        </w:rPr>
        <w:fldChar w:fldCharType="begin"/>
      </w:r>
      <w:r>
        <w:rPr>
          <w:color w:val="auto"/>
        </w:rPr>
        <w:instrText xml:space="preserve"> = 6 \* GB3 \* MERGEFORMAT </w:instrText>
      </w:r>
      <w:r>
        <w:rPr>
          <w:color w:val="auto"/>
        </w:rPr>
        <w:fldChar w:fldCharType="separate"/>
      </w:r>
      <w:r>
        <w:rPr>
          <w:color w:val="auto"/>
        </w:rPr>
        <w:t>⑥</w:t>
      </w:r>
      <w:r>
        <w:rPr>
          <w:color w:val="auto"/>
        </w:rPr>
        <w:fldChar w:fldCharType="end"/>
      </w:r>
      <w:r>
        <w:rPr>
          <w:color w:val="auto"/>
        </w:rPr>
        <w:t>=</w:t>
      </w:r>
      <w:r>
        <w:rPr>
          <w:color w:val="auto"/>
        </w:rPr>
        <w:fldChar w:fldCharType="begin"/>
      </w:r>
      <w:r>
        <w:rPr>
          <w:color w:val="auto"/>
        </w:rPr>
        <w:instrText xml:space="preserve"> = 1 \* GB3 \* MERGEFORMAT </w:instrText>
      </w:r>
      <w:r>
        <w:rPr>
          <w:color w:val="auto"/>
        </w:rPr>
        <w:fldChar w:fldCharType="separate"/>
      </w:r>
      <w:r>
        <w:rPr>
          <w:color w:val="auto"/>
        </w:rPr>
        <w:t>①</w:t>
      </w:r>
      <w:r>
        <w:rPr>
          <w:color w:val="auto"/>
        </w:rPr>
        <w:fldChar w:fldCharType="end"/>
      </w:r>
      <w:r>
        <w:rPr>
          <w:color w:val="auto"/>
        </w:rPr>
        <w:t>+</w:t>
      </w:r>
      <w:r>
        <w:rPr>
          <w:color w:val="auto"/>
        </w:rPr>
        <w:fldChar w:fldCharType="begin"/>
      </w:r>
      <w:r>
        <w:rPr>
          <w:color w:val="auto"/>
        </w:rPr>
        <w:instrText xml:space="preserve"> = 3 \* GB3 \* MERGEFORMAT </w:instrText>
      </w:r>
      <w:r>
        <w:rPr>
          <w:color w:val="auto"/>
        </w:rPr>
        <w:fldChar w:fldCharType="separate"/>
      </w:r>
      <w:r>
        <w:rPr>
          <w:color w:val="auto"/>
        </w:rPr>
        <w:t>③</w:t>
      </w:r>
      <w:r>
        <w:rPr>
          <w:color w:val="auto"/>
        </w:rPr>
        <w:fldChar w:fldCharType="end"/>
      </w:r>
      <w:r>
        <w:rPr>
          <w:color w:val="auto"/>
        </w:rPr>
        <w:t>+</w:t>
      </w:r>
      <w:r>
        <w:rPr>
          <w:color w:val="auto"/>
        </w:rPr>
        <w:fldChar w:fldCharType="begin"/>
      </w:r>
      <w:r>
        <w:rPr>
          <w:color w:val="auto"/>
        </w:rPr>
        <w:instrText xml:space="preserve"> = 4 \* GB3 \* MERGEFORMAT </w:instrText>
      </w:r>
      <w:r>
        <w:rPr>
          <w:color w:val="auto"/>
        </w:rPr>
        <w:fldChar w:fldCharType="separate"/>
      </w:r>
      <w:r>
        <w:rPr>
          <w:color w:val="auto"/>
        </w:rPr>
        <w:t>④</w:t>
      </w:r>
      <w:r>
        <w:rPr>
          <w:color w:val="auto"/>
        </w:rPr>
        <w:fldChar w:fldCharType="end"/>
      </w:r>
      <w:r>
        <w:rPr>
          <w:color w:val="auto"/>
        </w:rPr>
        <w:t>-</w:t>
      </w:r>
      <w:r>
        <w:rPr>
          <w:color w:val="auto"/>
        </w:rPr>
        <w:fldChar w:fldCharType="begin"/>
      </w:r>
      <w:r>
        <w:rPr>
          <w:color w:val="auto"/>
        </w:rPr>
        <w:instrText xml:space="preserve"> = 5 \* GB3 \* MERGEFORMAT </w:instrText>
      </w:r>
      <w:r>
        <w:rPr>
          <w:color w:val="auto"/>
        </w:rPr>
        <w:fldChar w:fldCharType="separate"/>
      </w:r>
      <w:r>
        <w:rPr>
          <w:color w:val="auto"/>
        </w:rPr>
        <w:t>⑤</w:t>
      </w:r>
      <w:r>
        <w:rPr>
          <w:color w:val="auto"/>
        </w:rPr>
        <w:fldChar w:fldCharType="end"/>
      </w:r>
      <w:r>
        <w:rPr>
          <w:color w:val="auto"/>
        </w:rPr>
        <w:t>；</w:t>
      </w:r>
      <w:r>
        <w:rPr>
          <w:color w:val="auto"/>
        </w:rPr>
        <w:fldChar w:fldCharType="begin"/>
      </w:r>
      <w:r>
        <w:rPr>
          <w:color w:val="auto"/>
        </w:rPr>
        <w:instrText xml:space="preserve"> = 7 \* GB3 \* MERGEFORMAT </w:instrText>
      </w:r>
      <w:r>
        <w:rPr>
          <w:color w:val="auto"/>
        </w:rPr>
        <w:fldChar w:fldCharType="separate"/>
      </w:r>
      <w:r>
        <w:rPr>
          <w:color w:val="auto"/>
        </w:rPr>
        <w:t>⑦</w:t>
      </w:r>
      <w:r>
        <w:rPr>
          <w:color w:val="auto"/>
        </w:rPr>
        <w:fldChar w:fldCharType="end"/>
      </w:r>
      <w:r>
        <w:rPr>
          <w:color w:val="auto"/>
        </w:rPr>
        <w:t>=</w:t>
      </w:r>
      <w:r>
        <w:rPr>
          <w:color w:val="auto"/>
        </w:rPr>
        <w:fldChar w:fldCharType="begin"/>
      </w:r>
      <w:r>
        <w:rPr>
          <w:color w:val="auto"/>
        </w:rPr>
        <w:instrText xml:space="preserve"> = 6 \* GB3 \* MERGEFORMAT </w:instrText>
      </w:r>
      <w:r>
        <w:rPr>
          <w:color w:val="auto"/>
        </w:rPr>
        <w:fldChar w:fldCharType="separate"/>
      </w:r>
      <w:r>
        <w:rPr>
          <w:color w:val="auto"/>
        </w:rPr>
        <w:t>⑥</w:t>
      </w:r>
      <w:r>
        <w:rPr>
          <w:color w:val="auto"/>
        </w:rPr>
        <w:fldChar w:fldCharType="end"/>
      </w:r>
      <w:r>
        <w:rPr>
          <w:color w:val="auto"/>
        </w:rPr>
        <w:t>-</w:t>
      </w:r>
      <w:r>
        <w:rPr>
          <w:color w:val="auto"/>
        </w:rPr>
        <w:fldChar w:fldCharType="begin"/>
      </w:r>
      <w:r>
        <w:rPr>
          <w:color w:val="auto"/>
        </w:rPr>
        <w:instrText xml:space="preserve"> = 1 \* GB3 \* MERGEFORMAT </w:instrText>
      </w:r>
      <w:r>
        <w:rPr>
          <w:color w:val="auto"/>
        </w:rPr>
        <w:fldChar w:fldCharType="separate"/>
      </w:r>
      <w:r>
        <w:rPr>
          <w:color w:val="auto"/>
        </w:rPr>
        <w:t>①</w:t>
      </w:r>
      <w:r>
        <w:rPr>
          <w:color w:val="auto"/>
        </w:rPr>
        <w:fldChar w:fldCharType="end"/>
      </w:r>
    </w:p>
    <w:p w14:paraId="3CB50944">
      <w:pPr>
        <w:rPr>
          <w:color w:val="auto"/>
        </w:rPr>
      </w:pPr>
    </w:p>
    <w:sectPr>
      <w:footerReference r:id="rId8" w:type="default"/>
      <w:pgSz w:w="16838" w:h="11906" w:orient="landscape"/>
      <w:pgMar w:top="1417" w:right="1701" w:bottom="1417" w:left="1701" w:header="851" w:footer="851" w:gutter="0"/>
      <w:cols w:space="720" w:num="1"/>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方正仿宋_GB2312">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1F8554">
    <w:pPr>
      <w:tabs>
        <w:tab w:val="center" w:pos="4153"/>
        <w:tab w:val="right" w:pos="8306"/>
      </w:tabs>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0E09AC">
    <w:pPr>
      <w:tabs>
        <w:tab w:val="center" w:pos="4153"/>
        <w:tab w:val="right" w:pos="8306"/>
      </w:tabs>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EEAE92">
    <w:pPr>
      <w:tabs>
        <w:tab w:val="center" w:pos="4153"/>
        <w:tab w:val="right" w:pos="8306"/>
      </w:tabs>
      <w:ind w:firstLine="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286385" cy="254000"/>
              <wp:effectExtent l="0" t="0" r="0" b="0"/>
              <wp:wrapNone/>
              <wp:docPr id="4" name="文本框 1028"/>
              <wp:cNvGraphicFramePr/>
              <a:graphic xmlns:a="http://schemas.openxmlformats.org/drawingml/2006/main">
                <a:graphicData uri="http://schemas.microsoft.com/office/word/2010/wordprocessingShape">
                  <wps:wsp>
                    <wps:cNvSpPr txBox="1"/>
                    <wps:spPr bwMode="auto">
                      <a:xfrm>
                        <a:off x="0" y="0"/>
                        <a:ext cx="1828800" cy="1828800"/>
                      </a:xfrm>
                      <a:prstGeom prst="rect">
                        <a:avLst/>
                      </a:prstGeom>
                      <a:noFill/>
                      <a:ln>
                        <a:noFill/>
                      </a:ln>
                      <a:effectLst/>
                    </wps:spPr>
                    <wps:txbx>
                      <w:txbxContent>
                        <w:p w14:paraId="2E547D78">
                          <w:pPr>
                            <w:tabs>
                              <w:tab w:val="center" w:pos="4153"/>
                              <w:tab w:val="right" w:pos="8306"/>
                            </w:tabs>
                            <w:ind w:firstLine="360"/>
                          </w:pPr>
                          <w:r>
                            <w:rPr>
                              <w:rFonts w:hint="eastAsia"/>
                            </w:rPr>
                            <w:fldChar w:fldCharType="begin"/>
                          </w:r>
                          <w:r>
                            <w:rPr>
                              <w:rFonts w:hint="eastAsia"/>
                            </w:rPr>
                            <w:instrText xml:space="preserve"> PAGE  \* MERGEFORMAT </w:instrText>
                          </w:r>
                          <w:r>
                            <w:rPr>
                              <w:rFonts w:hint="eastAsia"/>
                            </w:rPr>
                            <w:fldChar w:fldCharType="separate"/>
                          </w:r>
                          <w:r>
                            <w:t>38</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文本框 1028" o:spid="_x0000_s1026" o:spt="202" type="#_x0000_t202" style="position:absolute;left:0pt;margin-top:0pt;height:20pt;width:22.55pt;mso-position-horizontal:center;mso-position-horizontal-relative:margin;mso-wrap-style:none;z-index:251660288;mso-width-relative:page;mso-height-relative:page;" filled="f" stroked="f" coordsize="21600,21600" o:gfxdata="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6&#10;MdnL0AAAAAMBAAAPAAAAAAAAAAEAIAAAACIAAABkcnMvZG93bnJldi54bWxQSwECFAAUAAAACACH&#10;TuJAU6Rq6/MBAADlAwAADgAAAAAAAAABACAAAAAfAQAAZHJzL2Uyb0RvYy54bWxQSwUGAAAAAAYA&#10;BgBZAQAAhAUAAAAA&#10;">
              <v:fill on="f" focussize="0,0"/>
              <v:stroke on="f"/>
              <v:imagedata o:title=""/>
              <o:lock v:ext="edit" aspectratio="f"/>
              <v:textbox inset="0mm,0mm,0mm,0mm" style="mso-fit-shape-to-text:t;">
                <w:txbxContent>
                  <w:p w14:paraId="2E547D78">
                    <w:pPr>
                      <w:tabs>
                        <w:tab w:val="center" w:pos="4153"/>
                        <w:tab w:val="right" w:pos="8306"/>
                      </w:tabs>
                      <w:ind w:firstLine="360"/>
                    </w:pPr>
                    <w:r>
                      <w:rPr>
                        <w:rFonts w:hint="eastAsia"/>
                      </w:rPr>
                      <w:fldChar w:fldCharType="begin"/>
                    </w:r>
                    <w:r>
                      <w:rPr>
                        <w:rFonts w:hint="eastAsia"/>
                      </w:rPr>
                      <w:instrText xml:space="preserve"> PAGE  \* MERGEFORMAT </w:instrText>
                    </w:r>
                    <w:r>
                      <w:rPr>
                        <w:rFonts w:hint="eastAsia"/>
                      </w:rPr>
                      <w:fldChar w:fldCharType="separate"/>
                    </w:r>
                    <w:r>
                      <w:t>38</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48F07C">
    <w:pPr>
      <w:tabs>
        <w:tab w:val="center" w:pos="4153"/>
        <w:tab w:val="right" w:pos="8306"/>
      </w:tabs>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343535" cy="254000"/>
              <wp:effectExtent l="0" t="0" r="0" b="0"/>
              <wp:wrapNone/>
              <wp:docPr id="519" name=" 6"/>
              <wp:cNvGraphicFramePr/>
              <a:graphic xmlns:a="http://schemas.openxmlformats.org/drawingml/2006/main">
                <a:graphicData uri="http://schemas.microsoft.com/office/word/2010/wordprocessingShape">
                  <wps:wsp>
                    <wps:cNvSpPr txBox="1"/>
                    <wps:spPr bwMode="auto">
                      <a:xfrm>
                        <a:off x="0" y="0"/>
                        <a:ext cx="1828800" cy="1828800"/>
                      </a:xfrm>
                      <a:prstGeom prst="rect">
                        <a:avLst/>
                      </a:prstGeom>
                      <a:noFill/>
                      <a:ln>
                        <a:noFill/>
                      </a:ln>
                      <a:effectLst/>
                    </wps:spPr>
                    <wps:txbx>
                      <w:txbxContent>
                        <w:p w14:paraId="2459845D">
                          <w:pPr>
                            <w:tabs>
                              <w:tab w:val="center" w:pos="4153"/>
                              <w:tab w:val="right" w:pos="8306"/>
                            </w:tabs>
                            <w:ind w:firstLine="360"/>
                          </w:pPr>
                          <w:r>
                            <w:rPr>
                              <w:rFonts w:hint="eastAsia"/>
                            </w:rPr>
                            <w:fldChar w:fldCharType="begin"/>
                          </w:r>
                          <w:r>
                            <w:rPr>
                              <w:rFonts w:hint="eastAsia"/>
                            </w:rPr>
                            <w:instrText xml:space="preserve"> PAGE  \* MERGEFORMAT </w:instrText>
                          </w:r>
                          <w:r>
                            <w:rPr>
                              <w:rFonts w:hint="eastAsia"/>
                            </w:rPr>
                            <w:fldChar w:fldCharType="separate"/>
                          </w:r>
                          <w:r>
                            <w:t>69</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 6" o:spid="_x0000_s1026" o:spt="202" type="#_x0000_t202" style="position:absolute;left:0pt;margin-top:0pt;height:20pt;width:27.05pt;mso-position-horizontal:center;mso-position-horizontal-relative:margin;mso-wrap-style:none;z-index:251659264;mso-width-relative:page;mso-height-relative:page;" filled="f" stroked="f" coordsize="21600,21600" o:gfxdata="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gxVrqdEAAAADAQAADwAAAAAAAAAB&#10;ACAAAAAiAAAAZHJzL2Rvd25yZXYueG1sUEsBAhQAFAAAAAgAh07iQMoJZxjeAQAA2wMAAA4AAAAA&#10;AAAAAQAgAAAAIAEAAGRycy9lMm9Eb2MueG1sUEsFBgAAAAAGAAYAWQEAAHAFAAAAAA==&#10;">
              <v:fill on="f" focussize="0,0"/>
              <v:stroke on="f"/>
              <v:imagedata o:title=""/>
              <o:lock v:ext="edit" aspectratio="f"/>
              <v:textbox inset="0mm,0mm,0mm,0mm" style="mso-fit-shape-to-text:t;">
                <w:txbxContent>
                  <w:p w14:paraId="2459845D">
                    <w:pPr>
                      <w:tabs>
                        <w:tab w:val="center" w:pos="4153"/>
                        <w:tab w:val="right" w:pos="8306"/>
                      </w:tabs>
                      <w:ind w:firstLine="360"/>
                    </w:pPr>
                    <w:r>
                      <w:rPr>
                        <w:rFonts w:hint="eastAsia"/>
                      </w:rPr>
                      <w:fldChar w:fldCharType="begin"/>
                    </w:r>
                    <w:r>
                      <w:rPr>
                        <w:rFonts w:hint="eastAsia"/>
                      </w:rPr>
                      <w:instrText xml:space="preserve"> PAGE  \* MERGEFORMAT </w:instrText>
                    </w:r>
                    <w:r>
                      <w:rPr>
                        <w:rFonts w:hint="eastAsia"/>
                      </w:rPr>
                      <w:fldChar w:fldCharType="separate"/>
                    </w:r>
                    <w:r>
                      <w:t>69</w:t>
                    </w:r>
                    <w:r>
                      <w:rPr>
                        <w:rFonts w:hint="eastAsia"/>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BF0FD6"/>
    <w:multiLevelType w:val="singleLevel"/>
    <w:tmpl w:val="9EBF0FD6"/>
    <w:lvl w:ilvl="0" w:tentative="0">
      <w:start w:val="1"/>
      <w:numFmt w:val="decimal"/>
      <w:suff w:val="nothing"/>
      <w:lvlText w:val="（%1）"/>
      <w:lvlJc w:val="left"/>
    </w:lvl>
  </w:abstractNum>
  <w:abstractNum w:abstractNumId="1">
    <w:nsid w:val="21D7AF9B"/>
    <w:multiLevelType w:val="singleLevel"/>
    <w:tmpl w:val="21D7AF9B"/>
    <w:lvl w:ilvl="0" w:tentative="0">
      <w:start w:val="1"/>
      <w:numFmt w:val="bullet"/>
      <w:pStyle w:val="10"/>
      <w:lvlText w:val=""/>
      <w:lvlJc w:val="left"/>
      <w:pPr>
        <w:tabs>
          <w:tab w:val="left" w:pos="2040"/>
        </w:tabs>
        <w:ind w:left="2040" w:hanging="360"/>
      </w:pPr>
      <w:rPr>
        <w:rFonts w:hint="default" w:ascii="Wingdings" w:hAnsi="Wingdings"/>
      </w:rPr>
    </w:lvl>
  </w:abstractNum>
  <w:abstractNum w:abstractNumId="2">
    <w:nsid w:val="62EBC79F"/>
    <w:multiLevelType w:val="singleLevel"/>
    <w:tmpl w:val="62EBC79F"/>
    <w:lvl w:ilvl="0" w:tentative="0">
      <w:start w:val="1"/>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g0YzY5YzEyNTE1MTZmNzAwOWZhZWRmN2Y0YmEzYWYifQ=="/>
  </w:docVars>
  <w:rsids>
    <w:rsidRoot w:val="00172A27"/>
    <w:rsid w:val="0002117A"/>
    <w:rsid w:val="00052AF6"/>
    <w:rsid w:val="00061434"/>
    <w:rsid w:val="00066EBC"/>
    <w:rsid w:val="0007262B"/>
    <w:rsid w:val="000823DD"/>
    <w:rsid w:val="00092509"/>
    <w:rsid w:val="00092AE4"/>
    <w:rsid w:val="000942B7"/>
    <w:rsid w:val="000A5BF3"/>
    <w:rsid w:val="000B1DA2"/>
    <w:rsid w:val="000E3EDA"/>
    <w:rsid w:val="000E3FC3"/>
    <w:rsid w:val="000E521E"/>
    <w:rsid w:val="000E5D71"/>
    <w:rsid w:val="000F72A2"/>
    <w:rsid w:val="0010234A"/>
    <w:rsid w:val="001113BD"/>
    <w:rsid w:val="0011157B"/>
    <w:rsid w:val="0011582D"/>
    <w:rsid w:val="00121F61"/>
    <w:rsid w:val="00135131"/>
    <w:rsid w:val="001431BC"/>
    <w:rsid w:val="00150EAD"/>
    <w:rsid w:val="00153917"/>
    <w:rsid w:val="00155351"/>
    <w:rsid w:val="00164CC9"/>
    <w:rsid w:val="00166FBA"/>
    <w:rsid w:val="00170D76"/>
    <w:rsid w:val="00170FA9"/>
    <w:rsid w:val="00172A27"/>
    <w:rsid w:val="0017573F"/>
    <w:rsid w:val="001823F8"/>
    <w:rsid w:val="00183703"/>
    <w:rsid w:val="00186BF0"/>
    <w:rsid w:val="001A1484"/>
    <w:rsid w:val="001A2968"/>
    <w:rsid w:val="001A4716"/>
    <w:rsid w:val="001B223C"/>
    <w:rsid w:val="001B3379"/>
    <w:rsid w:val="001D252B"/>
    <w:rsid w:val="001D45EA"/>
    <w:rsid w:val="001E1E0E"/>
    <w:rsid w:val="001F0D05"/>
    <w:rsid w:val="002029A0"/>
    <w:rsid w:val="00206122"/>
    <w:rsid w:val="00236AEB"/>
    <w:rsid w:val="00241A60"/>
    <w:rsid w:val="00244B1B"/>
    <w:rsid w:val="00247343"/>
    <w:rsid w:val="00250B55"/>
    <w:rsid w:val="00263F2B"/>
    <w:rsid w:val="00291D64"/>
    <w:rsid w:val="00296636"/>
    <w:rsid w:val="002B55AE"/>
    <w:rsid w:val="002C56D1"/>
    <w:rsid w:val="002D62C3"/>
    <w:rsid w:val="00300489"/>
    <w:rsid w:val="00310E6B"/>
    <w:rsid w:val="00317F79"/>
    <w:rsid w:val="003246CF"/>
    <w:rsid w:val="003532FE"/>
    <w:rsid w:val="0036627C"/>
    <w:rsid w:val="003752C8"/>
    <w:rsid w:val="00384B9C"/>
    <w:rsid w:val="003867CB"/>
    <w:rsid w:val="00392C7B"/>
    <w:rsid w:val="003A7539"/>
    <w:rsid w:val="003B2DA2"/>
    <w:rsid w:val="003B4FC5"/>
    <w:rsid w:val="003C2C7C"/>
    <w:rsid w:val="003D0404"/>
    <w:rsid w:val="003D17CC"/>
    <w:rsid w:val="003D1991"/>
    <w:rsid w:val="003D21B2"/>
    <w:rsid w:val="003D520E"/>
    <w:rsid w:val="003D68DF"/>
    <w:rsid w:val="003F417C"/>
    <w:rsid w:val="00403FB3"/>
    <w:rsid w:val="004200A4"/>
    <w:rsid w:val="00420759"/>
    <w:rsid w:val="0042116F"/>
    <w:rsid w:val="00426773"/>
    <w:rsid w:val="0043240E"/>
    <w:rsid w:val="004356F7"/>
    <w:rsid w:val="00444DB4"/>
    <w:rsid w:val="004479E5"/>
    <w:rsid w:val="00456ABB"/>
    <w:rsid w:val="00461D28"/>
    <w:rsid w:val="004808A8"/>
    <w:rsid w:val="004874D5"/>
    <w:rsid w:val="00492981"/>
    <w:rsid w:val="00494950"/>
    <w:rsid w:val="00494FFB"/>
    <w:rsid w:val="004A47D1"/>
    <w:rsid w:val="004A6B6B"/>
    <w:rsid w:val="004B1D61"/>
    <w:rsid w:val="004C0647"/>
    <w:rsid w:val="004C248C"/>
    <w:rsid w:val="004C393C"/>
    <w:rsid w:val="004C4280"/>
    <w:rsid w:val="004D1BDB"/>
    <w:rsid w:val="004D4AEB"/>
    <w:rsid w:val="004D4D4F"/>
    <w:rsid w:val="004D52E6"/>
    <w:rsid w:val="004D59BD"/>
    <w:rsid w:val="004E0E63"/>
    <w:rsid w:val="004E6C85"/>
    <w:rsid w:val="00500530"/>
    <w:rsid w:val="00501044"/>
    <w:rsid w:val="005033B7"/>
    <w:rsid w:val="00506689"/>
    <w:rsid w:val="0051258C"/>
    <w:rsid w:val="00563383"/>
    <w:rsid w:val="00574D3F"/>
    <w:rsid w:val="00576B66"/>
    <w:rsid w:val="00586905"/>
    <w:rsid w:val="005913C2"/>
    <w:rsid w:val="00593490"/>
    <w:rsid w:val="005A0187"/>
    <w:rsid w:val="005A4DBF"/>
    <w:rsid w:val="005A61CC"/>
    <w:rsid w:val="005C6ADC"/>
    <w:rsid w:val="005C6B3E"/>
    <w:rsid w:val="005F037B"/>
    <w:rsid w:val="00606C8F"/>
    <w:rsid w:val="00613798"/>
    <w:rsid w:val="00613874"/>
    <w:rsid w:val="00623BC5"/>
    <w:rsid w:val="00625909"/>
    <w:rsid w:val="006360BD"/>
    <w:rsid w:val="006477E7"/>
    <w:rsid w:val="00651D1C"/>
    <w:rsid w:val="00660BE0"/>
    <w:rsid w:val="00665BAD"/>
    <w:rsid w:val="006724EF"/>
    <w:rsid w:val="006A2290"/>
    <w:rsid w:val="006B2E1C"/>
    <w:rsid w:val="006C0C8C"/>
    <w:rsid w:val="006C4E21"/>
    <w:rsid w:val="006D091C"/>
    <w:rsid w:val="006E46E2"/>
    <w:rsid w:val="006E6810"/>
    <w:rsid w:val="006E73CE"/>
    <w:rsid w:val="00702B3D"/>
    <w:rsid w:val="00705133"/>
    <w:rsid w:val="007314A1"/>
    <w:rsid w:val="00742EB6"/>
    <w:rsid w:val="00744674"/>
    <w:rsid w:val="0075533A"/>
    <w:rsid w:val="00771B68"/>
    <w:rsid w:val="0077751C"/>
    <w:rsid w:val="00780D21"/>
    <w:rsid w:val="007811E4"/>
    <w:rsid w:val="0078143C"/>
    <w:rsid w:val="007857C0"/>
    <w:rsid w:val="007958E0"/>
    <w:rsid w:val="007A0CDD"/>
    <w:rsid w:val="007A1658"/>
    <w:rsid w:val="007A51B4"/>
    <w:rsid w:val="007C0F2D"/>
    <w:rsid w:val="007D491B"/>
    <w:rsid w:val="007D661B"/>
    <w:rsid w:val="007D6A53"/>
    <w:rsid w:val="007E4ACD"/>
    <w:rsid w:val="007E64E9"/>
    <w:rsid w:val="007F0A1D"/>
    <w:rsid w:val="007F27CB"/>
    <w:rsid w:val="007F3B96"/>
    <w:rsid w:val="008356C2"/>
    <w:rsid w:val="00846637"/>
    <w:rsid w:val="00855821"/>
    <w:rsid w:val="00863B59"/>
    <w:rsid w:val="00867FFD"/>
    <w:rsid w:val="00870B31"/>
    <w:rsid w:val="00871EEC"/>
    <w:rsid w:val="00881C07"/>
    <w:rsid w:val="00881E10"/>
    <w:rsid w:val="00883C46"/>
    <w:rsid w:val="0088799E"/>
    <w:rsid w:val="0089189B"/>
    <w:rsid w:val="00892406"/>
    <w:rsid w:val="0089512B"/>
    <w:rsid w:val="008B1170"/>
    <w:rsid w:val="008B21A7"/>
    <w:rsid w:val="008D153C"/>
    <w:rsid w:val="008E43DF"/>
    <w:rsid w:val="008F53EA"/>
    <w:rsid w:val="00901DE7"/>
    <w:rsid w:val="00906786"/>
    <w:rsid w:val="009364BC"/>
    <w:rsid w:val="00940283"/>
    <w:rsid w:val="00950240"/>
    <w:rsid w:val="00952D7C"/>
    <w:rsid w:val="009633D9"/>
    <w:rsid w:val="00975D66"/>
    <w:rsid w:val="00975ED3"/>
    <w:rsid w:val="0097766A"/>
    <w:rsid w:val="00984694"/>
    <w:rsid w:val="00991ADF"/>
    <w:rsid w:val="009963C2"/>
    <w:rsid w:val="009A36E6"/>
    <w:rsid w:val="009B04F3"/>
    <w:rsid w:val="009C1248"/>
    <w:rsid w:val="009C4B8C"/>
    <w:rsid w:val="009C512B"/>
    <w:rsid w:val="009D06C9"/>
    <w:rsid w:val="009D100E"/>
    <w:rsid w:val="009E4EE2"/>
    <w:rsid w:val="00A17FAE"/>
    <w:rsid w:val="00A21DA8"/>
    <w:rsid w:val="00A26EDD"/>
    <w:rsid w:val="00A27ECB"/>
    <w:rsid w:val="00A3295D"/>
    <w:rsid w:val="00A4361E"/>
    <w:rsid w:val="00A566D5"/>
    <w:rsid w:val="00A666FD"/>
    <w:rsid w:val="00A67D58"/>
    <w:rsid w:val="00A81D22"/>
    <w:rsid w:val="00A83AD0"/>
    <w:rsid w:val="00A87DAD"/>
    <w:rsid w:val="00A87F74"/>
    <w:rsid w:val="00A92856"/>
    <w:rsid w:val="00AB328E"/>
    <w:rsid w:val="00AC6630"/>
    <w:rsid w:val="00AD32F4"/>
    <w:rsid w:val="00AE7A2E"/>
    <w:rsid w:val="00AF1234"/>
    <w:rsid w:val="00B020D5"/>
    <w:rsid w:val="00B0507A"/>
    <w:rsid w:val="00B12998"/>
    <w:rsid w:val="00B27E32"/>
    <w:rsid w:val="00B40CBD"/>
    <w:rsid w:val="00B53384"/>
    <w:rsid w:val="00B61475"/>
    <w:rsid w:val="00B76C0A"/>
    <w:rsid w:val="00BA3803"/>
    <w:rsid w:val="00BB1056"/>
    <w:rsid w:val="00BC204A"/>
    <w:rsid w:val="00BC757B"/>
    <w:rsid w:val="00BD1A78"/>
    <w:rsid w:val="00BE0B78"/>
    <w:rsid w:val="00BE1545"/>
    <w:rsid w:val="00BF23ED"/>
    <w:rsid w:val="00C054A3"/>
    <w:rsid w:val="00C339C7"/>
    <w:rsid w:val="00C36B5B"/>
    <w:rsid w:val="00C44682"/>
    <w:rsid w:val="00C5015C"/>
    <w:rsid w:val="00C52982"/>
    <w:rsid w:val="00C603FA"/>
    <w:rsid w:val="00C66D69"/>
    <w:rsid w:val="00CA613C"/>
    <w:rsid w:val="00CB3C62"/>
    <w:rsid w:val="00CC0865"/>
    <w:rsid w:val="00CC6892"/>
    <w:rsid w:val="00CD5FB7"/>
    <w:rsid w:val="00CE05AC"/>
    <w:rsid w:val="00CE1B96"/>
    <w:rsid w:val="00CE72D0"/>
    <w:rsid w:val="00CF2729"/>
    <w:rsid w:val="00D12A04"/>
    <w:rsid w:val="00D12BBD"/>
    <w:rsid w:val="00D242B6"/>
    <w:rsid w:val="00D24FF0"/>
    <w:rsid w:val="00D315CA"/>
    <w:rsid w:val="00D376F6"/>
    <w:rsid w:val="00D51206"/>
    <w:rsid w:val="00D578FB"/>
    <w:rsid w:val="00D75E63"/>
    <w:rsid w:val="00D7690E"/>
    <w:rsid w:val="00D8757E"/>
    <w:rsid w:val="00D9012D"/>
    <w:rsid w:val="00D9579C"/>
    <w:rsid w:val="00D9637F"/>
    <w:rsid w:val="00DA1F32"/>
    <w:rsid w:val="00DC3A2B"/>
    <w:rsid w:val="00DC3CE7"/>
    <w:rsid w:val="00DC5E6F"/>
    <w:rsid w:val="00DC7C1D"/>
    <w:rsid w:val="00DD0820"/>
    <w:rsid w:val="00DD5E1E"/>
    <w:rsid w:val="00DF3300"/>
    <w:rsid w:val="00E03FC3"/>
    <w:rsid w:val="00E146FC"/>
    <w:rsid w:val="00E21A01"/>
    <w:rsid w:val="00E21DFF"/>
    <w:rsid w:val="00E51EA7"/>
    <w:rsid w:val="00E553C0"/>
    <w:rsid w:val="00E60EB0"/>
    <w:rsid w:val="00E6190E"/>
    <w:rsid w:val="00E645F8"/>
    <w:rsid w:val="00E66860"/>
    <w:rsid w:val="00E83E01"/>
    <w:rsid w:val="00E8469D"/>
    <w:rsid w:val="00E972B6"/>
    <w:rsid w:val="00EA030E"/>
    <w:rsid w:val="00EA42D3"/>
    <w:rsid w:val="00EB05FB"/>
    <w:rsid w:val="00EB5586"/>
    <w:rsid w:val="00F036C9"/>
    <w:rsid w:val="00F06EF8"/>
    <w:rsid w:val="00F10E81"/>
    <w:rsid w:val="00F13D4C"/>
    <w:rsid w:val="00F2475D"/>
    <w:rsid w:val="00F2605B"/>
    <w:rsid w:val="00F43097"/>
    <w:rsid w:val="00F523EB"/>
    <w:rsid w:val="00F52A8D"/>
    <w:rsid w:val="00F61EA1"/>
    <w:rsid w:val="00FA38EE"/>
    <w:rsid w:val="00FB62F5"/>
    <w:rsid w:val="00FB7AE0"/>
    <w:rsid w:val="00FC3E1B"/>
    <w:rsid w:val="00FC45DB"/>
    <w:rsid w:val="00FC6280"/>
    <w:rsid w:val="00FD4B82"/>
    <w:rsid w:val="00FE0192"/>
    <w:rsid w:val="00FE1942"/>
    <w:rsid w:val="00FF2C6B"/>
    <w:rsid w:val="00FF4979"/>
    <w:rsid w:val="00FF66CE"/>
    <w:rsid w:val="01057174"/>
    <w:rsid w:val="010A29DC"/>
    <w:rsid w:val="010C0BBA"/>
    <w:rsid w:val="010C4B3D"/>
    <w:rsid w:val="010D6029"/>
    <w:rsid w:val="010F1DA1"/>
    <w:rsid w:val="01101675"/>
    <w:rsid w:val="01115B19"/>
    <w:rsid w:val="01134AA8"/>
    <w:rsid w:val="011562D2"/>
    <w:rsid w:val="011C2889"/>
    <w:rsid w:val="011D6E67"/>
    <w:rsid w:val="011E3D92"/>
    <w:rsid w:val="011E4C51"/>
    <w:rsid w:val="01200F7F"/>
    <w:rsid w:val="01205D5C"/>
    <w:rsid w:val="01241B47"/>
    <w:rsid w:val="01250EAE"/>
    <w:rsid w:val="01260E98"/>
    <w:rsid w:val="01272083"/>
    <w:rsid w:val="012A067A"/>
    <w:rsid w:val="012F2443"/>
    <w:rsid w:val="01304181"/>
    <w:rsid w:val="01304EF9"/>
    <w:rsid w:val="01311D17"/>
    <w:rsid w:val="01316812"/>
    <w:rsid w:val="01317194"/>
    <w:rsid w:val="01325A8F"/>
    <w:rsid w:val="013712F7"/>
    <w:rsid w:val="01390BCC"/>
    <w:rsid w:val="013A06CB"/>
    <w:rsid w:val="013D4B60"/>
    <w:rsid w:val="013E61E2"/>
    <w:rsid w:val="01401F5A"/>
    <w:rsid w:val="01415CD2"/>
    <w:rsid w:val="014200D8"/>
    <w:rsid w:val="01423F24"/>
    <w:rsid w:val="01454050"/>
    <w:rsid w:val="01462B1A"/>
    <w:rsid w:val="01487061"/>
    <w:rsid w:val="014945B6"/>
    <w:rsid w:val="014A102B"/>
    <w:rsid w:val="014A2DD9"/>
    <w:rsid w:val="014A32CD"/>
    <w:rsid w:val="014A4B87"/>
    <w:rsid w:val="014C6B51"/>
    <w:rsid w:val="014D2402"/>
    <w:rsid w:val="014D28C9"/>
    <w:rsid w:val="014F2690"/>
    <w:rsid w:val="014F6641"/>
    <w:rsid w:val="014F7D85"/>
    <w:rsid w:val="01506DBF"/>
    <w:rsid w:val="01523D56"/>
    <w:rsid w:val="0152561D"/>
    <w:rsid w:val="01530F7A"/>
    <w:rsid w:val="0156352C"/>
    <w:rsid w:val="015857F9"/>
    <w:rsid w:val="015B31A7"/>
    <w:rsid w:val="015C48BA"/>
    <w:rsid w:val="015D6508"/>
    <w:rsid w:val="015E6884"/>
    <w:rsid w:val="016136FA"/>
    <w:rsid w:val="016245C6"/>
    <w:rsid w:val="01671BDD"/>
    <w:rsid w:val="01675739"/>
    <w:rsid w:val="0168325F"/>
    <w:rsid w:val="016B6F35"/>
    <w:rsid w:val="016C0FA1"/>
    <w:rsid w:val="016C2D4F"/>
    <w:rsid w:val="016E5CDC"/>
    <w:rsid w:val="01714809"/>
    <w:rsid w:val="01722330"/>
    <w:rsid w:val="01785B98"/>
    <w:rsid w:val="017947CD"/>
    <w:rsid w:val="017B7436"/>
    <w:rsid w:val="017C6D0A"/>
    <w:rsid w:val="017E2A82"/>
    <w:rsid w:val="018207C5"/>
    <w:rsid w:val="01826A17"/>
    <w:rsid w:val="01842D0A"/>
    <w:rsid w:val="0185113A"/>
    <w:rsid w:val="01853E11"/>
    <w:rsid w:val="0187402D"/>
    <w:rsid w:val="01880B03"/>
    <w:rsid w:val="018A1427"/>
    <w:rsid w:val="018A7679"/>
    <w:rsid w:val="018C519F"/>
    <w:rsid w:val="018E53BB"/>
    <w:rsid w:val="018F2EE2"/>
    <w:rsid w:val="01906EF6"/>
    <w:rsid w:val="019462B4"/>
    <w:rsid w:val="01967485"/>
    <w:rsid w:val="01967DCC"/>
    <w:rsid w:val="01981D96"/>
    <w:rsid w:val="019A35DA"/>
    <w:rsid w:val="019B2F1C"/>
    <w:rsid w:val="019B53E2"/>
    <w:rsid w:val="019D73AC"/>
    <w:rsid w:val="019E3125"/>
    <w:rsid w:val="019F1377"/>
    <w:rsid w:val="019F2912"/>
    <w:rsid w:val="01A30FBB"/>
    <w:rsid w:val="01A71FD9"/>
    <w:rsid w:val="01A73629"/>
    <w:rsid w:val="01A8508C"/>
    <w:rsid w:val="01A97CA5"/>
    <w:rsid w:val="01AA1AC9"/>
    <w:rsid w:val="01AB4ACA"/>
    <w:rsid w:val="01AC2231"/>
    <w:rsid w:val="01AC7479"/>
    <w:rsid w:val="01AE3368"/>
    <w:rsid w:val="01AF0127"/>
    <w:rsid w:val="01B24B59"/>
    <w:rsid w:val="01B446A9"/>
    <w:rsid w:val="01B666C0"/>
    <w:rsid w:val="01B771D2"/>
    <w:rsid w:val="01B82438"/>
    <w:rsid w:val="01BE00DC"/>
    <w:rsid w:val="01C008C7"/>
    <w:rsid w:val="01C506B1"/>
    <w:rsid w:val="01C524C6"/>
    <w:rsid w:val="01C547E5"/>
    <w:rsid w:val="01C62A5D"/>
    <w:rsid w:val="01CC7C92"/>
    <w:rsid w:val="01CD4D28"/>
    <w:rsid w:val="01CE27BC"/>
    <w:rsid w:val="01CF1337"/>
    <w:rsid w:val="01CF7782"/>
    <w:rsid w:val="01D152A8"/>
    <w:rsid w:val="01D24B39"/>
    <w:rsid w:val="01D31020"/>
    <w:rsid w:val="01D46B46"/>
    <w:rsid w:val="01D628BE"/>
    <w:rsid w:val="01D97D93"/>
    <w:rsid w:val="01E46D89"/>
    <w:rsid w:val="01E61098"/>
    <w:rsid w:val="01E7687A"/>
    <w:rsid w:val="01EA2D73"/>
    <w:rsid w:val="01EE5E5A"/>
    <w:rsid w:val="01F176F8"/>
    <w:rsid w:val="01F359B4"/>
    <w:rsid w:val="01F91C73"/>
    <w:rsid w:val="01F94CEE"/>
    <w:rsid w:val="01FB40D3"/>
    <w:rsid w:val="01FF4D18"/>
    <w:rsid w:val="0200324D"/>
    <w:rsid w:val="0200481C"/>
    <w:rsid w:val="02021737"/>
    <w:rsid w:val="02050D89"/>
    <w:rsid w:val="020553BC"/>
    <w:rsid w:val="02063A29"/>
    <w:rsid w:val="02070CCA"/>
    <w:rsid w:val="02076F1C"/>
    <w:rsid w:val="020B07BA"/>
    <w:rsid w:val="020E2058"/>
    <w:rsid w:val="02133477"/>
    <w:rsid w:val="02151639"/>
    <w:rsid w:val="02182ED7"/>
    <w:rsid w:val="02186A33"/>
    <w:rsid w:val="02204B8A"/>
    <w:rsid w:val="0221621E"/>
    <w:rsid w:val="02255605"/>
    <w:rsid w:val="022573A2"/>
    <w:rsid w:val="02272D62"/>
    <w:rsid w:val="02273BCB"/>
    <w:rsid w:val="02282527"/>
    <w:rsid w:val="02283B20"/>
    <w:rsid w:val="022D3B7B"/>
    <w:rsid w:val="022E27FA"/>
    <w:rsid w:val="02300F8D"/>
    <w:rsid w:val="02310126"/>
    <w:rsid w:val="02315320"/>
    <w:rsid w:val="02325087"/>
    <w:rsid w:val="023A109F"/>
    <w:rsid w:val="023F66B6"/>
    <w:rsid w:val="0241242E"/>
    <w:rsid w:val="024320DD"/>
    <w:rsid w:val="02473566"/>
    <w:rsid w:val="02477318"/>
    <w:rsid w:val="0248002F"/>
    <w:rsid w:val="024B505A"/>
    <w:rsid w:val="024C2AC9"/>
    <w:rsid w:val="024D2427"/>
    <w:rsid w:val="024F3740"/>
    <w:rsid w:val="02511505"/>
    <w:rsid w:val="02522AD6"/>
    <w:rsid w:val="0252722A"/>
    <w:rsid w:val="02541709"/>
    <w:rsid w:val="02545262"/>
    <w:rsid w:val="025A529E"/>
    <w:rsid w:val="025B54E1"/>
    <w:rsid w:val="025F0B06"/>
    <w:rsid w:val="026003DA"/>
    <w:rsid w:val="026150AE"/>
    <w:rsid w:val="0261662C"/>
    <w:rsid w:val="026223A4"/>
    <w:rsid w:val="02644EA8"/>
    <w:rsid w:val="02684090"/>
    <w:rsid w:val="02692D0C"/>
    <w:rsid w:val="026A1F31"/>
    <w:rsid w:val="026A7614"/>
    <w:rsid w:val="026B0005"/>
    <w:rsid w:val="026C2CD1"/>
    <w:rsid w:val="026C4FD1"/>
    <w:rsid w:val="02702D13"/>
    <w:rsid w:val="027520D7"/>
    <w:rsid w:val="02753F82"/>
    <w:rsid w:val="027619AC"/>
    <w:rsid w:val="02777BFD"/>
    <w:rsid w:val="027A5997"/>
    <w:rsid w:val="027C01A6"/>
    <w:rsid w:val="027F2F56"/>
    <w:rsid w:val="028247F4"/>
    <w:rsid w:val="02832A46"/>
    <w:rsid w:val="028413D6"/>
    <w:rsid w:val="02841BA1"/>
    <w:rsid w:val="0284302B"/>
    <w:rsid w:val="02885A75"/>
    <w:rsid w:val="0289085D"/>
    <w:rsid w:val="028B5EE0"/>
    <w:rsid w:val="028C11CF"/>
    <w:rsid w:val="028D692C"/>
    <w:rsid w:val="028D7421"/>
    <w:rsid w:val="028E3199"/>
    <w:rsid w:val="029C1412"/>
    <w:rsid w:val="029D518A"/>
    <w:rsid w:val="029E025D"/>
    <w:rsid w:val="029E162E"/>
    <w:rsid w:val="029E65CB"/>
    <w:rsid w:val="029F2E1F"/>
    <w:rsid w:val="029F53A6"/>
    <w:rsid w:val="029F6342"/>
    <w:rsid w:val="02A00385"/>
    <w:rsid w:val="02A07AE6"/>
    <w:rsid w:val="02A1111E"/>
    <w:rsid w:val="02A12ECC"/>
    <w:rsid w:val="02A14A0A"/>
    <w:rsid w:val="02A209F3"/>
    <w:rsid w:val="02A27FEB"/>
    <w:rsid w:val="02A429BD"/>
    <w:rsid w:val="02A62291"/>
    <w:rsid w:val="02A66735"/>
    <w:rsid w:val="02AB5AF9"/>
    <w:rsid w:val="02AB6BC3"/>
    <w:rsid w:val="02AF02DD"/>
    <w:rsid w:val="02B04EBD"/>
    <w:rsid w:val="02B25434"/>
    <w:rsid w:val="02B32A51"/>
    <w:rsid w:val="02B3536B"/>
    <w:rsid w:val="02B524D4"/>
    <w:rsid w:val="02B96468"/>
    <w:rsid w:val="02BC659C"/>
    <w:rsid w:val="02BD2C26"/>
    <w:rsid w:val="02BD75DA"/>
    <w:rsid w:val="02BD7B8B"/>
    <w:rsid w:val="02C165CD"/>
    <w:rsid w:val="02C31095"/>
    <w:rsid w:val="02C34A5B"/>
    <w:rsid w:val="02C63A8E"/>
    <w:rsid w:val="02C7641E"/>
    <w:rsid w:val="02C80459"/>
    <w:rsid w:val="02C91AF7"/>
    <w:rsid w:val="02CB1CF7"/>
    <w:rsid w:val="02CC0D8A"/>
    <w:rsid w:val="02CC7047"/>
    <w:rsid w:val="02CD3FD5"/>
    <w:rsid w:val="02CD5A6F"/>
    <w:rsid w:val="02D23086"/>
    <w:rsid w:val="02D74B40"/>
    <w:rsid w:val="02D94456"/>
    <w:rsid w:val="02DA4630"/>
    <w:rsid w:val="02DC5CB3"/>
    <w:rsid w:val="02DC63AA"/>
    <w:rsid w:val="02DE537E"/>
    <w:rsid w:val="02DE7C7D"/>
    <w:rsid w:val="02E02D8D"/>
    <w:rsid w:val="02E05818"/>
    <w:rsid w:val="02E17008"/>
    <w:rsid w:val="02E42FCA"/>
    <w:rsid w:val="02E828A9"/>
    <w:rsid w:val="02E86F80"/>
    <w:rsid w:val="02E9543A"/>
    <w:rsid w:val="02EB292B"/>
    <w:rsid w:val="02ED7EC0"/>
    <w:rsid w:val="02EE3C38"/>
    <w:rsid w:val="02EE5BAD"/>
    <w:rsid w:val="02F05C02"/>
    <w:rsid w:val="02F079B0"/>
    <w:rsid w:val="02F24EE2"/>
    <w:rsid w:val="02F42606"/>
    <w:rsid w:val="02F474A0"/>
    <w:rsid w:val="02F81CCE"/>
    <w:rsid w:val="02F94BC3"/>
    <w:rsid w:val="02FA25DD"/>
    <w:rsid w:val="030376E3"/>
    <w:rsid w:val="03044E5C"/>
    <w:rsid w:val="03063933"/>
    <w:rsid w:val="030748BB"/>
    <w:rsid w:val="03076740"/>
    <w:rsid w:val="0309344B"/>
    <w:rsid w:val="030A0578"/>
    <w:rsid w:val="030D2310"/>
    <w:rsid w:val="030F6088"/>
    <w:rsid w:val="03111329"/>
    <w:rsid w:val="03115D87"/>
    <w:rsid w:val="031704B8"/>
    <w:rsid w:val="03192A63"/>
    <w:rsid w:val="03195159"/>
    <w:rsid w:val="03196F07"/>
    <w:rsid w:val="031D4928"/>
    <w:rsid w:val="03263269"/>
    <w:rsid w:val="032A1762"/>
    <w:rsid w:val="032C298F"/>
    <w:rsid w:val="032E20C3"/>
    <w:rsid w:val="032F46D3"/>
    <w:rsid w:val="03305FFE"/>
    <w:rsid w:val="03313C30"/>
    <w:rsid w:val="03363CBB"/>
    <w:rsid w:val="033E4BBF"/>
    <w:rsid w:val="033E5BEA"/>
    <w:rsid w:val="033F7E69"/>
    <w:rsid w:val="0341645D"/>
    <w:rsid w:val="034234DB"/>
    <w:rsid w:val="03436045"/>
    <w:rsid w:val="034675D0"/>
    <w:rsid w:val="034A5312"/>
    <w:rsid w:val="034B3EB3"/>
    <w:rsid w:val="034F0B7A"/>
    <w:rsid w:val="034F0E57"/>
    <w:rsid w:val="034F6D50"/>
    <w:rsid w:val="034F71B9"/>
    <w:rsid w:val="034F748D"/>
    <w:rsid w:val="0350044F"/>
    <w:rsid w:val="03507B8A"/>
    <w:rsid w:val="03546FCA"/>
    <w:rsid w:val="0355045A"/>
    <w:rsid w:val="03555015"/>
    <w:rsid w:val="03563CB7"/>
    <w:rsid w:val="03574393"/>
    <w:rsid w:val="035937A7"/>
    <w:rsid w:val="035C7A7E"/>
    <w:rsid w:val="035D0350"/>
    <w:rsid w:val="035E581E"/>
    <w:rsid w:val="03604B36"/>
    <w:rsid w:val="0361265C"/>
    <w:rsid w:val="03675EC4"/>
    <w:rsid w:val="036A59B4"/>
    <w:rsid w:val="036A7B3F"/>
    <w:rsid w:val="036B5288"/>
    <w:rsid w:val="036B77DB"/>
    <w:rsid w:val="036C159D"/>
    <w:rsid w:val="036C34DA"/>
    <w:rsid w:val="036D1000"/>
    <w:rsid w:val="036F2FCB"/>
    <w:rsid w:val="037615D4"/>
    <w:rsid w:val="03767EB5"/>
    <w:rsid w:val="037737F4"/>
    <w:rsid w:val="03793528"/>
    <w:rsid w:val="037D3CA8"/>
    <w:rsid w:val="037E6D6A"/>
    <w:rsid w:val="037F2653"/>
    <w:rsid w:val="03800D34"/>
    <w:rsid w:val="03842506"/>
    <w:rsid w:val="0385459C"/>
    <w:rsid w:val="0386702E"/>
    <w:rsid w:val="03870314"/>
    <w:rsid w:val="03887BE8"/>
    <w:rsid w:val="03887CA6"/>
    <w:rsid w:val="038A247B"/>
    <w:rsid w:val="038A570F"/>
    <w:rsid w:val="038A7F99"/>
    <w:rsid w:val="038B2898"/>
    <w:rsid w:val="038C592B"/>
    <w:rsid w:val="038D16A3"/>
    <w:rsid w:val="038F541B"/>
    <w:rsid w:val="0397607D"/>
    <w:rsid w:val="039C5442"/>
    <w:rsid w:val="03A10E4B"/>
    <w:rsid w:val="03A2514E"/>
    <w:rsid w:val="03A63271"/>
    <w:rsid w:val="03AC38D7"/>
    <w:rsid w:val="03AE0EEA"/>
    <w:rsid w:val="03AF1619"/>
    <w:rsid w:val="03AF33C7"/>
    <w:rsid w:val="03B17AEA"/>
    <w:rsid w:val="03B34AB0"/>
    <w:rsid w:val="03B40C48"/>
    <w:rsid w:val="03B46C2F"/>
    <w:rsid w:val="03B60BF9"/>
    <w:rsid w:val="03B66504"/>
    <w:rsid w:val="03B709A5"/>
    <w:rsid w:val="03B729AB"/>
    <w:rsid w:val="03B72CE9"/>
    <w:rsid w:val="03BC587D"/>
    <w:rsid w:val="03BE7AAE"/>
    <w:rsid w:val="03BF570A"/>
    <w:rsid w:val="03C00CC0"/>
    <w:rsid w:val="03C354C4"/>
    <w:rsid w:val="03C554CB"/>
    <w:rsid w:val="03C56113"/>
    <w:rsid w:val="03C66B71"/>
    <w:rsid w:val="03C70711"/>
    <w:rsid w:val="03C76963"/>
    <w:rsid w:val="03CA1FAF"/>
    <w:rsid w:val="03CD4055"/>
    <w:rsid w:val="03CF064F"/>
    <w:rsid w:val="03D1158F"/>
    <w:rsid w:val="03D16E47"/>
    <w:rsid w:val="03D234B0"/>
    <w:rsid w:val="03D270B5"/>
    <w:rsid w:val="03D472D2"/>
    <w:rsid w:val="03D64DF8"/>
    <w:rsid w:val="03D77B22"/>
    <w:rsid w:val="03D9126A"/>
    <w:rsid w:val="03D9719B"/>
    <w:rsid w:val="03DD6186"/>
    <w:rsid w:val="03DE3CAC"/>
    <w:rsid w:val="03DF12E7"/>
    <w:rsid w:val="03E040DD"/>
    <w:rsid w:val="03E2532E"/>
    <w:rsid w:val="03E26A9D"/>
    <w:rsid w:val="03E33071"/>
    <w:rsid w:val="03E40388"/>
    <w:rsid w:val="03E5503B"/>
    <w:rsid w:val="03E868D9"/>
    <w:rsid w:val="03EA08A3"/>
    <w:rsid w:val="03EC0177"/>
    <w:rsid w:val="03EF5B90"/>
    <w:rsid w:val="03F31506"/>
    <w:rsid w:val="03F55C98"/>
    <w:rsid w:val="03F67248"/>
    <w:rsid w:val="03FB121D"/>
    <w:rsid w:val="03FB60B7"/>
    <w:rsid w:val="03FB660C"/>
    <w:rsid w:val="03FB766B"/>
    <w:rsid w:val="03FD5238"/>
    <w:rsid w:val="03FE58A6"/>
    <w:rsid w:val="04034254"/>
    <w:rsid w:val="04034D16"/>
    <w:rsid w:val="040556DD"/>
    <w:rsid w:val="04082B2E"/>
    <w:rsid w:val="040C6A6B"/>
    <w:rsid w:val="040E4C87"/>
    <w:rsid w:val="040E6340"/>
    <w:rsid w:val="04106F71"/>
    <w:rsid w:val="0412545E"/>
    <w:rsid w:val="04180F6C"/>
    <w:rsid w:val="041A739C"/>
    <w:rsid w:val="041C05BB"/>
    <w:rsid w:val="041C28ED"/>
    <w:rsid w:val="041D47D5"/>
    <w:rsid w:val="041E22FB"/>
    <w:rsid w:val="041F5699"/>
    <w:rsid w:val="0420348C"/>
    <w:rsid w:val="04206073"/>
    <w:rsid w:val="04211AD1"/>
    <w:rsid w:val="04212187"/>
    <w:rsid w:val="0421786C"/>
    <w:rsid w:val="0422003D"/>
    <w:rsid w:val="04221DEB"/>
    <w:rsid w:val="04224C7B"/>
    <w:rsid w:val="042711AF"/>
    <w:rsid w:val="04273BA4"/>
    <w:rsid w:val="04275653"/>
    <w:rsid w:val="04281793"/>
    <w:rsid w:val="042C5A7D"/>
    <w:rsid w:val="042D41EE"/>
    <w:rsid w:val="042D5E11"/>
    <w:rsid w:val="042E0DB9"/>
    <w:rsid w:val="042E632F"/>
    <w:rsid w:val="042F2C45"/>
    <w:rsid w:val="043226F6"/>
    <w:rsid w:val="0432329F"/>
    <w:rsid w:val="0433224A"/>
    <w:rsid w:val="043438CC"/>
    <w:rsid w:val="04351B1E"/>
    <w:rsid w:val="04362BB9"/>
    <w:rsid w:val="04364711"/>
    <w:rsid w:val="0438006D"/>
    <w:rsid w:val="0442178E"/>
    <w:rsid w:val="04461C11"/>
    <w:rsid w:val="0446766D"/>
    <w:rsid w:val="04497378"/>
    <w:rsid w:val="044C2700"/>
    <w:rsid w:val="044D0CCA"/>
    <w:rsid w:val="044D6B6E"/>
    <w:rsid w:val="044E57D2"/>
    <w:rsid w:val="044F0706"/>
    <w:rsid w:val="044F7C53"/>
    <w:rsid w:val="04524400"/>
    <w:rsid w:val="04536448"/>
    <w:rsid w:val="04575F38"/>
    <w:rsid w:val="04583A5F"/>
    <w:rsid w:val="04583BF9"/>
    <w:rsid w:val="0459308B"/>
    <w:rsid w:val="045A3333"/>
    <w:rsid w:val="045A35FD"/>
    <w:rsid w:val="045D1075"/>
    <w:rsid w:val="045D6F7A"/>
    <w:rsid w:val="045D72C7"/>
    <w:rsid w:val="04602913"/>
    <w:rsid w:val="046125A0"/>
    <w:rsid w:val="04626758"/>
    <w:rsid w:val="046301A2"/>
    <w:rsid w:val="04636922"/>
    <w:rsid w:val="04641FC7"/>
    <w:rsid w:val="04673CA2"/>
    <w:rsid w:val="04682F74"/>
    <w:rsid w:val="046B7FE6"/>
    <w:rsid w:val="046E2320"/>
    <w:rsid w:val="046E3282"/>
    <w:rsid w:val="04711645"/>
    <w:rsid w:val="0472779E"/>
    <w:rsid w:val="04753AD2"/>
    <w:rsid w:val="04765325"/>
    <w:rsid w:val="04787C5D"/>
    <w:rsid w:val="047963C4"/>
    <w:rsid w:val="047B73C0"/>
    <w:rsid w:val="047E556D"/>
    <w:rsid w:val="047F0FEB"/>
    <w:rsid w:val="047F723D"/>
    <w:rsid w:val="04806B11"/>
    <w:rsid w:val="04813232"/>
    <w:rsid w:val="0482068E"/>
    <w:rsid w:val="048605CC"/>
    <w:rsid w:val="048873BE"/>
    <w:rsid w:val="048B7990"/>
    <w:rsid w:val="048E7C1B"/>
    <w:rsid w:val="049031F8"/>
    <w:rsid w:val="0490450B"/>
    <w:rsid w:val="04904FA7"/>
    <w:rsid w:val="04910BDF"/>
    <w:rsid w:val="049241B7"/>
    <w:rsid w:val="049525BD"/>
    <w:rsid w:val="049727D9"/>
    <w:rsid w:val="049C1B9D"/>
    <w:rsid w:val="049C65F9"/>
    <w:rsid w:val="049E2811"/>
    <w:rsid w:val="049E2C49"/>
    <w:rsid w:val="049F168E"/>
    <w:rsid w:val="04A35176"/>
    <w:rsid w:val="04A66578"/>
    <w:rsid w:val="04A865C0"/>
    <w:rsid w:val="04A96068"/>
    <w:rsid w:val="04AE7B23"/>
    <w:rsid w:val="04AF0113"/>
    <w:rsid w:val="04B05649"/>
    <w:rsid w:val="04B073F7"/>
    <w:rsid w:val="04B334F0"/>
    <w:rsid w:val="04B64ED6"/>
    <w:rsid w:val="04B73B00"/>
    <w:rsid w:val="04BA0275"/>
    <w:rsid w:val="04BA2023"/>
    <w:rsid w:val="04BC3FEE"/>
    <w:rsid w:val="04C17856"/>
    <w:rsid w:val="04C258B7"/>
    <w:rsid w:val="04C3017D"/>
    <w:rsid w:val="04C42DA9"/>
    <w:rsid w:val="04C85D7C"/>
    <w:rsid w:val="04C904B8"/>
    <w:rsid w:val="04CD61FB"/>
    <w:rsid w:val="04D01847"/>
    <w:rsid w:val="04D1736D"/>
    <w:rsid w:val="04D23811"/>
    <w:rsid w:val="04D255BF"/>
    <w:rsid w:val="04D31337"/>
    <w:rsid w:val="04DA0E03"/>
    <w:rsid w:val="04DA6B4D"/>
    <w:rsid w:val="04DC73F7"/>
    <w:rsid w:val="04DE069B"/>
    <w:rsid w:val="04DF1A8A"/>
    <w:rsid w:val="04DF2B91"/>
    <w:rsid w:val="04E62E18"/>
    <w:rsid w:val="04E822B9"/>
    <w:rsid w:val="04E83035"/>
    <w:rsid w:val="04E86B91"/>
    <w:rsid w:val="04EB4710"/>
    <w:rsid w:val="04EC4753"/>
    <w:rsid w:val="04F05A45"/>
    <w:rsid w:val="04F11AE1"/>
    <w:rsid w:val="04F5184E"/>
    <w:rsid w:val="04F710DB"/>
    <w:rsid w:val="04FB6E24"/>
    <w:rsid w:val="04FC263C"/>
    <w:rsid w:val="04FC6AE0"/>
    <w:rsid w:val="04FF08E0"/>
    <w:rsid w:val="05017C52"/>
    <w:rsid w:val="05025778"/>
    <w:rsid w:val="050339CA"/>
    <w:rsid w:val="050414F1"/>
    <w:rsid w:val="05081BD2"/>
    <w:rsid w:val="05096268"/>
    <w:rsid w:val="050D65F7"/>
    <w:rsid w:val="050E236F"/>
    <w:rsid w:val="050E411D"/>
    <w:rsid w:val="05117185"/>
    <w:rsid w:val="05162BD4"/>
    <w:rsid w:val="05184F9C"/>
    <w:rsid w:val="05191440"/>
    <w:rsid w:val="05193D11"/>
    <w:rsid w:val="05196B38"/>
    <w:rsid w:val="051A2AEF"/>
    <w:rsid w:val="051B2C74"/>
    <w:rsid w:val="051E25B2"/>
    <w:rsid w:val="052221B5"/>
    <w:rsid w:val="05235E1B"/>
    <w:rsid w:val="05243941"/>
    <w:rsid w:val="052A53FB"/>
    <w:rsid w:val="052D4B75"/>
    <w:rsid w:val="052D66BF"/>
    <w:rsid w:val="052F5552"/>
    <w:rsid w:val="05341DD6"/>
    <w:rsid w:val="05343A38"/>
    <w:rsid w:val="05377368"/>
    <w:rsid w:val="053973EC"/>
    <w:rsid w:val="053A5CE9"/>
    <w:rsid w:val="053C3BE3"/>
    <w:rsid w:val="053D47E6"/>
    <w:rsid w:val="053D7457"/>
    <w:rsid w:val="053E0BE4"/>
    <w:rsid w:val="053E0EA6"/>
    <w:rsid w:val="053F077B"/>
    <w:rsid w:val="05404C1F"/>
    <w:rsid w:val="05410997"/>
    <w:rsid w:val="0542770C"/>
    <w:rsid w:val="05485881"/>
    <w:rsid w:val="05487A70"/>
    <w:rsid w:val="054A15F9"/>
    <w:rsid w:val="054B1041"/>
    <w:rsid w:val="054B711F"/>
    <w:rsid w:val="054C2543"/>
    <w:rsid w:val="054D10EA"/>
    <w:rsid w:val="054D142B"/>
    <w:rsid w:val="054E4331"/>
    <w:rsid w:val="054F6115"/>
    <w:rsid w:val="054F6D30"/>
    <w:rsid w:val="05500BDA"/>
    <w:rsid w:val="05524952"/>
    <w:rsid w:val="055661F0"/>
    <w:rsid w:val="055B3806"/>
    <w:rsid w:val="055C30DB"/>
    <w:rsid w:val="055E6E53"/>
    <w:rsid w:val="05600E1D"/>
    <w:rsid w:val="056326BB"/>
    <w:rsid w:val="056401E1"/>
    <w:rsid w:val="056567AD"/>
    <w:rsid w:val="05665CA4"/>
    <w:rsid w:val="05670F77"/>
    <w:rsid w:val="0568785E"/>
    <w:rsid w:val="056A43BE"/>
    <w:rsid w:val="056A57F8"/>
    <w:rsid w:val="056D178C"/>
    <w:rsid w:val="056D3810"/>
    <w:rsid w:val="056D52E8"/>
    <w:rsid w:val="056E08C6"/>
    <w:rsid w:val="05704312"/>
    <w:rsid w:val="0570796C"/>
    <w:rsid w:val="05726DA2"/>
    <w:rsid w:val="05733A9C"/>
    <w:rsid w:val="05735E79"/>
    <w:rsid w:val="05746676"/>
    <w:rsid w:val="057600B8"/>
    <w:rsid w:val="057678D6"/>
    <w:rsid w:val="057743B8"/>
    <w:rsid w:val="05795346"/>
    <w:rsid w:val="057D55C6"/>
    <w:rsid w:val="057E74F5"/>
    <w:rsid w:val="05811A66"/>
    <w:rsid w:val="058273D3"/>
    <w:rsid w:val="05834800"/>
    <w:rsid w:val="05850883"/>
    <w:rsid w:val="058645FB"/>
    <w:rsid w:val="058B02C8"/>
    <w:rsid w:val="058B39C0"/>
    <w:rsid w:val="058B6AC3"/>
    <w:rsid w:val="058F525E"/>
    <w:rsid w:val="059251DE"/>
    <w:rsid w:val="05952BB4"/>
    <w:rsid w:val="05964F85"/>
    <w:rsid w:val="059705B7"/>
    <w:rsid w:val="05983826"/>
    <w:rsid w:val="059A49D0"/>
    <w:rsid w:val="059C18BA"/>
    <w:rsid w:val="059D42E0"/>
    <w:rsid w:val="05A14F91"/>
    <w:rsid w:val="05A47C83"/>
    <w:rsid w:val="05A51C0E"/>
    <w:rsid w:val="05A54A82"/>
    <w:rsid w:val="05A625A8"/>
    <w:rsid w:val="05A84572"/>
    <w:rsid w:val="05A91A38"/>
    <w:rsid w:val="05AE5667"/>
    <w:rsid w:val="05AE749A"/>
    <w:rsid w:val="05AF60B3"/>
    <w:rsid w:val="05AF76AE"/>
    <w:rsid w:val="05B13426"/>
    <w:rsid w:val="05B17C87"/>
    <w:rsid w:val="05B7080A"/>
    <w:rsid w:val="05B74A08"/>
    <w:rsid w:val="05B8188E"/>
    <w:rsid w:val="05B922DB"/>
    <w:rsid w:val="05B97430"/>
    <w:rsid w:val="05BB24F7"/>
    <w:rsid w:val="05BD43BE"/>
    <w:rsid w:val="05C00253"/>
    <w:rsid w:val="05C122D5"/>
    <w:rsid w:val="05C649F8"/>
    <w:rsid w:val="05C66BB1"/>
    <w:rsid w:val="05C814D1"/>
    <w:rsid w:val="05C834A7"/>
    <w:rsid w:val="05CA44E8"/>
    <w:rsid w:val="05CC5BE8"/>
    <w:rsid w:val="05CF5FA2"/>
    <w:rsid w:val="05D47115"/>
    <w:rsid w:val="05D72BD0"/>
    <w:rsid w:val="05D76C05"/>
    <w:rsid w:val="05D830A9"/>
    <w:rsid w:val="05D90BCF"/>
    <w:rsid w:val="05DA3B57"/>
    <w:rsid w:val="05DC29A4"/>
    <w:rsid w:val="05DD06BF"/>
    <w:rsid w:val="05DD2267"/>
    <w:rsid w:val="05DD4968"/>
    <w:rsid w:val="05DE188C"/>
    <w:rsid w:val="05DF0E99"/>
    <w:rsid w:val="05E41A4E"/>
    <w:rsid w:val="05E42D84"/>
    <w:rsid w:val="05E76E48"/>
    <w:rsid w:val="05EA092C"/>
    <w:rsid w:val="05EA4B8A"/>
    <w:rsid w:val="05EE26C5"/>
    <w:rsid w:val="05EF21A1"/>
    <w:rsid w:val="05F15F19"/>
    <w:rsid w:val="05F263F3"/>
    <w:rsid w:val="05F72E03"/>
    <w:rsid w:val="05F77C95"/>
    <w:rsid w:val="05FA2A1A"/>
    <w:rsid w:val="05FA2D2F"/>
    <w:rsid w:val="05FA4499"/>
    <w:rsid w:val="05FB28F4"/>
    <w:rsid w:val="05FB2E3E"/>
    <w:rsid w:val="05FD666C"/>
    <w:rsid w:val="05FF21E1"/>
    <w:rsid w:val="06020126"/>
    <w:rsid w:val="0605310A"/>
    <w:rsid w:val="06053772"/>
    <w:rsid w:val="060729CF"/>
    <w:rsid w:val="060A6EE3"/>
    <w:rsid w:val="060A7E98"/>
    <w:rsid w:val="06104755"/>
    <w:rsid w:val="0610627D"/>
    <w:rsid w:val="061439B5"/>
    <w:rsid w:val="06152822"/>
    <w:rsid w:val="06161733"/>
    <w:rsid w:val="0619721E"/>
    <w:rsid w:val="061C2E6D"/>
    <w:rsid w:val="061D6D0E"/>
    <w:rsid w:val="061F1FBD"/>
    <w:rsid w:val="062005AC"/>
    <w:rsid w:val="06201021"/>
    <w:rsid w:val="06210C4C"/>
    <w:rsid w:val="06282B9E"/>
    <w:rsid w:val="062A343F"/>
    <w:rsid w:val="062B579D"/>
    <w:rsid w:val="062E0F1B"/>
    <w:rsid w:val="062E4A77"/>
    <w:rsid w:val="06325688"/>
    <w:rsid w:val="06331CDB"/>
    <w:rsid w:val="06361B7E"/>
    <w:rsid w:val="063D4CBA"/>
    <w:rsid w:val="063E0A32"/>
    <w:rsid w:val="064008ED"/>
    <w:rsid w:val="06415F8F"/>
    <w:rsid w:val="06420522"/>
    <w:rsid w:val="06422DE2"/>
    <w:rsid w:val="06456265"/>
    <w:rsid w:val="06471FDD"/>
    <w:rsid w:val="06472967"/>
    <w:rsid w:val="064918B1"/>
    <w:rsid w:val="064C61F1"/>
    <w:rsid w:val="064D79F0"/>
    <w:rsid w:val="064E1C81"/>
    <w:rsid w:val="064F499F"/>
    <w:rsid w:val="06510766"/>
    <w:rsid w:val="06514EE9"/>
    <w:rsid w:val="06515470"/>
    <w:rsid w:val="065345F9"/>
    <w:rsid w:val="065670BE"/>
    <w:rsid w:val="06581AF4"/>
    <w:rsid w:val="065A7D0A"/>
    <w:rsid w:val="065B3392"/>
    <w:rsid w:val="065D4DCD"/>
    <w:rsid w:val="06604E4C"/>
    <w:rsid w:val="06611B79"/>
    <w:rsid w:val="06641E8F"/>
    <w:rsid w:val="06672D9E"/>
    <w:rsid w:val="06677F89"/>
    <w:rsid w:val="06680AD8"/>
    <w:rsid w:val="06691F53"/>
    <w:rsid w:val="066A7A79"/>
    <w:rsid w:val="066B1A9A"/>
    <w:rsid w:val="06712BB6"/>
    <w:rsid w:val="06716FC0"/>
    <w:rsid w:val="067304F4"/>
    <w:rsid w:val="0673610D"/>
    <w:rsid w:val="0674157E"/>
    <w:rsid w:val="067751D5"/>
    <w:rsid w:val="067B3A34"/>
    <w:rsid w:val="067C2D61"/>
    <w:rsid w:val="067D3496"/>
    <w:rsid w:val="067D3C3F"/>
    <w:rsid w:val="067D77AC"/>
    <w:rsid w:val="06815DBB"/>
    <w:rsid w:val="06862B05"/>
    <w:rsid w:val="068723D9"/>
    <w:rsid w:val="06874187"/>
    <w:rsid w:val="0689371A"/>
    <w:rsid w:val="068B011B"/>
    <w:rsid w:val="068B693D"/>
    <w:rsid w:val="06911A77"/>
    <w:rsid w:val="06913A7D"/>
    <w:rsid w:val="06917809"/>
    <w:rsid w:val="06930D7E"/>
    <w:rsid w:val="06935222"/>
    <w:rsid w:val="06980D7F"/>
    <w:rsid w:val="069864CC"/>
    <w:rsid w:val="069A0522"/>
    <w:rsid w:val="069B7776"/>
    <w:rsid w:val="069D1BFD"/>
    <w:rsid w:val="069E4BF1"/>
    <w:rsid w:val="069F3FEC"/>
    <w:rsid w:val="06A25465"/>
    <w:rsid w:val="06A42631"/>
    <w:rsid w:val="06A64F55"/>
    <w:rsid w:val="06A81B27"/>
    <w:rsid w:val="06A967F3"/>
    <w:rsid w:val="06AB2AD9"/>
    <w:rsid w:val="06B1066D"/>
    <w:rsid w:val="06B11BF2"/>
    <w:rsid w:val="06B331CE"/>
    <w:rsid w:val="06BC02D5"/>
    <w:rsid w:val="06BC4119"/>
    <w:rsid w:val="06BF1B73"/>
    <w:rsid w:val="06C474B0"/>
    <w:rsid w:val="06C54CB0"/>
    <w:rsid w:val="06CB0518"/>
    <w:rsid w:val="06D110F9"/>
    <w:rsid w:val="06D1728D"/>
    <w:rsid w:val="06D51397"/>
    <w:rsid w:val="06D82C35"/>
    <w:rsid w:val="06D870D9"/>
    <w:rsid w:val="06DC2616"/>
    <w:rsid w:val="06DF0467"/>
    <w:rsid w:val="06E23AB3"/>
    <w:rsid w:val="06E415DA"/>
    <w:rsid w:val="06EA6EE5"/>
    <w:rsid w:val="06EB0BBA"/>
    <w:rsid w:val="06EB5BE5"/>
    <w:rsid w:val="06ED4B55"/>
    <w:rsid w:val="06ED78F7"/>
    <w:rsid w:val="06EE06AA"/>
    <w:rsid w:val="06EE3B86"/>
    <w:rsid w:val="06F04422"/>
    <w:rsid w:val="06F37A6F"/>
    <w:rsid w:val="06F4507E"/>
    <w:rsid w:val="06F85FE1"/>
    <w:rsid w:val="07000960"/>
    <w:rsid w:val="07024A27"/>
    <w:rsid w:val="07040309"/>
    <w:rsid w:val="07051DF2"/>
    <w:rsid w:val="07060B33"/>
    <w:rsid w:val="07061550"/>
    <w:rsid w:val="070677A2"/>
    <w:rsid w:val="0708176C"/>
    <w:rsid w:val="07091040"/>
    <w:rsid w:val="070954E4"/>
    <w:rsid w:val="070F2391"/>
    <w:rsid w:val="07126147"/>
    <w:rsid w:val="07135C73"/>
    <w:rsid w:val="07153E89"/>
    <w:rsid w:val="07155C37"/>
    <w:rsid w:val="071719AF"/>
    <w:rsid w:val="0717375D"/>
    <w:rsid w:val="071A407E"/>
    <w:rsid w:val="071C45B1"/>
    <w:rsid w:val="071D1CF7"/>
    <w:rsid w:val="071D689A"/>
    <w:rsid w:val="071E0F8F"/>
    <w:rsid w:val="0721282E"/>
    <w:rsid w:val="072307B7"/>
    <w:rsid w:val="072357CC"/>
    <w:rsid w:val="072531B7"/>
    <w:rsid w:val="07280E5C"/>
    <w:rsid w:val="0728596A"/>
    <w:rsid w:val="072D6233"/>
    <w:rsid w:val="07302A71"/>
    <w:rsid w:val="07373BE8"/>
    <w:rsid w:val="0737795B"/>
    <w:rsid w:val="07391925"/>
    <w:rsid w:val="073C7668"/>
    <w:rsid w:val="073F20F3"/>
    <w:rsid w:val="07487DBA"/>
    <w:rsid w:val="074958E1"/>
    <w:rsid w:val="0749659B"/>
    <w:rsid w:val="074B78AB"/>
    <w:rsid w:val="074C17BA"/>
    <w:rsid w:val="074E2EF7"/>
    <w:rsid w:val="07506C6F"/>
    <w:rsid w:val="07520C39"/>
    <w:rsid w:val="07524795"/>
    <w:rsid w:val="0752742C"/>
    <w:rsid w:val="07527988"/>
    <w:rsid w:val="075524D7"/>
    <w:rsid w:val="07593D76"/>
    <w:rsid w:val="075E138C"/>
    <w:rsid w:val="07632E46"/>
    <w:rsid w:val="076369A2"/>
    <w:rsid w:val="076444C8"/>
    <w:rsid w:val="0765096C"/>
    <w:rsid w:val="07660241"/>
    <w:rsid w:val="0768431A"/>
    <w:rsid w:val="07716F4D"/>
    <w:rsid w:val="07722B6E"/>
    <w:rsid w:val="0772692E"/>
    <w:rsid w:val="07740BAF"/>
    <w:rsid w:val="07743FB3"/>
    <w:rsid w:val="0775314C"/>
    <w:rsid w:val="077566D6"/>
    <w:rsid w:val="07762B7A"/>
    <w:rsid w:val="07787E99"/>
    <w:rsid w:val="077961C6"/>
    <w:rsid w:val="077B2790"/>
    <w:rsid w:val="077E1A2E"/>
    <w:rsid w:val="077E4687"/>
    <w:rsid w:val="078057A6"/>
    <w:rsid w:val="07816C75"/>
    <w:rsid w:val="07833FB5"/>
    <w:rsid w:val="07837045"/>
    <w:rsid w:val="07866B35"/>
    <w:rsid w:val="07890F47"/>
    <w:rsid w:val="078B4FC3"/>
    <w:rsid w:val="078B5EF9"/>
    <w:rsid w:val="078C79FB"/>
    <w:rsid w:val="078F24A7"/>
    <w:rsid w:val="078F7797"/>
    <w:rsid w:val="0790350F"/>
    <w:rsid w:val="07905097"/>
    <w:rsid w:val="07943000"/>
    <w:rsid w:val="07951EC6"/>
    <w:rsid w:val="0796000D"/>
    <w:rsid w:val="07977992"/>
    <w:rsid w:val="07990616"/>
    <w:rsid w:val="0799576C"/>
    <w:rsid w:val="07996868"/>
    <w:rsid w:val="079C6989"/>
    <w:rsid w:val="079D7527"/>
    <w:rsid w:val="079E79DA"/>
    <w:rsid w:val="079F1B8B"/>
    <w:rsid w:val="07A5520D"/>
    <w:rsid w:val="07A61CD9"/>
    <w:rsid w:val="07A64A82"/>
    <w:rsid w:val="07A64AE1"/>
    <w:rsid w:val="07A656A9"/>
    <w:rsid w:val="07A717B4"/>
    <w:rsid w:val="07A87F29"/>
    <w:rsid w:val="07AB186F"/>
    <w:rsid w:val="07AC6113"/>
    <w:rsid w:val="07AE5110"/>
    <w:rsid w:val="07AE7012"/>
    <w:rsid w:val="07B0770E"/>
    <w:rsid w:val="07B23486"/>
    <w:rsid w:val="07B245BD"/>
    <w:rsid w:val="07B37276"/>
    <w:rsid w:val="07B407BE"/>
    <w:rsid w:val="07B416CC"/>
    <w:rsid w:val="07B446A7"/>
    <w:rsid w:val="07B62F76"/>
    <w:rsid w:val="07B74F40"/>
    <w:rsid w:val="07BB058C"/>
    <w:rsid w:val="07BC60B3"/>
    <w:rsid w:val="07BE6DA2"/>
    <w:rsid w:val="07C05BA3"/>
    <w:rsid w:val="07C17762"/>
    <w:rsid w:val="07C22C23"/>
    <w:rsid w:val="07C5140B"/>
    <w:rsid w:val="07C5765D"/>
    <w:rsid w:val="07C66F31"/>
    <w:rsid w:val="07C7632C"/>
    <w:rsid w:val="07CC3798"/>
    <w:rsid w:val="07CD4764"/>
    <w:rsid w:val="07CE3B6C"/>
    <w:rsid w:val="07CE4C09"/>
    <w:rsid w:val="07CF4038"/>
    <w:rsid w:val="07D01B5E"/>
    <w:rsid w:val="07D17DB0"/>
    <w:rsid w:val="07D258D6"/>
    <w:rsid w:val="07D4164E"/>
    <w:rsid w:val="07D52F56"/>
    <w:rsid w:val="07D57174"/>
    <w:rsid w:val="07D6491A"/>
    <w:rsid w:val="07D653C6"/>
    <w:rsid w:val="07D73C4A"/>
    <w:rsid w:val="07D802C0"/>
    <w:rsid w:val="07D94258"/>
    <w:rsid w:val="07D95394"/>
    <w:rsid w:val="07D96C64"/>
    <w:rsid w:val="07DE1CC2"/>
    <w:rsid w:val="07DF16BB"/>
    <w:rsid w:val="07E13D6B"/>
    <w:rsid w:val="07E2647F"/>
    <w:rsid w:val="07E5385B"/>
    <w:rsid w:val="07E5423B"/>
    <w:rsid w:val="07E775D3"/>
    <w:rsid w:val="07ED0962"/>
    <w:rsid w:val="07EE5751"/>
    <w:rsid w:val="07F25F78"/>
    <w:rsid w:val="07F67816"/>
    <w:rsid w:val="07FC0BA5"/>
    <w:rsid w:val="07FE0D5D"/>
    <w:rsid w:val="0800089D"/>
    <w:rsid w:val="08025E78"/>
    <w:rsid w:val="08045925"/>
    <w:rsid w:val="0805157B"/>
    <w:rsid w:val="080737D2"/>
    <w:rsid w:val="08086333"/>
    <w:rsid w:val="08092494"/>
    <w:rsid w:val="080A5070"/>
    <w:rsid w:val="080B44BA"/>
    <w:rsid w:val="080C18D1"/>
    <w:rsid w:val="080C73FA"/>
    <w:rsid w:val="080D690E"/>
    <w:rsid w:val="080F72D6"/>
    <w:rsid w:val="08130DB4"/>
    <w:rsid w:val="08144141"/>
    <w:rsid w:val="08145EEF"/>
    <w:rsid w:val="08161CBE"/>
    <w:rsid w:val="081859DF"/>
    <w:rsid w:val="081952B3"/>
    <w:rsid w:val="081B727D"/>
    <w:rsid w:val="081D2FF5"/>
    <w:rsid w:val="08202FF5"/>
    <w:rsid w:val="08204DF8"/>
    <w:rsid w:val="082223BA"/>
    <w:rsid w:val="08253C58"/>
    <w:rsid w:val="082A5712"/>
    <w:rsid w:val="082F64B9"/>
    <w:rsid w:val="08332819"/>
    <w:rsid w:val="08335BAA"/>
    <w:rsid w:val="08346591"/>
    <w:rsid w:val="0837398B"/>
    <w:rsid w:val="08393BA7"/>
    <w:rsid w:val="08395955"/>
    <w:rsid w:val="083A50BC"/>
    <w:rsid w:val="083E265B"/>
    <w:rsid w:val="083E6008"/>
    <w:rsid w:val="083F4D57"/>
    <w:rsid w:val="084163BB"/>
    <w:rsid w:val="0842480A"/>
    <w:rsid w:val="0844373C"/>
    <w:rsid w:val="0845247E"/>
    <w:rsid w:val="08493C1B"/>
    <w:rsid w:val="084B4FEE"/>
    <w:rsid w:val="084C5688"/>
    <w:rsid w:val="084F2451"/>
    <w:rsid w:val="084F5179"/>
    <w:rsid w:val="08514A4D"/>
    <w:rsid w:val="08534C3A"/>
    <w:rsid w:val="0853706C"/>
    <w:rsid w:val="08550BE8"/>
    <w:rsid w:val="08556ADC"/>
    <w:rsid w:val="08576248"/>
    <w:rsid w:val="0858227F"/>
    <w:rsid w:val="085B3309"/>
    <w:rsid w:val="085B51B1"/>
    <w:rsid w:val="085E716A"/>
    <w:rsid w:val="08600CB0"/>
    <w:rsid w:val="0861655E"/>
    <w:rsid w:val="08681565"/>
    <w:rsid w:val="08687FE8"/>
    <w:rsid w:val="08691F0A"/>
    <w:rsid w:val="086A3D60"/>
    <w:rsid w:val="086B7960"/>
    <w:rsid w:val="086C7AD9"/>
    <w:rsid w:val="086E55FF"/>
    <w:rsid w:val="086E6C86"/>
    <w:rsid w:val="0870581B"/>
    <w:rsid w:val="087150EF"/>
    <w:rsid w:val="08766BA9"/>
    <w:rsid w:val="087846CF"/>
    <w:rsid w:val="087904C2"/>
    <w:rsid w:val="087D7F38"/>
    <w:rsid w:val="087E15BA"/>
    <w:rsid w:val="087F5A5E"/>
    <w:rsid w:val="08830DD0"/>
    <w:rsid w:val="08841607"/>
    <w:rsid w:val="08856DEC"/>
    <w:rsid w:val="08864AEE"/>
    <w:rsid w:val="08872B64"/>
    <w:rsid w:val="08874912"/>
    <w:rsid w:val="08892439"/>
    <w:rsid w:val="089132B7"/>
    <w:rsid w:val="08931509"/>
    <w:rsid w:val="089332B7"/>
    <w:rsid w:val="08935065"/>
    <w:rsid w:val="0894258C"/>
    <w:rsid w:val="089669E7"/>
    <w:rsid w:val="089B1CFF"/>
    <w:rsid w:val="089B6610"/>
    <w:rsid w:val="089B6FC5"/>
    <w:rsid w:val="089F49DA"/>
    <w:rsid w:val="08A0490D"/>
    <w:rsid w:val="08A07782"/>
    <w:rsid w:val="08A13C26"/>
    <w:rsid w:val="08A170E8"/>
    <w:rsid w:val="08A2174C"/>
    <w:rsid w:val="08A33CE8"/>
    <w:rsid w:val="08A376F3"/>
    <w:rsid w:val="08A52038"/>
    <w:rsid w:val="08A53784"/>
    <w:rsid w:val="08A54D99"/>
    <w:rsid w:val="08A80BF3"/>
    <w:rsid w:val="08A93D31"/>
    <w:rsid w:val="08A94889"/>
    <w:rsid w:val="08AA5FC1"/>
    <w:rsid w:val="08AD37E9"/>
    <w:rsid w:val="08AD7905"/>
    <w:rsid w:val="08AE198C"/>
    <w:rsid w:val="08B1661A"/>
    <w:rsid w:val="08B22B2A"/>
    <w:rsid w:val="08B82D1E"/>
    <w:rsid w:val="08B9254E"/>
    <w:rsid w:val="08BA4CE8"/>
    <w:rsid w:val="08BD0ECF"/>
    <w:rsid w:val="08BF58FB"/>
    <w:rsid w:val="08C23B9D"/>
    <w:rsid w:val="08C276F9"/>
    <w:rsid w:val="08C43EC2"/>
    <w:rsid w:val="08C616D3"/>
    <w:rsid w:val="08C72F61"/>
    <w:rsid w:val="08C91840"/>
    <w:rsid w:val="08CA34D3"/>
    <w:rsid w:val="08CA6DC3"/>
    <w:rsid w:val="08CC4A1B"/>
    <w:rsid w:val="08CD362D"/>
    <w:rsid w:val="08D2007E"/>
    <w:rsid w:val="08D46B62"/>
    <w:rsid w:val="08D5567E"/>
    <w:rsid w:val="08D579D6"/>
    <w:rsid w:val="08D8516E"/>
    <w:rsid w:val="08D86818"/>
    <w:rsid w:val="08D9797B"/>
    <w:rsid w:val="08DD09D6"/>
    <w:rsid w:val="08E104C7"/>
    <w:rsid w:val="08E40179"/>
    <w:rsid w:val="08E41D65"/>
    <w:rsid w:val="08E44ECD"/>
    <w:rsid w:val="08E73603"/>
    <w:rsid w:val="08EB4EA1"/>
    <w:rsid w:val="08F0070A"/>
    <w:rsid w:val="08F04266"/>
    <w:rsid w:val="08F24482"/>
    <w:rsid w:val="08F53632"/>
    <w:rsid w:val="08F55D20"/>
    <w:rsid w:val="08F733A0"/>
    <w:rsid w:val="08FA1588"/>
    <w:rsid w:val="08FA6E92"/>
    <w:rsid w:val="08FB1518"/>
    <w:rsid w:val="08FB2C0B"/>
    <w:rsid w:val="08FD2E27"/>
    <w:rsid w:val="08FD6983"/>
    <w:rsid w:val="09035499"/>
    <w:rsid w:val="090441B5"/>
    <w:rsid w:val="09047D11"/>
    <w:rsid w:val="090533B3"/>
    <w:rsid w:val="0906715B"/>
    <w:rsid w:val="09091C8C"/>
    <w:rsid w:val="09093579"/>
    <w:rsid w:val="090A3D55"/>
    <w:rsid w:val="090A5711"/>
    <w:rsid w:val="090C3F9D"/>
    <w:rsid w:val="090C4E18"/>
    <w:rsid w:val="09104908"/>
    <w:rsid w:val="091268D2"/>
    <w:rsid w:val="091361A6"/>
    <w:rsid w:val="091461BF"/>
    <w:rsid w:val="09163D1B"/>
    <w:rsid w:val="091645F9"/>
    <w:rsid w:val="09173EE8"/>
    <w:rsid w:val="09186A89"/>
    <w:rsid w:val="091C01AA"/>
    <w:rsid w:val="091C14FF"/>
    <w:rsid w:val="091C353F"/>
    <w:rsid w:val="091F4B4B"/>
    <w:rsid w:val="09216924"/>
    <w:rsid w:val="09217A21"/>
    <w:rsid w:val="092214B5"/>
    <w:rsid w:val="09223E02"/>
    <w:rsid w:val="0922463B"/>
    <w:rsid w:val="09225B1E"/>
    <w:rsid w:val="092520E3"/>
    <w:rsid w:val="092570D0"/>
    <w:rsid w:val="09277E8E"/>
    <w:rsid w:val="092E1232"/>
    <w:rsid w:val="09301E18"/>
    <w:rsid w:val="09306D58"/>
    <w:rsid w:val="09337A24"/>
    <w:rsid w:val="0935611C"/>
    <w:rsid w:val="09385C0D"/>
    <w:rsid w:val="0939594D"/>
    <w:rsid w:val="093C56FD"/>
    <w:rsid w:val="093C74AB"/>
    <w:rsid w:val="093E020C"/>
    <w:rsid w:val="093E4F0A"/>
    <w:rsid w:val="093E5950"/>
    <w:rsid w:val="093E76C7"/>
    <w:rsid w:val="093F6F9B"/>
    <w:rsid w:val="09405E89"/>
    <w:rsid w:val="094609AA"/>
    <w:rsid w:val="09475E50"/>
    <w:rsid w:val="094A3228"/>
    <w:rsid w:val="094B3B92"/>
    <w:rsid w:val="094F4624"/>
    <w:rsid w:val="09502F56"/>
    <w:rsid w:val="09532A47"/>
    <w:rsid w:val="09572537"/>
    <w:rsid w:val="095975DA"/>
    <w:rsid w:val="095A6D85"/>
    <w:rsid w:val="095D5673"/>
    <w:rsid w:val="095E551A"/>
    <w:rsid w:val="095F13EB"/>
    <w:rsid w:val="095F25E0"/>
    <w:rsid w:val="096151DB"/>
    <w:rsid w:val="09616F12"/>
    <w:rsid w:val="09620676"/>
    <w:rsid w:val="09622C8A"/>
    <w:rsid w:val="09625180"/>
    <w:rsid w:val="096609CC"/>
    <w:rsid w:val="09664528"/>
    <w:rsid w:val="096B305C"/>
    <w:rsid w:val="096E162E"/>
    <w:rsid w:val="09716A76"/>
    <w:rsid w:val="097204B5"/>
    <w:rsid w:val="09756E61"/>
    <w:rsid w:val="09762FA7"/>
    <w:rsid w:val="097657B0"/>
    <w:rsid w:val="097751A1"/>
    <w:rsid w:val="097A6225"/>
    <w:rsid w:val="097B739A"/>
    <w:rsid w:val="09815806"/>
    <w:rsid w:val="098470A4"/>
    <w:rsid w:val="09874053"/>
    <w:rsid w:val="09896468"/>
    <w:rsid w:val="098A1737"/>
    <w:rsid w:val="098B0432"/>
    <w:rsid w:val="098D335B"/>
    <w:rsid w:val="0992531D"/>
    <w:rsid w:val="09975029"/>
    <w:rsid w:val="09985576"/>
    <w:rsid w:val="09991992"/>
    <w:rsid w:val="09994B32"/>
    <w:rsid w:val="099A3A5E"/>
    <w:rsid w:val="099B68C7"/>
    <w:rsid w:val="099C43EE"/>
    <w:rsid w:val="099C619C"/>
    <w:rsid w:val="09A11A04"/>
    <w:rsid w:val="09A137B2"/>
    <w:rsid w:val="09A43E33"/>
    <w:rsid w:val="09A45050"/>
    <w:rsid w:val="09A60DC8"/>
    <w:rsid w:val="09A908B8"/>
    <w:rsid w:val="09AA4C89"/>
    <w:rsid w:val="09AC0E84"/>
    <w:rsid w:val="09AD03A9"/>
    <w:rsid w:val="09AD3F1D"/>
    <w:rsid w:val="09AF4F58"/>
    <w:rsid w:val="09B04A05"/>
    <w:rsid w:val="09B230BD"/>
    <w:rsid w:val="09B463DB"/>
    <w:rsid w:val="09B90AFC"/>
    <w:rsid w:val="09B90B04"/>
    <w:rsid w:val="09B93488"/>
    <w:rsid w:val="09BB3A1D"/>
    <w:rsid w:val="09BB3C8F"/>
    <w:rsid w:val="09BC692F"/>
    <w:rsid w:val="09BF6E69"/>
    <w:rsid w:val="09C0369B"/>
    <w:rsid w:val="09C321A9"/>
    <w:rsid w:val="09C46F5F"/>
    <w:rsid w:val="09C474A0"/>
    <w:rsid w:val="09C551CB"/>
    <w:rsid w:val="09C5548B"/>
    <w:rsid w:val="09C6146A"/>
    <w:rsid w:val="09C851E3"/>
    <w:rsid w:val="09C92F7C"/>
    <w:rsid w:val="09C946BD"/>
    <w:rsid w:val="09CA2D09"/>
    <w:rsid w:val="09CD0A4B"/>
    <w:rsid w:val="09CF47C3"/>
    <w:rsid w:val="09D678FF"/>
    <w:rsid w:val="09D77460"/>
    <w:rsid w:val="09D9119E"/>
    <w:rsid w:val="09D93C30"/>
    <w:rsid w:val="09DA7BDD"/>
    <w:rsid w:val="09DB0F44"/>
    <w:rsid w:val="09DD68F3"/>
    <w:rsid w:val="09E04091"/>
    <w:rsid w:val="09E15941"/>
    <w:rsid w:val="09E162A4"/>
    <w:rsid w:val="09E3731F"/>
    <w:rsid w:val="09E55D95"/>
    <w:rsid w:val="09E57B43"/>
    <w:rsid w:val="09E638BB"/>
    <w:rsid w:val="09E71B0D"/>
    <w:rsid w:val="09E813E1"/>
    <w:rsid w:val="09E87633"/>
    <w:rsid w:val="09E922F6"/>
    <w:rsid w:val="09EA0974"/>
    <w:rsid w:val="09EA33AB"/>
    <w:rsid w:val="09EB1836"/>
    <w:rsid w:val="09EE3266"/>
    <w:rsid w:val="09EF0847"/>
    <w:rsid w:val="09F75AC8"/>
    <w:rsid w:val="09FA70B5"/>
    <w:rsid w:val="09FB55B8"/>
    <w:rsid w:val="0A002BCE"/>
    <w:rsid w:val="0A007773"/>
    <w:rsid w:val="0A0228C1"/>
    <w:rsid w:val="0A03435D"/>
    <w:rsid w:val="0A072BC2"/>
    <w:rsid w:val="0A081A83"/>
    <w:rsid w:val="0A0C0122"/>
    <w:rsid w:val="0A0C4BEF"/>
    <w:rsid w:val="0A0D6D26"/>
    <w:rsid w:val="0A0E4795"/>
    <w:rsid w:val="0A105501"/>
    <w:rsid w:val="0A122902"/>
    <w:rsid w:val="0A1366D8"/>
    <w:rsid w:val="0A140428"/>
    <w:rsid w:val="0A161087"/>
    <w:rsid w:val="0A16455D"/>
    <w:rsid w:val="0A165F4E"/>
    <w:rsid w:val="0A187F18"/>
    <w:rsid w:val="0A1B17B6"/>
    <w:rsid w:val="0A1B3564"/>
    <w:rsid w:val="0A1B5ADE"/>
    <w:rsid w:val="0A1C0B85"/>
    <w:rsid w:val="0A1E0595"/>
    <w:rsid w:val="0A1E56D8"/>
    <w:rsid w:val="0A200529"/>
    <w:rsid w:val="0A213EFD"/>
    <w:rsid w:val="0A2166A1"/>
    <w:rsid w:val="0A21777C"/>
    <w:rsid w:val="0A221E78"/>
    <w:rsid w:val="0A2543E3"/>
    <w:rsid w:val="0A254747"/>
    <w:rsid w:val="0A257BE8"/>
    <w:rsid w:val="0A27622F"/>
    <w:rsid w:val="0A285C81"/>
    <w:rsid w:val="0A293BF2"/>
    <w:rsid w:val="0A2E773B"/>
    <w:rsid w:val="0A2F212A"/>
    <w:rsid w:val="0A2F7B7E"/>
    <w:rsid w:val="0A305DD2"/>
    <w:rsid w:val="0A36214C"/>
    <w:rsid w:val="0A397E8E"/>
    <w:rsid w:val="0A4027CD"/>
    <w:rsid w:val="0A434999"/>
    <w:rsid w:val="0A466107"/>
    <w:rsid w:val="0A4800D1"/>
    <w:rsid w:val="0A482714"/>
    <w:rsid w:val="0A4915EC"/>
    <w:rsid w:val="0A4A3E4A"/>
    <w:rsid w:val="0A4C7BC2"/>
    <w:rsid w:val="0A4F76B2"/>
    <w:rsid w:val="0A5151D8"/>
    <w:rsid w:val="0A522CFE"/>
    <w:rsid w:val="0A54630D"/>
    <w:rsid w:val="0A554F38"/>
    <w:rsid w:val="0A560736"/>
    <w:rsid w:val="0A5627EE"/>
    <w:rsid w:val="0A5733CE"/>
    <w:rsid w:val="0A590531"/>
    <w:rsid w:val="0A5B313C"/>
    <w:rsid w:val="0A5B6432"/>
    <w:rsid w:val="0A5C592B"/>
    <w:rsid w:val="0A5E1635"/>
    <w:rsid w:val="0A5E78F5"/>
    <w:rsid w:val="0A5F5B47"/>
    <w:rsid w:val="0A602699"/>
    <w:rsid w:val="0A60541B"/>
    <w:rsid w:val="0A60771E"/>
    <w:rsid w:val="0A611922"/>
    <w:rsid w:val="0A622F41"/>
    <w:rsid w:val="0A624D41"/>
    <w:rsid w:val="0A6424AA"/>
    <w:rsid w:val="0A6767AA"/>
    <w:rsid w:val="0A68040B"/>
    <w:rsid w:val="0A690774"/>
    <w:rsid w:val="0A6A3CC1"/>
    <w:rsid w:val="0A6A629A"/>
    <w:rsid w:val="0A6C2012"/>
    <w:rsid w:val="0A6D18E6"/>
    <w:rsid w:val="0A6D4F71"/>
    <w:rsid w:val="0A6F565E"/>
    <w:rsid w:val="0A71587A"/>
    <w:rsid w:val="0A717628"/>
    <w:rsid w:val="0A720708"/>
    <w:rsid w:val="0A720A18"/>
    <w:rsid w:val="0A7315F2"/>
    <w:rsid w:val="0A7333A0"/>
    <w:rsid w:val="0A7669ED"/>
    <w:rsid w:val="0A775C69"/>
    <w:rsid w:val="0A7A37A0"/>
    <w:rsid w:val="0A7A5968"/>
    <w:rsid w:val="0A7E3AF3"/>
    <w:rsid w:val="0A801619"/>
    <w:rsid w:val="0A805ABD"/>
    <w:rsid w:val="0A8207CF"/>
    <w:rsid w:val="0A8740E8"/>
    <w:rsid w:val="0A876E4C"/>
    <w:rsid w:val="0A8838EB"/>
    <w:rsid w:val="0A8B6D96"/>
    <w:rsid w:val="0A8B6E7A"/>
    <w:rsid w:val="0A8C7FBE"/>
    <w:rsid w:val="0A8F6925"/>
    <w:rsid w:val="0A911DAB"/>
    <w:rsid w:val="0A933DE7"/>
    <w:rsid w:val="0A9450C5"/>
    <w:rsid w:val="0A967F75"/>
    <w:rsid w:val="0A99092D"/>
    <w:rsid w:val="0A9B28F7"/>
    <w:rsid w:val="0A9B46A5"/>
    <w:rsid w:val="0A9D666F"/>
    <w:rsid w:val="0AA03A6A"/>
    <w:rsid w:val="0AA1213D"/>
    <w:rsid w:val="0AA1605C"/>
    <w:rsid w:val="0AA3053D"/>
    <w:rsid w:val="0AA31C81"/>
    <w:rsid w:val="0AA57E9A"/>
    <w:rsid w:val="0AAA2B3A"/>
    <w:rsid w:val="0AAC78F1"/>
    <w:rsid w:val="0AAE6186"/>
    <w:rsid w:val="0AB13EC9"/>
    <w:rsid w:val="0AB17A25"/>
    <w:rsid w:val="0AB5174B"/>
    <w:rsid w:val="0AB52F0C"/>
    <w:rsid w:val="0AB539B9"/>
    <w:rsid w:val="0AB614DF"/>
    <w:rsid w:val="0AB6328D"/>
    <w:rsid w:val="0AB67AAA"/>
    <w:rsid w:val="0AB7602A"/>
    <w:rsid w:val="0AB80DB3"/>
    <w:rsid w:val="0ABA02B2"/>
    <w:rsid w:val="0ABB02FD"/>
    <w:rsid w:val="0ABB08A3"/>
    <w:rsid w:val="0ABD286D"/>
    <w:rsid w:val="0AC01DE2"/>
    <w:rsid w:val="0AC27E84"/>
    <w:rsid w:val="0AC4179D"/>
    <w:rsid w:val="0AC459AA"/>
    <w:rsid w:val="0AC57974"/>
    <w:rsid w:val="0ACA3885"/>
    <w:rsid w:val="0ACA6D38"/>
    <w:rsid w:val="0ACB158C"/>
    <w:rsid w:val="0ACE05D7"/>
    <w:rsid w:val="0AD007F3"/>
    <w:rsid w:val="0AD11E75"/>
    <w:rsid w:val="0AD12FF3"/>
    <w:rsid w:val="0AD21454"/>
    <w:rsid w:val="0AD448D2"/>
    <w:rsid w:val="0AD83203"/>
    <w:rsid w:val="0AD876A7"/>
    <w:rsid w:val="0AD96424"/>
    <w:rsid w:val="0ADB50D9"/>
    <w:rsid w:val="0ADD5B52"/>
    <w:rsid w:val="0ADE08AE"/>
    <w:rsid w:val="0ADF27E4"/>
    <w:rsid w:val="0ADF4592"/>
    <w:rsid w:val="0AE0030A"/>
    <w:rsid w:val="0AE0655C"/>
    <w:rsid w:val="0AE1357C"/>
    <w:rsid w:val="0AE20526"/>
    <w:rsid w:val="0AE26A44"/>
    <w:rsid w:val="0AE460C6"/>
    <w:rsid w:val="0AE54E11"/>
    <w:rsid w:val="0AEA4F73"/>
    <w:rsid w:val="0AEB3866"/>
    <w:rsid w:val="0AED734F"/>
    <w:rsid w:val="0AF02C43"/>
    <w:rsid w:val="0AF21938"/>
    <w:rsid w:val="0AF47A97"/>
    <w:rsid w:val="0AF53DB5"/>
    <w:rsid w:val="0AF67B2D"/>
    <w:rsid w:val="0AF80FDC"/>
    <w:rsid w:val="0AF85654"/>
    <w:rsid w:val="0AF955F7"/>
    <w:rsid w:val="0AFA3062"/>
    <w:rsid w:val="0AFA761E"/>
    <w:rsid w:val="0AFE0548"/>
    <w:rsid w:val="0B000C5A"/>
    <w:rsid w:val="0B015E43"/>
    <w:rsid w:val="0B064214"/>
    <w:rsid w:val="0B073AE9"/>
    <w:rsid w:val="0B097861"/>
    <w:rsid w:val="0B0A4392"/>
    <w:rsid w:val="0B0A565B"/>
    <w:rsid w:val="0B0E4E77"/>
    <w:rsid w:val="0B136931"/>
    <w:rsid w:val="0B14665C"/>
    <w:rsid w:val="0B163D2C"/>
    <w:rsid w:val="0B170314"/>
    <w:rsid w:val="0B183455"/>
    <w:rsid w:val="0B195150"/>
    <w:rsid w:val="0B1A1A6E"/>
    <w:rsid w:val="0B1A2707"/>
    <w:rsid w:val="0B1A3A0F"/>
    <w:rsid w:val="0B1A7FDA"/>
    <w:rsid w:val="0B1B1342"/>
    <w:rsid w:val="0B1D2390"/>
    <w:rsid w:val="0B1D6112"/>
    <w:rsid w:val="0B1D7C5B"/>
    <w:rsid w:val="0B1E3145"/>
    <w:rsid w:val="0B1E6D2B"/>
    <w:rsid w:val="0B20595C"/>
    <w:rsid w:val="0B217598"/>
    <w:rsid w:val="0B224DC6"/>
    <w:rsid w:val="0B226B74"/>
    <w:rsid w:val="0B233E9D"/>
    <w:rsid w:val="0B244517"/>
    <w:rsid w:val="0B291CB1"/>
    <w:rsid w:val="0B294ADC"/>
    <w:rsid w:val="0B297303"/>
    <w:rsid w:val="0B2B3C7B"/>
    <w:rsid w:val="0B2B4F49"/>
    <w:rsid w:val="0B2B7565"/>
    <w:rsid w:val="0B2C17A1"/>
    <w:rsid w:val="0B2E72C7"/>
    <w:rsid w:val="0B310B66"/>
    <w:rsid w:val="0B316DB7"/>
    <w:rsid w:val="0B34474A"/>
    <w:rsid w:val="0B3531E8"/>
    <w:rsid w:val="0B3577E5"/>
    <w:rsid w:val="0B380146"/>
    <w:rsid w:val="0B381661"/>
    <w:rsid w:val="0B3A2110"/>
    <w:rsid w:val="0B3B3792"/>
    <w:rsid w:val="0B3C19E4"/>
    <w:rsid w:val="0B3D0003"/>
    <w:rsid w:val="0B3D750A"/>
    <w:rsid w:val="0B3E4C5B"/>
    <w:rsid w:val="0B3F3282"/>
    <w:rsid w:val="0B3F59DA"/>
    <w:rsid w:val="0B415214"/>
    <w:rsid w:val="0B440899"/>
    <w:rsid w:val="0B446AEB"/>
    <w:rsid w:val="0B4755FC"/>
    <w:rsid w:val="0B492353"/>
    <w:rsid w:val="0B4C63BA"/>
    <w:rsid w:val="0B4D3BF1"/>
    <w:rsid w:val="0B500EF5"/>
    <w:rsid w:val="0B52745A"/>
    <w:rsid w:val="0B527AB6"/>
    <w:rsid w:val="0B5362E0"/>
    <w:rsid w:val="0B56533F"/>
    <w:rsid w:val="0B566548"/>
    <w:rsid w:val="0B5C6D71"/>
    <w:rsid w:val="0B5D1616"/>
    <w:rsid w:val="0B5D195B"/>
    <w:rsid w:val="0B5F59A7"/>
    <w:rsid w:val="0B606EA7"/>
    <w:rsid w:val="0B6131F9"/>
    <w:rsid w:val="0B61769D"/>
    <w:rsid w:val="0B6251C3"/>
    <w:rsid w:val="0B6279A7"/>
    <w:rsid w:val="0B641412"/>
    <w:rsid w:val="0B6902FF"/>
    <w:rsid w:val="0B6B051B"/>
    <w:rsid w:val="0B6C7DF0"/>
    <w:rsid w:val="0B6E3B68"/>
    <w:rsid w:val="0B6E638C"/>
    <w:rsid w:val="0B7718AE"/>
    <w:rsid w:val="0B78442A"/>
    <w:rsid w:val="0B7A69B0"/>
    <w:rsid w:val="0B7B2007"/>
    <w:rsid w:val="0B7C097A"/>
    <w:rsid w:val="0B7F4B2F"/>
    <w:rsid w:val="0B7F7B23"/>
    <w:rsid w:val="0B8217EE"/>
    <w:rsid w:val="0B860EB1"/>
    <w:rsid w:val="0B893371"/>
    <w:rsid w:val="0B8948BC"/>
    <w:rsid w:val="0B8B471A"/>
    <w:rsid w:val="0B8D158D"/>
    <w:rsid w:val="0B8E1EB5"/>
    <w:rsid w:val="0B8E420A"/>
    <w:rsid w:val="0B902D69"/>
    <w:rsid w:val="0B923CFA"/>
    <w:rsid w:val="0B93537C"/>
    <w:rsid w:val="0B960F84"/>
    <w:rsid w:val="0B974A1F"/>
    <w:rsid w:val="0B98454A"/>
    <w:rsid w:val="0B985F88"/>
    <w:rsid w:val="0B9962DC"/>
    <w:rsid w:val="0B996E37"/>
    <w:rsid w:val="0B9C06D5"/>
    <w:rsid w:val="0B9D41ED"/>
    <w:rsid w:val="0BA0049C"/>
    <w:rsid w:val="0BA15CEB"/>
    <w:rsid w:val="0BA34222"/>
    <w:rsid w:val="0BA34E6D"/>
    <w:rsid w:val="0BA4046A"/>
    <w:rsid w:val="0BA46483"/>
    <w:rsid w:val="0BA67B56"/>
    <w:rsid w:val="0BA74B39"/>
    <w:rsid w:val="0BA778F3"/>
    <w:rsid w:val="0BA80E28"/>
    <w:rsid w:val="0BA9624D"/>
    <w:rsid w:val="0BAB0918"/>
    <w:rsid w:val="0BAE425B"/>
    <w:rsid w:val="0BB04902"/>
    <w:rsid w:val="0BB971DF"/>
    <w:rsid w:val="0BBA5954"/>
    <w:rsid w:val="0BBA6DAD"/>
    <w:rsid w:val="0BBD71FF"/>
    <w:rsid w:val="0BC03E0B"/>
    <w:rsid w:val="0BC30EB4"/>
    <w:rsid w:val="0BC348DB"/>
    <w:rsid w:val="0BC84665"/>
    <w:rsid w:val="0BCA3494"/>
    <w:rsid w:val="0BCC11C3"/>
    <w:rsid w:val="0BCE39D4"/>
    <w:rsid w:val="0BD31C1D"/>
    <w:rsid w:val="0BD4059E"/>
    <w:rsid w:val="0BD42F6B"/>
    <w:rsid w:val="0BD75BB1"/>
    <w:rsid w:val="0BD9444D"/>
    <w:rsid w:val="0BDC31C7"/>
    <w:rsid w:val="0BDC72AF"/>
    <w:rsid w:val="0BDD4434"/>
    <w:rsid w:val="0BDE35D8"/>
    <w:rsid w:val="0BDF61A9"/>
    <w:rsid w:val="0BE336BD"/>
    <w:rsid w:val="0BE34556"/>
    <w:rsid w:val="0BE508DA"/>
    <w:rsid w:val="0BE65DF4"/>
    <w:rsid w:val="0BE87869"/>
    <w:rsid w:val="0BED2CDE"/>
    <w:rsid w:val="0BEF4CA9"/>
    <w:rsid w:val="0BF027CF"/>
    <w:rsid w:val="0BF24799"/>
    <w:rsid w:val="0BF52757"/>
    <w:rsid w:val="0BF978D5"/>
    <w:rsid w:val="0BFC73C5"/>
    <w:rsid w:val="0BFE6C9A"/>
    <w:rsid w:val="0BFF6F05"/>
    <w:rsid w:val="0C006EB6"/>
    <w:rsid w:val="0C0128F7"/>
    <w:rsid w:val="0C012C2E"/>
    <w:rsid w:val="0C042324"/>
    <w:rsid w:val="0C061FF2"/>
    <w:rsid w:val="0C08719F"/>
    <w:rsid w:val="0C102B19"/>
    <w:rsid w:val="0C102F86"/>
    <w:rsid w:val="0C140DB6"/>
    <w:rsid w:val="0C142401"/>
    <w:rsid w:val="0C1464BD"/>
    <w:rsid w:val="0C155AED"/>
    <w:rsid w:val="0C177D5B"/>
    <w:rsid w:val="0C1B5A9E"/>
    <w:rsid w:val="0C1C1816"/>
    <w:rsid w:val="0C1C3019"/>
    <w:rsid w:val="0C1D3BDD"/>
    <w:rsid w:val="0C1F4E62"/>
    <w:rsid w:val="0C201171"/>
    <w:rsid w:val="0C237995"/>
    <w:rsid w:val="0C2653A0"/>
    <w:rsid w:val="0C2A3F33"/>
    <w:rsid w:val="0C2A61DE"/>
    <w:rsid w:val="0C2E73F3"/>
    <w:rsid w:val="0C2F32F7"/>
    <w:rsid w:val="0C2F779B"/>
    <w:rsid w:val="0C307F72"/>
    <w:rsid w:val="0C324B95"/>
    <w:rsid w:val="0C347A8A"/>
    <w:rsid w:val="0C382FA7"/>
    <w:rsid w:val="0C3841E3"/>
    <w:rsid w:val="0C3A1D75"/>
    <w:rsid w:val="0C3B1C9C"/>
    <w:rsid w:val="0C3F0D16"/>
    <w:rsid w:val="0C3F14E5"/>
    <w:rsid w:val="0C4279D2"/>
    <w:rsid w:val="0C48085D"/>
    <w:rsid w:val="0C4A1EDF"/>
    <w:rsid w:val="0C4A4E8C"/>
    <w:rsid w:val="0C4A6692"/>
    <w:rsid w:val="0C4B6E38"/>
    <w:rsid w:val="0C4C3EA9"/>
    <w:rsid w:val="0C4F3999"/>
    <w:rsid w:val="0C501B62"/>
    <w:rsid w:val="0C514E23"/>
    <w:rsid w:val="0C547201"/>
    <w:rsid w:val="0C550884"/>
    <w:rsid w:val="0C57284E"/>
    <w:rsid w:val="0C594269"/>
    <w:rsid w:val="0C5B233E"/>
    <w:rsid w:val="0C5C13FF"/>
    <w:rsid w:val="0C5C7E64"/>
    <w:rsid w:val="0C5E17C3"/>
    <w:rsid w:val="0C5E3BDC"/>
    <w:rsid w:val="0C6236CC"/>
    <w:rsid w:val="0C626F67"/>
    <w:rsid w:val="0C636533"/>
    <w:rsid w:val="0C660A45"/>
    <w:rsid w:val="0C670C83"/>
    <w:rsid w:val="0C670CE3"/>
    <w:rsid w:val="0C687824"/>
    <w:rsid w:val="0C690F19"/>
    <w:rsid w:val="0C6D2071"/>
    <w:rsid w:val="0C6E3759"/>
    <w:rsid w:val="0C6F1ECE"/>
    <w:rsid w:val="0C6F2550"/>
    <w:rsid w:val="0C735804"/>
    <w:rsid w:val="0C7358DA"/>
    <w:rsid w:val="0C741865"/>
    <w:rsid w:val="0C743400"/>
    <w:rsid w:val="0C762CD4"/>
    <w:rsid w:val="0C7B29E0"/>
    <w:rsid w:val="0C7E602C"/>
    <w:rsid w:val="0C7F0CC3"/>
    <w:rsid w:val="0C80689F"/>
    <w:rsid w:val="0C825F9F"/>
    <w:rsid w:val="0C83130B"/>
    <w:rsid w:val="0C851169"/>
    <w:rsid w:val="0C8654B4"/>
    <w:rsid w:val="0C8770A5"/>
    <w:rsid w:val="0C88659A"/>
    <w:rsid w:val="0C8C4A43"/>
    <w:rsid w:val="0C8D658E"/>
    <w:rsid w:val="0C8E2713"/>
    <w:rsid w:val="0C923886"/>
    <w:rsid w:val="0C9413AC"/>
    <w:rsid w:val="0C982811"/>
    <w:rsid w:val="0C9A388A"/>
    <w:rsid w:val="0C9F0527"/>
    <w:rsid w:val="0CA02447"/>
    <w:rsid w:val="0CA0310C"/>
    <w:rsid w:val="0CA51407"/>
    <w:rsid w:val="0CA800AD"/>
    <w:rsid w:val="0CA835B7"/>
    <w:rsid w:val="0CAF4315"/>
    <w:rsid w:val="0CB11F5E"/>
    <w:rsid w:val="0CB22B0E"/>
    <w:rsid w:val="0CB35CD6"/>
    <w:rsid w:val="0CB437FC"/>
    <w:rsid w:val="0CB63A18"/>
    <w:rsid w:val="0CB93BC9"/>
    <w:rsid w:val="0CB97065"/>
    <w:rsid w:val="0CB97FA9"/>
    <w:rsid w:val="0CBA3508"/>
    <w:rsid w:val="0CBB4B8B"/>
    <w:rsid w:val="0CBE28CD"/>
    <w:rsid w:val="0CC14C34"/>
    <w:rsid w:val="0CC20DB7"/>
    <w:rsid w:val="0CC25F19"/>
    <w:rsid w:val="0CC31AF3"/>
    <w:rsid w:val="0CC46135"/>
    <w:rsid w:val="0CC47EE3"/>
    <w:rsid w:val="0CC60598"/>
    <w:rsid w:val="0CC67F32"/>
    <w:rsid w:val="0CC81C74"/>
    <w:rsid w:val="0CC954FA"/>
    <w:rsid w:val="0CCA74C4"/>
    <w:rsid w:val="0CCB73F6"/>
    <w:rsid w:val="0CCC6D98"/>
    <w:rsid w:val="0CCE7A3F"/>
    <w:rsid w:val="0CCF39D4"/>
    <w:rsid w:val="0CCF4ADA"/>
    <w:rsid w:val="0CCF6888"/>
    <w:rsid w:val="0CD13237"/>
    <w:rsid w:val="0CD242DF"/>
    <w:rsid w:val="0CD345CA"/>
    <w:rsid w:val="0CD43E9E"/>
    <w:rsid w:val="0CD45C9B"/>
    <w:rsid w:val="0CD74460"/>
    <w:rsid w:val="0CD92275"/>
    <w:rsid w:val="0CD93263"/>
    <w:rsid w:val="0CDF1CBD"/>
    <w:rsid w:val="0CE045F1"/>
    <w:rsid w:val="0CE265BB"/>
    <w:rsid w:val="0CE3315B"/>
    <w:rsid w:val="0CE40585"/>
    <w:rsid w:val="0CE51F42"/>
    <w:rsid w:val="0CE844A6"/>
    <w:rsid w:val="0CEC0F27"/>
    <w:rsid w:val="0CF232DA"/>
    <w:rsid w:val="0CF30966"/>
    <w:rsid w:val="0CF32576"/>
    <w:rsid w:val="0CF602B9"/>
    <w:rsid w:val="0CF64FD9"/>
    <w:rsid w:val="0CF74598"/>
    <w:rsid w:val="0CFB57A8"/>
    <w:rsid w:val="0CFC2EA8"/>
    <w:rsid w:val="0CFD1647"/>
    <w:rsid w:val="0CFE2CC9"/>
    <w:rsid w:val="0CFF50CF"/>
    <w:rsid w:val="0CFF53BF"/>
    <w:rsid w:val="0D000D6E"/>
    <w:rsid w:val="0D01726E"/>
    <w:rsid w:val="0D021928"/>
    <w:rsid w:val="0D025F66"/>
    <w:rsid w:val="0D095382"/>
    <w:rsid w:val="0D0D2660"/>
    <w:rsid w:val="0D0D62C5"/>
    <w:rsid w:val="0D0F14DC"/>
    <w:rsid w:val="0D0F19A2"/>
    <w:rsid w:val="0D0F6EC9"/>
    <w:rsid w:val="0D1368B1"/>
    <w:rsid w:val="0D140A6A"/>
    <w:rsid w:val="0D141C74"/>
    <w:rsid w:val="0D157605"/>
    <w:rsid w:val="0D185A20"/>
    <w:rsid w:val="0D186481"/>
    <w:rsid w:val="0D192952"/>
    <w:rsid w:val="0D1941DD"/>
    <w:rsid w:val="0D1A49C7"/>
    <w:rsid w:val="0D1B59B9"/>
    <w:rsid w:val="0D1C3B8F"/>
    <w:rsid w:val="0D1C42BE"/>
    <w:rsid w:val="0D1E3C19"/>
    <w:rsid w:val="0D244E26"/>
    <w:rsid w:val="0D2564A8"/>
    <w:rsid w:val="0D270472"/>
    <w:rsid w:val="0D286510"/>
    <w:rsid w:val="0D2C3CDA"/>
    <w:rsid w:val="0D2E63AA"/>
    <w:rsid w:val="0D2F6E12"/>
    <w:rsid w:val="0D305579"/>
    <w:rsid w:val="0D310530"/>
    <w:rsid w:val="0D312A96"/>
    <w:rsid w:val="0D385778"/>
    <w:rsid w:val="0D3D37F2"/>
    <w:rsid w:val="0D3E296D"/>
    <w:rsid w:val="0D413A55"/>
    <w:rsid w:val="0D4252AC"/>
    <w:rsid w:val="0D42716D"/>
    <w:rsid w:val="0D45432C"/>
    <w:rsid w:val="0D4728C2"/>
    <w:rsid w:val="0D487EFE"/>
    <w:rsid w:val="0D4E04BD"/>
    <w:rsid w:val="0D4E1EA3"/>
    <w:rsid w:val="0D523741"/>
    <w:rsid w:val="0D52512B"/>
    <w:rsid w:val="0D536036"/>
    <w:rsid w:val="0D570D57"/>
    <w:rsid w:val="0D5733FF"/>
    <w:rsid w:val="0D576FA9"/>
    <w:rsid w:val="0D5C0513"/>
    <w:rsid w:val="0D5D4D41"/>
    <w:rsid w:val="0D5E53EA"/>
    <w:rsid w:val="0D5F5E5E"/>
    <w:rsid w:val="0D610AC1"/>
    <w:rsid w:val="0D6214AA"/>
    <w:rsid w:val="0D662D48"/>
    <w:rsid w:val="0D68007B"/>
    <w:rsid w:val="0D693D57"/>
    <w:rsid w:val="0D696CDD"/>
    <w:rsid w:val="0D6E60A1"/>
    <w:rsid w:val="0D6E6B91"/>
    <w:rsid w:val="0D6F756B"/>
    <w:rsid w:val="0D70006B"/>
    <w:rsid w:val="0D705975"/>
    <w:rsid w:val="0D71793F"/>
    <w:rsid w:val="0D721847"/>
    <w:rsid w:val="0D731909"/>
    <w:rsid w:val="0D750A02"/>
    <w:rsid w:val="0D766D04"/>
    <w:rsid w:val="0D791CFB"/>
    <w:rsid w:val="0D7A4A46"/>
    <w:rsid w:val="0D7F3E0A"/>
    <w:rsid w:val="0D806365"/>
    <w:rsid w:val="0D821B4C"/>
    <w:rsid w:val="0D844E64"/>
    <w:rsid w:val="0D847672"/>
    <w:rsid w:val="0D86163D"/>
    <w:rsid w:val="0D8633EB"/>
    <w:rsid w:val="0D894C89"/>
    <w:rsid w:val="0D8B0A01"/>
    <w:rsid w:val="0D8C1F03"/>
    <w:rsid w:val="0D8D29CB"/>
    <w:rsid w:val="0D8E04F1"/>
    <w:rsid w:val="0D9053D2"/>
    <w:rsid w:val="0D906017"/>
    <w:rsid w:val="0D913B3D"/>
    <w:rsid w:val="0D924CC9"/>
    <w:rsid w:val="0D961154"/>
    <w:rsid w:val="0D9644B5"/>
    <w:rsid w:val="0D9773A6"/>
    <w:rsid w:val="0D98311E"/>
    <w:rsid w:val="0D9A0C44"/>
    <w:rsid w:val="0D9E53FE"/>
    <w:rsid w:val="0D9E7C45"/>
    <w:rsid w:val="0D9F1350"/>
    <w:rsid w:val="0D9F2356"/>
    <w:rsid w:val="0D9F26FE"/>
    <w:rsid w:val="0DA10224"/>
    <w:rsid w:val="0DA16476"/>
    <w:rsid w:val="0DA345F3"/>
    <w:rsid w:val="0DA47D15"/>
    <w:rsid w:val="0DA50DBC"/>
    <w:rsid w:val="0DA601C5"/>
    <w:rsid w:val="0DA669A8"/>
    <w:rsid w:val="0DA675E9"/>
    <w:rsid w:val="0DA701FE"/>
    <w:rsid w:val="0DA82DCF"/>
    <w:rsid w:val="0DA86300"/>
    <w:rsid w:val="0DAA56EF"/>
    <w:rsid w:val="0DAB10A3"/>
    <w:rsid w:val="0DB25F8E"/>
    <w:rsid w:val="0DB27F48"/>
    <w:rsid w:val="0DB707F7"/>
    <w:rsid w:val="0DB717F6"/>
    <w:rsid w:val="0DB733A4"/>
    <w:rsid w:val="0DB77A48"/>
    <w:rsid w:val="0DB859E5"/>
    <w:rsid w:val="0DBA7538"/>
    <w:rsid w:val="0DBB6FBF"/>
    <w:rsid w:val="0DBD4932"/>
    <w:rsid w:val="0DC12675"/>
    <w:rsid w:val="0DC13976"/>
    <w:rsid w:val="0DC14423"/>
    <w:rsid w:val="0DC43F13"/>
    <w:rsid w:val="0DC50BB6"/>
    <w:rsid w:val="0DC7755F"/>
    <w:rsid w:val="0DC86468"/>
    <w:rsid w:val="0DCB2C99"/>
    <w:rsid w:val="0DCB31DE"/>
    <w:rsid w:val="0DCE6B40"/>
    <w:rsid w:val="0DD051E7"/>
    <w:rsid w:val="0DD3176D"/>
    <w:rsid w:val="0DD405FA"/>
    <w:rsid w:val="0DD73C46"/>
    <w:rsid w:val="0DD759F4"/>
    <w:rsid w:val="0DD8176C"/>
    <w:rsid w:val="0DD93718"/>
    <w:rsid w:val="0DD94D0D"/>
    <w:rsid w:val="0DDC1F85"/>
    <w:rsid w:val="0DDC23C6"/>
    <w:rsid w:val="0DDC6E3D"/>
    <w:rsid w:val="0DDF6F9F"/>
    <w:rsid w:val="0DE0254B"/>
    <w:rsid w:val="0DE22F08"/>
    <w:rsid w:val="0DE243F0"/>
    <w:rsid w:val="0DE325EB"/>
    <w:rsid w:val="0DE34399"/>
    <w:rsid w:val="0DE46EAF"/>
    <w:rsid w:val="0DE501A0"/>
    <w:rsid w:val="0DE808EC"/>
    <w:rsid w:val="0DE96EA2"/>
    <w:rsid w:val="0DE97CA3"/>
    <w:rsid w:val="0DED6757"/>
    <w:rsid w:val="0DEF6094"/>
    <w:rsid w:val="0DF02F5A"/>
    <w:rsid w:val="0DF045CD"/>
    <w:rsid w:val="0DF25DF6"/>
    <w:rsid w:val="0DF26508"/>
    <w:rsid w:val="0DF30354"/>
    <w:rsid w:val="0DF72D6B"/>
    <w:rsid w:val="0DF7383C"/>
    <w:rsid w:val="0DF86616"/>
    <w:rsid w:val="0DF93BBD"/>
    <w:rsid w:val="0DFB0CE8"/>
    <w:rsid w:val="0DFE2488"/>
    <w:rsid w:val="0E032C8D"/>
    <w:rsid w:val="0E034A3B"/>
    <w:rsid w:val="0E0462FA"/>
    <w:rsid w:val="0E056A05"/>
    <w:rsid w:val="0E0B1B42"/>
    <w:rsid w:val="0E0C7A0C"/>
    <w:rsid w:val="0E0F1B1E"/>
    <w:rsid w:val="0E100F06"/>
    <w:rsid w:val="0E1701D1"/>
    <w:rsid w:val="0E18716B"/>
    <w:rsid w:val="0E19425F"/>
    <w:rsid w:val="0E1A2A75"/>
    <w:rsid w:val="0E1A3B33"/>
    <w:rsid w:val="0E1B64AA"/>
    <w:rsid w:val="0E1D7BE7"/>
    <w:rsid w:val="0E1E3623"/>
    <w:rsid w:val="0E21397E"/>
    <w:rsid w:val="0E24158B"/>
    <w:rsid w:val="0E2767D3"/>
    <w:rsid w:val="0E284CC1"/>
    <w:rsid w:val="0E296557"/>
    <w:rsid w:val="0E2B09DF"/>
    <w:rsid w:val="0E2D7D0A"/>
    <w:rsid w:val="0E2F5830"/>
    <w:rsid w:val="0E303356"/>
    <w:rsid w:val="0E3177FA"/>
    <w:rsid w:val="0E3226AF"/>
    <w:rsid w:val="0E326BA2"/>
    <w:rsid w:val="0E3305EE"/>
    <w:rsid w:val="0E341099"/>
    <w:rsid w:val="0E361188"/>
    <w:rsid w:val="0E362232"/>
    <w:rsid w:val="0E3746E9"/>
    <w:rsid w:val="0E3761EC"/>
    <w:rsid w:val="0E3768B8"/>
    <w:rsid w:val="0E3914D8"/>
    <w:rsid w:val="0E3B6E96"/>
    <w:rsid w:val="0E3C1CFB"/>
    <w:rsid w:val="0E3D4DA9"/>
    <w:rsid w:val="0E3E3CC5"/>
    <w:rsid w:val="0E417312"/>
    <w:rsid w:val="0E4235A5"/>
    <w:rsid w:val="0E4312DC"/>
    <w:rsid w:val="0E43308A"/>
    <w:rsid w:val="0E43335E"/>
    <w:rsid w:val="0E4356CB"/>
    <w:rsid w:val="0E46674C"/>
    <w:rsid w:val="0E4A4B95"/>
    <w:rsid w:val="0E4D5CB6"/>
    <w:rsid w:val="0E4E0E9C"/>
    <w:rsid w:val="0E4F37DA"/>
    <w:rsid w:val="0E512AB9"/>
    <w:rsid w:val="0E5232CD"/>
    <w:rsid w:val="0E524878"/>
    <w:rsid w:val="0E563592"/>
    <w:rsid w:val="0E567261"/>
    <w:rsid w:val="0E576B35"/>
    <w:rsid w:val="0E5B4877"/>
    <w:rsid w:val="0E651252"/>
    <w:rsid w:val="0E664FCA"/>
    <w:rsid w:val="0E686875"/>
    <w:rsid w:val="0E6928D6"/>
    <w:rsid w:val="0E6A3639"/>
    <w:rsid w:val="0E6A6868"/>
    <w:rsid w:val="0E6B25E0"/>
    <w:rsid w:val="0E6E1EFC"/>
    <w:rsid w:val="0E7019A5"/>
    <w:rsid w:val="0E715E49"/>
    <w:rsid w:val="0E745939"/>
    <w:rsid w:val="0E7476E7"/>
    <w:rsid w:val="0E75310C"/>
    <w:rsid w:val="0E76345F"/>
    <w:rsid w:val="0E792F4F"/>
    <w:rsid w:val="0E796AAB"/>
    <w:rsid w:val="0E7A4F47"/>
    <w:rsid w:val="0E7F3AAA"/>
    <w:rsid w:val="0E8042DE"/>
    <w:rsid w:val="0E811E04"/>
    <w:rsid w:val="0E847FE3"/>
    <w:rsid w:val="0E8518F4"/>
    <w:rsid w:val="0E87741A"/>
    <w:rsid w:val="0E8A515C"/>
    <w:rsid w:val="0E8B09B8"/>
    <w:rsid w:val="0E8E4EA6"/>
    <w:rsid w:val="0E8E6F4C"/>
    <w:rsid w:val="0E903DF5"/>
    <w:rsid w:val="0E910299"/>
    <w:rsid w:val="0E9246B3"/>
    <w:rsid w:val="0E9658AF"/>
    <w:rsid w:val="0E9813FC"/>
    <w:rsid w:val="0E9872D6"/>
    <w:rsid w:val="0E992EBC"/>
    <w:rsid w:val="0E9B5983"/>
    <w:rsid w:val="0E9E29B6"/>
    <w:rsid w:val="0E9E4764"/>
    <w:rsid w:val="0E9F40E6"/>
    <w:rsid w:val="0EA0228A"/>
    <w:rsid w:val="0EA70AE5"/>
    <w:rsid w:val="0EA7186A"/>
    <w:rsid w:val="0EA84788"/>
    <w:rsid w:val="0EA86B5B"/>
    <w:rsid w:val="0EAA3109"/>
    <w:rsid w:val="0EAB2689"/>
    <w:rsid w:val="0EAC1532"/>
    <w:rsid w:val="0EAD2BF9"/>
    <w:rsid w:val="0EAE0E4B"/>
    <w:rsid w:val="0EAF1BCE"/>
    <w:rsid w:val="0EB21FBD"/>
    <w:rsid w:val="0EB2458C"/>
    <w:rsid w:val="0EB6385C"/>
    <w:rsid w:val="0EB65523"/>
    <w:rsid w:val="0EB92499"/>
    <w:rsid w:val="0EC0097B"/>
    <w:rsid w:val="0EC04B60"/>
    <w:rsid w:val="0EC07C41"/>
    <w:rsid w:val="0EC13817"/>
    <w:rsid w:val="0EC20452"/>
    <w:rsid w:val="0EC34477"/>
    <w:rsid w:val="0EC966A2"/>
    <w:rsid w:val="0ECA5559"/>
    <w:rsid w:val="0ECC12D1"/>
    <w:rsid w:val="0ECC54DF"/>
    <w:rsid w:val="0ECE329B"/>
    <w:rsid w:val="0ECF491D"/>
    <w:rsid w:val="0ED039C4"/>
    <w:rsid w:val="0ED05FDB"/>
    <w:rsid w:val="0ED20405"/>
    <w:rsid w:val="0ED2440E"/>
    <w:rsid w:val="0ED40186"/>
    <w:rsid w:val="0ED463D8"/>
    <w:rsid w:val="0ED66D86"/>
    <w:rsid w:val="0ED87C76"/>
    <w:rsid w:val="0ED96F16"/>
    <w:rsid w:val="0EDB7766"/>
    <w:rsid w:val="0EDD1D05"/>
    <w:rsid w:val="0EDE1004"/>
    <w:rsid w:val="0EDE2DB2"/>
    <w:rsid w:val="0EE035FE"/>
    <w:rsid w:val="0EE62674"/>
    <w:rsid w:val="0EE77493"/>
    <w:rsid w:val="0EEC54CF"/>
    <w:rsid w:val="0EEE7499"/>
    <w:rsid w:val="0EF10D38"/>
    <w:rsid w:val="0EF41315"/>
    <w:rsid w:val="0EF549B6"/>
    <w:rsid w:val="0EF73A15"/>
    <w:rsid w:val="0EF80C90"/>
    <w:rsid w:val="0EFB2438"/>
    <w:rsid w:val="0EFB3964"/>
    <w:rsid w:val="0EFF16A6"/>
    <w:rsid w:val="0EFF71ED"/>
    <w:rsid w:val="0F023DFE"/>
    <w:rsid w:val="0F0312ED"/>
    <w:rsid w:val="0F0526A1"/>
    <w:rsid w:val="0F087E2F"/>
    <w:rsid w:val="0F0B4B6E"/>
    <w:rsid w:val="0F0D19B5"/>
    <w:rsid w:val="0F0F11BE"/>
    <w:rsid w:val="0F0F1D4A"/>
    <w:rsid w:val="0F135152"/>
    <w:rsid w:val="0F136F00"/>
    <w:rsid w:val="0F1669F0"/>
    <w:rsid w:val="0F1A64E0"/>
    <w:rsid w:val="0F1B4006"/>
    <w:rsid w:val="0F1C14C9"/>
    <w:rsid w:val="0F1D1B2D"/>
    <w:rsid w:val="0F1E7653"/>
    <w:rsid w:val="0F2044B8"/>
    <w:rsid w:val="0F20786F"/>
    <w:rsid w:val="0F213D74"/>
    <w:rsid w:val="0F2235BE"/>
    <w:rsid w:val="0F2509CA"/>
    <w:rsid w:val="0F263A31"/>
    <w:rsid w:val="0F26713F"/>
    <w:rsid w:val="0F276507"/>
    <w:rsid w:val="0F2869E6"/>
    <w:rsid w:val="0F2904D1"/>
    <w:rsid w:val="0F2A530F"/>
    <w:rsid w:val="0F2B249C"/>
    <w:rsid w:val="0F2B66F0"/>
    <w:rsid w:val="0F2E7896"/>
    <w:rsid w:val="0F334EAC"/>
    <w:rsid w:val="0F3375A2"/>
    <w:rsid w:val="0F3A215E"/>
    <w:rsid w:val="0F3B0205"/>
    <w:rsid w:val="0F3C1B49"/>
    <w:rsid w:val="0F3D21CF"/>
    <w:rsid w:val="0F3D2C51"/>
    <w:rsid w:val="0F3D3AB4"/>
    <w:rsid w:val="0F4075C9"/>
    <w:rsid w:val="0F4470B9"/>
    <w:rsid w:val="0F456BF5"/>
    <w:rsid w:val="0F476BAA"/>
    <w:rsid w:val="0F476DD2"/>
    <w:rsid w:val="0F486ADE"/>
    <w:rsid w:val="0F4946D0"/>
    <w:rsid w:val="0F4952B3"/>
    <w:rsid w:val="0F4D5B06"/>
    <w:rsid w:val="0F4D7729"/>
    <w:rsid w:val="0F4F66B3"/>
    <w:rsid w:val="0F501F02"/>
    <w:rsid w:val="0F5165CC"/>
    <w:rsid w:val="0F522A6F"/>
    <w:rsid w:val="0F5512C6"/>
    <w:rsid w:val="0F5572E6"/>
    <w:rsid w:val="0F56235F"/>
    <w:rsid w:val="0F56503F"/>
    <w:rsid w:val="0F5720EB"/>
    <w:rsid w:val="0F580DB7"/>
    <w:rsid w:val="0F59068B"/>
    <w:rsid w:val="0F5A68DD"/>
    <w:rsid w:val="0F5B2655"/>
    <w:rsid w:val="0F5B4403"/>
    <w:rsid w:val="0F5F4247"/>
    <w:rsid w:val="0F5F5CA1"/>
    <w:rsid w:val="0F69076D"/>
    <w:rsid w:val="0F692FC4"/>
    <w:rsid w:val="0F6B4A9D"/>
    <w:rsid w:val="0F6C03BE"/>
    <w:rsid w:val="0F6C4267"/>
    <w:rsid w:val="0F74234B"/>
    <w:rsid w:val="0F755FF6"/>
    <w:rsid w:val="0F7607B8"/>
    <w:rsid w:val="0F7656DC"/>
    <w:rsid w:val="0F784FB5"/>
    <w:rsid w:val="0F7C6E4E"/>
    <w:rsid w:val="0F7D081D"/>
    <w:rsid w:val="0F7E2F61"/>
    <w:rsid w:val="0F7F6343"/>
    <w:rsid w:val="0F800B80"/>
    <w:rsid w:val="0F82698C"/>
    <w:rsid w:val="0F837210"/>
    <w:rsid w:val="0F84430E"/>
    <w:rsid w:val="0F851C92"/>
    <w:rsid w:val="0F8A35F9"/>
    <w:rsid w:val="0F8B2F3A"/>
    <w:rsid w:val="0F8B4CE8"/>
    <w:rsid w:val="0F8E310F"/>
    <w:rsid w:val="0F927968"/>
    <w:rsid w:val="0F931DEF"/>
    <w:rsid w:val="0F977FCF"/>
    <w:rsid w:val="0F9A4F2B"/>
    <w:rsid w:val="0F9B0CA3"/>
    <w:rsid w:val="0F9D2C6D"/>
    <w:rsid w:val="0F9F0E23"/>
    <w:rsid w:val="0F9F1332"/>
    <w:rsid w:val="0FA06B52"/>
    <w:rsid w:val="0FA20284"/>
    <w:rsid w:val="0FA21A66"/>
    <w:rsid w:val="0FA271D0"/>
    <w:rsid w:val="0FA405E3"/>
    <w:rsid w:val="0FA57681"/>
    <w:rsid w:val="0FA6495B"/>
    <w:rsid w:val="0FA77AC3"/>
    <w:rsid w:val="0FA91612"/>
    <w:rsid w:val="0FAA45CF"/>
    <w:rsid w:val="0FAB3402"/>
    <w:rsid w:val="0FAE09D7"/>
    <w:rsid w:val="0FAF0E26"/>
    <w:rsid w:val="0FB24D32"/>
    <w:rsid w:val="0FB51D65"/>
    <w:rsid w:val="0FB56DA3"/>
    <w:rsid w:val="0FB87AA7"/>
    <w:rsid w:val="0FBB29F6"/>
    <w:rsid w:val="0FBC1346"/>
    <w:rsid w:val="0FBC42C0"/>
    <w:rsid w:val="0FBD187A"/>
    <w:rsid w:val="0FBF2BE4"/>
    <w:rsid w:val="0FC029F7"/>
    <w:rsid w:val="0FC14BAE"/>
    <w:rsid w:val="0FC41FA8"/>
    <w:rsid w:val="0FC62034"/>
    <w:rsid w:val="0FC72972"/>
    <w:rsid w:val="0FC81E9D"/>
    <w:rsid w:val="0FC87CEA"/>
    <w:rsid w:val="0FCD558A"/>
    <w:rsid w:val="0FCE2A92"/>
    <w:rsid w:val="0FCE5F07"/>
    <w:rsid w:val="0FD4257E"/>
    <w:rsid w:val="0FD50701"/>
    <w:rsid w:val="0FD51518"/>
    <w:rsid w:val="0FDA3DE2"/>
    <w:rsid w:val="0FDB1AA7"/>
    <w:rsid w:val="0FDC3796"/>
    <w:rsid w:val="0FDD306A"/>
    <w:rsid w:val="0FDF6DE2"/>
    <w:rsid w:val="0FE161A4"/>
    <w:rsid w:val="0FE35C25"/>
    <w:rsid w:val="0FE62385"/>
    <w:rsid w:val="0FE6404B"/>
    <w:rsid w:val="0FE85594"/>
    <w:rsid w:val="0FEA729A"/>
    <w:rsid w:val="0FEB5787"/>
    <w:rsid w:val="0FED59A3"/>
    <w:rsid w:val="0FF02658"/>
    <w:rsid w:val="0FF22FB9"/>
    <w:rsid w:val="0FF56606"/>
    <w:rsid w:val="0FF60449"/>
    <w:rsid w:val="0FF637C6"/>
    <w:rsid w:val="0FFA686B"/>
    <w:rsid w:val="0FFC5B6D"/>
    <w:rsid w:val="0FFC5BE6"/>
    <w:rsid w:val="0FFE195E"/>
    <w:rsid w:val="0FFE370C"/>
    <w:rsid w:val="0FFF7484"/>
    <w:rsid w:val="100131FC"/>
    <w:rsid w:val="1002670B"/>
    <w:rsid w:val="10035D93"/>
    <w:rsid w:val="10053D44"/>
    <w:rsid w:val="10054A8B"/>
    <w:rsid w:val="1005735E"/>
    <w:rsid w:val="10066D9E"/>
    <w:rsid w:val="100920B1"/>
    <w:rsid w:val="100924EC"/>
    <w:rsid w:val="100A2DAF"/>
    <w:rsid w:val="100D1C89"/>
    <w:rsid w:val="100F3B6B"/>
    <w:rsid w:val="10101691"/>
    <w:rsid w:val="10107491"/>
    <w:rsid w:val="10156893"/>
    <w:rsid w:val="10172A20"/>
    <w:rsid w:val="10174381"/>
    <w:rsid w:val="101761F1"/>
    <w:rsid w:val="101904F8"/>
    <w:rsid w:val="10190546"/>
    <w:rsid w:val="10196798"/>
    <w:rsid w:val="101B2AA3"/>
    <w:rsid w:val="10211C20"/>
    <w:rsid w:val="10270ED7"/>
    <w:rsid w:val="10280789"/>
    <w:rsid w:val="10284C2D"/>
    <w:rsid w:val="10294D09"/>
    <w:rsid w:val="10295514"/>
    <w:rsid w:val="102B64CB"/>
    <w:rsid w:val="102F51A4"/>
    <w:rsid w:val="103233B6"/>
    <w:rsid w:val="1032785A"/>
    <w:rsid w:val="10333030"/>
    <w:rsid w:val="10333058"/>
    <w:rsid w:val="10345A86"/>
    <w:rsid w:val="10392996"/>
    <w:rsid w:val="10394744"/>
    <w:rsid w:val="103A467A"/>
    <w:rsid w:val="103B7B63"/>
    <w:rsid w:val="103C2486"/>
    <w:rsid w:val="103D7558"/>
    <w:rsid w:val="103E39D5"/>
    <w:rsid w:val="103E61FE"/>
    <w:rsid w:val="103F0C13"/>
    <w:rsid w:val="103F3D25"/>
    <w:rsid w:val="103F5AD3"/>
    <w:rsid w:val="104424E1"/>
    <w:rsid w:val="10444FAD"/>
    <w:rsid w:val="10466E61"/>
    <w:rsid w:val="104C5A29"/>
    <w:rsid w:val="104C612D"/>
    <w:rsid w:val="104E3024"/>
    <w:rsid w:val="104F21BA"/>
    <w:rsid w:val="1050589D"/>
    <w:rsid w:val="10507CE0"/>
    <w:rsid w:val="10513F15"/>
    <w:rsid w:val="10523A58"/>
    <w:rsid w:val="105A46BB"/>
    <w:rsid w:val="105C0433"/>
    <w:rsid w:val="105C6F9F"/>
    <w:rsid w:val="105D0CD7"/>
    <w:rsid w:val="105D0DB2"/>
    <w:rsid w:val="105D722D"/>
    <w:rsid w:val="105E23FD"/>
    <w:rsid w:val="10610E39"/>
    <w:rsid w:val="10611C93"/>
    <w:rsid w:val="10635126"/>
    <w:rsid w:val="1065378B"/>
    <w:rsid w:val="106663EC"/>
    <w:rsid w:val="10675755"/>
    <w:rsid w:val="10681048"/>
    <w:rsid w:val="10685029"/>
    <w:rsid w:val="106A7B66"/>
    <w:rsid w:val="106D0892"/>
    <w:rsid w:val="106F0166"/>
    <w:rsid w:val="10703EDE"/>
    <w:rsid w:val="10731EA3"/>
    <w:rsid w:val="1074577C"/>
    <w:rsid w:val="10776E13"/>
    <w:rsid w:val="107B2FAF"/>
    <w:rsid w:val="107B717A"/>
    <w:rsid w:val="107C3AC0"/>
    <w:rsid w:val="107E65FB"/>
    <w:rsid w:val="107F236E"/>
    <w:rsid w:val="10806817"/>
    <w:rsid w:val="10815492"/>
    <w:rsid w:val="10864295"/>
    <w:rsid w:val="108665B6"/>
    <w:rsid w:val="10871B85"/>
    <w:rsid w:val="108A4FA0"/>
    <w:rsid w:val="108B0D18"/>
    <w:rsid w:val="108D1597"/>
    <w:rsid w:val="108D558D"/>
    <w:rsid w:val="108F05D7"/>
    <w:rsid w:val="108F0808"/>
    <w:rsid w:val="108F10E1"/>
    <w:rsid w:val="108F3DD9"/>
    <w:rsid w:val="10923E54"/>
    <w:rsid w:val="10931ACE"/>
    <w:rsid w:val="109376BC"/>
    <w:rsid w:val="10944070"/>
    <w:rsid w:val="10961B97"/>
    <w:rsid w:val="10997B3A"/>
    <w:rsid w:val="109B1000"/>
    <w:rsid w:val="109D12F7"/>
    <w:rsid w:val="10A342B4"/>
    <w:rsid w:val="10A5627E"/>
    <w:rsid w:val="10A736E6"/>
    <w:rsid w:val="10A73DA4"/>
    <w:rsid w:val="10A87B1C"/>
    <w:rsid w:val="10AA3894"/>
    <w:rsid w:val="10AA5642"/>
    <w:rsid w:val="10AB7763"/>
    <w:rsid w:val="10AC1E65"/>
    <w:rsid w:val="10AE4E8E"/>
    <w:rsid w:val="10B1077E"/>
    <w:rsid w:val="10B25DF3"/>
    <w:rsid w:val="10B6142F"/>
    <w:rsid w:val="10BA3678"/>
    <w:rsid w:val="10BB73B8"/>
    <w:rsid w:val="10C20BDE"/>
    <w:rsid w:val="10C2298C"/>
    <w:rsid w:val="10C31EC1"/>
    <w:rsid w:val="10C77FA2"/>
    <w:rsid w:val="10C97016"/>
    <w:rsid w:val="10CA0F59"/>
    <w:rsid w:val="10CE34D0"/>
    <w:rsid w:val="10D020B7"/>
    <w:rsid w:val="10D0497D"/>
    <w:rsid w:val="10D75D0B"/>
    <w:rsid w:val="10D80401"/>
    <w:rsid w:val="10DC1574"/>
    <w:rsid w:val="10DD5A17"/>
    <w:rsid w:val="10DE353E"/>
    <w:rsid w:val="10E24DDC"/>
    <w:rsid w:val="10E2678A"/>
    <w:rsid w:val="10E36DA6"/>
    <w:rsid w:val="10E53C51"/>
    <w:rsid w:val="10E8616A"/>
    <w:rsid w:val="10E87F18"/>
    <w:rsid w:val="10EC17B7"/>
    <w:rsid w:val="10ED3781"/>
    <w:rsid w:val="10ED552F"/>
    <w:rsid w:val="10EF1016"/>
    <w:rsid w:val="10F22B45"/>
    <w:rsid w:val="10F35EDA"/>
    <w:rsid w:val="10F81754"/>
    <w:rsid w:val="10F93ED3"/>
    <w:rsid w:val="10FD4DAB"/>
    <w:rsid w:val="10FD70FE"/>
    <w:rsid w:val="10FE773C"/>
    <w:rsid w:val="10FF22C9"/>
    <w:rsid w:val="1102547E"/>
    <w:rsid w:val="110603FE"/>
    <w:rsid w:val="11067D65"/>
    <w:rsid w:val="11072A94"/>
    <w:rsid w:val="11074842"/>
    <w:rsid w:val="110A60E1"/>
    <w:rsid w:val="110D33FF"/>
    <w:rsid w:val="110F1368"/>
    <w:rsid w:val="110F1949"/>
    <w:rsid w:val="110F36F7"/>
    <w:rsid w:val="1111121D"/>
    <w:rsid w:val="11160F29"/>
    <w:rsid w:val="11162CD7"/>
    <w:rsid w:val="111807FE"/>
    <w:rsid w:val="111A5141"/>
    <w:rsid w:val="111B6540"/>
    <w:rsid w:val="111D3578"/>
    <w:rsid w:val="111F62D1"/>
    <w:rsid w:val="11203B56"/>
    <w:rsid w:val="1120729F"/>
    <w:rsid w:val="11252F1A"/>
    <w:rsid w:val="11254CC9"/>
    <w:rsid w:val="11273C1E"/>
    <w:rsid w:val="112A66CD"/>
    <w:rsid w:val="112C24FB"/>
    <w:rsid w:val="112F78F5"/>
    <w:rsid w:val="1131366D"/>
    <w:rsid w:val="11346136"/>
    <w:rsid w:val="11372BDF"/>
    <w:rsid w:val="11392EC9"/>
    <w:rsid w:val="11393235"/>
    <w:rsid w:val="113B1005"/>
    <w:rsid w:val="113B273E"/>
    <w:rsid w:val="113E3FDC"/>
    <w:rsid w:val="114628C3"/>
    <w:rsid w:val="114975D4"/>
    <w:rsid w:val="114A6C4C"/>
    <w:rsid w:val="114D0E7F"/>
    <w:rsid w:val="114E2471"/>
    <w:rsid w:val="114F61E9"/>
    <w:rsid w:val="114F7F97"/>
    <w:rsid w:val="11502A5D"/>
    <w:rsid w:val="115158F7"/>
    <w:rsid w:val="11533A80"/>
    <w:rsid w:val="11545714"/>
    <w:rsid w:val="11551A52"/>
    <w:rsid w:val="11553800"/>
    <w:rsid w:val="1158509E"/>
    <w:rsid w:val="11586E4C"/>
    <w:rsid w:val="11592BC4"/>
    <w:rsid w:val="115B06EA"/>
    <w:rsid w:val="115B2DE0"/>
    <w:rsid w:val="115B52D8"/>
    <w:rsid w:val="116003F7"/>
    <w:rsid w:val="11627CCB"/>
    <w:rsid w:val="11641C95"/>
    <w:rsid w:val="11644A05"/>
    <w:rsid w:val="11653899"/>
    <w:rsid w:val="11671EF6"/>
    <w:rsid w:val="116752E1"/>
    <w:rsid w:val="11685F57"/>
    <w:rsid w:val="116B3023"/>
    <w:rsid w:val="1170063A"/>
    <w:rsid w:val="11716160"/>
    <w:rsid w:val="117233EF"/>
    <w:rsid w:val="11726DB3"/>
    <w:rsid w:val="11741071"/>
    <w:rsid w:val="11763776"/>
    <w:rsid w:val="11783073"/>
    <w:rsid w:val="11785740"/>
    <w:rsid w:val="117874EE"/>
    <w:rsid w:val="117A14B8"/>
    <w:rsid w:val="11805965"/>
    <w:rsid w:val="118358AD"/>
    <w:rsid w:val="118625FB"/>
    <w:rsid w:val="11862EF7"/>
    <w:rsid w:val="11885194"/>
    <w:rsid w:val="118934A9"/>
    <w:rsid w:val="118937D1"/>
    <w:rsid w:val="118A3C0E"/>
    <w:rsid w:val="118E7D16"/>
    <w:rsid w:val="118F1ECA"/>
    <w:rsid w:val="11937BFA"/>
    <w:rsid w:val="11945ED2"/>
    <w:rsid w:val="11950448"/>
    <w:rsid w:val="11965BC6"/>
    <w:rsid w:val="11967974"/>
    <w:rsid w:val="1198193E"/>
    <w:rsid w:val="11990174"/>
    <w:rsid w:val="119A6215"/>
    <w:rsid w:val="119B31DD"/>
    <w:rsid w:val="119B4F8B"/>
    <w:rsid w:val="119C2276"/>
    <w:rsid w:val="119F4A7B"/>
    <w:rsid w:val="11A07841"/>
    <w:rsid w:val="11A303C0"/>
    <w:rsid w:val="11A46535"/>
    <w:rsid w:val="11A71B81"/>
    <w:rsid w:val="11AA57D3"/>
    <w:rsid w:val="11AD3DEC"/>
    <w:rsid w:val="11AE2F10"/>
    <w:rsid w:val="11AE74B8"/>
    <w:rsid w:val="11AF3F8B"/>
    <w:rsid w:val="11B0144A"/>
    <w:rsid w:val="11B04EDA"/>
    <w:rsid w:val="11B30526"/>
    <w:rsid w:val="11BA27CD"/>
    <w:rsid w:val="11BB654F"/>
    <w:rsid w:val="11BB79E4"/>
    <w:rsid w:val="11BD0599"/>
    <w:rsid w:val="11BD13A5"/>
    <w:rsid w:val="11BE45E9"/>
    <w:rsid w:val="11C22033"/>
    <w:rsid w:val="11C22850"/>
    <w:rsid w:val="11C3034F"/>
    <w:rsid w:val="11C52008"/>
    <w:rsid w:val="11C66E2C"/>
    <w:rsid w:val="11CA632F"/>
    <w:rsid w:val="11CC783A"/>
    <w:rsid w:val="11D00614"/>
    <w:rsid w:val="11D20850"/>
    <w:rsid w:val="11D20F73"/>
    <w:rsid w:val="11D64215"/>
    <w:rsid w:val="11D74474"/>
    <w:rsid w:val="11D755F1"/>
    <w:rsid w:val="11DA0D9F"/>
    <w:rsid w:val="11DA2C2F"/>
    <w:rsid w:val="11DC4C8A"/>
    <w:rsid w:val="11DE5594"/>
    <w:rsid w:val="11DF131B"/>
    <w:rsid w:val="11DF30C9"/>
    <w:rsid w:val="11E0001D"/>
    <w:rsid w:val="11E27C66"/>
    <w:rsid w:val="11E913E1"/>
    <w:rsid w:val="11EB4164"/>
    <w:rsid w:val="11EE155E"/>
    <w:rsid w:val="11F2192F"/>
    <w:rsid w:val="11F26352"/>
    <w:rsid w:val="11F272A1"/>
    <w:rsid w:val="11F34DC7"/>
    <w:rsid w:val="11F428F3"/>
    <w:rsid w:val="11F56D91"/>
    <w:rsid w:val="11F74C47"/>
    <w:rsid w:val="11FC011F"/>
    <w:rsid w:val="11FE3E97"/>
    <w:rsid w:val="11FF19BD"/>
    <w:rsid w:val="1200463A"/>
    <w:rsid w:val="120476A6"/>
    <w:rsid w:val="120538FB"/>
    <w:rsid w:val="12080872"/>
    <w:rsid w:val="120871D7"/>
    <w:rsid w:val="1209283C"/>
    <w:rsid w:val="12097BB6"/>
    <w:rsid w:val="120A4ADD"/>
    <w:rsid w:val="120F6395"/>
    <w:rsid w:val="12130FC5"/>
    <w:rsid w:val="12163FE7"/>
    <w:rsid w:val="12180AB1"/>
    <w:rsid w:val="12192A7F"/>
    <w:rsid w:val="121A1366"/>
    <w:rsid w:val="121A7B54"/>
    <w:rsid w:val="121D0BF1"/>
    <w:rsid w:val="121D3BF2"/>
    <w:rsid w:val="121F5BBC"/>
    <w:rsid w:val="122356AC"/>
    <w:rsid w:val="122431D2"/>
    <w:rsid w:val="122561ED"/>
    <w:rsid w:val="1226669A"/>
    <w:rsid w:val="12286768"/>
    <w:rsid w:val="1229115B"/>
    <w:rsid w:val="122D2087"/>
    <w:rsid w:val="122F102B"/>
    <w:rsid w:val="12333415"/>
    <w:rsid w:val="1234172D"/>
    <w:rsid w:val="123A29F6"/>
    <w:rsid w:val="123A47A4"/>
    <w:rsid w:val="123D2B5C"/>
    <w:rsid w:val="123D3F18"/>
    <w:rsid w:val="123E4294"/>
    <w:rsid w:val="123E6C3F"/>
    <w:rsid w:val="12406E9B"/>
    <w:rsid w:val="12415B32"/>
    <w:rsid w:val="1249443F"/>
    <w:rsid w:val="124A2DD3"/>
    <w:rsid w:val="124B3562"/>
    <w:rsid w:val="124B4C03"/>
    <w:rsid w:val="12525F91"/>
    <w:rsid w:val="125266DB"/>
    <w:rsid w:val="12580ADD"/>
    <w:rsid w:val="12597320"/>
    <w:rsid w:val="12597DB7"/>
    <w:rsid w:val="125C296C"/>
    <w:rsid w:val="125D0492"/>
    <w:rsid w:val="126132D0"/>
    <w:rsid w:val="126161D4"/>
    <w:rsid w:val="12620C11"/>
    <w:rsid w:val="12631F4C"/>
    <w:rsid w:val="12635AA8"/>
    <w:rsid w:val="12660C5E"/>
    <w:rsid w:val="12665E0E"/>
    <w:rsid w:val="126675CA"/>
    <w:rsid w:val="12696E37"/>
    <w:rsid w:val="126B2BAF"/>
    <w:rsid w:val="126B3818"/>
    <w:rsid w:val="12705F50"/>
    <w:rsid w:val="12722637"/>
    <w:rsid w:val="12745F08"/>
    <w:rsid w:val="127609E0"/>
    <w:rsid w:val="127870B8"/>
    <w:rsid w:val="1279351E"/>
    <w:rsid w:val="12797E16"/>
    <w:rsid w:val="127A0DDC"/>
    <w:rsid w:val="127A7296"/>
    <w:rsid w:val="127C4DBC"/>
    <w:rsid w:val="127C5AAD"/>
    <w:rsid w:val="127F665A"/>
    <w:rsid w:val="12810624"/>
    <w:rsid w:val="12823991"/>
    <w:rsid w:val="12881C51"/>
    <w:rsid w:val="12883761"/>
    <w:rsid w:val="1288550F"/>
    <w:rsid w:val="128856AD"/>
    <w:rsid w:val="128A63ED"/>
    <w:rsid w:val="128E47CA"/>
    <w:rsid w:val="12935927"/>
    <w:rsid w:val="12977E48"/>
    <w:rsid w:val="129A3494"/>
    <w:rsid w:val="129B488B"/>
    <w:rsid w:val="129C5D80"/>
    <w:rsid w:val="129E7DDF"/>
    <w:rsid w:val="12A14823"/>
    <w:rsid w:val="12A21E1B"/>
    <w:rsid w:val="12A3059B"/>
    <w:rsid w:val="12A32349"/>
    <w:rsid w:val="12A5555D"/>
    <w:rsid w:val="12A738C8"/>
    <w:rsid w:val="12A765FF"/>
    <w:rsid w:val="12AA12B5"/>
    <w:rsid w:val="12AB744F"/>
    <w:rsid w:val="12AC7DA1"/>
    <w:rsid w:val="12AF6F40"/>
    <w:rsid w:val="12B35F6C"/>
    <w:rsid w:val="12B44556"/>
    <w:rsid w:val="12B80D06"/>
    <w:rsid w:val="12BF6E85"/>
    <w:rsid w:val="12C0114D"/>
    <w:rsid w:val="12C34799"/>
    <w:rsid w:val="12C549B5"/>
    <w:rsid w:val="12C5526A"/>
    <w:rsid w:val="12C60256"/>
    <w:rsid w:val="12C619D7"/>
    <w:rsid w:val="12C624DB"/>
    <w:rsid w:val="12C737B5"/>
    <w:rsid w:val="12C759E0"/>
    <w:rsid w:val="12C80001"/>
    <w:rsid w:val="12C82644"/>
    <w:rsid w:val="12CA3D79"/>
    <w:rsid w:val="12CF1390"/>
    <w:rsid w:val="12CF313E"/>
    <w:rsid w:val="12CF3415"/>
    <w:rsid w:val="12D40754"/>
    <w:rsid w:val="12D94892"/>
    <w:rsid w:val="12DA1AE3"/>
    <w:rsid w:val="12DB5F87"/>
    <w:rsid w:val="12DE15D3"/>
    <w:rsid w:val="12E00E7D"/>
    <w:rsid w:val="12E03B69"/>
    <w:rsid w:val="12E110C3"/>
    <w:rsid w:val="12E12E71"/>
    <w:rsid w:val="12E30817"/>
    <w:rsid w:val="12E3308D"/>
    <w:rsid w:val="12E55A06"/>
    <w:rsid w:val="12E82452"/>
    <w:rsid w:val="12E85A59"/>
    <w:rsid w:val="12EA2F3A"/>
    <w:rsid w:val="12EB3CF0"/>
    <w:rsid w:val="12EB689D"/>
    <w:rsid w:val="12EC0194"/>
    <w:rsid w:val="12EF558E"/>
    <w:rsid w:val="12F17558"/>
    <w:rsid w:val="12F4761F"/>
    <w:rsid w:val="12F60AE4"/>
    <w:rsid w:val="12F708E7"/>
    <w:rsid w:val="12F86B39"/>
    <w:rsid w:val="12FC462E"/>
    <w:rsid w:val="12FC64E7"/>
    <w:rsid w:val="12FF14BF"/>
    <w:rsid w:val="130059ED"/>
    <w:rsid w:val="130322E2"/>
    <w:rsid w:val="13053004"/>
    <w:rsid w:val="13054DB2"/>
    <w:rsid w:val="13080F1D"/>
    <w:rsid w:val="130A061A"/>
    <w:rsid w:val="130A4366"/>
    <w:rsid w:val="130D544F"/>
    <w:rsid w:val="130E2754"/>
    <w:rsid w:val="13104D50"/>
    <w:rsid w:val="1311000A"/>
    <w:rsid w:val="131232E2"/>
    <w:rsid w:val="13141499"/>
    <w:rsid w:val="13182D37"/>
    <w:rsid w:val="13197530"/>
    <w:rsid w:val="131C20FB"/>
    <w:rsid w:val="131E2E49"/>
    <w:rsid w:val="131E5E73"/>
    <w:rsid w:val="13217712"/>
    <w:rsid w:val="1322046E"/>
    <w:rsid w:val="132316DC"/>
    <w:rsid w:val="132502C8"/>
    <w:rsid w:val="13255454"/>
    <w:rsid w:val="13280AA0"/>
    <w:rsid w:val="132868C4"/>
    <w:rsid w:val="132A0CBC"/>
    <w:rsid w:val="132B7303"/>
    <w:rsid w:val="1331204B"/>
    <w:rsid w:val="13313DF9"/>
    <w:rsid w:val="1332191F"/>
    <w:rsid w:val="13345B5C"/>
    <w:rsid w:val="13345E81"/>
    <w:rsid w:val="13381DB3"/>
    <w:rsid w:val="133833D9"/>
    <w:rsid w:val="13386F35"/>
    <w:rsid w:val="13392CAD"/>
    <w:rsid w:val="13394A5B"/>
    <w:rsid w:val="133B3908"/>
    <w:rsid w:val="133E3ADF"/>
    <w:rsid w:val="133E4AFE"/>
    <w:rsid w:val="1340403C"/>
    <w:rsid w:val="13413D6E"/>
    <w:rsid w:val="13423A92"/>
    <w:rsid w:val="13433B2C"/>
    <w:rsid w:val="13440C81"/>
    <w:rsid w:val="134C478E"/>
    <w:rsid w:val="134E6759"/>
    <w:rsid w:val="134F0723"/>
    <w:rsid w:val="1350710E"/>
    <w:rsid w:val="13510821"/>
    <w:rsid w:val="13516071"/>
    <w:rsid w:val="13521EB6"/>
    <w:rsid w:val="13537988"/>
    <w:rsid w:val="13541895"/>
    <w:rsid w:val="13545D39"/>
    <w:rsid w:val="13547063"/>
    <w:rsid w:val="13555C66"/>
    <w:rsid w:val="13586BC3"/>
    <w:rsid w:val="135B0E75"/>
    <w:rsid w:val="135B10B6"/>
    <w:rsid w:val="135D4BEE"/>
    <w:rsid w:val="135D699C"/>
    <w:rsid w:val="135E44C2"/>
    <w:rsid w:val="135E68F0"/>
    <w:rsid w:val="136046DE"/>
    <w:rsid w:val="13622204"/>
    <w:rsid w:val="13645F7C"/>
    <w:rsid w:val="136617BC"/>
    <w:rsid w:val="13675A6C"/>
    <w:rsid w:val="136A2E67"/>
    <w:rsid w:val="136A730B"/>
    <w:rsid w:val="136C4E31"/>
    <w:rsid w:val="136E6DFB"/>
    <w:rsid w:val="136E7F4E"/>
    <w:rsid w:val="136F4921"/>
    <w:rsid w:val="136F4E9A"/>
    <w:rsid w:val="136F66CF"/>
    <w:rsid w:val="13715411"/>
    <w:rsid w:val="13722AF6"/>
    <w:rsid w:val="137609B5"/>
    <w:rsid w:val="137668AA"/>
    <w:rsid w:val="13771000"/>
    <w:rsid w:val="13780B86"/>
    <w:rsid w:val="137B5E51"/>
    <w:rsid w:val="137D5290"/>
    <w:rsid w:val="137F2DB6"/>
    <w:rsid w:val="1380268A"/>
    <w:rsid w:val="13831B37"/>
    <w:rsid w:val="1387409F"/>
    <w:rsid w:val="13897791"/>
    <w:rsid w:val="138A175B"/>
    <w:rsid w:val="138D23D7"/>
    <w:rsid w:val="138D5C7C"/>
    <w:rsid w:val="138E4DA7"/>
    <w:rsid w:val="1397267E"/>
    <w:rsid w:val="1397700B"/>
    <w:rsid w:val="13983E78"/>
    <w:rsid w:val="13996C84"/>
    <w:rsid w:val="139B3968"/>
    <w:rsid w:val="139F2EE6"/>
    <w:rsid w:val="139F590B"/>
    <w:rsid w:val="13A00449"/>
    <w:rsid w:val="13A04ADA"/>
    <w:rsid w:val="13A20852"/>
    <w:rsid w:val="13A22600"/>
    <w:rsid w:val="13A445CA"/>
    <w:rsid w:val="13A50343"/>
    <w:rsid w:val="13A9112D"/>
    <w:rsid w:val="13A929FF"/>
    <w:rsid w:val="13A97E33"/>
    <w:rsid w:val="13AD711E"/>
    <w:rsid w:val="13AD7CBC"/>
    <w:rsid w:val="13AE71F7"/>
    <w:rsid w:val="13B128EB"/>
    <w:rsid w:val="13B14F39"/>
    <w:rsid w:val="13B3480E"/>
    <w:rsid w:val="13B62550"/>
    <w:rsid w:val="13B642FE"/>
    <w:rsid w:val="13B660AC"/>
    <w:rsid w:val="13B73443"/>
    <w:rsid w:val="13B862C8"/>
    <w:rsid w:val="13BB4679"/>
    <w:rsid w:val="13BD38DE"/>
    <w:rsid w:val="13BE7E33"/>
    <w:rsid w:val="13BF31B2"/>
    <w:rsid w:val="13C06F2A"/>
    <w:rsid w:val="13C20EF5"/>
    <w:rsid w:val="13C317BF"/>
    <w:rsid w:val="13CA1BEF"/>
    <w:rsid w:val="13CC3517"/>
    <w:rsid w:val="13CC6536"/>
    <w:rsid w:val="13D220D9"/>
    <w:rsid w:val="13D46D18"/>
    <w:rsid w:val="13D84274"/>
    <w:rsid w:val="13D85AAA"/>
    <w:rsid w:val="13D92A88"/>
    <w:rsid w:val="13DA1B6B"/>
    <w:rsid w:val="13DF1AA7"/>
    <w:rsid w:val="13E04456"/>
    <w:rsid w:val="13E13B51"/>
    <w:rsid w:val="13E14B44"/>
    <w:rsid w:val="13E40E6B"/>
    <w:rsid w:val="13E42C19"/>
    <w:rsid w:val="13E454B0"/>
    <w:rsid w:val="13E56991"/>
    <w:rsid w:val="13E81F6D"/>
    <w:rsid w:val="13E842F0"/>
    <w:rsid w:val="13EA25F8"/>
    <w:rsid w:val="13EB21F9"/>
    <w:rsid w:val="13EB2378"/>
    <w:rsid w:val="13ED56EA"/>
    <w:rsid w:val="13EF0B03"/>
    <w:rsid w:val="13F1641F"/>
    <w:rsid w:val="13F32811"/>
    <w:rsid w:val="13F3608D"/>
    <w:rsid w:val="13F37300"/>
    <w:rsid w:val="13F50528"/>
    <w:rsid w:val="13F54E26"/>
    <w:rsid w:val="13F916CD"/>
    <w:rsid w:val="13FA068E"/>
    <w:rsid w:val="13FC43E6"/>
    <w:rsid w:val="13FD3CDB"/>
    <w:rsid w:val="14015E1B"/>
    <w:rsid w:val="140212F1"/>
    <w:rsid w:val="1407681E"/>
    <w:rsid w:val="14083E68"/>
    <w:rsid w:val="140C03C2"/>
    <w:rsid w:val="140C3C49"/>
    <w:rsid w:val="140E413A"/>
    <w:rsid w:val="14117786"/>
    <w:rsid w:val="14123C2A"/>
    <w:rsid w:val="14151024"/>
    <w:rsid w:val="141D437D"/>
    <w:rsid w:val="141F00F5"/>
    <w:rsid w:val="14215C1B"/>
    <w:rsid w:val="14225262"/>
    <w:rsid w:val="14255513"/>
    <w:rsid w:val="14284B87"/>
    <w:rsid w:val="142945AA"/>
    <w:rsid w:val="142B3E84"/>
    <w:rsid w:val="142F1D04"/>
    <w:rsid w:val="143040B0"/>
    <w:rsid w:val="14305E5E"/>
    <w:rsid w:val="1433594E"/>
    <w:rsid w:val="14346991"/>
    <w:rsid w:val="14353C58"/>
    <w:rsid w:val="14356223"/>
    <w:rsid w:val="14365E9C"/>
    <w:rsid w:val="143771ED"/>
    <w:rsid w:val="143811B7"/>
    <w:rsid w:val="1438587B"/>
    <w:rsid w:val="143958D1"/>
    <w:rsid w:val="143B0753"/>
    <w:rsid w:val="143B4C57"/>
    <w:rsid w:val="143F0000"/>
    <w:rsid w:val="143F472F"/>
    <w:rsid w:val="14412E55"/>
    <w:rsid w:val="144165CB"/>
    <w:rsid w:val="14423DE3"/>
    <w:rsid w:val="14424448"/>
    <w:rsid w:val="14424641"/>
    <w:rsid w:val="14433D9A"/>
    <w:rsid w:val="14476776"/>
    <w:rsid w:val="144B0EEA"/>
    <w:rsid w:val="14501DE4"/>
    <w:rsid w:val="14513CCA"/>
    <w:rsid w:val="14543108"/>
    <w:rsid w:val="145547EB"/>
    <w:rsid w:val="145612F5"/>
    <w:rsid w:val="145853B5"/>
    <w:rsid w:val="14587163"/>
    <w:rsid w:val="14593E9D"/>
    <w:rsid w:val="145A737F"/>
    <w:rsid w:val="145C4EA5"/>
    <w:rsid w:val="145D29CB"/>
    <w:rsid w:val="145E6879"/>
    <w:rsid w:val="14611454"/>
    <w:rsid w:val="146124BC"/>
    <w:rsid w:val="14634486"/>
    <w:rsid w:val="146401FE"/>
    <w:rsid w:val="14653A15"/>
    <w:rsid w:val="1468384A"/>
    <w:rsid w:val="146D0E60"/>
    <w:rsid w:val="147026FF"/>
    <w:rsid w:val="14736230"/>
    <w:rsid w:val="14752535"/>
    <w:rsid w:val="14774C36"/>
    <w:rsid w:val="147A532B"/>
    <w:rsid w:val="147C54A6"/>
    <w:rsid w:val="147F6DE6"/>
    <w:rsid w:val="14801AF7"/>
    <w:rsid w:val="14824C66"/>
    <w:rsid w:val="14830684"/>
    <w:rsid w:val="148438F3"/>
    <w:rsid w:val="14860F5C"/>
    <w:rsid w:val="14881128"/>
    <w:rsid w:val="148F5961"/>
    <w:rsid w:val="149029FC"/>
    <w:rsid w:val="149212A6"/>
    <w:rsid w:val="14926B19"/>
    <w:rsid w:val="149363ED"/>
    <w:rsid w:val="14943AA4"/>
    <w:rsid w:val="14961D95"/>
    <w:rsid w:val="14973315"/>
    <w:rsid w:val="149A59CD"/>
    <w:rsid w:val="149C1746"/>
    <w:rsid w:val="14A32948"/>
    <w:rsid w:val="14A405FA"/>
    <w:rsid w:val="14A67E30"/>
    <w:rsid w:val="14A800EA"/>
    <w:rsid w:val="14AC220C"/>
    <w:rsid w:val="14AE0900"/>
    <w:rsid w:val="14AE3227"/>
    <w:rsid w:val="14B00D4D"/>
    <w:rsid w:val="14B307DB"/>
    <w:rsid w:val="14BA748E"/>
    <w:rsid w:val="14BB6070"/>
    <w:rsid w:val="14BC76F2"/>
    <w:rsid w:val="14BE16BC"/>
    <w:rsid w:val="14BE790E"/>
    <w:rsid w:val="14C03686"/>
    <w:rsid w:val="14C13CDF"/>
    <w:rsid w:val="14C173FE"/>
    <w:rsid w:val="14C33176"/>
    <w:rsid w:val="14C36CD2"/>
    <w:rsid w:val="14C63B4B"/>
    <w:rsid w:val="14C959CD"/>
    <w:rsid w:val="14CB709C"/>
    <w:rsid w:val="14CD18FF"/>
    <w:rsid w:val="14CD38A6"/>
    <w:rsid w:val="14CD7B51"/>
    <w:rsid w:val="14D0690E"/>
    <w:rsid w:val="14D507B4"/>
    <w:rsid w:val="14D709D0"/>
    <w:rsid w:val="14D734BB"/>
    <w:rsid w:val="14D86870"/>
    <w:rsid w:val="14DB573E"/>
    <w:rsid w:val="14DE7FCA"/>
    <w:rsid w:val="14DF145A"/>
    <w:rsid w:val="14E1184E"/>
    <w:rsid w:val="14E37374"/>
    <w:rsid w:val="14E76E65"/>
    <w:rsid w:val="14E804E7"/>
    <w:rsid w:val="14E8498B"/>
    <w:rsid w:val="14E86F37"/>
    <w:rsid w:val="14E92B99"/>
    <w:rsid w:val="14EB7FD7"/>
    <w:rsid w:val="14ED3896"/>
    <w:rsid w:val="14EE3651"/>
    <w:rsid w:val="14EF3F6B"/>
    <w:rsid w:val="14F055ED"/>
    <w:rsid w:val="14F21061"/>
    <w:rsid w:val="14F41E29"/>
    <w:rsid w:val="14F43330"/>
    <w:rsid w:val="14F450DE"/>
    <w:rsid w:val="14F66761"/>
    <w:rsid w:val="14F83400"/>
    <w:rsid w:val="14F92278"/>
    <w:rsid w:val="14FA4638"/>
    <w:rsid w:val="14FB2910"/>
    <w:rsid w:val="14FD3553"/>
    <w:rsid w:val="14FE7D0A"/>
    <w:rsid w:val="15001CD4"/>
    <w:rsid w:val="15012D4C"/>
    <w:rsid w:val="150317C5"/>
    <w:rsid w:val="150A035F"/>
    <w:rsid w:val="150D582C"/>
    <w:rsid w:val="150F0B2F"/>
    <w:rsid w:val="150F3BAF"/>
    <w:rsid w:val="150F419C"/>
    <w:rsid w:val="150F646A"/>
    <w:rsid w:val="15121A08"/>
    <w:rsid w:val="15122BA8"/>
    <w:rsid w:val="15127A27"/>
    <w:rsid w:val="1516583C"/>
    <w:rsid w:val="1517701E"/>
    <w:rsid w:val="15184468"/>
    <w:rsid w:val="151874F8"/>
    <w:rsid w:val="15192D96"/>
    <w:rsid w:val="151A3F0B"/>
    <w:rsid w:val="151D2886"/>
    <w:rsid w:val="151F6812"/>
    <w:rsid w:val="15247046"/>
    <w:rsid w:val="15267261"/>
    <w:rsid w:val="152754CD"/>
    <w:rsid w:val="15280A08"/>
    <w:rsid w:val="1528122B"/>
    <w:rsid w:val="1529706A"/>
    <w:rsid w:val="152B4878"/>
    <w:rsid w:val="152C0D1B"/>
    <w:rsid w:val="152E4A94"/>
    <w:rsid w:val="152E5D9F"/>
    <w:rsid w:val="153035F0"/>
    <w:rsid w:val="15307872"/>
    <w:rsid w:val="15311E8E"/>
    <w:rsid w:val="15347BD0"/>
    <w:rsid w:val="153656F6"/>
    <w:rsid w:val="15394ADF"/>
    <w:rsid w:val="153B0F5F"/>
    <w:rsid w:val="154021BF"/>
    <w:rsid w:val="154047C7"/>
    <w:rsid w:val="154107F7"/>
    <w:rsid w:val="15412179"/>
    <w:rsid w:val="15415E49"/>
    <w:rsid w:val="15433117"/>
    <w:rsid w:val="154337CC"/>
    <w:rsid w:val="15453B8B"/>
    <w:rsid w:val="154A2F50"/>
    <w:rsid w:val="155142DE"/>
    <w:rsid w:val="15575410"/>
    <w:rsid w:val="15595889"/>
    <w:rsid w:val="155966B9"/>
    <w:rsid w:val="155D5602"/>
    <w:rsid w:val="155E0B40"/>
    <w:rsid w:val="155E3AED"/>
    <w:rsid w:val="1560095F"/>
    <w:rsid w:val="15610299"/>
    <w:rsid w:val="15632263"/>
    <w:rsid w:val="1563324D"/>
    <w:rsid w:val="15634011"/>
    <w:rsid w:val="15657D89"/>
    <w:rsid w:val="15695ACC"/>
    <w:rsid w:val="156B4488"/>
    <w:rsid w:val="156E0F20"/>
    <w:rsid w:val="156E53B8"/>
    <w:rsid w:val="156E60D3"/>
    <w:rsid w:val="156E6AFD"/>
    <w:rsid w:val="15714980"/>
    <w:rsid w:val="1574621E"/>
    <w:rsid w:val="15750E86"/>
    <w:rsid w:val="157538E9"/>
    <w:rsid w:val="15761F97"/>
    <w:rsid w:val="157C573F"/>
    <w:rsid w:val="157D0A4E"/>
    <w:rsid w:val="157D7E57"/>
    <w:rsid w:val="157E0E4B"/>
    <w:rsid w:val="157F1C29"/>
    <w:rsid w:val="157F52EF"/>
    <w:rsid w:val="157F7685"/>
    <w:rsid w:val="15804975"/>
    <w:rsid w:val="15805B4F"/>
    <w:rsid w:val="1585042C"/>
    <w:rsid w:val="158741A4"/>
    <w:rsid w:val="158B21C0"/>
    <w:rsid w:val="158B6F91"/>
    <w:rsid w:val="158C165B"/>
    <w:rsid w:val="158C3568"/>
    <w:rsid w:val="15913771"/>
    <w:rsid w:val="15953BC7"/>
    <w:rsid w:val="1598015F"/>
    <w:rsid w:val="159810C1"/>
    <w:rsid w:val="15996E05"/>
    <w:rsid w:val="159A2614"/>
    <w:rsid w:val="159A3ED7"/>
    <w:rsid w:val="159A6D7D"/>
    <w:rsid w:val="159B1B8A"/>
    <w:rsid w:val="159D5775"/>
    <w:rsid w:val="159E2CD2"/>
    <w:rsid w:val="15A20227"/>
    <w:rsid w:val="15A23050"/>
    <w:rsid w:val="15A25228"/>
    <w:rsid w:val="15A90F78"/>
    <w:rsid w:val="15AA64D6"/>
    <w:rsid w:val="15AE016E"/>
    <w:rsid w:val="15AE1730"/>
    <w:rsid w:val="15AE7982"/>
    <w:rsid w:val="15AF7772"/>
    <w:rsid w:val="15AF7BEF"/>
    <w:rsid w:val="15B101C8"/>
    <w:rsid w:val="15B10A56"/>
    <w:rsid w:val="15B11221"/>
    <w:rsid w:val="15B12FCF"/>
    <w:rsid w:val="15B24DE3"/>
    <w:rsid w:val="15B34F99"/>
    <w:rsid w:val="15B37B4D"/>
    <w:rsid w:val="15B43B6F"/>
    <w:rsid w:val="15B46AB9"/>
    <w:rsid w:val="15B53438"/>
    <w:rsid w:val="15B62640"/>
    <w:rsid w:val="15B630D8"/>
    <w:rsid w:val="15B77F45"/>
    <w:rsid w:val="15BB3E4D"/>
    <w:rsid w:val="15BD1974"/>
    <w:rsid w:val="15BE305A"/>
    <w:rsid w:val="15BF56EC"/>
    <w:rsid w:val="15C2342E"/>
    <w:rsid w:val="15C35B82"/>
    <w:rsid w:val="15C55FA9"/>
    <w:rsid w:val="15C617EC"/>
    <w:rsid w:val="15CD7F7E"/>
    <w:rsid w:val="15D078F9"/>
    <w:rsid w:val="15D37E54"/>
    <w:rsid w:val="15D54F0F"/>
    <w:rsid w:val="15D62A35"/>
    <w:rsid w:val="15D849FF"/>
    <w:rsid w:val="15DC0EA6"/>
    <w:rsid w:val="15DD2DB0"/>
    <w:rsid w:val="15DE2BFF"/>
    <w:rsid w:val="15E12966"/>
    <w:rsid w:val="15E2034C"/>
    <w:rsid w:val="15E213DA"/>
    <w:rsid w:val="15E27884"/>
    <w:rsid w:val="15E50ECA"/>
    <w:rsid w:val="15E769F0"/>
    <w:rsid w:val="15E909BB"/>
    <w:rsid w:val="15EA028F"/>
    <w:rsid w:val="15EA3C36"/>
    <w:rsid w:val="15F10ABA"/>
    <w:rsid w:val="15F1121E"/>
    <w:rsid w:val="15F35395"/>
    <w:rsid w:val="15F405EB"/>
    <w:rsid w:val="15F555B1"/>
    <w:rsid w:val="15F57BA9"/>
    <w:rsid w:val="15F86E50"/>
    <w:rsid w:val="15FA463D"/>
    <w:rsid w:val="15FA4976"/>
    <w:rsid w:val="15FB249C"/>
    <w:rsid w:val="15FB70AD"/>
    <w:rsid w:val="15FF01DE"/>
    <w:rsid w:val="15FF1F8C"/>
    <w:rsid w:val="16013F56"/>
    <w:rsid w:val="160475A2"/>
    <w:rsid w:val="16053D9D"/>
    <w:rsid w:val="16070E41"/>
    <w:rsid w:val="160A1F61"/>
    <w:rsid w:val="160B0931"/>
    <w:rsid w:val="160B1A0A"/>
    <w:rsid w:val="160E7BE2"/>
    <w:rsid w:val="160F7CF5"/>
    <w:rsid w:val="16111CBF"/>
    <w:rsid w:val="16113A6D"/>
    <w:rsid w:val="16133C89"/>
    <w:rsid w:val="16161084"/>
    <w:rsid w:val="16166774"/>
    <w:rsid w:val="16174836"/>
    <w:rsid w:val="1618304E"/>
    <w:rsid w:val="16187FAD"/>
    <w:rsid w:val="16201F02"/>
    <w:rsid w:val="16206DCA"/>
    <w:rsid w:val="16210542"/>
    <w:rsid w:val="162177D0"/>
    <w:rsid w:val="16223ECC"/>
    <w:rsid w:val="16257E16"/>
    <w:rsid w:val="162639BD"/>
    <w:rsid w:val="162B2B85"/>
    <w:rsid w:val="162B2D81"/>
    <w:rsid w:val="162C3C3A"/>
    <w:rsid w:val="162F523C"/>
    <w:rsid w:val="16300397"/>
    <w:rsid w:val="16332DAB"/>
    <w:rsid w:val="16351E52"/>
    <w:rsid w:val="163559AE"/>
    <w:rsid w:val="163B5D40"/>
    <w:rsid w:val="163D74DD"/>
    <w:rsid w:val="163E32FA"/>
    <w:rsid w:val="16450D3B"/>
    <w:rsid w:val="16466CE3"/>
    <w:rsid w:val="164717FA"/>
    <w:rsid w:val="1647748F"/>
    <w:rsid w:val="16481603"/>
    <w:rsid w:val="164B6F7F"/>
    <w:rsid w:val="164C27E1"/>
    <w:rsid w:val="165214C7"/>
    <w:rsid w:val="16553D6F"/>
    <w:rsid w:val="16555F66"/>
    <w:rsid w:val="16567F6E"/>
    <w:rsid w:val="165B1BD2"/>
    <w:rsid w:val="165F6ECF"/>
    <w:rsid w:val="16610551"/>
    <w:rsid w:val="16610D1A"/>
    <w:rsid w:val="166167A3"/>
    <w:rsid w:val="1662251B"/>
    <w:rsid w:val="16662A17"/>
    <w:rsid w:val="1667601C"/>
    <w:rsid w:val="16685D83"/>
    <w:rsid w:val="166868FF"/>
    <w:rsid w:val="16691AFB"/>
    <w:rsid w:val="166B13D0"/>
    <w:rsid w:val="166B2BA7"/>
    <w:rsid w:val="166D15EC"/>
    <w:rsid w:val="166D3094"/>
    <w:rsid w:val="16721C9F"/>
    <w:rsid w:val="16730284"/>
    <w:rsid w:val="167364D6"/>
    <w:rsid w:val="1674297A"/>
    <w:rsid w:val="167504A0"/>
    <w:rsid w:val="16751E7F"/>
    <w:rsid w:val="16761328"/>
    <w:rsid w:val="16762F22"/>
    <w:rsid w:val="16763EEB"/>
    <w:rsid w:val="16775FC6"/>
    <w:rsid w:val="16783AEC"/>
    <w:rsid w:val="16790968"/>
    <w:rsid w:val="167A5AB7"/>
    <w:rsid w:val="167C182F"/>
    <w:rsid w:val="167E1E2F"/>
    <w:rsid w:val="16801192"/>
    <w:rsid w:val="16832BBD"/>
    <w:rsid w:val="16846935"/>
    <w:rsid w:val="16860E71"/>
    <w:rsid w:val="16866209"/>
    <w:rsid w:val="16895CFA"/>
    <w:rsid w:val="16921116"/>
    <w:rsid w:val="16922E00"/>
    <w:rsid w:val="16924078"/>
    <w:rsid w:val="16930926"/>
    <w:rsid w:val="1699418F"/>
    <w:rsid w:val="169A3A63"/>
    <w:rsid w:val="169B7D1C"/>
    <w:rsid w:val="169C5A2D"/>
    <w:rsid w:val="169C6A4B"/>
    <w:rsid w:val="16A36DBB"/>
    <w:rsid w:val="16A82624"/>
    <w:rsid w:val="16A91EF8"/>
    <w:rsid w:val="16AE40A5"/>
    <w:rsid w:val="16B014D8"/>
    <w:rsid w:val="16B03F28"/>
    <w:rsid w:val="16B0772A"/>
    <w:rsid w:val="16B20DAC"/>
    <w:rsid w:val="16B305C2"/>
    <w:rsid w:val="16B40FC8"/>
    <w:rsid w:val="16B415AF"/>
    <w:rsid w:val="16B54D41"/>
    <w:rsid w:val="16B56AEF"/>
    <w:rsid w:val="16B6153C"/>
    <w:rsid w:val="16B74615"/>
    <w:rsid w:val="16B76B2E"/>
    <w:rsid w:val="16B8213B"/>
    <w:rsid w:val="16B94831"/>
    <w:rsid w:val="16B965DF"/>
    <w:rsid w:val="16BA4105"/>
    <w:rsid w:val="16BE3BF5"/>
    <w:rsid w:val="16C3120C"/>
    <w:rsid w:val="16C46D32"/>
    <w:rsid w:val="16C5556C"/>
    <w:rsid w:val="16C61D19"/>
    <w:rsid w:val="16C77EC8"/>
    <w:rsid w:val="16C927E8"/>
    <w:rsid w:val="16C95B77"/>
    <w:rsid w:val="16C96E94"/>
    <w:rsid w:val="16CE0774"/>
    <w:rsid w:val="16D018A3"/>
    <w:rsid w:val="16D3646B"/>
    <w:rsid w:val="16D41A90"/>
    <w:rsid w:val="16D473CB"/>
    <w:rsid w:val="16D82FCC"/>
    <w:rsid w:val="16D90A2F"/>
    <w:rsid w:val="16D9538A"/>
    <w:rsid w:val="16DB4FDF"/>
    <w:rsid w:val="16DC407B"/>
    <w:rsid w:val="16DE0A1B"/>
    <w:rsid w:val="16E11692"/>
    <w:rsid w:val="16E276A1"/>
    <w:rsid w:val="16E318AE"/>
    <w:rsid w:val="16E549C0"/>
    <w:rsid w:val="16E70FB0"/>
    <w:rsid w:val="16E8125B"/>
    <w:rsid w:val="16E93FD1"/>
    <w:rsid w:val="16ED1BE3"/>
    <w:rsid w:val="16F00E60"/>
    <w:rsid w:val="16F032F8"/>
    <w:rsid w:val="16F05D79"/>
    <w:rsid w:val="16F13FCB"/>
    <w:rsid w:val="16F5338F"/>
    <w:rsid w:val="16F615E1"/>
    <w:rsid w:val="16F65301"/>
    <w:rsid w:val="16FA5EBD"/>
    <w:rsid w:val="16FC296F"/>
    <w:rsid w:val="16FC45DC"/>
    <w:rsid w:val="16FF44B2"/>
    <w:rsid w:val="17002453"/>
    <w:rsid w:val="17033A95"/>
    <w:rsid w:val="17057BF5"/>
    <w:rsid w:val="1707535A"/>
    <w:rsid w:val="170A508C"/>
    <w:rsid w:val="170C3AE8"/>
    <w:rsid w:val="170F61FF"/>
    <w:rsid w:val="171071EA"/>
    <w:rsid w:val="171510CA"/>
    <w:rsid w:val="17190E2C"/>
    <w:rsid w:val="171A1085"/>
    <w:rsid w:val="171C51F1"/>
    <w:rsid w:val="171F4A71"/>
    <w:rsid w:val="171F5FCF"/>
    <w:rsid w:val="17207642"/>
    <w:rsid w:val="172123D6"/>
    <w:rsid w:val="172249FA"/>
    <w:rsid w:val="17226EF0"/>
    <w:rsid w:val="1723614E"/>
    <w:rsid w:val="17285513"/>
    <w:rsid w:val="172906F4"/>
    <w:rsid w:val="172A128B"/>
    <w:rsid w:val="172A591A"/>
    <w:rsid w:val="172C2803"/>
    <w:rsid w:val="172D36C4"/>
    <w:rsid w:val="172D7075"/>
    <w:rsid w:val="172F4AF3"/>
    <w:rsid w:val="172F68A1"/>
    <w:rsid w:val="17307137"/>
    <w:rsid w:val="1731377E"/>
    <w:rsid w:val="173179D3"/>
    <w:rsid w:val="173619DD"/>
    <w:rsid w:val="17367C2F"/>
    <w:rsid w:val="1739327C"/>
    <w:rsid w:val="173C3A66"/>
    <w:rsid w:val="173E0892"/>
    <w:rsid w:val="173E6AE4"/>
    <w:rsid w:val="173F0F72"/>
    <w:rsid w:val="173F7ADF"/>
    <w:rsid w:val="17410D0D"/>
    <w:rsid w:val="174145EF"/>
    <w:rsid w:val="17417419"/>
    <w:rsid w:val="17424826"/>
    <w:rsid w:val="1743234C"/>
    <w:rsid w:val="174340FA"/>
    <w:rsid w:val="17483FE3"/>
    <w:rsid w:val="174F0F7F"/>
    <w:rsid w:val="174F484D"/>
    <w:rsid w:val="174F4DAF"/>
    <w:rsid w:val="1751054F"/>
    <w:rsid w:val="175160A3"/>
    <w:rsid w:val="17527320"/>
    <w:rsid w:val="17544ABE"/>
    <w:rsid w:val="17562080"/>
    <w:rsid w:val="1756368B"/>
    <w:rsid w:val="175828CF"/>
    <w:rsid w:val="175956CC"/>
    <w:rsid w:val="175B1B03"/>
    <w:rsid w:val="175B7696"/>
    <w:rsid w:val="17604CAC"/>
    <w:rsid w:val="17614581"/>
    <w:rsid w:val="17630885"/>
    <w:rsid w:val="17656D71"/>
    <w:rsid w:val="1767603B"/>
    <w:rsid w:val="17687698"/>
    <w:rsid w:val="176A1687"/>
    <w:rsid w:val="176C0372"/>
    <w:rsid w:val="176C14C1"/>
    <w:rsid w:val="176D2564"/>
    <w:rsid w:val="176D73C9"/>
    <w:rsid w:val="176F6C9D"/>
    <w:rsid w:val="17712A16"/>
    <w:rsid w:val="17732C32"/>
    <w:rsid w:val="17740758"/>
    <w:rsid w:val="17760616"/>
    <w:rsid w:val="17771954"/>
    <w:rsid w:val="17781D54"/>
    <w:rsid w:val="17783439"/>
    <w:rsid w:val="177B5642"/>
    <w:rsid w:val="177C760C"/>
    <w:rsid w:val="177E3384"/>
    <w:rsid w:val="17806D11"/>
    <w:rsid w:val="178070FD"/>
    <w:rsid w:val="178169D1"/>
    <w:rsid w:val="17832749"/>
    <w:rsid w:val="17855360"/>
    <w:rsid w:val="17856C0D"/>
    <w:rsid w:val="17872888"/>
    <w:rsid w:val="17885FB1"/>
    <w:rsid w:val="178A190A"/>
    <w:rsid w:val="178A7F7B"/>
    <w:rsid w:val="178F10EE"/>
    <w:rsid w:val="178F5592"/>
    <w:rsid w:val="17913C93"/>
    <w:rsid w:val="17917C49"/>
    <w:rsid w:val="17920BDE"/>
    <w:rsid w:val="17936E30"/>
    <w:rsid w:val="17944956"/>
    <w:rsid w:val="17951E3A"/>
    <w:rsid w:val="1796247C"/>
    <w:rsid w:val="179775A2"/>
    <w:rsid w:val="17990B0F"/>
    <w:rsid w:val="17992297"/>
    <w:rsid w:val="179B3A61"/>
    <w:rsid w:val="179E57D5"/>
    <w:rsid w:val="17A12E39"/>
    <w:rsid w:val="17A4103D"/>
    <w:rsid w:val="17A74689"/>
    <w:rsid w:val="17AC02EB"/>
    <w:rsid w:val="17AC1CA0"/>
    <w:rsid w:val="17AC4DC3"/>
    <w:rsid w:val="17AD43A0"/>
    <w:rsid w:val="17AF1790"/>
    <w:rsid w:val="17B10A8D"/>
    <w:rsid w:val="17B2302E"/>
    <w:rsid w:val="17B37B46"/>
    <w:rsid w:val="17B80BA9"/>
    <w:rsid w:val="17B9616B"/>
    <w:rsid w:val="17BE19D3"/>
    <w:rsid w:val="17BE3CFD"/>
    <w:rsid w:val="17C23271"/>
    <w:rsid w:val="17C27715"/>
    <w:rsid w:val="17C3523B"/>
    <w:rsid w:val="17C67D06"/>
    <w:rsid w:val="17C72AC0"/>
    <w:rsid w:val="17C90AA4"/>
    <w:rsid w:val="17CA0378"/>
    <w:rsid w:val="17CA481C"/>
    <w:rsid w:val="17CC0594"/>
    <w:rsid w:val="17D10D76"/>
    <w:rsid w:val="17D22226"/>
    <w:rsid w:val="17D2750F"/>
    <w:rsid w:val="17D35071"/>
    <w:rsid w:val="17D411F6"/>
    <w:rsid w:val="17D414A6"/>
    <w:rsid w:val="17D52E9E"/>
    <w:rsid w:val="17D55D03"/>
    <w:rsid w:val="17D93DA6"/>
    <w:rsid w:val="17DB4333"/>
    <w:rsid w:val="17DD00AB"/>
    <w:rsid w:val="17DD454F"/>
    <w:rsid w:val="17DD4930"/>
    <w:rsid w:val="17DF2A99"/>
    <w:rsid w:val="17E01949"/>
    <w:rsid w:val="17E24A5B"/>
    <w:rsid w:val="17E35FC3"/>
    <w:rsid w:val="17E4768B"/>
    <w:rsid w:val="17E551B2"/>
    <w:rsid w:val="17E73815"/>
    <w:rsid w:val="17E813F8"/>
    <w:rsid w:val="17E874C3"/>
    <w:rsid w:val="17E937D7"/>
    <w:rsid w:val="17EA0A1A"/>
    <w:rsid w:val="17ED4C69"/>
    <w:rsid w:val="17EE4066"/>
    <w:rsid w:val="17F17D0B"/>
    <w:rsid w:val="17F2079B"/>
    <w:rsid w:val="17F3464E"/>
    <w:rsid w:val="17F35B20"/>
    <w:rsid w:val="17F378CF"/>
    <w:rsid w:val="17F65611"/>
    <w:rsid w:val="17FB2C27"/>
    <w:rsid w:val="17FB49D5"/>
    <w:rsid w:val="17FB6783"/>
    <w:rsid w:val="17FD074D"/>
    <w:rsid w:val="17FD3766"/>
    <w:rsid w:val="17FF44C5"/>
    <w:rsid w:val="180715CC"/>
    <w:rsid w:val="18075128"/>
    <w:rsid w:val="18081EEB"/>
    <w:rsid w:val="18093D0F"/>
    <w:rsid w:val="180A58E4"/>
    <w:rsid w:val="180B52C8"/>
    <w:rsid w:val="180C273E"/>
    <w:rsid w:val="180E64B6"/>
    <w:rsid w:val="1811142B"/>
    <w:rsid w:val="18111EB0"/>
    <w:rsid w:val="18117D55"/>
    <w:rsid w:val="181209C8"/>
    <w:rsid w:val="18190A89"/>
    <w:rsid w:val="181A12FF"/>
    <w:rsid w:val="181A30AD"/>
    <w:rsid w:val="181A3AAB"/>
    <w:rsid w:val="181C076B"/>
    <w:rsid w:val="181D2B9D"/>
    <w:rsid w:val="18221F62"/>
    <w:rsid w:val="18226406"/>
    <w:rsid w:val="1824217E"/>
    <w:rsid w:val="18251A52"/>
    <w:rsid w:val="18253800"/>
    <w:rsid w:val="182A4CFD"/>
    <w:rsid w:val="182C1032"/>
    <w:rsid w:val="182E4DAB"/>
    <w:rsid w:val="18300B23"/>
    <w:rsid w:val="18303B98"/>
    <w:rsid w:val="183121A5"/>
    <w:rsid w:val="183357E7"/>
    <w:rsid w:val="18356139"/>
    <w:rsid w:val="18365A0D"/>
    <w:rsid w:val="18381785"/>
    <w:rsid w:val="18383533"/>
    <w:rsid w:val="18395C1E"/>
    <w:rsid w:val="183A54FD"/>
    <w:rsid w:val="183A72AB"/>
    <w:rsid w:val="183B69C4"/>
    <w:rsid w:val="183D4020"/>
    <w:rsid w:val="183E144C"/>
    <w:rsid w:val="183F0D66"/>
    <w:rsid w:val="183F48C2"/>
    <w:rsid w:val="18412E2E"/>
    <w:rsid w:val="18422604"/>
    <w:rsid w:val="18437C28"/>
    <w:rsid w:val="1844012A"/>
    <w:rsid w:val="18460703"/>
    <w:rsid w:val="18463EA2"/>
    <w:rsid w:val="18477C1A"/>
    <w:rsid w:val="18491038"/>
    <w:rsid w:val="184A49C9"/>
    <w:rsid w:val="184F33D6"/>
    <w:rsid w:val="184F7FC0"/>
    <w:rsid w:val="18503DEF"/>
    <w:rsid w:val="185065D8"/>
    <w:rsid w:val="18510A99"/>
    <w:rsid w:val="18512847"/>
    <w:rsid w:val="18546A7B"/>
    <w:rsid w:val="18553EFB"/>
    <w:rsid w:val="18562F63"/>
    <w:rsid w:val="1856507F"/>
    <w:rsid w:val="18574301"/>
    <w:rsid w:val="18581E27"/>
    <w:rsid w:val="18582718"/>
    <w:rsid w:val="185B390E"/>
    <w:rsid w:val="185C1918"/>
    <w:rsid w:val="185D005D"/>
    <w:rsid w:val="185E5E70"/>
    <w:rsid w:val="185F0D12"/>
    <w:rsid w:val="185F4F64"/>
    <w:rsid w:val="18616F2E"/>
    <w:rsid w:val="18625F4B"/>
    <w:rsid w:val="1862610F"/>
    <w:rsid w:val="18655B85"/>
    <w:rsid w:val="18685B95"/>
    <w:rsid w:val="186C48D3"/>
    <w:rsid w:val="186E0E74"/>
    <w:rsid w:val="186E164B"/>
    <w:rsid w:val="187327BD"/>
    <w:rsid w:val="18736C61"/>
    <w:rsid w:val="187573B8"/>
    <w:rsid w:val="18775C69"/>
    <w:rsid w:val="18784278"/>
    <w:rsid w:val="187A1D9E"/>
    <w:rsid w:val="187D3543"/>
    <w:rsid w:val="187D363C"/>
    <w:rsid w:val="187F1162"/>
    <w:rsid w:val="187F14B9"/>
    <w:rsid w:val="187F5606"/>
    <w:rsid w:val="187F6ED7"/>
    <w:rsid w:val="18860743"/>
    <w:rsid w:val="18881732"/>
    <w:rsid w:val="18895114"/>
    <w:rsid w:val="188D27B1"/>
    <w:rsid w:val="189015C1"/>
    <w:rsid w:val="1893067B"/>
    <w:rsid w:val="18942E00"/>
    <w:rsid w:val="189664AC"/>
    <w:rsid w:val="18975082"/>
    <w:rsid w:val="189866C8"/>
    <w:rsid w:val="189A41EE"/>
    <w:rsid w:val="189B2BFC"/>
    <w:rsid w:val="189B47E4"/>
    <w:rsid w:val="189C1D14"/>
    <w:rsid w:val="189C6940"/>
    <w:rsid w:val="18A111B8"/>
    <w:rsid w:val="18A1732B"/>
    <w:rsid w:val="18A312F5"/>
    <w:rsid w:val="18A43E52"/>
    <w:rsid w:val="18A4506D"/>
    <w:rsid w:val="18A94431"/>
    <w:rsid w:val="18AA3680"/>
    <w:rsid w:val="18AB01A9"/>
    <w:rsid w:val="18AB315F"/>
    <w:rsid w:val="18AC458C"/>
    <w:rsid w:val="18AD3F21"/>
    <w:rsid w:val="18B05417"/>
    <w:rsid w:val="18B16DE1"/>
    <w:rsid w:val="18B232E6"/>
    <w:rsid w:val="18B76B4E"/>
    <w:rsid w:val="18B84674"/>
    <w:rsid w:val="18BA4824"/>
    <w:rsid w:val="18BA6246"/>
    <w:rsid w:val="18BA6BAB"/>
    <w:rsid w:val="18BB11EA"/>
    <w:rsid w:val="18BB4E36"/>
    <w:rsid w:val="18BC599B"/>
    <w:rsid w:val="18BC5F12"/>
    <w:rsid w:val="18BD1C8B"/>
    <w:rsid w:val="18BD3D06"/>
    <w:rsid w:val="18BE5269"/>
    <w:rsid w:val="18BF3C55"/>
    <w:rsid w:val="18C32EA7"/>
    <w:rsid w:val="18C354F3"/>
    <w:rsid w:val="18C97001"/>
    <w:rsid w:val="18CA5EEA"/>
    <w:rsid w:val="18CD45C3"/>
    <w:rsid w:val="18CE2AB8"/>
    <w:rsid w:val="18D15FE1"/>
    <w:rsid w:val="18D314AE"/>
    <w:rsid w:val="18D45952"/>
    <w:rsid w:val="18D771F0"/>
    <w:rsid w:val="18DA0155"/>
    <w:rsid w:val="18DA283C"/>
    <w:rsid w:val="18DD095C"/>
    <w:rsid w:val="18DE057F"/>
    <w:rsid w:val="18DE232D"/>
    <w:rsid w:val="18DE760E"/>
    <w:rsid w:val="18E13BCB"/>
    <w:rsid w:val="18E56B8C"/>
    <w:rsid w:val="18E611E1"/>
    <w:rsid w:val="18E67433"/>
    <w:rsid w:val="18E70666"/>
    <w:rsid w:val="18E92A1D"/>
    <w:rsid w:val="18EA6F23"/>
    <w:rsid w:val="18EB67F8"/>
    <w:rsid w:val="18EC5B34"/>
    <w:rsid w:val="18EE18A5"/>
    <w:rsid w:val="18EE4D0E"/>
    <w:rsid w:val="18EF453A"/>
    <w:rsid w:val="18F46F4A"/>
    <w:rsid w:val="18F558C8"/>
    <w:rsid w:val="18F71640"/>
    <w:rsid w:val="18F733EE"/>
    <w:rsid w:val="18FC0CBF"/>
    <w:rsid w:val="18FD1542"/>
    <w:rsid w:val="18FD7CA5"/>
    <w:rsid w:val="18FF04F5"/>
    <w:rsid w:val="1900267A"/>
    <w:rsid w:val="19013F4B"/>
    <w:rsid w:val="19015F1B"/>
    <w:rsid w:val="190206B8"/>
    <w:rsid w:val="1902711F"/>
    <w:rsid w:val="19031D93"/>
    <w:rsid w:val="190873AA"/>
    <w:rsid w:val="190A1374"/>
    <w:rsid w:val="190B50EC"/>
    <w:rsid w:val="190C5EC1"/>
    <w:rsid w:val="190D0661"/>
    <w:rsid w:val="190D2C12"/>
    <w:rsid w:val="190D49C0"/>
    <w:rsid w:val="1910625E"/>
    <w:rsid w:val="19120228"/>
    <w:rsid w:val="19137AFC"/>
    <w:rsid w:val="19151AC7"/>
    <w:rsid w:val="19172CC4"/>
    <w:rsid w:val="19172FD4"/>
    <w:rsid w:val="191837CC"/>
    <w:rsid w:val="19183D6F"/>
    <w:rsid w:val="191A5B94"/>
    <w:rsid w:val="191B532F"/>
    <w:rsid w:val="191C2E55"/>
    <w:rsid w:val="191E4E1F"/>
    <w:rsid w:val="19236D47"/>
    <w:rsid w:val="19263CD4"/>
    <w:rsid w:val="19267830"/>
    <w:rsid w:val="19283F59"/>
    <w:rsid w:val="192B4E46"/>
    <w:rsid w:val="192C4A82"/>
    <w:rsid w:val="192D420D"/>
    <w:rsid w:val="192E1336"/>
    <w:rsid w:val="192E2CE1"/>
    <w:rsid w:val="1930578A"/>
    <w:rsid w:val="19313528"/>
    <w:rsid w:val="19314B52"/>
    <w:rsid w:val="19351E7C"/>
    <w:rsid w:val="19362169"/>
    <w:rsid w:val="19372E7B"/>
    <w:rsid w:val="19377C8F"/>
    <w:rsid w:val="1939139D"/>
    <w:rsid w:val="193B1B0A"/>
    <w:rsid w:val="193C34F7"/>
    <w:rsid w:val="193E479F"/>
    <w:rsid w:val="193F1589"/>
    <w:rsid w:val="1941466A"/>
    <w:rsid w:val="194523AC"/>
    <w:rsid w:val="19455D09"/>
    <w:rsid w:val="1945653F"/>
    <w:rsid w:val="19460078"/>
    <w:rsid w:val="19460C23"/>
    <w:rsid w:val="19466124"/>
    <w:rsid w:val="1947560C"/>
    <w:rsid w:val="19483C4A"/>
    <w:rsid w:val="19495496"/>
    <w:rsid w:val="194B3ED9"/>
    <w:rsid w:val="194B43FA"/>
    <w:rsid w:val="194B7296"/>
    <w:rsid w:val="194E20CC"/>
    <w:rsid w:val="19502AFF"/>
    <w:rsid w:val="19523623"/>
    <w:rsid w:val="1954405E"/>
    <w:rsid w:val="19563A88"/>
    <w:rsid w:val="19570331"/>
    <w:rsid w:val="195728C1"/>
    <w:rsid w:val="19585301"/>
    <w:rsid w:val="195A26E1"/>
    <w:rsid w:val="195C2DE5"/>
    <w:rsid w:val="195C76F5"/>
    <w:rsid w:val="19600F94"/>
    <w:rsid w:val="196071E6"/>
    <w:rsid w:val="19614D0C"/>
    <w:rsid w:val="196315DB"/>
    <w:rsid w:val="19636FAD"/>
    <w:rsid w:val="19645E0A"/>
    <w:rsid w:val="19650358"/>
    <w:rsid w:val="19662BA6"/>
    <w:rsid w:val="196640D0"/>
    <w:rsid w:val="19683FBD"/>
    <w:rsid w:val="196842EC"/>
    <w:rsid w:val="19687E48"/>
    <w:rsid w:val="196A7107"/>
    <w:rsid w:val="196B7D6D"/>
    <w:rsid w:val="196C0EDA"/>
    <w:rsid w:val="196F53C0"/>
    <w:rsid w:val="19706CFD"/>
    <w:rsid w:val="19732463"/>
    <w:rsid w:val="19733B91"/>
    <w:rsid w:val="19741C04"/>
    <w:rsid w:val="19744A3F"/>
    <w:rsid w:val="19766A09"/>
    <w:rsid w:val="197965AC"/>
    <w:rsid w:val="198033E4"/>
    <w:rsid w:val="19810F0A"/>
    <w:rsid w:val="198253AE"/>
    <w:rsid w:val="1984317D"/>
    <w:rsid w:val="1984540C"/>
    <w:rsid w:val="19850E46"/>
    <w:rsid w:val="19866520"/>
    <w:rsid w:val="198741EA"/>
    <w:rsid w:val="198A3CDB"/>
    <w:rsid w:val="198A4263"/>
    <w:rsid w:val="198A5856"/>
    <w:rsid w:val="198B4B66"/>
    <w:rsid w:val="198E3107"/>
    <w:rsid w:val="198F1879"/>
    <w:rsid w:val="19901D39"/>
    <w:rsid w:val="199354D0"/>
    <w:rsid w:val="19962C07"/>
    <w:rsid w:val="199A1032"/>
    <w:rsid w:val="199B021E"/>
    <w:rsid w:val="199C5D44"/>
    <w:rsid w:val="199D21E8"/>
    <w:rsid w:val="199D6D54"/>
    <w:rsid w:val="199E1ABC"/>
    <w:rsid w:val="19A01D5D"/>
    <w:rsid w:val="19A35324"/>
    <w:rsid w:val="19A60971"/>
    <w:rsid w:val="19A76BC3"/>
    <w:rsid w:val="19AB1623"/>
    <w:rsid w:val="19AB1FA4"/>
    <w:rsid w:val="19AB6A2A"/>
    <w:rsid w:val="19AB7701"/>
    <w:rsid w:val="19AF4119"/>
    <w:rsid w:val="19AF7825"/>
    <w:rsid w:val="19B1359D"/>
    <w:rsid w:val="19B3645C"/>
    <w:rsid w:val="19B57912"/>
    <w:rsid w:val="19B90545"/>
    <w:rsid w:val="19B923D5"/>
    <w:rsid w:val="19BB08C0"/>
    <w:rsid w:val="19BD019E"/>
    <w:rsid w:val="19BF1AEE"/>
    <w:rsid w:val="19C12520"/>
    <w:rsid w:val="19C40F81"/>
    <w:rsid w:val="19C474E8"/>
    <w:rsid w:val="19C8234B"/>
    <w:rsid w:val="19C857A0"/>
    <w:rsid w:val="19CA47AF"/>
    <w:rsid w:val="19CF7EC7"/>
    <w:rsid w:val="19D47CEE"/>
    <w:rsid w:val="19D7052B"/>
    <w:rsid w:val="19D76D7C"/>
    <w:rsid w:val="19DA6E7D"/>
    <w:rsid w:val="19DB061A"/>
    <w:rsid w:val="19DB1463"/>
    <w:rsid w:val="19DB3EF1"/>
    <w:rsid w:val="19DD1AC5"/>
    <w:rsid w:val="19DE010A"/>
    <w:rsid w:val="19DE1BE9"/>
    <w:rsid w:val="19E00326"/>
    <w:rsid w:val="19E27D8F"/>
    <w:rsid w:val="19E31528"/>
    <w:rsid w:val="19E44233"/>
    <w:rsid w:val="19E61847"/>
    <w:rsid w:val="19E75211"/>
    <w:rsid w:val="19E82D37"/>
    <w:rsid w:val="19EA4C66"/>
    <w:rsid w:val="19EA4D01"/>
    <w:rsid w:val="19EB2F7E"/>
    <w:rsid w:val="19EB628B"/>
    <w:rsid w:val="19EE1786"/>
    <w:rsid w:val="19EE536E"/>
    <w:rsid w:val="19EF02B5"/>
    <w:rsid w:val="19F416DC"/>
    <w:rsid w:val="19F53DD2"/>
    <w:rsid w:val="19FB2A6A"/>
    <w:rsid w:val="19FD2C86"/>
    <w:rsid w:val="19FE6658"/>
    <w:rsid w:val="1A0276C8"/>
    <w:rsid w:val="1A057D8D"/>
    <w:rsid w:val="1A073B05"/>
    <w:rsid w:val="1A0A6AB1"/>
    <w:rsid w:val="1A0A7944"/>
    <w:rsid w:val="1A0D4AD8"/>
    <w:rsid w:val="1A0F29BA"/>
    <w:rsid w:val="1A0F416A"/>
    <w:rsid w:val="1A0F4229"/>
    <w:rsid w:val="1A0F4768"/>
    <w:rsid w:val="1A0F6516"/>
    <w:rsid w:val="1A10757D"/>
    <w:rsid w:val="1A116732"/>
    <w:rsid w:val="1A1206FC"/>
    <w:rsid w:val="1A1709D2"/>
    <w:rsid w:val="1A18371B"/>
    <w:rsid w:val="1A184EC1"/>
    <w:rsid w:val="1A1A463B"/>
    <w:rsid w:val="1A1D4091"/>
    <w:rsid w:val="1A1D6E85"/>
    <w:rsid w:val="1A1F2EF7"/>
    <w:rsid w:val="1A236C28"/>
    <w:rsid w:val="1A246465"/>
    <w:rsid w:val="1A2570E8"/>
    <w:rsid w:val="1A277D03"/>
    <w:rsid w:val="1A2919B0"/>
    <w:rsid w:val="1A292634"/>
    <w:rsid w:val="1A2C1C85"/>
    <w:rsid w:val="1A2F18F5"/>
    <w:rsid w:val="1A2F50AD"/>
    <w:rsid w:val="1A310B82"/>
    <w:rsid w:val="1A3335CF"/>
    <w:rsid w:val="1A3507CC"/>
    <w:rsid w:val="1A366735"/>
    <w:rsid w:val="1A370212"/>
    <w:rsid w:val="1A3850A3"/>
    <w:rsid w:val="1A3B555D"/>
    <w:rsid w:val="1A3B5791"/>
    <w:rsid w:val="1A3C4F0F"/>
    <w:rsid w:val="1A3D3083"/>
    <w:rsid w:val="1A3E355A"/>
    <w:rsid w:val="1A3F504D"/>
    <w:rsid w:val="1A400DC5"/>
    <w:rsid w:val="1A450189"/>
    <w:rsid w:val="1A4E34E2"/>
    <w:rsid w:val="1A4F16C2"/>
    <w:rsid w:val="1A501008"/>
    <w:rsid w:val="1A514D80"/>
    <w:rsid w:val="1A552D0A"/>
    <w:rsid w:val="1A562397"/>
    <w:rsid w:val="1A5905CD"/>
    <w:rsid w:val="1A592BA3"/>
    <w:rsid w:val="1A5D46A3"/>
    <w:rsid w:val="1A5F124B"/>
    <w:rsid w:val="1A5F2FF9"/>
    <w:rsid w:val="1A5F749D"/>
    <w:rsid w:val="1A60100A"/>
    <w:rsid w:val="1A604FC3"/>
    <w:rsid w:val="1A606D71"/>
    <w:rsid w:val="1A622AE9"/>
    <w:rsid w:val="1A637290"/>
    <w:rsid w:val="1A66082C"/>
    <w:rsid w:val="1A674D59"/>
    <w:rsid w:val="1A690C8F"/>
    <w:rsid w:val="1A693E78"/>
    <w:rsid w:val="1A6A7BF0"/>
    <w:rsid w:val="1A6E1127"/>
    <w:rsid w:val="1A6E148E"/>
    <w:rsid w:val="1A703458"/>
    <w:rsid w:val="1A71334C"/>
    <w:rsid w:val="1A732F49"/>
    <w:rsid w:val="1A74457E"/>
    <w:rsid w:val="1A756CC1"/>
    <w:rsid w:val="1A765CDD"/>
    <w:rsid w:val="1A7C004F"/>
    <w:rsid w:val="1A7C1858"/>
    <w:rsid w:val="1A7D3DC7"/>
    <w:rsid w:val="1A7D5B75"/>
    <w:rsid w:val="1A89451A"/>
    <w:rsid w:val="1A895970"/>
    <w:rsid w:val="1A8B0292"/>
    <w:rsid w:val="1A8B18A5"/>
    <w:rsid w:val="1A8E0629"/>
    <w:rsid w:val="1A8F17E2"/>
    <w:rsid w:val="1A901398"/>
    <w:rsid w:val="1A903AFB"/>
    <w:rsid w:val="1A905843"/>
    <w:rsid w:val="1A9058A9"/>
    <w:rsid w:val="1A907657"/>
    <w:rsid w:val="1A9311D2"/>
    <w:rsid w:val="1A9340E4"/>
    <w:rsid w:val="1A935399"/>
    <w:rsid w:val="1A953AA2"/>
    <w:rsid w:val="1A9802E9"/>
    <w:rsid w:val="1A991EB8"/>
    <w:rsid w:val="1A9A1B4D"/>
    <w:rsid w:val="1A9A6727"/>
    <w:rsid w:val="1A9C249F"/>
    <w:rsid w:val="1A9D49F1"/>
    <w:rsid w:val="1A9D520C"/>
    <w:rsid w:val="1A9F3D3E"/>
    <w:rsid w:val="1A9F789A"/>
    <w:rsid w:val="1AA41354"/>
    <w:rsid w:val="1AA43102"/>
    <w:rsid w:val="1AA475A6"/>
    <w:rsid w:val="1AA621A8"/>
    <w:rsid w:val="1AA7401C"/>
    <w:rsid w:val="1AA9696A"/>
    <w:rsid w:val="1AAB4490"/>
    <w:rsid w:val="1AAB623F"/>
    <w:rsid w:val="1AAB629F"/>
    <w:rsid w:val="1AAD7854"/>
    <w:rsid w:val="1AB04E2D"/>
    <w:rsid w:val="1AB10FBD"/>
    <w:rsid w:val="1AB31597"/>
    <w:rsid w:val="1AB760C6"/>
    <w:rsid w:val="1AB8095B"/>
    <w:rsid w:val="1ABC1092"/>
    <w:rsid w:val="1ABC669E"/>
    <w:rsid w:val="1ABD41C4"/>
    <w:rsid w:val="1ABE40E7"/>
    <w:rsid w:val="1AC15A62"/>
    <w:rsid w:val="1AC21052"/>
    <w:rsid w:val="1AC60952"/>
    <w:rsid w:val="1AC612CA"/>
    <w:rsid w:val="1AC62E25"/>
    <w:rsid w:val="1AC92B69"/>
    <w:rsid w:val="1ACC4407"/>
    <w:rsid w:val="1AD003D6"/>
    <w:rsid w:val="1AD21A47"/>
    <w:rsid w:val="1AD21DA1"/>
    <w:rsid w:val="1AD43235"/>
    <w:rsid w:val="1AD55655"/>
    <w:rsid w:val="1AD67034"/>
    <w:rsid w:val="1AD75C28"/>
    <w:rsid w:val="1AD80FFE"/>
    <w:rsid w:val="1ADA4D76"/>
    <w:rsid w:val="1ADB50AB"/>
    <w:rsid w:val="1ADF055B"/>
    <w:rsid w:val="1ADF413A"/>
    <w:rsid w:val="1AE006FC"/>
    <w:rsid w:val="1AE027CB"/>
    <w:rsid w:val="1AE03114"/>
    <w:rsid w:val="1AE216BB"/>
    <w:rsid w:val="1AE23C2A"/>
    <w:rsid w:val="1AE3657B"/>
    <w:rsid w:val="1AE500A6"/>
    <w:rsid w:val="1AE6196C"/>
    <w:rsid w:val="1AE87493"/>
    <w:rsid w:val="1AE96D67"/>
    <w:rsid w:val="1AE97FE8"/>
    <w:rsid w:val="1AEA0FFE"/>
    <w:rsid w:val="1AED2CFB"/>
    <w:rsid w:val="1AED45F2"/>
    <w:rsid w:val="1AF04943"/>
    <w:rsid w:val="1AF51BB0"/>
    <w:rsid w:val="1AF51BFE"/>
    <w:rsid w:val="1AF75928"/>
    <w:rsid w:val="1AF77809"/>
    <w:rsid w:val="1AF8344E"/>
    <w:rsid w:val="1AF851B6"/>
    <w:rsid w:val="1AF94C56"/>
    <w:rsid w:val="1AFC0863"/>
    <w:rsid w:val="1AFC6A9A"/>
    <w:rsid w:val="1B02116D"/>
    <w:rsid w:val="1B043BA1"/>
    <w:rsid w:val="1B063DBD"/>
    <w:rsid w:val="1B090209"/>
    <w:rsid w:val="1B0919D7"/>
    <w:rsid w:val="1B0D17E8"/>
    <w:rsid w:val="1B0D514B"/>
    <w:rsid w:val="1B100169"/>
    <w:rsid w:val="1B10109B"/>
    <w:rsid w:val="1B1262BE"/>
    <w:rsid w:val="1B156425"/>
    <w:rsid w:val="1B157B5C"/>
    <w:rsid w:val="1B171AA5"/>
    <w:rsid w:val="1B173809"/>
    <w:rsid w:val="1B1808F5"/>
    <w:rsid w:val="1B1A1616"/>
    <w:rsid w:val="1B1B26AB"/>
    <w:rsid w:val="1B1C4FB0"/>
    <w:rsid w:val="1B1E1106"/>
    <w:rsid w:val="1B1E4482"/>
    <w:rsid w:val="1B1E770C"/>
    <w:rsid w:val="1B1F3E4F"/>
    <w:rsid w:val="1B206DDB"/>
    <w:rsid w:val="1B2110EE"/>
    <w:rsid w:val="1B2129A5"/>
    <w:rsid w:val="1B22257E"/>
    <w:rsid w:val="1B225A62"/>
    <w:rsid w:val="1B240E19"/>
    <w:rsid w:val="1B293607"/>
    <w:rsid w:val="1B2B1B14"/>
    <w:rsid w:val="1B2B26A3"/>
    <w:rsid w:val="1B2B55D1"/>
    <w:rsid w:val="1B2D30F7"/>
    <w:rsid w:val="1B300E3A"/>
    <w:rsid w:val="1B324BB2"/>
    <w:rsid w:val="1B3274DE"/>
    <w:rsid w:val="1B3501FE"/>
    <w:rsid w:val="1B391A9C"/>
    <w:rsid w:val="1B3B203B"/>
    <w:rsid w:val="1B3C4A90"/>
    <w:rsid w:val="1B3E70B3"/>
    <w:rsid w:val="1B446693"/>
    <w:rsid w:val="1B4531FA"/>
    <w:rsid w:val="1B46401E"/>
    <w:rsid w:val="1B495A57"/>
    <w:rsid w:val="1B4A4F0A"/>
    <w:rsid w:val="1B4F7512"/>
    <w:rsid w:val="1B516ABF"/>
    <w:rsid w:val="1B527002"/>
    <w:rsid w:val="1B5508A0"/>
    <w:rsid w:val="1B5543FC"/>
    <w:rsid w:val="1B5674B9"/>
    <w:rsid w:val="1B570174"/>
    <w:rsid w:val="1B5A7C65"/>
    <w:rsid w:val="1B5C071E"/>
    <w:rsid w:val="1B60171F"/>
    <w:rsid w:val="1B610FF3"/>
    <w:rsid w:val="1B617B31"/>
    <w:rsid w:val="1B6B1E72"/>
    <w:rsid w:val="1B701236"/>
    <w:rsid w:val="1B730995"/>
    <w:rsid w:val="1B750E0A"/>
    <w:rsid w:val="1B7538D9"/>
    <w:rsid w:val="1B7725C5"/>
    <w:rsid w:val="1B7900EB"/>
    <w:rsid w:val="1B7A20B5"/>
    <w:rsid w:val="1B7A3E63"/>
    <w:rsid w:val="1B7B7248"/>
    <w:rsid w:val="1B7C5E2D"/>
    <w:rsid w:val="1B7D35C3"/>
    <w:rsid w:val="1B80451B"/>
    <w:rsid w:val="1B830F69"/>
    <w:rsid w:val="1B84191A"/>
    <w:rsid w:val="1B852F33"/>
    <w:rsid w:val="1B860A5A"/>
    <w:rsid w:val="1B886580"/>
    <w:rsid w:val="1B8F5B60"/>
    <w:rsid w:val="1B8F790E"/>
    <w:rsid w:val="1B900D63"/>
    <w:rsid w:val="1B903686"/>
    <w:rsid w:val="1B915D30"/>
    <w:rsid w:val="1B924BE5"/>
    <w:rsid w:val="1B926D53"/>
    <w:rsid w:val="1B9413C8"/>
    <w:rsid w:val="1B996E8C"/>
    <w:rsid w:val="1B9B4505"/>
    <w:rsid w:val="1B9C1031"/>
    <w:rsid w:val="1B9C168A"/>
    <w:rsid w:val="1B9C202B"/>
    <w:rsid w:val="1B9C45D4"/>
    <w:rsid w:val="1B9E2329"/>
    <w:rsid w:val="1BA04212"/>
    <w:rsid w:val="1BA1302E"/>
    <w:rsid w:val="1BA15A4E"/>
    <w:rsid w:val="1BA23AE5"/>
    <w:rsid w:val="1BA43815"/>
    <w:rsid w:val="1BA535D6"/>
    <w:rsid w:val="1BA63383"/>
    <w:rsid w:val="1BA81CD5"/>
    <w:rsid w:val="1BA86AFC"/>
    <w:rsid w:val="1BAA5C57"/>
    <w:rsid w:val="1BB13D28"/>
    <w:rsid w:val="1BB2184F"/>
    <w:rsid w:val="1BB235FD"/>
    <w:rsid w:val="1BB455C7"/>
    <w:rsid w:val="1BB90E2F"/>
    <w:rsid w:val="1BBB37EF"/>
    <w:rsid w:val="1BBC447B"/>
    <w:rsid w:val="1BBC6928"/>
    <w:rsid w:val="1BBE4173"/>
    <w:rsid w:val="1BC03F6C"/>
    <w:rsid w:val="1BC11A92"/>
    <w:rsid w:val="1BC31CAE"/>
    <w:rsid w:val="1BC3580A"/>
    <w:rsid w:val="1BC434B3"/>
    <w:rsid w:val="1BC52EC4"/>
    <w:rsid w:val="1BC5595D"/>
    <w:rsid w:val="1BC601EC"/>
    <w:rsid w:val="1BC87C70"/>
    <w:rsid w:val="1BC9174D"/>
    <w:rsid w:val="1BCB46BE"/>
    <w:rsid w:val="1BD03BDB"/>
    <w:rsid w:val="1BD417C5"/>
    <w:rsid w:val="1BD57D2D"/>
    <w:rsid w:val="1BD57D6A"/>
    <w:rsid w:val="1BD619E1"/>
    <w:rsid w:val="1BDB0DA5"/>
    <w:rsid w:val="1BDB2B53"/>
    <w:rsid w:val="1BDB6FF7"/>
    <w:rsid w:val="1BDD2D6F"/>
    <w:rsid w:val="1BDE0896"/>
    <w:rsid w:val="1BDE0D4B"/>
    <w:rsid w:val="1BDE3736"/>
    <w:rsid w:val="1BDE43F2"/>
    <w:rsid w:val="1BE13EE2"/>
    <w:rsid w:val="1BE337C6"/>
    <w:rsid w:val="1BE51C24"/>
    <w:rsid w:val="1BE73E5B"/>
    <w:rsid w:val="1BE86F35"/>
    <w:rsid w:val="1BEF2AA3"/>
    <w:rsid w:val="1BF40D6E"/>
    <w:rsid w:val="1BF64A6B"/>
    <w:rsid w:val="1BF70349"/>
    <w:rsid w:val="1BF71A05"/>
    <w:rsid w:val="1BF73705"/>
    <w:rsid w:val="1BF9712D"/>
    <w:rsid w:val="1BFC2ACA"/>
    <w:rsid w:val="1BFC55D0"/>
    <w:rsid w:val="1BFD6F6E"/>
    <w:rsid w:val="1BFE2CE6"/>
    <w:rsid w:val="1BFF09B6"/>
    <w:rsid w:val="1BFF2C6B"/>
    <w:rsid w:val="1C006A5E"/>
    <w:rsid w:val="1C0220E3"/>
    <w:rsid w:val="1C093B64"/>
    <w:rsid w:val="1C0A6971"/>
    <w:rsid w:val="1C0B3BD7"/>
    <w:rsid w:val="1C0C0F5F"/>
    <w:rsid w:val="1C12289A"/>
    <w:rsid w:val="1C131164"/>
    <w:rsid w:val="1C132BA8"/>
    <w:rsid w:val="1C136593"/>
    <w:rsid w:val="1C16002F"/>
    <w:rsid w:val="1C185B56"/>
    <w:rsid w:val="1C1D2214"/>
    <w:rsid w:val="1C204A0A"/>
    <w:rsid w:val="1C220782"/>
    <w:rsid w:val="1C243530"/>
    <w:rsid w:val="1C260DCC"/>
    <w:rsid w:val="1C27223D"/>
    <w:rsid w:val="1C2811BB"/>
    <w:rsid w:val="1C295FB5"/>
    <w:rsid w:val="1C2A3ADB"/>
    <w:rsid w:val="1C2A7637"/>
    <w:rsid w:val="1C2E5482"/>
    <w:rsid w:val="1C2F4C4D"/>
    <w:rsid w:val="1C3109C5"/>
    <w:rsid w:val="1C321E98"/>
    <w:rsid w:val="1C33074E"/>
    <w:rsid w:val="1C344EAD"/>
    <w:rsid w:val="1C355E07"/>
    <w:rsid w:val="1C362480"/>
    <w:rsid w:val="1C363509"/>
    <w:rsid w:val="1C373E65"/>
    <w:rsid w:val="1C386E1E"/>
    <w:rsid w:val="1C4005EE"/>
    <w:rsid w:val="1C401441"/>
    <w:rsid w:val="1C406E5A"/>
    <w:rsid w:val="1C44694B"/>
    <w:rsid w:val="1C454471"/>
    <w:rsid w:val="1C4736FE"/>
    <w:rsid w:val="1C47643B"/>
    <w:rsid w:val="1C490E78"/>
    <w:rsid w:val="1C493F61"/>
    <w:rsid w:val="1C4B43EB"/>
    <w:rsid w:val="1C4E4EA0"/>
    <w:rsid w:val="1C5103F0"/>
    <w:rsid w:val="1C511068"/>
    <w:rsid w:val="1C546A2E"/>
    <w:rsid w:val="1C58480E"/>
    <w:rsid w:val="1C5F3784"/>
    <w:rsid w:val="1C5F4A03"/>
    <w:rsid w:val="1C5F7C69"/>
    <w:rsid w:val="1C644F1E"/>
    <w:rsid w:val="1C672639"/>
    <w:rsid w:val="1C6A33EE"/>
    <w:rsid w:val="1C6B037B"/>
    <w:rsid w:val="1C6E1C1A"/>
    <w:rsid w:val="1C70252A"/>
    <w:rsid w:val="1C717FB2"/>
    <w:rsid w:val="1C744D56"/>
    <w:rsid w:val="1C746B04"/>
    <w:rsid w:val="1C777F35"/>
    <w:rsid w:val="1C7A05BE"/>
    <w:rsid w:val="1C7A17A2"/>
    <w:rsid w:val="1C7A588B"/>
    <w:rsid w:val="1C7B17E0"/>
    <w:rsid w:val="1C7B348C"/>
    <w:rsid w:val="1C7B4336"/>
    <w:rsid w:val="1C7C30D0"/>
    <w:rsid w:val="1C80194D"/>
    <w:rsid w:val="1C8054A9"/>
    <w:rsid w:val="1C844F99"/>
    <w:rsid w:val="1C856F63"/>
    <w:rsid w:val="1C8A745F"/>
    <w:rsid w:val="1C8B457A"/>
    <w:rsid w:val="1C8C20A0"/>
    <w:rsid w:val="1C8C6544"/>
    <w:rsid w:val="1C8E406A"/>
    <w:rsid w:val="1C9000AE"/>
    <w:rsid w:val="1C907DE2"/>
    <w:rsid w:val="1C913B5A"/>
    <w:rsid w:val="1C915908"/>
    <w:rsid w:val="1C9378D2"/>
    <w:rsid w:val="1C940F54"/>
    <w:rsid w:val="1C9553F8"/>
    <w:rsid w:val="1C9563AA"/>
    <w:rsid w:val="1C99656B"/>
    <w:rsid w:val="1C9C1A02"/>
    <w:rsid w:val="1C9D24FF"/>
    <w:rsid w:val="1CA14B49"/>
    <w:rsid w:val="1CA4413F"/>
    <w:rsid w:val="1CA473E9"/>
    <w:rsid w:val="1CA5243C"/>
    <w:rsid w:val="1CA7512B"/>
    <w:rsid w:val="1CA76EDA"/>
    <w:rsid w:val="1CA86288"/>
    <w:rsid w:val="1CA878D2"/>
    <w:rsid w:val="1CAE7EB9"/>
    <w:rsid w:val="1CB03CB9"/>
    <w:rsid w:val="1CB0797E"/>
    <w:rsid w:val="1CB431B6"/>
    <w:rsid w:val="1CB56A05"/>
    <w:rsid w:val="1CBA09BB"/>
    <w:rsid w:val="1CBA6C0D"/>
    <w:rsid w:val="1CBD66FD"/>
    <w:rsid w:val="1CBF6A3A"/>
    <w:rsid w:val="1CC17F9B"/>
    <w:rsid w:val="1CC26430"/>
    <w:rsid w:val="1CC36857"/>
    <w:rsid w:val="1CC57360"/>
    <w:rsid w:val="1CC574CB"/>
    <w:rsid w:val="1CC97061"/>
    <w:rsid w:val="1CCC06EE"/>
    <w:rsid w:val="1CD203FA"/>
    <w:rsid w:val="1CD35F20"/>
    <w:rsid w:val="1CD5385E"/>
    <w:rsid w:val="1CD6156D"/>
    <w:rsid w:val="1CD961EB"/>
    <w:rsid w:val="1CDA72AF"/>
    <w:rsid w:val="1CDB3048"/>
    <w:rsid w:val="1CDB6B83"/>
    <w:rsid w:val="1CDD0B4D"/>
    <w:rsid w:val="1CDD6D9F"/>
    <w:rsid w:val="1CDF3A68"/>
    <w:rsid w:val="1CE06A28"/>
    <w:rsid w:val="1CE10F18"/>
    <w:rsid w:val="1CE123EB"/>
    <w:rsid w:val="1CE27F12"/>
    <w:rsid w:val="1CE343B6"/>
    <w:rsid w:val="1CE54CDC"/>
    <w:rsid w:val="1CE55DA1"/>
    <w:rsid w:val="1CE7377A"/>
    <w:rsid w:val="1CE7691E"/>
    <w:rsid w:val="1CE912A0"/>
    <w:rsid w:val="1CE9744A"/>
    <w:rsid w:val="1CEA149B"/>
    <w:rsid w:val="1CEA5913"/>
    <w:rsid w:val="1CF0262F"/>
    <w:rsid w:val="1CF163A7"/>
    <w:rsid w:val="1CF16DF2"/>
    <w:rsid w:val="1CF30371"/>
    <w:rsid w:val="1CF540E9"/>
    <w:rsid w:val="1CF739BD"/>
    <w:rsid w:val="1CFA2C7F"/>
    <w:rsid w:val="1CFA2FB4"/>
    <w:rsid w:val="1CFB407F"/>
    <w:rsid w:val="1CFE11EF"/>
    <w:rsid w:val="1CFE6CA0"/>
    <w:rsid w:val="1CFF349A"/>
    <w:rsid w:val="1D0273B6"/>
    <w:rsid w:val="1D047E88"/>
    <w:rsid w:val="1D050BB3"/>
    <w:rsid w:val="1D061B4F"/>
    <w:rsid w:val="1D066775"/>
    <w:rsid w:val="1D0831FB"/>
    <w:rsid w:val="1D090E11"/>
    <w:rsid w:val="1D0C44B0"/>
    <w:rsid w:val="1D0D31E0"/>
    <w:rsid w:val="1D1316E8"/>
    <w:rsid w:val="1D13631D"/>
    <w:rsid w:val="1D1502E7"/>
    <w:rsid w:val="1D180E61"/>
    <w:rsid w:val="1D1C03C5"/>
    <w:rsid w:val="1D212AAA"/>
    <w:rsid w:val="1D21612C"/>
    <w:rsid w:val="1D2247B2"/>
    <w:rsid w:val="1D231F24"/>
    <w:rsid w:val="1D235400"/>
    <w:rsid w:val="1D23711B"/>
    <w:rsid w:val="1D2944DE"/>
    <w:rsid w:val="1D296092"/>
    <w:rsid w:val="1D2A1C5D"/>
    <w:rsid w:val="1D2A3AA4"/>
    <w:rsid w:val="1D2B18B9"/>
    <w:rsid w:val="1D2B7290"/>
    <w:rsid w:val="1D2C4385"/>
    <w:rsid w:val="1D2D3883"/>
    <w:rsid w:val="1D2D6827"/>
    <w:rsid w:val="1D2F75FB"/>
    <w:rsid w:val="1D364AFF"/>
    <w:rsid w:val="1D3800AE"/>
    <w:rsid w:val="1D3835B6"/>
    <w:rsid w:val="1D3C1D18"/>
    <w:rsid w:val="1D3E0FF5"/>
    <w:rsid w:val="1D3F35B6"/>
    <w:rsid w:val="1D4027FB"/>
    <w:rsid w:val="1D41764D"/>
    <w:rsid w:val="1D467BA2"/>
    <w:rsid w:val="1D474DEC"/>
    <w:rsid w:val="1D48246B"/>
    <w:rsid w:val="1D4846EF"/>
    <w:rsid w:val="1D496E38"/>
    <w:rsid w:val="1D4B1817"/>
    <w:rsid w:val="1D4C2232"/>
    <w:rsid w:val="1D4D5A13"/>
    <w:rsid w:val="1D4F705C"/>
    <w:rsid w:val="1D527C33"/>
    <w:rsid w:val="1D532BBD"/>
    <w:rsid w:val="1D556B58"/>
    <w:rsid w:val="1D570900"/>
    <w:rsid w:val="1D573583"/>
    <w:rsid w:val="1D591BE3"/>
    <w:rsid w:val="1D5A03F0"/>
    <w:rsid w:val="1D5B1FD4"/>
    <w:rsid w:val="1D5C5F16"/>
    <w:rsid w:val="1D5C6D0C"/>
    <w:rsid w:val="1D5F5282"/>
    <w:rsid w:val="1D623D91"/>
    <w:rsid w:val="1D641783"/>
    <w:rsid w:val="1D641874"/>
    <w:rsid w:val="1D666D4D"/>
    <w:rsid w:val="1D6848BB"/>
    <w:rsid w:val="1D6923E1"/>
    <w:rsid w:val="1D6A6642"/>
    <w:rsid w:val="1D6B6159"/>
    <w:rsid w:val="1D6B767E"/>
    <w:rsid w:val="1D6B7F07"/>
    <w:rsid w:val="1D6C44B0"/>
    <w:rsid w:val="1D6E79F7"/>
    <w:rsid w:val="1D706142"/>
    <w:rsid w:val="1D72025A"/>
    <w:rsid w:val="1D724583"/>
    <w:rsid w:val="1D747C14"/>
    <w:rsid w:val="1D79018C"/>
    <w:rsid w:val="1D792624"/>
    <w:rsid w:val="1D7E40DE"/>
    <w:rsid w:val="1D7F39B2"/>
    <w:rsid w:val="1D875FE6"/>
    <w:rsid w:val="1D884F5D"/>
    <w:rsid w:val="1D8E0841"/>
    <w:rsid w:val="1D8E59F2"/>
    <w:rsid w:val="1D900FF2"/>
    <w:rsid w:val="1D905972"/>
    <w:rsid w:val="1D9559F5"/>
    <w:rsid w:val="1D9751A0"/>
    <w:rsid w:val="1D9E208B"/>
    <w:rsid w:val="1DA579CF"/>
    <w:rsid w:val="1DA57C19"/>
    <w:rsid w:val="1DA827EC"/>
    <w:rsid w:val="1DA82F09"/>
    <w:rsid w:val="1DA86D79"/>
    <w:rsid w:val="1DA90A2F"/>
    <w:rsid w:val="1DAA14A8"/>
    <w:rsid w:val="1DAD49C3"/>
    <w:rsid w:val="1DAD56A0"/>
    <w:rsid w:val="1DAF58DD"/>
    <w:rsid w:val="1DB16B56"/>
    <w:rsid w:val="1DB26E14"/>
    <w:rsid w:val="1DB7139E"/>
    <w:rsid w:val="1DB7314C"/>
    <w:rsid w:val="1DBA29F0"/>
    <w:rsid w:val="1DBB0E8E"/>
    <w:rsid w:val="1DBE272D"/>
    <w:rsid w:val="1DBE6E87"/>
    <w:rsid w:val="1DBF3D53"/>
    <w:rsid w:val="1DC01001"/>
    <w:rsid w:val="1DC064A5"/>
    <w:rsid w:val="1DC13FCB"/>
    <w:rsid w:val="1DC17709"/>
    <w:rsid w:val="1DC31AF1"/>
    <w:rsid w:val="1DC4291E"/>
    <w:rsid w:val="1DC87107"/>
    <w:rsid w:val="1DCB6BF8"/>
    <w:rsid w:val="1DCD471E"/>
    <w:rsid w:val="1DCF0496"/>
    <w:rsid w:val="1DD41F50"/>
    <w:rsid w:val="1DD44768"/>
    <w:rsid w:val="1DD65CC8"/>
    <w:rsid w:val="1DD84B76"/>
    <w:rsid w:val="1DD9668B"/>
    <w:rsid w:val="1DD97567"/>
    <w:rsid w:val="1DDA6E3B"/>
    <w:rsid w:val="1DDB508D"/>
    <w:rsid w:val="1DDC3E5F"/>
    <w:rsid w:val="1DDD53F2"/>
    <w:rsid w:val="1DDD64C7"/>
    <w:rsid w:val="1DDD721A"/>
    <w:rsid w:val="1DE101C9"/>
    <w:rsid w:val="1DE32193"/>
    <w:rsid w:val="1DE33295"/>
    <w:rsid w:val="1DE33F41"/>
    <w:rsid w:val="1DE53E96"/>
    <w:rsid w:val="1DE559AC"/>
    <w:rsid w:val="1DE735F1"/>
    <w:rsid w:val="1DE77287"/>
    <w:rsid w:val="1DE81558"/>
    <w:rsid w:val="1DEA7DBD"/>
    <w:rsid w:val="1DEB1048"/>
    <w:rsid w:val="1DED6B6E"/>
    <w:rsid w:val="1DED6D0F"/>
    <w:rsid w:val="1DEE2B54"/>
    <w:rsid w:val="1DF10211"/>
    <w:rsid w:val="1DF24184"/>
    <w:rsid w:val="1DF63C75"/>
    <w:rsid w:val="1DFA6B89"/>
    <w:rsid w:val="1DFB128B"/>
    <w:rsid w:val="1DFB572F"/>
    <w:rsid w:val="1DFC0B6A"/>
    <w:rsid w:val="1DFC742B"/>
    <w:rsid w:val="1DFD14A7"/>
    <w:rsid w:val="1E0068A1"/>
    <w:rsid w:val="1E00770A"/>
    <w:rsid w:val="1E051616"/>
    <w:rsid w:val="1E05210A"/>
    <w:rsid w:val="1E075E82"/>
    <w:rsid w:val="1E0A0FD0"/>
    <w:rsid w:val="1E0A7720"/>
    <w:rsid w:val="1E0B3BCB"/>
    <w:rsid w:val="1E0B7F0A"/>
    <w:rsid w:val="1E0C4A2C"/>
    <w:rsid w:val="1E0E1C5D"/>
    <w:rsid w:val="1E15017C"/>
    <w:rsid w:val="1E171FCF"/>
    <w:rsid w:val="1E183C03"/>
    <w:rsid w:val="1E1B36DB"/>
    <w:rsid w:val="1E1E766F"/>
    <w:rsid w:val="1E1F23E0"/>
    <w:rsid w:val="1E206F43"/>
    <w:rsid w:val="1E211487"/>
    <w:rsid w:val="1E234C86"/>
    <w:rsid w:val="1E242AE7"/>
    <w:rsid w:val="1E25276A"/>
    <w:rsid w:val="1E262080"/>
    <w:rsid w:val="1E263D4A"/>
    <w:rsid w:val="1E2A1B70"/>
    <w:rsid w:val="1E2E78B2"/>
    <w:rsid w:val="1E301693"/>
    <w:rsid w:val="1E336153"/>
    <w:rsid w:val="1E3365A1"/>
    <w:rsid w:val="1E357617"/>
    <w:rsid w:val="1E366767"/>
    <w:rsid w:val="1E37428D"/>
    <w:rsid w:val="1E376FDF"/>
    <w:rsid w:val="1E377F98"/>
    <w:rsid w:val="1E380731"/>
    <w:rsid w:val="1E3D5C4E"/>
    <w:rsid w:val="1E3E4C49"/>
    <w:rsid w:val="1E3E73CA"/>
    <w:rsid w:val="1E4123E2"/>
    <w:rsid w:val="1E415279"/>
    <w:rsid w:val="1E430E84"/>
    <w:rsid w:val="1E472722"/>
    <w:rsid w:val="1E4A0B0F"/>
    <w:rsid w:val="1E4C5F8A"/>
    <w:rsid w:val="1E4D585F"/>
    <w:rsid w:val="1E4D747A"/>
    <w:rsid w:val="1E4F15D7"/>
    <w:rsid w:val="1E4F60AC"/>
    <w:rsid w:val="1E4F7829"/>
    <w:rsid w:val="1E5135A1"/>
    <w:rsid w:val="1E51534F"/>
    <w:rsid w:val="1E52087C"/>
    <w:rsid w:val="1E523111"/>
    <w:rsid w:val="1E537319"/>
    <w:rsid w:val="1E54462B"/>
    <w:rsid w:val="1E544E3F"/>
    <w:rsid w:val="1E5471D3"/>
    <w:rsid w:val="1E57048B"/>
    <w:rsid w:val="1E580F85"/>
    <w:rsid w:val="1E6359B1"/>
    <w:rsid w:val="1E65704C"/>
    <w:rsid w:val="1E663053"/>
    <w:rsid w:val="1E6833BB"/>
    <w:rsid w:val="1E6A01BF"/>
    <w:rsid w:val="1E6A6411"/>
    <w:rsid w:val="1E731465"/>
    <w:rsid w:val="1E733517"/>
    <w:rsid w:val="1E746936"/>
    <w:rsid w:val="1E785FC6"/>
    <w:rsid w:val="1E7D4865"/>
    <w:rsid w:val="1E7D6144"/>
    <w:rsid w:val="1E8219AC"/>
    <w:rsid w:val="1E831280"/>
    <w:rsid w:val="1E842DA8"/>
    <w:rsid w:val="1E844CEA"/>
    <w:rsid w:val="1E890F8D"/>
    <w:rsid w:val="1E894AE9"/>
    <w:rsid w:val="1E8C6387"/>
    <w:rsid w:val="1E911BEF"/>
    <w:rsid w:val="1E924669"/>
    <w:rsid w:val="1E9259C4"/>
    <w:rsid w:val="1E94348E"/>
    <w:rsid w:val="1E976529"/>
    <w:rsid w:val="1E9811D0"/>
    <w:rsid w:val="1E9D2342"/>
    <w:rsid w:val="1E9F430C"/>
    <w:rsid w:val="1EA40D73"/>
    <w:rsid w:val="1EA62707"/>
    <w:rsid w:val="1EA8753F"/>
    <w:rsid w:val="1EAB6B83"/>
    <w:rsid w:val="1EAE3AFA"/>
    <w:rsid w:val="1EB31B66"/>
    <w:rsid w:val="1EB37DB8"/>
    <w:rsid w:val="1EB6271C"/>
    <w:rsid w:val="1EB96CAC"/>
    <w:rsid w:val="1EBE54DD"/>
    <w:rsid w:val="1EBF1ACB"/>
    <w:rsid w:val="1EC27FFB"/>
    <w:rsid w:val="1EC41FC5"/>
    <w:rsid w:val="1EC71AB5"/>
    <w:rsid w:val="1EC975DB"/>
    <w:rsid w:val="1ECC2C66"/>
    <w:rsid w:val="1ED01768"/>
    <w:rsid w:val="1ED019E9"/>
    <w:rsid w:val="1ED11CC3"/>
    <w:rsid w:val="1ED146E2"/>
    <w:rsid w:val="1ED41ADC"/>
    <w:rsid w:val="1ED87065"/>
    <w:rsid w:val="1EDA181F"/>
    <w:rsid w:val="1EDC730E"/>
    <w:rsid w:val="1EDC7DA8"/>
    <w:rsid w:val="1EE241F9"/>
    <w:rsid w:val="1EE514B6"/>
    <w:rsid w:val="1EF108E0"/>
    <w:rsid w:val="1EF13976"/>
    <w:rsid w:val="1EF36406"/>
    <w:rsid w:val="1EF55181"/>
    <w:rsid w:val="1EF6243B"/>
    <w:rsid w:val="1EFB2CA9"/>
    <w:rsid w:val="1EFC175F"/>
    <w:rsid w:val="1EFC5F4A"/>
    <w:rsid w:val="1EFD146D"/>
    <w:rsid w:val="1EFD2558"/>
    <w:rsid w:val="1F0028D1"/>
    <w:rsid w:val="1F0242A7"/>
    <w:rsid w:val="1F02489B"/>
    <w:rsid w:val="1F026649"/>
    <w:rsid w:val="1F071EB1"/>
    <w:rsid w:val="1F086948"/>
    <w:rsid w:val="1F0E3240"/>
    <w:rsid w:val="1F120F82"/>
    <w:rsid w:val="1F125622"/>
    <w:rsid w:val="1F131F59"/>
    <w:rsid w:val="1F176598"/>
    <w:rsid w:val="1F1878F8"/>
    <w:rsid w:val="1F1A7E37"/>
    <w:rsid w:val="1F1C0141"/>
    <w:rsid w:val="1F1C3BAF"/>
    <w:rsid w:val="1F1D16D5"/>
    <w:rsid w:val="1F1F369F"/>
    <w:rsid w:val="1F204D21"/>
    <w:rsid w:val="1F21370B"/>
    <w:rsid w:val="1F240CB5"/>
    <w:rsid w:val="1F243697"/>
    <w:rsid w:val="1F246A34"/>
    <w:rsid w:val="1F2533E2"/>
    <w:rsid w:val="1F262338"/>
    <w:rsid w:val="1F2637A2"/>
    <w:rsid w:val="1F2702C8"/>
    <w:rsid w:val="1F2C36C6"/>
    <w:rsid w:val="1F2E37A8"/>
    <w:rsid w:val="1F2E743E"/>
    <w:rsid w:val="1F330EF8"/>
    <w:rsid w:val="1F372530"/>
    <w:rsid w:val="1F3A20D7"/>
    <w:rsid w:val="1F3C5FFF"/>
    <w:rsid w:val="1F3C7BD3"/>
    <w:rsid w:val="1F405102"/>
    <w:rsid w:val="1F43738D"/>
    <w:rsid w:val="1F4436F0"/>
    <w:rsid w:val="1F444AA3"/>
    <w:rsid w:val="1F450804"/>
    <w:rsid w:val="1F4849A4"/>
    <w:rsid w:val="1F4924CA"/>
    <w:rsid w:val="1F4B4494"/>
    <w:rsid w:val="1F4D1FBA"/>
    <w:rsid w:val="1F4E7AE0"/>
    <w:rsid w:val="1F500200"/>
    <w:rsid w:val="1F51312D"/>
    <w:rsid w:val="1F5275D0"/>
    <w:rsid w:val="1F542D83"/>
    <w:rsid w:val="1F5A46D7"/>
    <w:rsid w:val="1F5A7229"/>
    <w:rsid w:val="1F5B5A4B"/>
    <w:rsid w:val="1F5B6042"/>
    <w:rsid w:val="1F5C3FAB"/>
    <w:rsid w:val="1F5E10C9"/>
    <w:rsid w:val="1F5F584A"/>
    <w:rsid w:val="1F604CFF"/>
    <w:rsid w:val="1F613084"/>
    <w:rsid w:val="1F6224C8"/>
    <w:rsid w:val="1F623A6A"/>
    <w:rsid w:val="1F6258ED"/>
    <w:rsid w:val="1F626B9C"/>
    <w:rsid w:val="1F6313B9"/>
    <w:rsid w:val="1F6427D9"/>
    <w:rsid w:val="1F6917EA"/>
    <w:rsid w:val="1F6A1071"/>
    <w:rsid w:val="1F6B79AB"/>
    <w:rsid w:val="1F6D20C9"/>
    <w:rsid w:val="1F702630"/>
    <w:rsid w:val="1F7237CF"/>
    <w:rsid w:val="1F775289"/>
    <w:rsid w:val="1F78690B"/>
    <w:rsid w:val="1F793D64"/>
    <w:rsid w:val="1F7A2683"/>
    <w:rsid w:val="1F7C1377"/>
    <w:rsid w:val="1F7C464D"/>
    <w:rsid w:val="1F7C7944"/>
    <w:rsid w:val="1F7E3685"/>
    <w:rsid w:val="1F805A59"/>
    <w:rsid w:val="1F82094E"/>
    <w:rsid w:val="1F823891"/>
    <w:rsid w:val="1F8507F5"/>
    <w:rsid w:val="1F880587"/>
    <w:rsid w:val="1F8A72F3"/>
    <w:rsid w:val="1F8B53CA"/>
    <w:rsid w:val="1F8E612F"/>
    <w:rsid w:val="1F905E57"/>
    <w:rsid w:val="1F922DF9"/>
    <w:rsid w:val="1F935587"/>
    <w:rsid w:val="1F941997"/>
    <w:rsid w:val="1F952153"/>
    <w:rsid w:val="1F9578A2"/>
    <w:rsid w:val="1F996FAD"/>
    <w:rsid w:val="1F9A0F77"/>
    <w:rsid w:val="1FA1314A"/>
    <w:rsid w:val="1FA140B4"/>
    <w:rsid w:val="1FA14221"/>
    <w:rsid w:val="1FA616CA"/>
    <w:rsid w:val="1FA6737F"/>
    <w:rsid w:val="1FAA0FD7"/>
    <w:rsid w:val="1FAF4A23"/>
    <w:rsid w:val="1FB042F7"/>
    <w:rsid w:val="1FB75686"/>
    <w:rsid w:val="1FB75B30"/>
    <w:rsid w:val="1FB92937"/>
    <w:rsid w:val="1FBB2198"/>
    <w:rsid w:val="1FBC4A4A"/>
    <w:rsid w:val="1FBC7140"/>
    <w:rsid w:val="1FBE4C66"/>
    <w:rsid w:val="1FC462F0"/>
    <w:rsid w:val="1FC538BD"/>
    <w:rsid w:val="1FC97167"/>
    <w:rsid w:val="1FCB1131"/>
    <w:rsid w:val="1FCD30FB"/>
    <w:rsid w:val="1FCD59B6"/>
    <w:rsid w:val="1FD06747"/>
    <w:rsid w:val="1FD10739"/>
    <w:rsid w:val="1FD53D5E"/>
    <w:rsid w:val="1FD8799D"/>
    <w:rsid w:val="1FDB5818"/>
    <w:rsid w:val="1FDE0802"/>
    <w:rsid w:val="1FDE13BB"/>
    <w:rsid w:val="1FDE323D"/>
    <w:rsid w:val="1FDF6D29"/>
    <w:rsid w:val="1FE01445"/>
    <w:rsid w:val="1FE0446C"/>
    <w:rsid w:val="1FE062EE"/>
    <w:rsid w:val="1FE12702"/>
    <w:rsid w:val="1FE31903"/>
    <w:rsid w:val="1FE37890"/>
    <w:rsid w:val="1FE55602"/>
    <w:rsid w:val="1FE8583F"/>
    <w:rsid w:val="1FE85CBE"/>
    <w:rsid w:val="1FEA15B7"/>
    <w:rsid w:val="1FEC17D3"/>
    <w:rsid w:val="1FEF264B"/>
    <w:rsid w:val="1FEF343E"/>
    <w:rsid w:val="1FF379A2"/>
    <w:rsid w:val="1FF527DD"/>
    <w:rsid w:val="1FF70178"/>
    <w:rsid w:val="1FF71F26"/>
    <w:rsid w:val="1FF7750D"/>
    <w:rsid w:val="1FFA0A35"/>
    <w:rsid w:val="1FFA0BD8"/>
    <w:rsid w:val="1FFB247A"/>
    <w:rsid w:val="1FFF67A6"/>
    <w:rsid w:val="2000023C"/>
    <w:rsid w:val="20036D61"/>
    <w:rsid w:val="20043457"/>
    <w:rsid w:val="20057C18"/>
    <w:rsid w:val="2007660D"/>
    <w:rsid w:val="20084133"/>
    <w:rsid w:val="200A1C59"/>
    <w:rsid w:val="200A7EAB"/>
    <w:rsid w:val="200B777F"/>
    <w:rsid w:val="200C0167"/>
    <w:rsid w:val="20140B53"/>
    <w:rsid w:val="20140D2A"/>
    <w:rsid w:val="201A040C"/>
    <w:rsid w:val="201B3E66"/>
    <w:rsid w:val="201B7F11"/>
    <w:rsid w:val="2020322B"/>
    <w:rsid w:val="20205DC0"/>
    <w:rsid w:val="202251F5"/>
    <w:rsid w:val="20227FF5"/>
    <w:rsid w:val="202312A6"/>
    <w:rsid w:val="2023293D"/>
    <w:rsid w:val="2025689D"/>
    <w:rsid w:val="2027280B"/>
    <w:rsid w:val="202D1D4F"/>
    <w:rsid w:val="202D3B9A"/>
    <w:rsid w:val="2031368A"/>
    <w:rsid w:val="203211B0"/>
    <w:rsid w:val="20337402"/>
    <w:rsid w:val="20355593"/>
    <w:rsid w:val="203603E1"/>
    <w:rsid w:val="2036283D"/>
    <w:rsid w:val="203647FC"/>
    <w:rsid w:val="20370574"/>
    <w:rsid w:val="2037374D"/>
    <w:rsid w:val="2041079C"/>
    <w:rsid w:val="20424493"/>
    <w:rsid w:val="20431FE2"/>
    <w:rsid w:val="2043516B"/>
    <w:rsid w:val="204505AD"/>
    <w:rsid w:val="20472821"/>
    <w:rsid w:val="204809D3"/>
    <w:rsid w:val="204C2272"/>
    <w:rsid w:val="204C4020"/>
    <w:rsid w:val="204C7AB1"/>
    <w:rsid w:val="204D1910"/>
    <w:rsid w:val="204F3E9C"/>
    <w:rsid w:val="204F58BE"/>
    <w:rsid w:val="20504D42"/>
    <w:rsid w:val="20534A38"/>
    <w:rsid w:val="20564E9E"/>
    <w:rsid w:val="20566C4C"/>
    <w:rsid w:val="205904EB"/>
    <w:rsid w:val="205C7FDB"/>
    <w:rsid w:val="205D57F5"/>
    <w:rsid w:val="205F46C8"/>
    <w:rsid w:val="20607AD1"/>
    <w:rsid w:val="206107E5"/>
    <w:rsid w:val="20631EDC"/>
    <w:rsid w:val="206326AF"/>
    <w:rsid w:val="2063376D"/>
    <w:rsid w:val="20635651"/>
    <w:rsid w:val="20653333"/>
    <w:rsid w:val="20664974"/>
    <w:rsid w:val="20692184"/>
    <w:rsid w:val="206962EC"/>
    <w:rsid w:val="206C46C2"/>
    <w:rsid w:val="206D1001"/>
    <w:rsid w:val="206D6596"/>
    <w:rsid w:val="206E2046"/>
    <w:rsid w:val="207356D7"/>
    <w:rsid w:val="20741E7D"/>
    <w:rsid w:val="20754A12"/>
    <w:rsid w:val="2078600D"/>
    <w:rsid w:val="20795631"/>
    <w:rsid w:val="207A4D10"/>
    <w:rsid w:val="207B1A27"/>
    <w:rsid w:val="207B1DBD"/>
    <w:rsid w:val="207B66B3"/>
    <w:rsid w:val="207D1EAD"/>
    <w:rsid w:val="207D46DD"/>
    <w:rsid w:val="207F43F7"/>
    <w:rsid w:val="20827A42"/>
    <w:rsid w:val="20857532"/>
    <w:rsid w:val="208C266E"/>
    <w:rsid w:val="208F6602"/>
    <w:rsid w:val="208F7E3F"/>
    <w:rsid w:val="20915ED7"/>
    <w:rsid w:val="209354CA"/>
    <w:rsid w:val="20937EA1"/>
    <w:rsid w:val="20940FF4"/>
    <w:rsid w:val="20943C19"/>
    <w:rsid w:val="2096173F"/>
    <w:rsid w:val="209733D2"/>
    <w:rsid w:val="209854B7"/>
    <w:rsid w:val="209C4A81"/>
    <w:rsid w:val="209D66BD"/>
    <w:rsid w:val="209E6730"/>
    <w:rsid w:val="20A025BE"/>
    <w:rsid w:val="20A15D31"/>
    <w:rsid w:val="20A51982"/>
    <w:rsid w:val="20A65EAB"/>
    <w:rsid w:val="20A830D3"/>
    <w:rsid w:val="20A91472"/>
    <w:rsid w:val="20A951E7"/>
    <w:rsid w:val="20AA6F98"/>
    <w:rsid w:val="20AF05CE"/>
    <w:rsid w:val="20AF2801"/>
    <w:rsid w:val="20AF45AF"/>
    <w:rsid w:val="20AF779C"/>
    <w:rsid w:val="20B07120"/>
    <w:rsid w:val="20B30ABE"/>
    <w:rsid w:val="20B41BC5"/>
    <w:rsid w:val="20B47E17"/>
    <w:rsid w:val="20B617CC"/>
    <w:rsid w:val="20B9542D"/>
    <w:rsid w:val="20BD6CCC"/>
    <w:rsid w:val="20BE299A"/>
    <w:rsid w:val="20BE2A44"/>
    <w:rsid w:val="20BE47F2"/>
    <w:rsid w:val="20BE5BD1"/>
    <w:rsid w:val="20BE696A"/>
    <w:rsid w:val="20C2105F"/>
    <w:rsid w:val="20C53DD2"/>
    <w:rsid w:val="20C75D9C"/>
    <w:rsid w:val="20CB4B6E"/>
    <w:rsid w:val="20CD4C6C"/>
    <w:rsid w:val="20CE0ED9"/>
    <w:rsid w:val="20D109C9"/>
    <w:rsid w:val="20D12777"/>
    <w:rsid w:val="20D43B74"/>
    <w:rsid w:val="20D67D8D"/>
    <w:rsid w:val="20D81D57"/>
    <w:rsid w:val="20D913B7"/>
    <w:rsid w:val="20DF5EB9"/>
    <w:rsid w:val="20E06E5E"/>
    <w:rsid w:val="20E45483"/>
    <w:rsid w:val="20E76E10"/>
    <w:rsid w:val="20E976FD"/>
    <w:rsid w:val="20E97FF5"/>
    <w:rsid w:val="20EA1A41"/>
    <w:rsid w:val="20EC5800"/>
    <w:rsid w:val="20F052F3"/>
    <w:rsid w:val="20F05CF6"/>
    <w:rsid w:val="20F20C7E"/>
    <w:rsid w:val="20F23661"/>
    <w:rsid w:val="20F3093F"/>
    <w:rsid w:val="20F33380"/>
    <w:rsid w:val="20F36B91"/>
    <w:rsid w:val="20F52909"/>
    <w:rsid w:val="20F55779"/>
    <w:rsid w:val="20F841A8"/>
    <w:rsid w:val="20FA1CCE"/>
    <w:rsid w:val="20FC21BE"/>
    <w:rsid w:val="20FE2069"/>
    <w:rsid w:val="2100305C"/>
    <w:rsid w:val="210165B1"/>
    <w:rsid w:val="21026DD4"/>
    <w:rsid w:val="21046ED6"/>
    <w:rsid w:val="2107263D"/>
    <w:rsid w:val="21090977"/>
    <w:rsid w:val="21096A8A"/>
    <w:rsid w:val="210D3A64"/>
    <w:rsid w:val="210E4B7A"/>
    <w:rsid w:val="211508B6"/>
    <w:rsid w:val="211735F3"/>
    <w:rsid w:val="211A3716"/>
    <w:rsid w:val="211D3C0E"/>
    <w:rsid w:val="211E0376"/>
    <w:rsid w:val="211E725F"/>
    <w:rsid w:val="211F1734"/>
    <w:rsid w:val="21222FD3"/>
    <w:rsid w:val="212354F4"/>
    <w:rsid w:val="21240AF9"/>
    <w:rsid w:val="21260D15"/>
    <w:rsid w:val="21274A8D"/>
    <w:rsid w:val="2127683B"/>
    <w:rsid w:val="212935C1"/>
    <w:rsid w:val="21294361"/>
    <w:rsid w:val="2129610F"/>
    <w:rsid w:val="212D1DF7"/>
    <w:rsid w:val="212F7F40"/>
    <w:rsid w:val="213571AA"/>
    <w:rsid w:val="21366A7E"/>
    <w:rsid w:val="213732BD"/>
    <w:rsid w:val="213831F5"/>
    <w:rsid w:val="213A773B"/>
    <w:rsid w:val="213B5E42"/>
    <w:rsid w:val="213E463A"/>
    <w:rsid w:val="21415B4F"/>
    <w:rsid w:val="214367BD"/>
    <w:rsid w:val="21441798"/>
    <w:rsid w:val="21464F13"/>
    <w:rsid w:val="21466CC1"/>
    <w:rsid w:val="21470119"/>
    <w:rsid w:val="21472A39"/>
    <w:rsid w:val="214B2529"/>
    <w:rsid w:val="214E201A"/>
    <w:rsid w:val="214F7D3A"/>
    <w:rsid w:val="21532C9C"/>
    <w:rsid w:val="21564068"/>
    <w:rsid w:val="215869F4"/>
    <w:rsid w:val="215A5CB2"/>
    <w:rsid w:val="215D1E34"/>
    <w:rsid w:val="21616487"/>
    <w:rsid w:val="21627873"/>
    <w:rsid w:val="2164183D"/>
    <w:rsid w:val="21676C37"/>
    <w:rsid w:val="216B1BC5"/>
    <w:rsid w:val="216E446A"/>
    <w:rsid w:val="217304A4"/>
    <w:rsid w:val="2173382E"/>
    <w:rsid w:val="21742407"/>
    <w:rsid w:val="217C0935"/>
    <w:rsid w:val="21817CF9"/>
    <w:rsid w:val="21823A71"/>
    <w:rsid w:val="21843C8D"/>
    <w:rsid w:val="21852997"/>
    <w:rsid w:val="218542B2"/>
    <w:rsid w:val="21863561"/>
    <w:rsid w:val="21865B0D"/>
    <w:rsid w:val="218912A4"/>
    <w:rsid w:val="21894E00"/>
    <w:rsid w:val="218A7A01"/>
    <w:rsid w:val="218B0B78"/>
    <w:rsid w:val="218E68BA"/>
    <w:rsid w:val="219043E0"/>
    <w:rsid w:val="21913598"/>
    <w:rsid w:val="219300E8"/>
    <w:rsid w:val="219502E0"/>
    <w:rsid w:val="21951064"/>
    <w:rsid w:val="21986530"/>
    <w:rsid w:val="219A700D"/>
    <w:rsid w:val="219D7BA3"/>
    <w:rsid w:val="21A32365"/>
    <w:rsid w:val="21A460DD"/>
    <w:rsid w:val="21A8797C"/>
    <w:rsid w:val="21A90465"/>
    <w:rsid w:val="21AD72C6"/>
    <w:rsid w:val="21AE0756"/>
    <w:rsid w:val="21AF25CE"/>
    <w:rsid w:val="21B0447E"/>
    <w:rsid w:val="21B06830"/>
    <w:rsid w:val="21B134AA"/>
    <w:rsid w:val="21B26554"/>
    <w:rsid w:val="21B36276"/>
    <w:rsid w:val="21B51F8B"/>
    <w:rsid w:val="21B55B3A"/>
    <w:rsid w:val="21B65594"/>
    <w:rsid w:val="21B7196D"/>
    <w:rsid w:val="21B77BBF"/>
    <w:rsid w:val="21B856E5"/>
    <w:rsid w:val="21B95158"/>
    <w:rsid w:val="21BA300B"/>
    <w:rsid w:val="21BA327E"/>
    <w:rsid w:val="21BE719F"/>
    <w:rsid w:val="21BF6311"/>
    <w:rsid w:val="21C07370"/>
    <w:rsid w:val="21C10A3D"/>
    <w:rsid w:val="21C422DC"/>
    <w:rsid w:val="21C4408A"/>
    <w:rsid w:val="21C6513E"/>
    <w:rsid w:val="21C67E02"/>
    <w:rsid w:val="21C81DDA"/>
    <w:rsid w:val="21C83B7A"/>
    <w:rsid w:val="21CC1AA7"/>
    <w:rsid w:val="21CD1679"/>
    <w:rsid w:val="21CE2911"/>
    <w:rsid w:val="21CF3B3B"/>
    <w:rsid w:val="21CF4F08"/>
    <w:rsid w:val="21D20555"/>
    <w:rsid w:val="21D249F9"/>
    <w:rsid w:val="21D43BB2"/>
    <w:rsid w:val="21D67962"/>
    <w:rsid w:val="21D73DBD"/>
    <w:rsid w:val="21D91E13"/>
    <w:rsid w:val="21DA565B"/>
    <w:rsid w:val="21DE339D"/>
    <w:rsid w:val="21E23A88"/>
    <w:rsid w:val="21E52424"/>
    <w:rsid w:val="21E75370"/>
    <w:rsid w:val="21E8421C"/>
    <w:rsid w:val="21E94613"/>
    <w:rsid w:val="21E94BBE"/>
    <w:rsid w:val="21EB2F0A"/>
    <w:rsid w:val="21EB7868"/>
    <w:rsid w:val="21ED538F"/>
    <w:rsid w:val="21ED6A0F"/>
    <w:rsid w:val="21EE240D"/>
    <w:rsid w:val="21EF7359"/>
    <w:rsid w:val="21F017FA"/>
    <w:rsid w:val="21F030D1"/>
    <w:rsid w:val="21F030DA"/>
    <w:rsid w:val="21F04E7F"/>
    <w:rsid w:val="21F244B0"/>
    <w:rsid w:val="21F32933"/>
    <w:rsid w:val="21FA6D5D"/>
    <w:rsid w:val="21FB3F4F"/>
    <w:rsid w:val="21FC3824"/>
    <w:rsid w:val="21FE3BD2"/>
    <w:rsid w:val="22010E3A"/>
    <w:rsid w:val="22016CEF"/>
    <w:rsid w:val="22022186"/>
    <w:rsid w:val="220426D8"/>
    <w:rsid w:val="22042C02"/>
    <w:rsid w:val="22054E63"/>
    <w:rsid w:val="22071913"/>
    <w:rsid w:val="22093F46"/>
    <w:rsid w:val="220A5F40"/>
    <w:rsid w:val="220B3A67"/>
    <w:rsid w:val="220B7F0B"/>
    <w:rsid w:val="220C6958"/>
    <w:rsid w:val="220D3C83"/>
    <w:rsid w:val="220F79FB"/>
    <w:rsid w:val="22125238"/>
    <w:rsid w:val="2212699F"/>
    <w:rsid w:val="22127B65"/>
    <w:rsid w:val="221576A4"/>
    <w:rsid w:val="22160DAE"/>
    <w:rsid w:val="22167CDE"/>
    <w:rsid w:val="22171FC1"/>
    <w:rsid w:val="22192627"/>
    <w:rsid w:val="2219530B"/>
    <w:rsid w:val="22196184"/>
    <w:rsid w:val="221A39C9"/>
    <w:rsid w:val="221B2448"/>
    <w:rsid w:val="221B3A97"/>
    <w:rsid w:val="221C0483"/>
    <w:rsid w:val="221C59E2"/>
    <w:rsid w:val="222039B6"/>
    <w:rsid w:val="222339F7"/>
    <w:rsid w:val="22235254"/>
    <w:rsid w:val="22235F69"/>
    <w:rsid w:val="22237002"/>
    <w:rsid w:val="22252D7A"/>
    <w:rsid w:val="222727D0"/>
    <w:rsid w:val="22280ABD"/>
    <w:rsid w:val="222A213F"/>
    <w:rsid w:val="222B4109"/>
    <w:rsid w:val="222D60D3"/>
    <w:rsid w:val="222F70DD"/>
    <w:rsid w:val="2230171F"/>
    <w:rsid w:val="22317971"/>
    <w:rsid w:val="223342A8"/>
    <w:rsid w:val="22344675"/>
    <w:rsid w:val="22346735"/>
    <w:rsid w:val="22364F87"/>
    <w:rsid w:val="22372AAE"/>
    <w:rsid w:val="22381D9B"/>
    <w:rsid w:val="223B434C"/>
    <w:rsid w:val="223C1E72"/>
    <w:rsid w:val="223D5253"/>
    <w:rsid w:val="22401962"/>
    <w:rsid w:val="224029DA"/>
    <w:rsid w:val="22421196"/>
    <w:rsid w:val="22422982"/>
    <w:rsid w:val="22425306"/>
    <w:rsid w:val="22425581"/>
    <w:rsid w:val="22432638"/>
    <w:rsid w:val="22460F43"/>
    <w:rsid w:val="224872E5"/>
    <w:rsid w:val="22496E75"/>
    <w:rsid w:val="224A458F"/>
    <w:rsid w:val="224C47AB"/>
    <w:rsid w:val="224E7679"/>
    <w:rsid w:val="22513B6F"/>
    <w:rsid w:val="22521696"/>
    <w:rsid w:val="225278E7"/>
    <w:rsid w:val="22537A69"/>
    <w:rsid w:val="2254540E"/>
    <w:rsid w:val="22574EFE"/>
    <w:rsid w:val="22590C76"/>
    <w:rsid w:val="225D0766"/>
    <w:rsid w:val="225E003A"/>
    <w:rsid w:val="225E070A"/>
    <w:rsid w:val="225E0C71"/>
    <w:rsid w:val="22602004"/>
    <w:rsid w:val="2260355A"/>
    <w:rsid w:val="22610ADC"/>
    <w:rsid w:val="226122F1"/>
    <w:rsid w:val="22623FCE"/>
    <w:rsid w:val="226513C9"/>
    <w:rsid w:val="226734D6"/>
    <w:rsid w:val="226A3743"/>
    <w:rsid w:val="226A4C31"/>
    <w:rsid w:val="226A72B6"/>
    <w:rsid w:val="226D4721"/>
    <w:rsid w:val="22715FC0"/>
    <w:rsid w:val="22747619"/>
    <w:rsid w:val="227855A0"/>
    <w:rsid w:val="22794E74"/>
    <w:rsid w:val="22796D63"/>
    <w:rsid w:val="227D2BB6"/>
    <w:rsid w:val="227E248B"/>
    <w:rsid w:val="227E7703"/>
    <w:rsid w:val="227F78B3"/>
    <w:rsid w:val="228026A7"/>
    <w:rsid w:val="22816985"/>
    <w:rsid w:val="228306E4"/>
    <w:rsid w:val="22833F45"/>
    <w:rsid w:val="22851A6B"/>
    <w:rsid w:val="228B62C2"/>
    <w:rsid w:val="228C104B"/>
    <w:rsid w:val="228C2DF9"/>
    <w:rsid w:val="228C3A98"/>
    <w:rsid w:val="22916627"/>
    <w:rsid w:val="229334E7"/>
    <w:rsid w:val="22943A5C"/>
    <w:rsid w:val="2297354C"/>
    <w:rsid w:val="2298179E"/>
    <w:rsid w:val="229972C4"/>
    <w:rsid w:val="229B128E"/>
    <w:rsid w:val="229C358D"/>
    <w:rsid w:val="229D16F7"/>
    <w:rsid w:val="229D178E"/>
    <w:rsid w:val="229D7CA8"/>
    <w:rsid w:val="22A00653"/>
    <w:rsid w:val="22A04AF7"/>
    <w:rsid w:val="22A41D1F"/>
    <w:rsid w:val="22A42B90"/>
    <w:rsid w:val="22A530BF"/>
    <w:rsid w:val="22A569A5"/>
    <w:rsid w:val="22A6463F"/>
    <w:rsid w:val="22A85759"/>
    <w:rsid w:val="22AB3152"/>
    <w:rsid w:val="22AC6FF8"/>
    <w:rsid w:val="22AC7368"/>
    <w:rsid w:val="22AF6AE8"/>
    <w:rsid w:val="22B1460E"/>
    <w:rsid w:val="22B20386"/>
    <w:rsid w:val="22B266F4"/>
    <w:rsid w:val="22B34460"/>
    <w:rsid w:val="22B5712B"/>
    <w:rsid w:val="22B67E76"/>
    <w:rsid w:val="22B934C3"/>
    <w:rsid w:val="22BA5BB9"/>
    <w:rsid w:val="22BB502B"/>
    <w:rsid w:val="22BD7457"/>
    <w:rsid w:val="22C00CF5"/>
    <w:rsid w:val="22C2681B"/>
    <w:rsid w:val="22C375D7"/>
    <w:rsid w:val="22C52798"/>
    <w:rsid w:val="22C64DBD"/>
    <w:rsid w:val="22CA1B74"/>
    <w:rsid w:val="22CA3922"/>
    <w:rsid w:val="22CE3649"/>
    <w:rsid w:val="22CF0F38"/>
    <w:rsid w:val="22CF2A3F"/>
    <w:rsid w:val="22D02936"/>
    <w:rsid w:val="22D12547"/>
    <w:rsid w:val="22D87DED"/>
    <w:rsid w:val="22DB168B"/>
    <w:rsid w:val="22DB2588"/>
    <w:rsid w:val="22DB5B2F"/>
    <w:rsid w:val="22DB78DD"/>
    <w:rsid w:val="22DC5E4E"/>
    <w:rsid w:val="22DD41AC"/>
    <w:rsid w:val="22DD5403"/>
    <w:rsid w:val="22DD5453"/>
    <w:rsid w:val="22DD77B1"/>
    <w:rsid w:val="22E1689E"/>
    <w:rsid w:val="22E273D4"/>
    <w:rsid w:val="22E37D3C"/>
    <w:rsid w:val="22E569AE"/>
    <w:rsid w:val="22E61AD1"/>
    <w:rsid w:val="22EE2E34"/>
    <w:rsid w:val="22EF42C4"/>
    <w:rsid w:val="22EF5136"/>
    <w:rsid w:val="22F0737C"/>
    <w:rsid w:val="22F369D5"/>
    <w:rsid w:val="22F46A22"/>
    <w:rsid w:val="22F73459"/>
    <w:rsid w:val="22F8048F"/>
    <w:rsid w:val="22FA3C46"/>
    <w:rsid w:val="2302130E"/>
    <w:rsid w:val="230230BC"/>
    <w:rsid w:val="23024E6A"/>
    <w:rsid w:val="23063015"/>
    <w:rsid w:val="23076924"/>
    <w:rsid w:val="2309269C"/>
    <w:rsid w:val="230C7A96"/>
    <w:rsid w:val="230D0DAA"/>
    <w:rsid w:val="23104268"/>
    <w:rsid w:val="23137077"/>
    <w:rsid w:val="23173FA2"/>
    <w:rsid w:val="2318468D"/>
    <w:rsid w:val="231B417D"/>
    <w:rsid w:val="231D4625"/>
    <w:rsid w:val="231D7012"/>
    <w:rsid w:val="231E77CA"/>
    <w:rsid w:val="2320282F"/>
    <w:rsid w:val="2322375E"/>
    <w:rsid w:val="232703F4"/>
    <w:rsid w:val="23270D74"/>
    <w:rsid w:val="23272B22"/>
    <w:rsid w:val="2328627B"/>
    <w:rsid w:val="232A43C0"/>
    <w:rsid w:val="232C0139"/>
    <w:rsid w:val="232D3FB5"/>
    <w:rsid w:val="232F1757"/>
    <w:rsid w:val="23332CA9"/>
    <w:rsid w:val="23373531"/>
    <w:rsid w:val="23397238"/>
    <w:rsid w:val="233E3859"/>
    <w:rsid w:val="233F3018"/>
    <w:rsid w:val="2340395B"/>
    <w:rsid w:val="2342170A"/>
    <w:rsid w:val="2342795C"/>
    <w:rsid w:val="234424ED"/>
    <w:rsid w:val="23447230"/>
    <w:rsid w:val="2345397D"/>
    <w:rsid w:val="234A1547"/>
    <w:rsid w:val="234B2192"/>
    <w:rsid w:val="234B4A63"/>
    <w:rsid w:val="23502079"/>
    <w:rsid w:val="2351194D"/>
    <w:rsid w:val="23515DF1"/>
    <w:rsid w:val="2354768D"/>
    <w:rsid w:val="23562D7C"/>
    <w:rsid w:val="23586110"/>
    <w:rsid w:val="235B27CC"/>
    <w:rsid w:val="235E4837"/>
    <w:rsid w:val="235F406A"/>
    <w:rsid w:val="235F4CEA"/>
    <w:rsid w:val="23607DE2"/>
    <w:rsid w:val="23630415"/>
    <w:rsid w:val="23636EA1"/>
    <w:rsid w:val="23645B24"/>
    <w:rsid w:val="23671DAD"/>
    <w:rsid w:val="23691BCC"/>
    <w:rsid w:val="236B6EB3"/>
    <w:rsid w:val="236C6787"/>
    <w:rsid w:val="236D2C2B"/>
    <w:rsid w:val="236F2B5C"/>
    <w:rsid w:val="23711FEF"/>
    <w:rsid w:val="23717C27"/>
    <w:rsid w:val="23757D31"/>
    <w:rsid w:val="237648E2"/>
    <w:rsid w:val="23767606"/>
    <w:rsid w:val="23770C0A"/>
    <w:rsid w:val="237C10C0"/>
    <w:rsid w:val="237C2E6E"/>
    <w:rsid w:val="237C3DE4"/>
    <w:rsid w:val="238150DC"/>
    <w:rsid w:val="2383647E"/>
    <w:rsid w:val="238479F7"/>
    <w:rsid w:val="23867849"/>
    <w:rsid w:val="238735C1"/>
    <w:rsid w:val="238B4E5F"/>
    <w:rsid w:val="238C6E29"/>
    <w:rsid w:val="238F1F25"/>
    <w:rsid w:val="23904D7A"/>
    <w:rsid w:val="23921DA8"/>
    <w:rsid w:val="23933738"/>
    <w:rsid w:val="2393640A"/>
    <w:rsid w:val="23952182"/>
    <w:rsid w:val="23963804"/>
    <w:rsid w:val="2397336A"/>
    <w:rsid w:val="23977CA8"/>
    <w:rsid w:val="23987286"/>
    <w:rsid w:val="239C52BE"/>
    <w:rsid w:val="239E0321"/>
    <w:rsid w:val="239F090A"/>
    <w:rsid w:val="239F4DAE"/>
    <w:rsid w:val="23A10B26"/>
    <w:rsid w:val="23A14EBC"/>
    <w:rsid w:val="23A25AE6"/>
    <w:rsid w:val="23A34399"/>
    <w:rsid w:val="23A35ADA"/>
    <w:rsid w:val="23A4692B"/>
    <w:rsid w:val="23A777BF"/>
    <w:rsid w:val="23A86BC5"/>
    <w:rsid w:val="23AA5C20"/>
    <w:rsid w:val="23AF03FB"/>
    <w:rsid w:val="23AF78CF"/>
    <w:rsid w:val="23B0550D"/>
    <w:rsid w:val="23B343B6"/>
    <w:rsid w:val="23B74607"/>
    <w:rsid w:val="23BA5135"/>
    <w:rsid w:val="23BA5744"/>
    <w:rsid w:val="23BA756A"/>
    <w:rsid w:val="23BC14BC"/>
    <w:rsid w:val="23BD6FE3"/>
    <w:rsid w:val="23BF2D5B"/>
    <w:rsid w:val="23BF71FF"/>
    <w:rsid w:val="23C12F77"/>
    <w:rsid w:val="23C16AD3"/>
    <w:rsid w:val="23C36FC9"/>
    <w:rsid w:val="23C6233B"/>
    <w:rsid w:val="23C977F5"/>
    <w:rsid w:val="23CB7951"/>
    <w:rsid w:val="23CD2846"/>
    <w:rsid w:val="23D04F68"/>
    <w:rsid w:val="23D10B88"/>
    <w:rsid w:val="23D5257E"/>
    <w:rsid w:val="23DA1943"/>
    <w:rsid w:val="23DA1D68"/>
    <w:rsid w:val="23DA7B95"/>
    <w:rsid w:val="23DB78C9"/>
    <w:rsid w:val="23DE179B"/>
    <w:rsid w:val="23DE44D0"/>
    <w:rsid w:val="23DE64F0"/>
    <w:rsid w:val="23DF33FD"/>
    <w:rsid w:val="23E26A49"/>
    <w:rsid w:val="23E32EED"/>
    <w:rsid w:val="23E34C9B"/>
    <w:rsid w:val="23E374FF"/>
    <w:rsid w:val="23E40A13"/>
    <w:rsid w:val="23E818E5"/>
    <w:rsid w:val="23EB4A8F"/>
    <w:rsid w:val="23EC2749"/>
    <w:rsid w:val="23ED1676"/>
    <w:rsid w:val="23ED2245"/>
    <w:rsid w:val="23ED5B1A"/>
    <w:rsid w:val="23EF693F"/>
    <w:rsid w:val="23F23130"/>
    <w:rsid w:val="23F377B9"/>
    <w:rsid w:val="23F944BF"/>
    <w:rsid w:val="23FA1FE5"/>
    <w:rsid w:val="23FD196F"/>
    <w:rsid w:val="23FD1C9E"/>
    <w:rsid w:val="23FE7D27"/>
    <w:rsid w:val="23FF6EDC"/>
    <w:rsid w:val="24012941"/>
    <w:rsid w:val="24015121"/>
    <w:rsid w:val="2401522B"/>
    <w:rsid w:val="24042E63"/>
    <w:rsid w:val="24043022"/>
    <w:rsid w:val="24056157"/>
    <w:rsid w:val="2406098A"/>
    <w:rsid w:val="24076E29"/>
    <w:rsid w:val="240B75A8"/>
    <w:rsid w:val="240D4A99"/>
    <w:rsid w:val="240F5A90"/>
    <w:rsid w:val="24101D32"/>
    <w:rsid w:val="24106983"/>
    <w:rsid w:val="24106ADF"/>
    <w:rsid w:val="241206BD"/>
    <w:rsid w:val="24150BCD"/>
    <w:rsid w:val="24181DE8"/>
    <w:rsid w:val="2419690F"/>
    <w:rsid w:val="241C2D37"/>
    <w:rsid w:val="241C4CAC"/>
    <w:rsid w:val="241E4176"/>
    <w:rsid w:val="241E6A95"/>
    <w:rsid w:val="242022A8"/>
    <w:rsid w:val="24206326"/>
    <w:rsid w:val="24212F0F"/>
    <w:rsid w:val="242157C3"/>
    <w:rsid w:val="2424182F"/>
    <w:rsid w:val="242664D7"/>
    <w:rsid w:val="242766DD"/>
    <w:rsid w:val="242B1338"/>
    <w:rsid w:val="242C2FAD"/>
    <w:rsid w:val="24311EAA"/>
    <w:rsid w:val="24316C9A"/>
    <w:rsid w:val="2432177F"/>
    <w:rsid w:val="243674C1"/>
    <w:rsid w:val="243810D9"/>
    <w:rsid w:val="24385176"/>
    <w:rsid w:val="243948BB"/>
    <w:rsid w:val="243A0633"/>
    <w:rsid w:val="243E0123"/>
    <w:rsid w:val="243E45C7"/>
    <w:rsid w:val="24412F42"/>
    <w:rsid w:val="244514B2"/>
    <w:rsid w:val="244A7DDA"/>
    <w:rsid w:val="244D3098"/>
    <w:rsid w:val="244F2331"/>
    <w:rsid w:val="24516A78"/>
    <w:rsid w:val="245222E6"/>
    <w:rsid w:val="2452597D"/>
    <w:rsid w:val="24545B99"/>
    <w:rsid w:val="245506BD"/>
    <w:rsid w:val="245636BF"/>
    <w:rsid w:val="24575689"/>
    <w:rsid w:val="24577437"/>
    <w:rsid w:val="2459310E"/>
    <w:rsid w:val="245931AF"/>
    <w:rsid w:val="24596DF2"/>
    <w:rsid w:val="245C2C9F"/>
    <w:rsid w:val="245F009A"/>
    <w:rsid w:val="245F3A80"/>
    <w:rsid w:val="24600C0F"/>
    <w:rsid w:val="246068E5"/>
    <w:rsid w:val="246456B0"/>
    <w:rsid w:val="24661642"/>
    <w:rsid w:val="24696BB1"/>
    <w:rsid w:val="24697FC3"/>
    <w:rsid w:val="246A0F18"/>
    <w:rsid w:val="246B7871"/>
    <w:rsid w:val="246C3D73"/>
    <w:rsid w:val="246E0E99"/>
    <w:rsid w:val="246E3343"/>
    <w:rsid w:val="24741D97"/>
    <w:rsid w:val="24746E9C"/>
    <w:rsid w:val="247715B5"/>
    <w:rsid w:val="247955FF"/>
    <w:rsid w:val="247C6E9E"/>
    <w:rsid w:val="247D50F0"/>
    <w:rsid w:val="247E25BA"/>
    <w:rsid w:val="247E6772"/>
    <w:rsid w:val="247E7AD8"/>
    <w:rsid w:val="247F4599"/>
    <w:rsid w:val="247F5358"/>
    <w:rsid w:val="24805BC8"/>
    <w:rsid w:val="24852BAD"/>
    <w:rsid w:val="24857B00"/>
    <w:rsid w:val="248720BC"/>
    <w:rsid w:val="24883A94"/>
    <w:rsid w:val="248A5117"/>
    <w:rsid w:val="248F1AAC"/>
    <w:rsid w:val="2492221D"/>
    <w:rsid w:val="24961512"/>
    <w:rsid w:val="24961D0D"/>
    <w:rsid w:val="249D248F"/>
    <w:rsid w:val="249D7540"/>
    <w:rsid w:val="24A0493A"/>
    <w:rsid w:val="24A07EA5"/>
    <w:rsid w:val="24A23920"/>
    <w:rsid w:val="24A82CBA"/>
    <w:rsid w:val="24A87C93"/>
    <w:rsid w:val="24AB32DF"/>
    <w:rsid w:val="24AC14AE"/>
    <w:rsid w:val="24AC1531"/>
    <w:rsid w:val="24AF22FD"/>
    <w:rsid w:val="24B30B11"/>
    <w:rsid w:val="24B32ACB"/>
    <w:rsid w:val="24B46637"/>
    <w:rsid w:val="24B60AEF"/>
    <w:rsid w:val="24B61435"/>
    <w:rsid w:val="24B91EA0"/>
    <w:rsid w:val="24B959FC"/>
    <w:rsid w:val="24BB1678"/>
    <w:rsid w:val="24BC729A"/>
    <w:rsid w:val="24BD373E"/>
    <w:rsid w:val="24BE6297"/>
    <w:rsid w:val="24C10A7F"/>
    <w:rsid w:val="24C130F1"/>
    <w:rsid w:val="24C148B0"/>
    <w:rsid w:val="24C26FA6"/>
    <w:rsid w:val="24C34ACD"/>
    <w:rsid w:val="24C3687B"/>
    <w:rsid w:val="24C745BD"/>
    <w:rsid w:val="24C77039"/>
    <w:rsid w:val="24CB62DD"/>
    <w:rsid w:val="24CE594B"/>
    <w:rsid w:val="24CF3471"/>
    <w:rsid w:val="24D33AF5"/>
    <w:rsid w:val="24D42836"/>
    <w:rsid w:val="24D47199"/>
    <w:rsid w:val="24D55109"/>
    <w:rsid w:val="24D740D4"/>
    <w:rsid w:val="24D97756"/>
    <w:rsid w:val="24E11586"/>
    <w:rsid w:val="24E16D01"/>
    <w:rsid w:val="24ED0FDA"/>
    <w:rsid w:val="24EF675B"/>
    <w:rsid w:val="24EF7670"/>
    <w:rsid w:val="24F01070"/>
    <w:rsid w:val="24F1107B"/>
    <w:rsid w:val="24F37160"/>
    <w:rsid w:val="24F5261A"/>
    <w:rsid w:val="24F56782"/>
    <w:rsid w:val="24F57215"/>
    <w:rsid w:val="24F670D8"/>
    <w:rsid w:val="24FA6A3F"/>
    <w:rsid w:val="24FB2EF6"/>
    <w:rsid w:val="25007ACF"/>
    <w:rsid w:val="25023588"/>
    <w:rsid w:val="2503311B"/>
    <w:rsid w:val="25047F39"/>
    <w:rsid w:val="250824DF"/>
    <w:rsid w:val="250A2AAC"/>
    <w:rsid w:val="250B703F"/>
    <w:rsid w:val="250C0222"/>
    <w:rsid w:val="250F1AC0"/>
    <w:rsid w:val="25180974"/>
    <w:rsid w:val="25201F1F"/>
    <w:rsid w:val="25203CCD"/>
    <w:rsid w:val="25213E48"/>
    <w:rsid w:val="25215C0D"/>
    <w:rsid w:val="25216A19"/>
    <w:rsid w:val="252235A1"/>
    <w:rsid w:val="252437BD"/>
    <w:rsid w:val="25263AD4"/>
    <w:rsid w:val="252717F0"/>
    <w:rsid w:val="252763E3"/>
    <w:rsid w:val="25293AE6"/>
    <w:rsid w:val="252B4B4C"/>
    <w:rsid w:val="252B4C86"/>
    <w:rsid w:val="252C41B1"/>
    <w:rsid w:val="252C455E"/>
    <w:rsid w:val="252F3F10"/>
    <w:rsid w:val="2531393D"/>
    <w:rsid w:val="253357AE"/>
    <w:rsid w:val="2533755C"/>
    <w:rsid w:val="25381017"/>
    <w:rsid w:val="253819E2"/>
    <w:rsid w:val="25387E2E"/>
    <w:rsid w:val="253B28B5"/>
    <w:rsid w:val="253D1676"/>
    <w:rsid w:val="253F23A5"/>
    <w:rsid w:val="25406339"/>
    <w:rsid w:val="2544481E"/>
    <w:rsid w:val="254479BB"/>
    <w:rsid w:val="25470734"/>
    <w:rsid w:val="25496D80"/>
    <w:rsid w:val="254A5C25"/>
    <w:rsid w:val="254B6F9C"/>
    <w:rsid w:val="2551032A"/>
    <w:rsid w:val="25535E50"/>
    <w:rsid w:val="2556149D"/>
    <w:rsid w:val="255701E1"/>
    <w:rsid w:val="25573AD0"/>
    <w:rsid w:val="25575658"/>
    <w:rsid w:val="25580874"/>
    <w:rsid w:val="255B6AB3"/>
    <w:rsid w:val="255E4015"/>
    <w:rsid w:val="2561056D"/>
    <w:rsid w:val="256364E8"/>
    <w:rsid w:val="2565676C"/>
    <w:rsid w:val="256718FC"/>
    <w:rsid w:val="25675458"/>
    <w:rsid w:val="25677D1E"/>
    <w:rsid w:val="25686B7C"/>
    <w:rsid w:val="256911D0"/>
    <w:rsid w:val="25697422"/>
    <w:rsid w:val="256A640D"/>
    <w:rsid w:val="256A66B5"/>
    <w:rsid w:val="25710BA2"/>
    <w:rsid w:val="25710DD0"/>
    <w:rsid w:val="25714529"/>
    <w:rsid w:val="25722260"/>
    <w:rsid w:val="257356BC"/>
    <w:rsid w:val="25754019"/>
    <w:rsid w:val="257760D2"/>
    <w:rsid w:val="257858C1"/>
    <w:rsid w:val="257A0776"/>
    <w:rsid w:val="257B5183"/>
    <w:rsid w:val="25801B87"/>
    <w:rsid w:val="2580269B"/>
    <w:rsid w:val="2580570A"/>
    <w:rsid w:val="2584425C"/>
    <w:rsid w:val="2584600A"/>
    <w:rsid w:val="25850F63"/>
    <w:rsid w:val="2585328E"/>
    <w:rsid w:val="258549AA"/>
    <w:rsid w:val="258636AA"/>
    <w:rsid w:val="25893A81"/>
    <w:rsid w:val="258C6DD6"/>
    <w:rsid w:val="258E50DA"/>
    <w:rsid w:val="259024C0"/>
    <w:rsid w:val="259049AF"/>
    <w:rsid w:val="259119F6"/>
    <w:rsid w:val="25914C15"/>
    <w:rsid w:val="259204A5"/>
    <w:rsid w:val="25950217"/>
    <w:rsid w:val="25955F3A"/>
    <w:rsid w:val="2599128D"/>
    <w:rsid w:val="25997FDC"/>
    <w:rsid w:val="25A22934"/>
    <w:rsid w:val="25A30ADD"/>
    <w:rsid w:val="25A76974"/>
    <w:rsid w:val="25A85415"/>
    <w:rsid w:val="25A953FC"/>
    <w:rsid w:val="25AB17E9"/>
    <w:rsid w:val="25AB1EB1"/>
    <w:rsid w:val="25AD72C5"/>
    <w:rsid w:val="25AE38CA"/>
    <w:rsid w:val="25AF3901"/>
    <w:rsid w:val="25B12B77"/>
    <w:rsid w:val="25B14925"/>
    <w:rsid w:val="25B3098D"/>
    <w:rsid w:val="25B54415"/>
    <w:rsid w:val="25B60C44"/>
    <w:rsid w:val="25B763DF"/>
    <w:rsid w:val="25B85CB3"/>
    <w:rsid w:val="25B91BC2"/>
    <w:rsid w:val="25BA0095"/>
    <w:rsid w:val="25C048C7"/>
    <w:rsid w:val="25C1100C"/>
    <w:rsid w:val="25C446D8"/>
    <w:rsid w:val="25C74149"/>
    <w:rsid w:val="25C95B03"/>
    <w:rsid w:val="25CA6E09"/>
    <w:rsid w:val="25CB3C39"/>
    <w:rsid w:val="25CC175F"/>
    <w:rsid w:val="25CD79B1"/>
    <w:rsid w:val="25D1772C"/>
    <w:rsid w:val="25D32AED"/>
    <w:rsid w:val="25D37687"/>
    <w:rsid w:val="25D7082F"/>
    <w:rsid w:val="25D746D0"/>
    <w:rsid w:val="25DA1352"/>
    <w:rsid w:val="25DC5E46"/>
    <w:rsid w:val="25E12E26"/>
    <w:rsid w:val="25E1520A"/>
    <w:rsid w:val="25E34B6F"/>
    <w:rsid w:val="25E44CFA"/>
    <w:rsid w:val="25E55152"/>
    <w:rsid w:val="25E832A7"/>
    <w:rsid w:val="25E90563"/>
    <w:rsid w:val="25E92311"/>
    <w:rsid w:val="25E96933"/>
    <w:rsid w:val="25EB6FD9"/>
    <w:rsid w:val="25F0369F"/>
    <w:rsid w:val="25F1259D"/>
    <w:rsid w:val="25F3098D"/>
    <w:rsid w:val="25F34DFB"/>
    <w:rsid w:val="25F96224"/>
    <w:rsid w:val="25FA3714"/>
    <w:rsid w:val="26000619"/>
    <w:rsid w:val="2601765A"/>
    <w:rsid w:val="26025C51"/>
    <w:rsid w:val="26031221"/>
    <w:rsid w:val="26033290"/>
    <w:rsid w:val="260521E0"/>
    <w:rsid w:val="26065BCC"/>
    <w:rsid w:val="260B04D9"/>
    <w:rsid w:val="260B3316"/>
    <w:rsid w:val="260B672B"/>
    <w:rsid w:val="260C1DEB"/>
    <w:rsid w:val="260D4251"/>
    <w:rsid w:val="260D5FFF"/>
    <w:rsid w:val="260F621B"/>
    <w:rsid w:val="26127ABA"/>
    <w:rsid w:val="2613738E"/>
    <w:rsid w:val="26153106"/>
    <w:rsid w:val="26154EB4"/>
    <w:rsid w:val="261750D0"/>
    <w:rsid w:val="261868A0"/>
    <w:rsid w:val="261915A4"/>
    <w:rsid w:val="261E1301"/>
    <w:rsid w:val="261F5D33"/>
    <w:rsid w:val="26216AA5"/>
    <w:rsid w:val="26220DC8"/>
    <w:rsid w:val="26226839"/>
    <w:rsid w:val="26241FF4"/>
    <w:rsid w:val="262475DA"/>
    <w:rsid w:val="262B19C8"/>
    <w:rsid w:val="262B66B2"/>
    <w:rsid w:val="2631375B"/>
    <w:rsid w:val="26321F0A"/>
    <w:rsid w:val="263317DE"/>
    <w:rsid w:val="26336079"/>
    <w:rsid w:val="2638357F"/>
    <w:rsid w:val="263B7010"/>
    <w:rsid w:val="263C0693"/>
    <w:rsid w:val="263C4B36"/>
    <w:rsid w:val="263D3ECE"/>
    <w:rsid w:val="263E08AF"/>
    <w:rsid w:val="2643248B"/>
    <w:rsid w:val="264403D3"/>
    <w:rsid w:val="26494ECA"/>
    <w:rsid w:val="264D28A0"/>
    <w:rsid w:val="264E03C6"/>
    <w:rsid w:val="264F486A"/>
    <w:rsid w:val="2650413E"/>
    <w:rsid w:val="265359DC"/>
    <w:rsid w:val="265514D7"/>
    <w:rsid w:val="26555BF8"/>
    <w:rsid w:val="265579A6"/>
    <w:rsid w:val="265754CC"/>
    <w:rsid w:val="26581613"/>
    <w:rsid w:val="2659154E"/>
    <w:rsid w:val="265A4FBD"/>
    <w:rsid w:val="265C5285"/>
    <w:rsid w:val="265D00EF"/>
    <w:rsid w:val="265F2A99"/>
    <w:rsid w:val="265F7546"/>
    <w:rsid w:val="26606A77"/>
    <w:rsid w:val="26610CE2"/>
    <w:rsid w:val="2661634B"/>
    <w:rsid w:val="26622EB6"/>
    <w:rsid w:val="266320C3"/>
    <w:rsid w:val="266878F9"/>
    <w:rsid w:val="2669113E"/>
    <w:rsid w:val="26695200"/>
    <w:rsid w:val="266A51AE"/>
    <w:rsid w:val="266F2816"/>
    <w:rsid w:val="26705BD1"/>
    <w:rsid w:val="26720558"/>
    <w:rsid w:val="26735D0C"/>
    <w:rsid w:val="26741DCB"/>
    <w:rsid w:val="2675144D"/>
    <w:rsid w:val="26753BA5"/>
    <w:rsid w:val="26754750"/>
    <w:rsid w:val="26797B39"/>
    <w:rsid w:val="267B565F"/>
    <w:rsid w:val="267D224D"/>
    <w:rsid w:val="267F67D1"/>
    <w:rsid w:val="26865DB2"/>
    <w:rsid w:val="26867B60"/>
    <w:rsid w:val="26870241"/>
    <w:rsid w:val="26882E12"/>
    <w:rsid w:val="268842A2"/>
    <w:rsid w:val="268C062B"/>
    <w:rsid w:val="268D0EEE"/>
    <w:rsid w:val="269134E6"/>
    <w:rsid w:val="26964247"/>
    <w:rsid w:val="26966A8E"/>
    <w:rsid w:val="26977FBF"/>
    <w:rsid w:val="2699161A"/>
    <w:rsid w:val="26997893"/>
    <w:rsid w:val="269C3827"/>
    <w:rsid w:val="269C4C4F"/>
    <w:rsid w:val="269F5235"/>
    <w:rsid w:val="26A10E3D"/>
    <w:rsid w:val="26A12BEB"/>
    <w:rsid w:val="26A27A1A"/>
    <w:rsid w:val="26A30712"/>
    <w:rsid w:val="26A40EA5"/>
    <w:rsid w:val="26A5448A"/>
    <w:rsid w:val="26A821CC"/>
    <w:rsid w:val="26AA159C"/>
    <w:rsid w:val="26AF355A"/>
    <w:rsid w:val="26B033AB"/>
    <w:rsid w:val="26B20955"/>
    <w:rsid w:val="26B24DF9"/>
    <w:rsid w:val="26B66697"/>
    <w:rsid w:val="26B7356B"/>
    <w:rsid w:val="26B77320"/>
    <w:rsid w:val="26B836F3"/>
    <w:rsid w:val="26B91CE3"/>
    <w:rsid w:val="26BB3FF1"/>
    <w:rsid w:val="26C07516"/>
    <w:rsid w:val="26C1503C"/>
    <w:rsid w:val="26C16DEA"/>
    <w:rsid w:val="26C2328E"/>
    <w:rsid w:val="26C32B62"/>
    <w:rsid w:val="26C40A2A"/>
    <w:rsid w:val="26C62652"/>
    <w:rsid w:val="26C678B5"/>
    <w:rsid w:val="26C80178"/>
    <w:rsid w:val="26CC66A1"/>
    <w:rsid w:val="26CC7C68"/>
    <w:rsid w:val="26CD39E1"/>
    <w:rsid w:val="26CD421C"/>
    <w:rsid w:val="26D0702D"/>
    <w:rsid w:val="26D20FF7"/>
    <w:rsid w:val="26D2548F"/>
    <w:rsid w:val="26D46B1D"/>
    <w:rsid w:val="26D5634E"/>
    <w:rsid w:val="26D71E4A"/>
    <w:rsid w:val="26D86C4B"/>
    <w:rsid w:val="26DC1E92"/>
    <w:rsid w:val="26DF5CC2"/>
    <w:rsid w:val="26E477CD"/>
    <w:rsid w:val="26E50D2A"/>
    <w:rsid w:val="26E52AD8"/>
    <w:rsid w:val="26E5365D"/>
    <w:rsid w:val="26E56F7C"/>
    <w:rsid w:val="26E70054"/>
    <w:rsid w:val="26E72CF4"/>
    <w:rsid w:val="26EA00EF"/>
    <w:rsid w:val="26EA4592"/>
    <w:rsid w:val="26EA6341"/>
    <w:rsid w:val="26ED5E31"/>
    <w:rsid w:val="26EF3957"/>
    <w:rsid w:val="26F15921"/>
    <w:rsid w:val="26F33261"/>
    <w:rsid w:val="26FC6074"/>
    <w:rsid w:val="26FE1DA7"/>
    <w:rsid w:val="26FF6816"/>
    <w:rsid w:val="27006571"/>
    <w:rsid w:val="27027B2E"/>
    <w:rsid w:val="27070CA1"/>
    <w:rsid w:val="27074D51"/>
    <w:rsid w:val="270813B3"/>
    <w:rsid w:val="270B1C7C"/>
    <w:rsid w:val="270B6448"/>
    <w:rsid w:val="270C4509"/>
    <w:rsid w:val="270C7816"/>
    <w:rsid w:val="270E5857"/>
    <w:rsid w:val="270E610B"/>
    <w:rsid w:val="270F24F9"/>
    <w:rsid w:val="27117D71"/>
    <w:rsid w:val="27120C64"/>
    <w:rsid w:val="27127645"/>
    <w:rsid w:val="27133AE9"/>
    <w:rsid w:val="27140AE9"/>
    <w:rsid w:val="27167136"/>
    <w:rsid w:val="271771F8"/>
    <w:rsid w:val="271A0FDD"/>
    <w:rsid w:val="271B3332"/>
    <w:rsid w:val="271E248E"/>
    <w:rsid w:val="272139BD"/>
    <w:rsid w:val="272330E3"/>
    <w:rsid w:val="272500C1"/>
    <w:rsid w:val="27250D92"/>
    <w:rsid w:val="2725203B"/>
    <w:rsid w:val="272555CB"/>
    <w:rsid w:val="272720F7"/>
    <w:rsid w:val="272802B9"/>
    <w:rsid w:val="272950BB"/>
    <w:rsid w:val="272965D0"/>
    <w:rsid w:val="27297642"/>
    <w:rsid w:val="27321A96"/>
    <w:rsid w:val="273306F3"/>
    <w:rsid w:val="2736411B"/>
    <w:rsid w:val="27373FE1"/>
    <w:rsid w:val="27392E24"/>
    <w:rsid w:val="27396CFD"/>
    <w:rsid w:val="273B3040"/>
    <w:rsid w:val="273E6A05"/>
    <w:rsid w:val="2746067F"/>
    <w:rsid w:val="274C2989"/>
    <w:rsid w:val="274E2D73"/>
    <w:rsid w:val="274E52FB"/>
    <w:rsid w:val="274F0899"/>
    <w:rsid w:val="2751016E"/>
    <w:rsid w:val="2752418A"/>
    <w:rsid w:val="27533777"/>
    <w:rsid w:val="27537CDD"/>
    <w:rsid w:val="27541A0C"/>
    <w:rsid w:val="27561C28"/>
    <w:rsid w:val="275639D6"/>
    <w:rsid w:val="27575465"/>
    <w:rsid w:val="275763AD"/>
    <w:rsid w:val="275859A0"/>
    <w:rsid w:val="275B6A30"/>
    <w:rsid w:val="275E55D9"/>
    <w:rsid w:val="275F6D2E"/>
    <w:rsid w:val="27604855"/>
    <w:rsid w:val="27651657"/>
    <w:rsid w:val="27651E6B"/>
    <w:rsid w:val="2765535C"/>
    <w:rsid w:val="27657312"/>
    <w:rsid w:val="27673E35"/>
    <w:rsid w:val="2768312C"/>
    <w:rsid w:val="2768333A"/>
    <w:rsid w:val="27683CB5"/>
    <w:rsid w:val="27691F03"/>
    <w:rsid w:val="27693709"/>
    <w:rsid w:val="276C3578"/>
    <w:rsid w:val="276D3870"/>
    <w:rsid w:val="277009FB"/>
    <w:rsid w:val="277072C8"/>
    <w:rsid w:val="27734267"/>
    <w:rsid w:val="27735B86"/>
    <w:rsid w:val="27736336"/>
    <w:rsid w:val="27764A97"/>
    <w:rsid w:val="27781B9E"/>
    <w:rsid w:val="278038A5"/>
    <w:rsid w:val="278060D3"/>
    <w:rsid w:val="27826579"/>
    <w:rsid w:val="2784033C"/>
    <w:rsid w:val="27840543"/>
    <w:rsid w:val="2784665D"/>
    <w:rsid w:val="27870033"/>
    <w:rsid w:val="27882BAF"/>
    <w:rsid w:val="27897907"/>
    <w:rsid w:val="278C73F8"/>
    <w:rsid w:val="27986BD6"/>
    <w:rsid w:val="279938C3"/>
    <w:rsid w:val="279B763B"/>
    <w:rsid w:val="27A03CDC"/>
    <w:rsid w:val="27A24E6D"/>
    <w:rsid w:val="27A26C1B"/>
    <w:rsid w:val="27A40BE5"/>
    <w:rsid w:val="27A6670B"/>
    <w:rsid w:val="27A872CE"/>
    <w:rsid w:val="27A91B9E"/>
    <w:rsid w:val="27A92F88"/>
    <w:rsid w:val="27A97FAA"/>
    <w:rsid w:val="27AC2100"/>
    <w:rsid w:val="27AC247B"/>
    <w:rsid w:val="27AC5CEC"/>
    <w:rsid w:val="27AC60F5"/>
    <w:rsid w:val="27AD7D8F"/>
    <w:rsid w:val="27AE55C0"/>
    <w:rsid w:val="27AE736E"/>
    <w:rsid w:val="27B150B0"/>
    <w:rsid w:val="27B70919"/>
    <w:rsid w:val="27BA7103"/>
    <w:rsid w:val="27BB1438"/>
    <w:rsid w:val="27BB7CDD"/>
    <w:rsid w:val="27BC02DD"/>
    <w:rsid w:val="27BD29B1"/>
    <w:rsid w:val="27BD3A55"/>
    <w:rsid w:val="27BF77CD"/>
    <w:rsid w:val="27C240B9"/>
    <w:rsid w:val="27C3777F"/>
    <w:rsid w:val="27C425A7"/>
    <w:rsid w:val="27C546B8"/>
    <w:rsid w:val="27C54F9D"/>
    <w:rsid w:val="27C60DFD"/>
    <w:rsid w:val="27C7291F"/>
    <w:rsid w:val="27C9064C"/>
    <w:rsid w:val="27C923FA"/>
    <w:rsid w:val="27C9309C"/>
    <w:rsid w:val="27C937EA"/>
    <w:rsid w:val="27CB43C4"/>
    <w:rsid w:val="27CF2957"/>
    <w:rsid w:val="27D01156"/>
    <w:rsid w:val="27D23622"/>
    <w:rsid w:val="27D27A32"/>
    <w:rsid w:val="27D35027"/>
    <w:rsid w:val="27D668C5"/>
    <w:rsid w:val="27D67551"/>
    <w:rsid w:val="27D74B17"/>
    <w:rsid w:val="27D85FE7"/>
    <w:rsid w:val="27DC037F"/>
    <w:rsid w:val="27DD7C53"/>
    <w:rsid w:val="27DF4388"/>
    <w:rsid w:val="27E15995"/>
    <w:rsid w:val="27E45486"/>
    <w:rsid w:val="27E47234"/>
    <w:rsid w:val="27E62FAC"/>
    <w:rsid w:val="27E8625B"/>
    <w:rsid w:val="27E86D24"/>
    <w:rsid w:val="27E9484A"/>
    <w:rsid w:val="27E95A97"/>
    <w:rsid w:val="27E965F8"/>
    <w:rsid w:val="27EB2370"/>
    <w:rsid w:val="27EB3EFA"/>
    <w:rsid w:val="27EC7936"/>
    <w:rsid w:val="27F102B6"/>
    <w:rsid w:val="27FA25B3"/>
    <w:rsid w:val="27FB7D3E"/>
    <w:rsid w:val="27FC00CE"/>
    <w:rsid w:val="27FC632B"/>
    <w:rsid w:val="27FD02F5"/>
    <w:rsid w:val="27FD20A3"/>
    <w:rsid w:val="2802590C"/>
    <w:rsid w:val="28025C98"/>
    <w:rsid w:val="280B2A12"/>
    <w:rsid w:val="280B656E"/>
    <w:rsid w:val="280B6733"/>
    <w:rsid w:val="280D0539"/>
    <w:rsid w:val="280E605F"/>
    <w:rsid w:val="28107F80"/>
    <w:rsid w:val="28124026"/>
    <w:rsid w:val="28136355"/>
    <w:rsid w:val="281439E4"/>
    <w:rsid w:val="28153891"/>
    <w:rsid w:val="28153A22"/>
    <w:rsid w:val="2815563F"/>
    <w:rsid w:val="281715EC"/>
    <w:rsid w:val="28171F7C"/>
    <w:rsid w:val="28180D37"/>
    <w:rsid w:val="281A3657"/>
    <w:rsid w:val="281D1A04"/>
    <w:rsid w:val="281F64BE"/>
    <w:rsid w:val="28213FE4"/>
    <w:rsid w:val="282317C5"/>
    <w:rsid w:val="282615FA"/>
    <w:rsid w:val="28277120"/>
    <w:rsid w:val="282910EA"/>
    <w:rsid w:val="282F4953"/>
    <w:rsid w:val="28305FD5"/>
    <w:rsid w:val="28374829"/>
    <w:rsid w:val="283848D1"/>
    <w:rsid w:val="283945BE"/>
    <w:rsid w:val="283F090E"/>
    <w:rsid w:val="283F26BC"/>
    <w:rsid w:val="283F6654"/>
    <w:rsid w:val="284101E2"/>
    <w:rsid w:val="28410CE6"/>
    <w:rsid w:val="284249A6"/>
    <w:rsid w:val="2842515E"/>
    <w:rsid w:val="284321AC"/>
    <w:rsid w:val="28441A80"/>
    <w:rsid w:val="28445F24"/>
    <w:rsid w:val="284460E4"/>
    <w:rsid w:val="28453821"/>
    <w:rsid w:val="284578FC"/>
    <w:rsid w:val="2846056D"/>
    <w:rsid w:val="284B1061"/>
    <w:rsid w:val="28507AE6"/>
    <w:rsid w:val="285223EF"/>
    <w:rsid w:val="2853707D"/>
    <w:rsid w:val="285443B9"/>
    <w:rsid w:val="28551EE0"/>
    <w:rsid w:val="285705C8"/>
    <w:rsid w:val="28575241"/>
    <w:rsid w:val="286454FC"/>
    <w:rsid w:val="28680D51"/>
    <w:rsid w:val="28685CA3"/>
    <w:rsid w:val="28695F83"/>
    <w:rsid w:val="286A0915"/>
    <w:rsid w:val="286A4149"/>
    <w:rsid w:val="286A598B"/>
    <w:rsid w:val="286B1D3A"/>
    <w:rsid w:val="28703921"/>
    <w:rsid w:val="28706D19"/>
    <w:rsid w:val="28722A91"/>
    <w:rsid w:val="28754330"/>
    <w:rsid w:val="287546F6"/>
    <w:rsid w:val="287767FF"/>
    <w:rsid w:val="287A36F4"/>
    <w:rsid w:val="287A4FB1"/>
    <w:rsid w:val="287A5DB9"/>
    <w:rsid w:val="287C5223"/>
    <w:rsid w:val="287E0E75"/>
    <w:rsid w:val="287E31E4"/>
    <w:rsid w:val="288028B9"/>
    <w:rsid w:val="28804244"/>
    <w:rsid w:val="28815245"/>
    <w:rsid w:val="28836A4D"/>
    <w:rsid w:val="28844820"/>
    <w:rsid w:val="288527C5"/>
    <w:rsid w:val="28862099"/>
    <w:rsid w:val="288A7DDB"/>
    <w:rsid w:val="2890116A"/>
    <w:rsid w:val="28906B1B"/>
    <w:rsid w:val="2891426F"/>
    <w:rsid w:val="28940C5A"/>
    <w:rsid w:val="28953506"/>
    <w:rsid w:val="28956B27"/>
    <w:rsid w:val="289742A6"/>
    <w:rsid w:val="289971A1"/>
    <w:rsid w:val="289D48FE"/>
    <w:rsid w:val="289E5635"/>
    <w:rsid w:val="28A365DE"/>
    <w:rsid w:val="28A6273B"/>
    <w:rsid w:val="28AA0D3F"/>
    <w:rsid w:val="28AA282E"/>
    <w:rsid w:val="28AC5FA3"/>
    <w:rsid w:val="28B12811"/>
    <w:rsid w:val="28B37BA6"/>
    <w:rsid w:val="28B54669"/>
    <w:rsid w:val="28B60BD0"/>
    <w:rsid w:val="28BA1D43"/>
    <w:rsid w:val="28BD0ACD"/>
    <w:rsid w:val="28C121E9"/>
    <w:rsid w:val="28C434E9"/>
    <w:rsid w:val="28C50E13"/>
    <w:rsid w:val="28C52BC1"/>
    <w:rsid w:val="28C7203E"/>
    <w:rsid w:val="28CA01D8"/>
    <w:rsid w:val="28CA4984"/>
    <w:rsid w:val="28CC55ED"/>
    <w:rsid w:val="28CE3357"/>
    <w:rsid w:val="28D04EA7"/>
    <w:rsid w:val="28D41056"/>
    <w:rsid w:val="28D63020"/>
    <w:rsid w:val="28D84A3A"/>
    <w:rsid w:val="28D9083E"/>
    <w:rsid w:val="28D92B11"/>
    <w:rsid w:val="28DA0F6A"/>
    <w:rsid w:val="28DB1EAA"/>
    <w:rsid w:val="28DB23E5"/>
    <w:rsid w:val="28DC7F0B"/>
    <w:rsid w:val="28DD5374"/>
    <w:rsid w:val="28DF17A9"/>
    <w:rsid w:val="28E03E9F"/>
    <w:rsid w:val="28E31299"/>
    <w:rsid w:val="28E31E7F"/>
    <w:rsid w:val="28E50522"/>
    <w:rsid w:val="28E54BC4"/>
    <w:rsid w:val="28E55011"/>
    <w:rsid w:val="28E633A3"/>
    <w:rsid w:val="28E84B02"/>
    <w:rsid w:val="28E8724B"/>
    <w:rsid w:val="28E9010A"/>
    <w:rsid w:val="28E94492"/>
    <w:rsid w:val="28EA087A"/>
    <w:rsid w:val="28EB1A80"/>
    <w:rsid w:val="28EC5BE2"/>
    <w:rsid w:val="28ED3EC6"/>
    <w:rsid w:val="28EE4EC3"/>
    <w:rsid w:val="28F05366"/>
    <w:rsid w:val="28F11B96"/>
    <w:rsid w:val="28F17E5A"/>
    <w:rsid w:val="28F25980"/>
    <w:rsid w:val="28F32B26"/>
    <w:rsid w:val="28F3713A"/>
    <w:rsid w:val="28F45446"/>
    <w:rsid w:val="28F72F97"/>
    <w:rsid w:val="28F96D0F"/>
    <w:rsid w:val="28FC05AD"/>
    <w:rsid w:val="28FD4BE5"/>
    <w:rsid w:val="28FE280A"/>
    <w:rsid w:val="28FE60D3"/>
    <w:rsid w:val="29001E4B"/>
    <w:rsid w:val="29032BAF"/>
    <w:rsid w:val="290367AE"/>
    <w:rsid w:val="29044F3B"/>
    <w:rsid w:val="29057462"/>
    <w:rsid w:val="290860F5"/>
    <w:rsid w:val="29086F3D"/>
    <w:rsid w:val="2909544E"/>
    <w:rsid w:val="290A4A78"/>
    <w:rsid w:val="290D6316"/>
    <w:rsid w:val="29111EE9"/>
    <w:rsid w:val="29144A30"/>
    <w:rsid w:val="291B6C85"/>
    <w:rsid w:val="291D29FD"/>
    <w:rsid w:val="291E6DE3"/>
    <w:rsid w:val="292068AE"/>
    <w:rsid w:val="2923035D"/>
    <w:rsid w:val="29257B04"/>
    <w:rsid w:val="292813A2"/>
    <w:rsid w:val="292860AC"/>
    <w:rsid w:val="292A6EC8"/>
    <w:rsid w:val="292B00E6"/>
    <w:rsid w:val="292D6432"/>
    <w:rsid w:val="292E4C0A"/>
    <w:rsid w:val="292F1467"/>
    <w:rsid w:val="29333183"/>
    <w:rsid w:val="29340FC6"/>
    <w:rsid w:val="29341AF5"/>
    <w:rsid w:val="29355A4B"/>
    <w:rsid w:val="2936586D"/>
    <w:rsid w:val="29370BBF"/>
    <w:rsid w:val="293715E5"/>
    <w:rsid w:val="2938125A"/>
    <w:rsid w:val="293935AF"/>
    <w:rsid w:val="293D309F"/>
    <w:rsid w:val="293D4E4D"/>
    <w:rsid w:val="293D6BFB"/>
    <w:rsid w:val="29424212"/>
    <w:rsid w:val="2943636D"/>
    <w:rsid w:val="29463FF2"/>
    <w:rsid w:val="29491A44"/>
    <w:rsid w:val="29491FC1"/>
    <w:rsid w:val="29493036"/>
    <w:rsid w:val="294B550C"/>
    <w:rsid w:val="294B6EAA"/>
    <w:rsid w:val="294D2BB7"/>
    <w:rsid w:val="294E0E09"/>
    <w:rsid w:val="294E18B8"/>
    <w:rsid w:val="294E7108"/>
    <w:rsid w:val="29507F08"/>
    <w:rsid w:val="295143AA"/>
    <w:rsid w:val="29517F3C"/>
    <w:rsid w:val="295A7AA3"/>
    <w:rsid w:val="295D03EA"/>
    <w:rsid w:val="295D104C"/>
    <w:rsid w:val="295E496F"/>
    <w:rsid w:val="295E4DC4"/>
    <w:rsid w:val="29642C34"/>
    <w:rsid w:val="29657F00"/>
    <w:rsid w:val="29695641"/>
    <w:rsid w:val="29696E63"/>
    <w:rsid w:val="296B5579"/>
    <w:rsid w:val="296D3647"/>
    <w:rsid w:val="296D777F"/>
    <w:rsid w:val="296E0A09"/>
    <w:rsid w:val="296E3D58"/>
    <w:rsid w:val="29723EB1"/>
    <w:rsid w:val="29752839"/>
    <w:rsid w:val="29764B01"/>
    <w:rsid w:val="297665B1"/>
    <w:rsid w:val="297939AC"/>
    <w:rsid w:val="297B3BC8"/>
    <w:rsid w:val="297D349C"/>
    <w:rsid w:val="297E036A"/>
    <w:rsid w:val="297E0A40"/>
    <w:rsid w:val="298171AA"/>
    <w:rsid w:val="29824F56"/>
    <w:rsid w:val="29840822"/>
    <w:rsid w:val="29875C88"/>
    <w:rsid w:val="298C2EB2"/>
    <w:rsid w:val="298E56A9"/>
    <w:rsid w:val="298F6A8D"/>
    <w:rsid w:val="29925A3C"/>
    <w:rsid w:val="29930C67"/>
    <w:rsid w:val="29945C1B"/>
    <w:rsid w:val="2995030B"/>
    <w:rsid w:val="2996455E"/>
    <w:rsid w:val="2996630C"/>
    <w:rsid w:val="29984196"/>
    <w:rsid w:val="299A60D1"/>
    <w:rsid w:val="299B1B74"/>
    <w:rsid w:val="299B2793"/>
    <w:rsid w:val="299D4A99"/>
    <w:rsid w:val="299F21F8"/>
    <w:rsid w:val="29A42C91"/>
    <w:rsid w:val="29A7676B"/>
    <w:rsid w:val="29A80F84"/>
    <w:rsid w:val="29AB414D"/>
    <w:rsid w:val="29AC1FD3"/>
    <w:rsid w:val="29AD1A08"/>
    <w:rsid w:val="29AF561F"/>
    <w:rsid w:val="29B33362"/>
    <w:rsid w:val="29B36EBE"/>
    <w:rsid w:val="29B449E4"/>
    <w:rsid w:val="29B4778A"/>
    <w:rsid w:val="29B52B4D"/>
    <w:rsid w:val="29B6075C"/>
    <w:rsid w:val="29B75C37"/>
    <w:rsid w:val="29BA1071"/>
    <w:rsid w:val="29BB4F70"/>
    <w:rsid w:val="29BC5DFC"/>
    <w:rsid w:val="29BD1AEA"/>
    <w:rsid w:val="29BE56AC"/>
    <w:rsid w:val="29C06CFF"/>
    <w:rsid w:val="29C15A7E"/>
    <w:rsid w:val="29C27101"/>
    <w:rsid w:val="29C365A2"/>
    <w:rsid w:val="29C54E43"/>
    <w:rsid w:val="29C70BBB"/>
    <w:rsid w:val="29C9048F"/>
    <w:rsid w:val="29CB572B"/>
    <w:rsid w:val="29CC4423"/>
    <w:rsid w:val="29D0234B"/>
    <w:rsid w:val="29D3130E"/>
    <w:rsid w:val="29D33F06"/>
    <w:rsid w:val="29D60DFE"/>
    <w:rsid w:val="29D64538"/>
    <w:rsid w:val="29D84B76"/>
    <w:rsid w:val="29D86924"/>
    <w:rsid w:val="29DB4666"/>
    <w:rsid w:val="29DE3ED0"/>
    <w:rsid w:val="29DE4A03"/>
    <w:rsid w:val="29E12350"/>
    <w:rsid w:val="29E14238"/>
    <w:rsid w:val="29E15FE8"/>
    <w:rsid w:val="29E16E2C"/>
    <w:rsid w:val="29E17ECF"/>
    <w:rsid w:val="29E474E3"/>
    <w:rsid w:val="29E7300B"/>
    <w:rsid w:val="29EB2AFB"/>
    <w:rsid w:val="29EB4A98"/>
    <w:rsid w:val="29F319B0"/>
    <w:rsid w:val="29F55728"/>
    <w:rsid w:val="29F57E76"/>
    <w:rsid w:val="29FC3482"/>
    <w:rsid w:val="29FC651C"/>
    <w:rsid w:val="29FD4C4F"/>
    <w:rsid w:val="29FD638B"/>
    <w:rsid w:val="29FE1111"/>
    <w:rsid w:val="2A024C96"/>
    <w:rsid w:val="2A042187"/>
    <w:rsid w:val="2A057F48"/>
    <w:rsid w:val="2A07361B"/>
    <w:rsid w:val="2A092BF8"/>
    <w:rsid w:val="2A092F82"/>
    <w:rsid w:val="2A0C585F"/>
    <w:rsid w:val="2A0E2346"/>
    <w:rsid w:val="2A0E67EA"/>
    <w:rsid w:val="2A133E00"/>
    <w:rsid w:val="2A160346"/>
    <w:rsid w:val="2A16744D"/>
    <w:rsid w:val="2A1825CB"/>
    <w:rsid w:val="2A183D18"/>
    <w:rsid w:val="2A1903BE"/>
    <w:rsid w:val="2A191A27"/>
    <w:rsid w:val="2A1B1C15"/>
    <w:rsid w:val="2A1D2303"/>
    <w:rsid w:val="2A1D2C3D"/>
    <w:rsid w:val="2A1D4709"/>
    <w:rsid w:val="2A1D4C7F"/>
    <w:rsid w:val="2A1D7F8F"/>
    <w:rsid w:val="2A1F27A5"/>
    <w:rsid w:val="2A225D48"/>
    <w:rsid w:val="2A2B114A"/>
    <w:rsid w:val="2A2C466D"/>
    <w:rsid w:val="2A2C6C70"/>
    <w:rsid w:val="2A2E29E8"/>
    <w:rsid w:val="2A2F1245"/>
    <w:rsid w:val="2A3165D2"/>
    <w:rsid w:val="2A33343F"/>
    <w:rsid w:val="2A355F4B"/>
    <w:rsid w:val="2A36189D"/>
    <w:rsid w:val="2A3A75DF"/>
    <w:rsid w:val="2A3D2565"/>
    <w:rsid w:val="2A3D6393"/>
    <w:rsid w:val="2A407D3D"/>
    <w:rsid w:val="2A411154"/>
    <w:rsid w:val="2A4346E5"/>
    <w:rsid w:val="2A4366FC"/>
    <w:rsid w:val="2A467A05"/>
    <w:rsid w:val="2A467D32"/>
    <w:rsid w:val="2A475858"/>
    <w:rsid w:val="2A487EF6"/>
    <w:rsid w:val="2A495E04"/>
    <w:rsid w:val="2A4C2E6E"/>
    <w:rsid w:val="2A4E4E38"/>
    <w:rsid w:val="2A50295E"/>
    <w:rsid w:val="2A52255C"/>
    <w:rsid w:val="2A53244F"/>
    <w:rsid w:val="2A557F75"/>
    <w:rsid w:val="2A573CED"/>
    <w:rsid w:val="2A583C4F"/>
    <w:rsid w:val="2A5A6C6E"/>
    <w:rsid w:val="2A5F05C6"/>
    <w:rsid w:val="2A5F29FA"/>
    <w:rsid w:val="2A61691A"/>
    <w:rsid w:val="2A63608A"/>
    <w:rsid w:val="2A656DB9"/>
    <w:rsid w:val="2A657544"/>
    <w:rsid w:val="2A663F30"/>
    <w:rsid w:val="2A6952D3"/>
    <w:rsid w:val="2A6A27F6"/>
    <w:rsid w:val="2A6B0A3A"/>
    <w:rsid w:val="2A6B1546"/>
    <w:rsid w:val="2A6B6DA7"/>
    <w:rsid w:val="2A6C0535"/>
    <w:rsid w:val="2A6C0E08"/>
    <w:rsid w:val="2A704DAF"/>
    <w:rsid w:val="2A727FC6"/>
    <w:rsid w:val="2A741800"/>
    <w:rsid w:val="2A77613D"/>
    <w:rsid w:val="2A780926"/>
    <w:rsid w:val="2A791F9E"/>
    <w:rsid w:val="2A7A2778"/>
    <w:rsid w:val="2A7E1CCE"/>
    <w:rsid w:val="2A7F3244"/>
    <w:rsid w:val="2A80338B"/>
    <w:rsid w:val="2A810D6A"/>
    <w:rsid w:val="2A842608"/>
    <w:rsid w:val="2A88034A"/>
    <w:rsid w:val="2A881B31"/>
    <w:rsid w:val="2A8A4572"/>
    <w:rsid w:val="2A900FAD"/>
    <w:rsid w:val="2A91469A"/>
    <w:rsid w:val="2A925961"/>
    <w:rsid w:val="2A975D5E"/>
    <w:rsid w:val="2A9767DF"/>
    <w:rsid w:val="2A992557"/>
    <w:rsid w:val="2A9A007E"/>
    <w:rsid w:val="2A9A62D0"/>
    <w:rsid w:val="2A9C5FE2"/>
    <w:rsid w:val="2AA131BA"/>
    <w:rsid w:val="2AA3130F"/>
    <w:rsid w:val="2AA647D2"/>
    <w:rsid w:val="2AA809EC"/>
    <w:rsid w:val="2AAE24A7"/>
    <w:rsid w:val="2AAF365B"/>
    <w:rsid w:val="2AAF593A"/>
    <w:rsid w:val="2AB04574"/>
    <w:rsid w:val="2AB2415C"/>
    <w:rsid w:val="2AB27175"/>
    <w:rsid w:val="2AB47879"/>
    <w:rsid w:val="2AB54EB7"/>
    <w:rsid w:val="2AB62F68"/>
    <w:rsid w:val="2AB7478C"/>
    <w:rsid w:val="2AB74D6A"/>
    <w:rsid w:val="2ABA24CE"/>
    <w:rsid w:val="2ABA427C"/>
    <w:rsid w:val="2ABE0220"/>
    <w:rsid w:val="2ABE6DD4"/>
    <w:rsid w:val="2AC04F1A"/>
    <w:rsid w:val="2AC135BE"/>
    <w:rsid w:val="2AC267B7"/>
    <w:rsid w:val="2AC450FA"/>
    <w:rsid w:val="2AC455D6"/>
    <w:rsid w:val="2AC46EA9"/>
    <w:rsid w:val="2AC55D9B"/>
    <w:rsid w:val="2AC614F2"/>
    <w:rsid w:val="2AC717C5"/>
    <w:rsid w:val="2AC73347"/>
    <w:rsid w:val="2ACA61BA"/>
    <w:rsid w:val="2ACA6894"/>
    <w:rsid w:val="2ACB77CC"/>
    <w:rsid w:val="2ACC1EE6"/>
    <w:rsid w:val="2ACD0453"/>
    <w:rsid w:val="2ACD0AF9"/>
    <w:rsid w:val="2ACD1B61"/>
    <w:rsid w:val="2ACE375A"/>
    <w:rsid w:val="2AD0584D"/>
    <w:rsid w:val="2AD13CE7"/>
    <w:rsid w:val="2AD215C5"/>
    <w:rsid w:val="2AD25A69"/>
    <w:rsid w:val="2AD27586"/>
    <w:rsid w:val="2AD417EA"/>
    <w:rsid w:val="2AD4533E"/>
    <w:rsid w:val="2AD90BA6"/>
    <w:rsid w:val="2ADB2B70"/>
    <w:rsid w:val="2ADB491E"/>
    <w:rsid w:val="2ADC73BC"/>
    <w:rsid w:val="2ADD2C86"/>
    <w:rsid w:val="2ADE440E"/>
    <w:rsid w:val="2ADE60B9"/>
    <w:rsid w:val="2ADF6D6F"/>
    <w:rsid w:val="2AE17FD7"/>
    <w:rsid w:val="2AE21620"/>
    <w:rsid w:val="2AE2583B"/>
    <w:rsid w:val="2AE25C1E"/>
    <w:rsid w:val="2AE306FC"/>
    <w:rsid w:val="2AE35581"/>
    <w:rsid w:val="2AE453BF"/>
    <w:rsid w:val="2AE80DE9"/>
    <w:rsid w:val="2AEF6476"/>
    <w:rsid w:val="2AF05EF0"/>
    <w:rsid w:val="2AF216CE"/>
    <w:rsid w:val="2AF3311B"/>
    <w:rsid w:val="2AF425EA"/>
    <w:rsid w:val="2AF4778E"/>
    <w:rsid w:val="2AF624B5"/>
    <w:rsid w:val="2AF754D0"/>
    <w:rsid w:val="2AF75775"/>
    <w:rsid w:val="2AF76ED9"/>
    <w:rsid w:val="2AFC2AE6"/>
    <w:rsid w:val="2AFD51EB"/>
    <w:rsid w:val="2AFD753E"/>
    <w:rsid w:val="2B011EAB"/>
    <w:rsid w:val="2B013C59"/>
    <w:rsid w:val="2B05182B"/>
    <w:rsid w:val="2B052FC7"/>
    <w:rsid w:val="2B057BED"/>
    <w:rsid w:val="2B0802A7"/>
    <w:rsid w:val="2B0851AF"/>
    <w:rsid w:val="2B0A56D3"/>
    <w:rsid w:val="2B0D6AA1"/>
    <w:rsid w:val="2B0E4E6B"/>
    <w:rsid w:val="2B11586C"/>
    <w:rsid w:val="2B125E66"/>
    <w:rsid w:val="2B12637D"/>
    <w:rsid w:val="2B157704"/>
    <w:rsid w:val="2B163BA8"/>
    <w:rsid w:val="2B17347C"/>
    <w:rsid w:val="2B1B11BE"/>
    <w:rsid w:val="2B1B5D71"/>
    <w:rsid w:val="2B1C0A93"/>
    <w:rsid w:val="2B2440FA"/>
    <w:rsid w:val="2B247EFA"/>
    <w:rsid w:val="2B253B3B"/>
    <w:rsid w:val="2B272F32"/>
    <w:rsid w:val="2B2838DB"/>
    <w:rsid w:val="2B2949B8"/>
    <w:rsid w:val="2B2A31B0"/>
    <w:rsid w:val="2B2A5FDF"/>
    <w:rsid w:val="2B2A608D"/>
    <w:rsid w:val="2B2A7653"/>
    <w:rsid w:val="2B2D7144"/>
    <w:rsid w:val="2B2F07C6"/>
    <w:rsid w:val="2B2F4C6A"/>
    <w:rsid w:val="2B2F6A18"/>
    <w:rsid w:val="2B312790"/>
    <w:rsid w:val="2B363B77"/>
    <w:rsid w:val="2B381345"/>
    <w:rsid w:val="2B3E30FF"/>
    <w:rsid w:val="2B440C94"/>
    <w:rsid w:val="2B4529F0"/>
    <w:rsid w:val="2B473E60"/>
    <w:rsid w:val="2B4A1AA4"/>
    <w:rsid w:val="2B4C5206"/>
    <w:rsid w:val="2B4C581C"/>
    <w:rsid w:val="2B4C75CA"/>
    <w:rsid w:val="2B4D6E9E"/>
    <w:rsid w:val="2B4E5917"/>
    <w:rsid w:val="2B4F5D72"/>
    <w:rsid w:val="2B514BE0"/>
    <w:rsid w:val="2B51698E"/>
    <w:rsid w:val="2B5302F9"/>
    <w:rsid w:val="2B541FB4"/>
    <w:rsid w:val="2B55378C"/>
    <w:rsid w:val="2B563FA5"/>
    <w:rsid w:val="2B581127"/>
    <w:rsid w:val="2B58188B"/>
    <w:rsid w:val="2B586426"/>
    <w:rsid w:val="2B58786A"/>
    <w:rsid w:val="2B595843"/>
    <w:rsid w:val="2B5A3C59"/>
    <w:rsid w:val="2B5D3585"/>
    <w:rsid w:val="2B6050C6"/>
    <w:rsid w:val="2B613AAF"/>
    <w:rsid w:val="2B6239EC"/>
    <w:rsid w:val="2B64127E"/>
    <w:rsid w:val="2B642678"/>
    <w:rsid w:val="2B65068C"/>
    <w:rsid w:val="2B6568DD"/>
    <w:rsid w:val="2B683CD8"/>
    <w:rsid w:val="2B694081"/>
    <w:rsid w:val="2B6C3158"/>
    <w:rsid w:val="2B6C33B0"/>
    <w:rsid w:val="2B6D775F"/>
    <w:rsid w:val="2B6E37C0"/>
    <w:rsid w:val="2B6F6391"/>
    <w:rsid w:val="2B7034F9"/>
    <w:rsid w:val="2B707130"/>
    <w:rsid w:val="2B7125CC"/>
    <w:rsid w:val="2B732DA8"/>
    <w:rsid w:val="2B734D8B"/>
    <w:rsid w:val="2B7408CF"/>
    <w:rsid w:val="2B746C63"/>
    <w:rsid w:val="2B787A6C"/>
    <w:rsid w:val="2B797206"/>
    <w:rsid w:val="2B797C93"/>
    <w:rsid w:val="2B7C172F"/>
    <w:rsid w:val="2B7E52A9"/>
    <w:rsid w:val="2B824D9A"/>
    <w:rsid w:val="2B85488A"/>
    <w:rsid w:val="2B8773F9"/>
    <w:rsid w:val="2B8C79C6"/>
    <w:rsid w:val="2B8F5708"/>
    <w:rsid w:val="2B911481"/>
    <w:rsid w:val="2B91516B"/>
    <w:rsid w:val="2B920A68"/>
    <w:rsid w:val="2B936FA7"/>
    <w:rsid w:val="2B95174F"/>
    <w:rsid w:val="2B9601FE"/>
    <w:rsid w:val="2B9713C8"/>
    <w:rsid w:val="2B976F2C"/>
    <w:rsid w:val="2B990335"/>
    <w:rsid w:val="2B9A325F"/>
    <w:rsid w:val="2B9A6551"/>
    <w:rsid w:val="2B9E76FA"/>
    <w:rsid w:val="2BA03472"/>
    <w:rsid w:val="2BA271EA"/>
    <w:rsid w:val="2BA309D9"/>
    <w:rsid w:val="2BA423EE"/>
    <w:rsid w:val="2BA63CB9"/>
    <w:rsid w:val="2BAC0068"/>
    <w:rsid w:val="2BAD0090"/>
    <w:rsid w:val="2BAF6202"/>
    <w:rsid w:val="2BB2531E"/>
    <w:rsid w:val="2BB61450"/>
    <w:rsid w:val="2BB94533"/>
    <w:rsid w:val="2BBA0D30"/>
    <w:rsid w:val="2BBC4306"/>
    <w:rsid w:val="2BBD04C8"/>
    <w:rsid w:val="2BBE7D9C"/>
    <w:rsid w:val="2BC1672C"/>
    <w:rsid w:val="2BC453B2"/>
    <w:rsid w:val="2BC5112A"/>
    <w:rsid w:val="2BC53EAA"/>
    <w:rsid w:val="2BC730F4"/>
    <w:rsid w:val="2BC86BFC"/>
    <w:rsid w:val="2BCA6AF9"/>
    <w:rsid w:val="2BD12EC2"/>
    <w:rsid w:val="2BD1370D"/>
    <w:rsid w:val="2BD15D21"/>
    <w:rsid w:val="2BD22280"/>
    <w:rsid w:val="2BD41CE3"/>
    <w:rsid w:val="2BD4355A"/>
    <w:rsid w:val="2BD66E93"/>
    <w:rsid w:val="2BD96984"/>
    <w:rsid w:val="2BDB7902"/>
    <w:rsid w:val="2BDD0222"/>
    <w:rsid w:val="2BDD5804"/>
    <w:rsid w:val="2BDE6FCB"/>
    <w:rsid w:val="2BDF5456"/>
    <w:rsid w:val="2BE00BBB"/>
    <w:rsid w:val="2BE0263E"/>
    <w:rsid w:val="2BE275E4"/>
    <w:rsid w:val="2BE710A1"/>
    <w:rsid w:val="2BE77953"/>
    <w:rsid w:val="2BED77E9"/>
    <w:rsid w:val="2BEE0681"/>
    <w:rsid w:val="2BEE68D3"/>
    <w:rsid w:val="2BEE7F61"/>
    <w:rsid w:val="2BEF1DE5"/>
    <w:rsid w:val="2BEF6B68"/>
    <w:rsid w:val="2BF00337"/>
    <w:rsid w:val="2BF13CCD"/>
    <w:rsid w:val="2BF33EE9"/>
    <w:rsid w:val="2BF50E7C"/>
    <w:rsid w:val="2BF51A0F"/>
    <w:rsid w:val="2BF65FB8"/>
    <w:rsid w:val="2BF7758D"/>
    <w:rsid w:val="2BF8505C"/>
    <w:rsid w:val="2BF87E00"/>
    <w:rsid w:val="2BFC2FE9"/>
    <w:rsid w:val="2BFF63EA"/>
    <w:rsid w:val="2C0559CB"/>
    <w:rsid w:val="2C057779"/>
    <w:rsid w:val="2C0714FF"/>
    <w:rsid w:val="2C071743"/>
    <w:rsid w:val="2C0B2FE1"/>
    <w:rsid w:val="2C0E2AD1"/>
    <w:rsid w:val="2C107FEF"/>
    <w:rsid w:val="2C1520B2"/>
    <w:rsid w:val="2C155C0E"/>
    <w:rsid w:val="2C162593"/>
    <w:rsid w:val="2C1B6F9C"/>
    <w:rsid w:val="2C1D20D6"/>
    <w:rsid w:val="2C1D2D14"/>
    <w:rsid w:val="2C217F9A"/>
    <w:rsid w:val="2C23677B"/>
    <w:rsid w:val="2C2422F5"/>
    <w:rsid w:val="2C250D85"/>
    <w:rsid w:val="2C254845"/>
    <w:rsid w:val="2C263956"/>
    <w:rsid w:val="2C292AB5"/>
    <w:rsid w:val="2C2C11A9"/>
    <w:rsid w:val="2C2F0ADD"/>
    <w:rsid w:val="2C3047F6"/>
    <w:rsid w:val="2C304F93"/>
    <w:rsid w:val="2C31056E"/>
    <w:rsid w:val="2C33078A"/>
    <w:rsid w:val="2C34772D"/>
    <w:rsid w:val="2C35005E"/>
    <w:rsid w:val="2C3A6CBB"/>
    <w:rsid w:val="2C3B13EC"/>
    <w:rsid w:val="2C3B319A"/>
    <w:rsid w:val="2C3E381E"/>
    <w:rsid w:val="2C412EA7"/>
    <w:rsid w:val="2C42277B"/>
    <w:rsid w:val="2C424529"/>
    <w:rsid w:val="2C471B3F"/>
    <w:rsid w:val="2C482ACA"/>
    <w:rsid w:val="2C4B7ABE"/>
    <w:rsid w:val="2C4E1014"/>
    <w:rsid w:val="2C4F1338"/>
    <w:rsid w:val="2C4F6D4D"/>
    <w:rsid w:val="2C522201"/>
    <w:rsid w:val="2C567FD4"/>
    <w:rsid w:val="2C577362"/>
    <w:rsid w:val="2C583C14"/>
    <w:rsid w:val="2C583D4C"/>
    <w:rsid w:val="2C5A45BF"/>
    <w:rsid w:val="2C5D1363"/>
    <w:rsid w:val="2C5D1E7D"/>
    <w:rsid w:val="2C5F332D"/>
    <w:rsid w:val="2C5F3AE7"/>
    <w:rsid w:val="2C602C01"/>
    <w:rsid w:val="2C6102C9"/>
    <w:rsid w:val="2C646B83"/>
    <w:rsid w:val="2C657875"/>
    <w:rsid w:val="2C6670A3"/>
    <w:rsid w:val="2C697929"/>
    <w:rsid w:val="2C6B1CD2"/>
    <w:rsid w:val="2C6D2A05"/>
    <w:rsid w:val="2C6D49AA"/>
    <w:rsid w:val="2C6D54C1"/>
    <w:rsid w:val="2C715EFC"/>
    <w:rsid w:val="2C732934"/>
    <w:rsid w:val="2C7371EE"/>
    <w:rsid w:val="2C742F1C"/>
    <w:rsid w:val="2C780072"/>
    <w:rsid w:val="2C7908ED"/>
    <w:rsid w:val="2C7A23F5"/>
    <w:rsid w:val="2C7B043E"/>
    <w:rsid w:val="2C7D346D"/>
    <w:rsid w:val="2C7E27E4"/>
    <w:rsid w:val="2C7F01E4"/>
    <w:rsid w:val="2C82701B"/>
    <w:rsid w:val="2C834C2F"/>
    <w:rsid w:val="2C8814FC"/>
    <w:rsid w:val="2C8B024D"/>
    <w:rsid w:val="2C8B208A"/>
    <w:rsid w:val="2C8B2374"/>
    <w:rsid w:val="2C8D7E9A"/>
    <w:rsid w:val="2C8F5AC1"/>
    <w:rsid w:val="2C8F70B7"/>
    <w:rsid w:val="2C956D4E"/>
    <w:rsid w:val="2C966A28"/>
    <w:rsid w:val="2C974875"/>
    <w:rsid w:val="2C9A4365"/>
    <w:rsid w:val="2C9C1E8B"/>
    <w:rsid w:val="2C9E20A7"/>
    <w:rsid w:val="2C9F3729"/>
    <w:rsid w:val="2C9F5E1F"/>
    <w:rsid w:val="2CA227DE"/>
    <w:rsid w:val="2CA35285"/>
    <w:rsid w:val="2CA60F5C"/>
    <w:rsid w:val="2CA64AB8"/>
    <w:rsid w:val="2CAA3372"/>
    <w:rsid w:val="2CAB0320"/>
    <w:rsid w:val="2CAD6271"/>
    <w:rsid w:val="2CAE09EE"/>
    <w:rsid w:val="2CB147B0"/>
    <w:rsid w:val="2CB43679"/>
    <w:rsid w:val="2CB52F4D"/>
    <w:rsid w:val="2CBB41BA"/>
    <w:rsid w:val="2CBC42DB"/>
    <w:rsid w:val="2CBE44F7"/>
    <w:rsid w:val="2CBE469F"/>
    <w:rsid w:val="2CBE62A5"/>
    <w:rsid w:val="2CC17B44"/>
    <w:rsid w:val="2CC31B0E"/>
    <w:rsid w:val="2CC3566A"/>
    <w:rsid w:val="2CC3760F"/>
    <w:rsid w:val="2CC413E2"/>
    <w:rsid w:val="2CC55886"/>
    <w:rsid w:val="2CCA2E9C"/>
    <w:rsid w:val="2CCB09C2"/>
    <w:rsid w:val="2CCB6C14"/>
    <w:rsid w:val="2CCD0296"/>
    <w:rsid w:val="2CCD410F"/>
    <w:rsid w:val="2CCD442B"/>
    <w:rsid w:val="2CD177B2"/>
    <w:rsid w:val="2CD47877"/>
    <w:rsid w:val="2CD515F4"/>
    <w:rsid w:val="2CD52B8A"/>
    <w:rsid w:val="2CD52BB5"/>
    <w:rsid w:val="2CD54D1D"/>
    <w:rsid w:val="2CD94E8D"/>
    <w:rsid w:val="2CDA412E"/>
    <w:rsid w:val="2CDB4518"/>
    <w:rsid w:val="2CDC10E6"/>
    <w:rsid w:val="2CDD7DE4"/>
    <w:rsid w:val="2CE101E6"/>
    <w:rsid w:val="2CE10D2D"/>
    <w:rsid w:val="2CE17B4E"/>
    <w:rsid w:val="2CE30ABE"/>
    <w:rsid w:val="2CE34483"/>
    <w:rsid w:val="2CE55D84"/>
    <w:rsid w:val="2CE55D92"/>
    <w:rsid w:val="2CE7356C"/>
    <w:rsid w:val="2CEF1862"/>
    <w:rsid w:val="2CF5678B"/>
    <w:rsid w:val="2CF95288"/>
    <w:rsid w:val="2CFB44A5"/>
    <w:rsid w:val="2CFE66A2"/>
    <w:rsid w:val="2CFF066C"/>
    <w:rsid w:val="2D083397"/>
    <w:rsid w:val="2D096F9A"/>
    <w:rsid w:val="2D0A3299"/>
    <w:rsid w:val="2D0B13C9"/>
    <w:rsid w:val="2D0B777F"/>
    <w:rsid w:val="2D0C5793"/>
    <w:rsid w:val="2D0E7D49"/>
    <w:rsid w:val="2D155170"/>
    <w:rsid w:val="2D1623D7"/>
    <w:rsid w:val="2D17074B"/>
    <w:rsid w:val="2D181DB3"/>
    <w:rsid w:val="2D19172E"/>
    <w:rsid w:val="2D1B54A6"/>
    <w:rsid w:val="2D1E0AF2"/>
    <w:rsid w:val="2D1E54BC"/>
    <w:rsid w:val="2D1F28E4"/>
    <w:rsid w:val="2D1F486A"/>
    <w:rsid w:val="2D1F56E9"/>
    <w:rsid w:val="2D1F5FD2"/>
    <w:rsid w:val="2D224452"/>
    <w:rsid w:val="2D235726"/>
    <w:rsid w:val="2D241E80"/>
    <w:rsid w:val="2D25122C"/>
    <w:rsid w:val="2D256AA8"/>
    <w:rsid w:val="2D2B1461"/>
    <w:rsid w:val="2D2C76B3"/>
    <w:rsid w:val="2D2D6F87"/>
    <w:rsid w:val="2D2E0F8B"/>
    <w:rsid w:val="2D2F2D65"/>
    <w:rsid w:val="2D306690"/>
    <w:rsid w:val="2D32383D"/>
    <w:rsid w:val="2D377E06"/>
    <w:rsid w:val="2D393B7E"/>
    <w:rsid w:val="2D394446"/>
    <w:rsid w:val="2D3B6339"/>
    <w:rsid w:val="2D4812AB"/>
    <w:rsid w:val="2D485B6F"/>
    <w:rsid w:val="2D4B38B1"/>
    <w:rsid w:val="2D4D3D4C"/>
    <w:rsid w:val="2D4E6DFB"/>
    <w:rsid w:val="2D4F297B"/>
    <w:rsid w:val="2D5409B8"/>
    <w:rsid w:val="2D560F94"/>
    <w:rsid w:val="2D575897"/>
    <w:rsid w:val="2D5763AE"/>
    <w:rsid w:val="2D58628E"/>
    <w:rsid w:val="2D5A3B6B"/>
    <w:rsid w:val="2D5A77C0"/>
    <w:rsid w:val="2D5C161A"/>
    <w:rsid w:val="2D5C2460"/>
    <w:rsid w:val="2D5E5392"/>
    <w:rsid w:val="2D5F03FB"/>
    <w:rsid w:val="2D60674B"/>
    <w:rsid w:val="2D627F38"/>
    <w:rsid w:val="2D6329A9"/>
    <w:rsid w:val="2D661D22"/>
    <w:rsid w:val="2D671A9D"/>
    <w:rsid w:val="2D675D83"/>
    <w:rsid w:val="2D687FBF"/>
    <w:rsid w:val="2D695F0F"/>
    <w:rsid w:val="2D6C5B94"/>
    <w:rsid w:val="2D7059CD"/>
    <w:rsid w:val="2D73508C"/>
    <w:rsid w:val="2D7352E2"/>
    <w:rsid w:val="2D76092E"/>
    <w:rsid w:val="2D7828F8"/>
    <w:rsid w:val="2D79041E"/>
    <w:rsid w:val="2D7C3A6A"/>
    <w:rsid w:val="2D8017AD"/>
    <w:rsid w:val="2D8172D3"/>
    <w:rsid w:val="2D8262FB"/>
    <w:rsid w:val="2D833278"/>
    <w:rsid w:val="2D834148"/>
    <w:rsid w:val="2D8568D6"/>
    <w:rsid w:val="2D872B3B"/>
    <w:rsid w:val="2D8D7A9E"/>
    <w:rsid w:val="2D8F3242"/>
    <w:rsid w:val="2D8F3594"/>
    <w:rsid w:val="2D9027C4"/>
    <w:rsid w:val="2D9042F7"/>
    <w:rsid w:val="2D940DB4"/>
    <w:rsid w:val="2D962D7E"/>
    <w:rsid w:val="2D9B2143"/>
    <w:rsid w:val="2D9B2FD4"/>
    <w:rsid w:val="2D9D235F"/>
    <w:rsid w:val="2DA52FC1"/>
    <w:rsid w:val="2DA55D25"/>
    <w:rsid w:val="2DA65C71"/>
    <w:rsid w:val="2DAD1E76"/>
    <w:rsid w:val="2DAD7227"/>
    <w:rsid w:val="2DB06E65"/>
    <w:rsid w:val="2DB21798"/>
    <w:rsid w:val="2DB256DE"/>
    <w:rsid w:val="2DB31B82"/>
    <w:rsid w:val="2DB43B54"/>
    <w:rsid w:val="2DB63420"/>
    <w:rsid w:val="2DB651CE"/>
    <w:rsid w:val="2DB66CAA"/>
    <w:rsid w:val="2DB8624C"/>
    <w:rsid w:val="2DB87198"/>
    <w:rsid w:val="2DBD655D"/>
    <w:rsid w:val="2DBF599F"/>
    <w:rsid w:val="2DC518B5"/>
    <w:rsid w:val="2DC84F02"/>
    <w:rsid w:val="2DC93154"/>
    <w:rsid w:val="2DCA0C7A"/>
    <w:rsid w:val="2DCA2A1C"/>
    <w:rsid w:val="2DCA2A28"/>
    <w:rsid w:val="2DCA64B0"/>
    <w:rsid w:val="2DCB6D73"/>
    <w:rsid w:val="2DCF003E"/>
    <w:rsid w:val="2DCF162E"/>
    <w:rsid w:val="2DD138B2"/>
    <w:rsid w:val="2DD37B2E"/>
    <w:rsid w:val="2DD6025F"/>
    <w:rsid w:val="2DD625B0"/>
    <w:rsid w:val="2DD934D4"/>
    <w:rsid w:val="2DDC0A63"/>
    <w:rsid w:val="2DDD6BFF"/>
    <w:rsid w:val="2DE0049D"/>
    <w:rsid w:val="2DE227C7"/>
    <w:rsid w:val="2DE27AC2"/>
    <w:rsid w:val="2DE37E5F"/>
    <w:rsid w:val="2DE47F8D"/>
    <w:rsid w:val="2DE77219"/>
    <w:rsid w:val="2DEB68B1"/>
    <w:rsid w:val="2DEE2F45"/>
    <w:rsid w:val="2DF31F7F"/>
    <w:rsid w:val="2DF3754D"/>
    <w:rsid w:val="2DF53F49"/>
    <w:rsid w:val="2DF61A6F"/>
    <w:rsid w:val="2DF86385"/>
    <w:rsid w:val="2DF91667"/>
    <w:rsid w:val="2DFE521A"/>
    <w:rsid w:val="2E020D8B"/>
    <w:rsid w:val="2E020ED5"/>
    <w:rsid w:val="2E021830"/>
    <w:rsid w:val="2E023DDA"/>
    <w:rsid w:val="2E072EE7"/>
    <w:rsid w:val="2E073C7C"/>
    <w:rsid w:val="2E085CEF"/>
    <w:rsid w:val="2E0871AE"/>
    <w:rsid w:val="2E0917A2"/>
    <w:rsid w:val="2E0979F4"/>
    <w:rsid w:val="2E0A551A"/>
    <w:rsid w:val="2E0A72C8"/>
    <w:rsid w:val="2E0E0B66"/>
    <w:rsid w:val="2E0F48DF"/>
    <w:rsid w:val="2E101C15"/>
    <w:rsid w:val="2E145874"/>
    <w:rsid w:val="2E150147"/>
    <w:rsid w:val="2E187C37"/>
    <w:rsid w:val="2E1A575D"/>
    <w:rsid w:val="2E241F36"/>
    <w:rsid w:val="2E2465DC"/>
    <w:rsid w:val="2E267CD1"/>
    <w:rsid w:val="2E277E7A"/>
    <w:rsid w:val="2E2959A0"/>
    <w:rsid w:val="2E343CBB"/>
    <w:rsid w:val="2E352597"/>
    <w:rsid w:val="2E36630F"/>
    <w:rsid w:val="2E382087"/>
    <w:rsid w:val="2E3A7BAD"/>
    <w:rsid w:val="2E3C4CA4"/>
    <w:rsid w:val="2E3D0E9F"/>
    <w:rsid w:val="2E3D144C"/>
    <w:rsid w:val="2E3E4617"/>
    <w:rsid w:val="2E3F51C4"/>
    <w:rsid w:val="2E3F7993"/>
    <w:rsid w:val="2E41718E"/>
    <w:rsid w:val="2E4463D2"/>
    <w:rsid w:val="2E450300"/>
    <w:rsid w:val="2E497DF1"/>
    <w:rsid w:val="2E4A5917"/>
    <w:rsid w:val="2E4C6E74"/>
    <w:rsid w:val="2E50117F"/>
    <w:rsid w:val="2E501D78"/>
    <w:rsid w:val="2E5073D1"/>
    <w:rsid w:val="2E513149"/>
    <w:rsid w:val="2E5305CF"/>
    <w:rsid w:val="2E530C6F"/>
    <w:rsid w:val="2E5844D8"/>
    <w:rsid w:val="2E5A3DAC"/>
    <w:rsid w:val="2E5D1AEE"/>
    <w:rsid w:val="2E5D389C"/>
    <w:rsid w:val="2E5D564A"/>
    <w:rsid w:val="2E60203C"/>
    <w:rsid w:val="2E61338C"/>
    <w:rsid w:val="2E6214E6"/>
    <w:rsid w:val="2E62584C"/>
    <w:rsid w:val="2E6409B8"/>
    <w:rsid w:val="2E644C2A"/>
    <w:rsid w:val="2E645979"/>
    <w:rsid w:val="2E6469D8"/>
    <w:rsid w:val="2E6672E0"/>
    <w:rsid w:val="2E67296D"/>
    <w:rsid w:val="2E681913"/>
    <w:rsid w:val="2E6A5A73"/>
    <w:rsid w:val="2E6C65AC"/>
    <w:rsid w:val="2E6E3CFB"/>
    <w:rsid w:val="2E6F38E5"/>
    <w:rsid w:val="2E6F5877"/>
    <w:rsid w:val="2E702BF1"/>
    <w:rsid w:val="2E71039B"/>
    <w:rsid w:val="2E7136BD"/>
    <w:rsid w:val="2E717347"/>
    <w:rsid w:val="2E727293"/>
    <w:rsid w:val="2E7542BF"/>
    <w:rsid w:val="2E755089"/>
    <w:rsid w:val="2E7813DF"/>
    <w:rsid w:val="2E792B16"/>
    <w:rsid w:val="2E797950"/>
    <w:rsid w:val="2E7C01C6"/>
    <w:rsid w:val="2E7C3B5F"/>
    <w:rsid w:val="2E7D577C"/>
    <w:rsid w:val="2E813A2E"/>
    <w:rsid w:val="2E8157DC"/>
    <w:rsid w:val="2E81758A"/>
    <w:rsid w:val="2E821554"/>
    <w:rsid w:val="2E822402"/>
    <w:rsid w:val="2E8452CD"/>
    <w:rsid w:val="2E861045"/>
    <w:rsid w:val="2E8A625D"/>
    <w:rsid w:val="2E8C55BF"/>
    <w:rsid w:val="2E8E6E94"/>
    <w:rsid w:val="2E8F7410"/>
    <w:rsid w:val="2E913546"/>
    <w:rsid w:val="2E953036"/>
    <w:rsid w:val="2E9738A5"/>
    <w:rsid w:val="2E975000"/>
    <w:rsid w:val="2E9A064C"/>
    <w:rsid w:val="2E9A328C"/>
    <w:rsid w:val="2E9C43C4"/>
    <w:rsid w:val="2E9E23F9"/>
    <w:rsid w:val="2E9F3E10"/>
    <w:rsid w:val="2E9F3EB4"/>
    <w:rsid w:val="2E9F5C62"/>
    <w:rsid w:val="2EA045BB"/>
    <w:rsid w:val="2EA15E7F"/>
    <w:rsid w:val="2EA279E7"/>
    <w:rsid w:val="2EA3682F"/>
    <w:rsid w:val="2EA40C71"/>
    <w:rsid w:val="2EA6073F"/>
    <w:rsid w:val="2EA72782"/>
    <w:rsid w:val="2EA72D69"/>
    <w:rsid w:val="2EA91D49"/>
    <w:rsid w:val="2EA96AE1"/>
    <w:rsid w:val="2EAB4607"/>
    <w:rsid w:val="2EB067BE"/>
    <w:rsid w:val="2EB07E70"/>
    <w:rsid w:val="2EB3170E"/>
    <w:rsid w:val="2EB37960"/>
    <w:rsid w:val="2EB65D31"/>
    <w:rsid w:val="2EB76B7E"/>
    <w:rsid w:val="2EBB2959"/>
    <w:rsid w:val="2EBD0411"/>
    <w:rsid w:val="2EBE469D"/>
    <w:rsid w:val="2EBF00B3"/>
    <w:rsid w:val="2EBF6DB8"/>
    <w:rsid w:val="2EC15BD9"/>
    <w:rsid w:val="2EC20FAA"/>
    <w:rsid w:val="2EC27BA3"/>
    <w:rsid w:val="2EC35DCA"/>
    <w:rsid w:val="2EC35DF5"/>
    <w:rsid w:val="2EC41413"/>
    <w:rsid w:val="2EC67693"/>
    <w:rsid w:val="2EC8285E"/>
    <w:rsid w:val="2EC8340B"/>
    <w:rsid w:val="2ECE479A"/>
    <w:rsid w:val="2ED0406E"/>
    <w:rsid w:val="2ED31DB0"/>
    <w:rsid w:val="2ED33B5E"/>
    <w:rsid w:val="2ED447CE"/>
    <w:rsid w:val="2ED844E9"/>
    <w:rsid w:val="2ED935F8"/>
    <w:rsid w:val="2ED973C6"/>
    <w:rsid w:val="2EDD37BF"/>
    <w:rsid w:val="2EE30245"/>
    <w:rsid w:val="2EE5675B"/>
    <w:rsid w:val="2EE819CA"/>
    <w:rsid w:val="2EEB70FA"/>
    <w:rsid w:val="2EEC5705"/>
    <w:rsid w:val="2EEC66F5"/>
    <w:rsid w:val="2EED10C4"/>
    <w:rsid w:val="2EEF42F7"/>
    <w:rsid w:val="2EF22236"/>
    <w:rsid w:val="2F000DF7"/>
    <w:rsid w:val="2F011BBF"/>
    <w:rsid w:val="2F016E3D"/>
    <w:rsid w:val="2F0401BB"/>
    <w:rsid w:val="2F041F69"/>
    <w:rsid w:val="2F057BBB"/>
    <w:rsid w:val="2F0662B4"/>
    <w:rsid w:val="2F1131A7"/>
    <w:rsid w:val="2F11770F"/>
    <w:rsid w:val="2F120B2A"/>
    <w:rsid w:val="2F132392"/>
    <w:rsid w:val="2F1357FC"/>
    <w:rsid w:val="2F183292"/>
    <w:rsid w:val="2F1B60C1"/>
    <w:rsid w:val="2F2148C9"/>
    <w:rsid w:val="2F261EE0"/>
    <w:rsid w:val="2F266384"/>
    <w:rsid w:val="2F2820FC"/>
    <w:rsid w:val="2F28750C"/>
    <w:rsid w:val="2F2C0CD3"/>
    <w:rsid w:val="2F2F5238"/>
    <w:rsid w:val="2F313793"/>
    <w:rsid w:val="2F320885"/>
    <w:rsid w:val="2F3276C7"/>
    <w:rsid w:val="2F34228B"/>
    <w:rsid w:val="2F3445FD"/>
    <w:rsid w:val="2F3558AE"/>
    <w:rsid w:val="2F3565C7"/>
    <w:rsid w:val="2F3647DE"/>
    <w:rsid w:val="2F3650DA"/>
    <w:rsid w:val="2F3740ED"/>
    <w:rsid w:val="2F39025D"/>
    <w:rsid w:val="2F3B1E2F"/>
    <w:rsid w:val="2F3E191F"/>
    <w:rsid w:val="2F42642C"/>
    <w:rsid w:val="2F454776"/>
    <w:rsid w:val="2F5073C2"/>
    <w:rsid w:val="2F5143AB"/>
    <w:rsid w:val="2F520F27"/>
    <w:rsid w:val="2F527179"/>
    <w:rsid w:val="2F540BF7"/>
    <w:rsid w:val="2F5527C5"/>
    <w:rsid w:val="2F5660B8"/>
    <w:rsid w:val="2F5E167A"/>
    <w:rsid w:val="2F6340F7"/>
    <w:rsid w:val="2F650146"/>
    <w:rsid w:val="2F652FF8"/>
    <w:rsid w:val="2F656EAC"/>
    <w:rsid w:val="2F662C47"/>
    <w:rsid w:val="2F6767FD"/>
    <w:rsid w:val="2F68062B"/>
    <w:rsid w:val="2F6901E4"/>
    <w:rsid w:val="2F6A28CE"/>
    <w:rsid w:val="2F6B007C"/>
    <w:rsid w:val="2F6B1FE9"/>
    <w:rsid w:val="2F6D7B0F"/>
    <w:rsid w:val="2F6F3887"/>
    <w:rsid w:val="2F6F3DDB"/>
    <w:rsid w:val="2F70526B"/>
    <w:rsid w:val="2F707E3C"/>
    <w:rsid w:val="2F723377"/>
    <w:rsid w:val="2F76267C"/>
    <w:rsid w:val="2F786B4C"/>
    <w:rsid w:val="2F7B222C"/>
    <w:rsid w:val="2F8135BA"/>
    <w:rsid w:val="2F8310E0"/>
    <w:rsid w:val="2F8373AF"/>
    <w:rsid w:val="2F866E22"/>
    <w:rsid w:val="2F880DEC"/>
    <w:rsid w:val="2F8A1EF6"/>
    <w:rsid w:val="2F8B3BE5"/>
    <w:rsid w:val="2F8B61E7"/>
    <w:rsid w:val="2F8D1F5F"/>
    <w:rsid w:val="2F8D562E"/>
    <w:rsid w:val="2F8D7364"/>
    <w:rsid w:val="2F8F0904"/>
    <w:rsid w:val="2F8F5CD7"/>
    <w:rsid w:val="2F9037FD"/>
    <w:rsid w:val="2F9068A1"/>
    <w:rsid w:val="2F906E32"/>
    <w:rsid w:val="2F911A4F"/>
    <w:rsid w:val="2F921B88"/>
    <w:rsid w:val="2F947791"/>
    <w:rsid w:val="2F951A24"/>
    <w:rsid w:val="2F972DDE"/>
    <w:rsid w:val="2F9B0309"/>
    <w:rsid w:val="2F9C5D3B"/>
    <w:rsid w:val="2F9E416C"/>
    <w:rsid w:val="2F9F0268"/>
    <w:rsid w:val="2F9F2EC2"/>
    <w:rsid w:val="2FA0434A"/>
    <w:rsid w:val="2FA057DA"/>
    <w:rsid w:val="2FA07EE4"/>
    <w:rsid w:val="2FA31782"/>
    <w:rsid w:val="2FA5177F"/>
    <w:rsid w:val="2FA554FB"/>
    <w:rsid w:val="2FA86577"/>
    <w:rsid w:val="2FAA2B11"/>
    <w:rsid w:val="2FAB640A"/>
    <w:rsid w:val="2FAD7DC0"/>
    <w:rsid w:val="2FAF069A"/>
    <w:rsid w:val="2FAF1558"/>
    <w:rsid w:val="2FB27C17"/>
    <w:rsid w:val="2FB41BE1"/>
    <w:rsid w:val="2FB44498"/>
    <w:rsid w:val="2FB67708"/>
    <w:rsid w:val="2FB84FCA"/>
    <w:rsid w:val="2FB91BFD"/>
    <w:rsid w:val="2FBC06DB"/>
    <w:rsid w:val="2FBD1CCA"/>
    <w:rsid w:val="2FBE480E"/>
    <w:rsid w:val="2FBF7B52"/>
    <w:rsid w:val="2FC00586"/>
    <w:rsid w:val="2FC11C09"/>
    <w:rsid w:val="2FC24B13"/>
    <w:rsid w:val="2FC53C32"/>
    <w:rsid w:val="2FC71915"/>
    <w:rsid w:val="2FCC0796"/>
    <w:rsid w:val="2FCC2A87"/>
    <w:rsid w:val="2FCC6F2B"/>
    <w:rsid w:val="2FCF0858"/>
    <w:rsid w:val="2FCF2577"/>
    <w:rsid w:val="2FD165BB"/>
    <w:rsid w:val="2FD44032"/>
    <w:rsid w:val="2FD61B58"/>
    <w:rsid w:val="2FD758A9"/>
    <w:rsid w:val="2FDB0F1C"/>
    <w:rsid w:val="2FDB41E5"/>
    <w:rsid w:val="2FDB53C0"/>
    <w:rsid w:val="2FE12C6D"/>
    <w:rsid w:val="2FE14059"/>
    <w:rsid w:val="2FE244AB"/>
    <w:rsid w:val="2FE35562"/>
    <w:rsid w:val="2FE40EB6"/>
    <w:rsid w:val="2FE52A7E"/>
    <w:rsid w:val="2FE71487"/>
    <w:rsid w:val="2FEA61ED"/>
    <w:rsid w:val="2FED6237"/>
    <w:rsid w:val="2FF303BE"/>
    <w:rsid w:val="2FF700B2"/>
    <w:rsid w:val="2FF7387C"/>
    <w:rsid w:val="2FF80F0A"/>
    <w:rsid w:val="2FF824A0"/>
    <w:rsid w:val="2FF87D20"/>
    <w:rsid w:val="2FF91E1A"/>
    <w:rsid w:val="2FF95846"/>
    <w:rsid w:val="2FFC1B74"/>
    <w:rsid w:val="2FFF3BEB"/>
    <w:rsid w:val="2FFF4AB4"/>
    <w:rsid w:val="300264A9"/>
    <w:rsid w:val="300527EC"/>
    <w:rsid w:val="300645B8"/>
    <w:rsid w:val="30064639"/>
    <w:rsid w:val="30077F63"/>
    <w:rsid w:val="3008511A"/>
    <w:rsid w:val="300B7175"/>
    <w:rsid w:val="300B7231"/>
    <w:rsid w:val="300C09D1"/>
    <w:rsid w:val="300F0BC6"/>
    <w:rsid w:val="300F506A"/>
    <w:rsid w:val="30137621"/>
    <w:rsid w:val="301461DC"/>
    <w:rsid w:val="30186D9C"/>
    <w:rsid w:val="301911DB"/>
    <w:rsid w:val="30193FD6"/>
    <w:rsid w:val="30197C97"/>
    <w:rsid w:val="301A027B"/>
    <w:rsid w:val="301B1FE2"/>
    <w:rsid w:val="301E2C0E"/>
    <w:rsid w:val="301E50B9"/>
    <w:rsid w:val="301F409E"/>
    <w:rsid w:val="301F7290"/>
    <w:rsid w:val="30204B81"/>
    <w:rsid w:val="302265C5"/>
    <w:rsid w:val="30247D84"/>
    <w:rsid w:val="3025032E"/>
    <w:rsid w:val="302B73D2"/>
    <w:rsid w:val="3038011D"/>
    <w:rsid w:val="303947F3"/>
    <w:rsid w:val="303C4ABA"/>
    <w:rsid w:val="30414F16"/>
    <w:rsid w:val="30427786"/>
    <w:rsid w:val="304308C8"/>
    <w:rsid w:val="30443820"/>
    <w:rsid w:val="30457932"/>
    <w:rsid w:val="30460B1F"/>
    <w:rsid w:val="3049232A"/>
    <w:rsid w:val="304F36B8"/>
    <w:rsid w:val="304F6824"/>
    <w:rsid w:val="304F7A3C"/>
    <w:rsid w:val="30500FA7"/>
    <w:rsid w:val="30515ECF"/>
    <w:rsid w:val="3052767E"/>
    <w:rsid w:val="30542A7D"/>
    <w:rsid w:val="30566A77"/>
    <w:rsid w:val="3058256D"/>
    <w:rsid w:val="30591594"/>
    <w:rsid w:val="30591936"/>
    <w:rsid w:val="305C2E10"/>
    <w:rsid w:val="305E4394"/>
    <w:rsid w:val="305F7D9F"/>
    <w:rsid w:val="306058C5"/>
    <w:rsid w:val="30607673"/>
    <w:rsid w:val="30633BEA"/>
    <w:rsid w:val="30644BB4"/>
    <w:rsid w:val="30645D0A"/>
    <w:rsid w:val="30656A38"/>
    <w:rsid w:val="30662EDC"/>
    <w:rsid w:val="306755CD"/>
    <w:rsid w:val="3069482A"/>
    <w:rsid w:val="306C7DC6"/>
    <w:rsid w:val="306F40B0"/>
    <w:rsid w:val="306F513D"/>
    <w:rsid w:val="30737D00"/>
    <w:rsid w:val="307408EE"/>
    <w:rsid w:val="30741671"/>
    <w:rsid w:val="307720F7"/>
    <w:rsid w:val="307849BD"/>
    <w:rsid w:val="30787C75"/>
    <w:rsid w:val="307928B7"/>
    <w:rsid w:val="307B60BB"/>
    <w:rsid w:val="307C219A"/>
    <w:rsid w:val="307F4548"/>
    <w:rsid w:val="308006DA"/>
    <w:rsid w:val="30801AC4"/>
    <w:rsid w:val="308108DC"/>
    <w:rsid w:val="30850E88"/>
    <w:rsid w:val="30862004"/>
    <w:rsid w:val="30874C00"/>
    <w:rsid w:val="30894E1C"/>
    <w:rsid w:val="308A649E"/>
    <w:rsid w:val="308B7F73"/>
    <w:rsid w:val="30915A7F"/>
    <w:rsid w:val="30932DBE"/>
    <w:rsid w:val="3094269F"/>
    <w:rsid w:val="309537C1"/>
    <w:rsid w:val="30963095"/>
    <w:rsid w:val="30983B9C"/>
    <w:rsid w:val="30986E0D"/>
    <w:rsid w:val="309A2B85"/>
    <w:rsid w:val="309D40A4"/>
    <w:rsid w:val="309D4424"/>
    <w:rsid w:val="309F019C"/>
    <w:rsid w:val="30A12A91"/>
    <w:rsid w:val="30A25EDE"/>
    <w:rsid w:val="30A27C8C"/>
    <w:rsid w:val="30A752A2"/>
    <w:rsid w:val="30A84620"/>
    <w:rsid w:val="30AB46CC"/>
    <w:rsid w:val="30AD0B0B"/>
    <w:rsid w:val="30AD6A75"/>
    <w:rsid w:val="30AD7887"/>
    <w:rsid w:val="30B04157"/>
    <w:rsid w:val="30B05F05"/>
    <w:rsid w:val="30B23183"/>
    <w:rsid w:val="30B33C47"/>
    <w:rsid w:val="30B60B19"/>
    <w:rsid w:val="30B654E5"/>
    <w:rsid w:val="30B73737"/>
    <w:rsid w:val="30B8125D"/>
    <w:rsid w:val="30BE50BD"/>
    <w:rsid w:val="30BF099F"/>
    <w:rsid w:val="30BF25EC"/>
    <w:rsid w:val="30C2116B"/>
    <w:rsid w:val="30C3032E"/>
    <w:rsid w:val="30C47C02"/>
    <w:rsid w:val="30CD1A33"/>
    <w:rsid w:val="30D00355"/>
    <w:rsid w:val="30D51E0F"/>
    <w:rsid w:val="30D56A93"/>
    <w:rsid w:val="30D61664"/>
    <w:rsid w:val="30D616E4"/>
    <w:rsid w:val="30D82600"/>
    <w:rsid w:val="30DB0403"/>
    <w:rsid w:val="30DD0CC4"/>
    <w:rsid w:val="30E12562"/>
    <w:rsid w:val="30E3277E"/>
    <w:rsid w:val="30E359E7"/>
    <w:rsid w:val="30E67B79"/>
    <w:rsid w:val="30E87D95"/>
    <w:rsid w:val="30E9624E"/>
    <w:rsid w:val="30EB518F"/>
    <w:rsid w:val="30EC78E3"/>
    <w:rsid w:val="30ED265D"/>
    <w:rsid w:val="30F23193"/>
    <w:rsid w:val="30F427E5"/>
    <w:rsid w:val="30F46397"/>
    <w:rsid w:val="30F524B2"/>
    <w:rsid w:val="30F6275B"/>
    <w:rsid w:val="30F742CC"/>
    <w:rsid w:val="30F75AE9"/>
    <w:rsid w:val="30F878AC"/>
    <w:rsid w:val="30F966D7"/>
    <w:rsid w:val="30FE1366"/>
    <w:rsid w:val="30FF50DE"/>
    <w:rsid w:val="31005A25"/>
    <w:rsid w:val="31032087"/>
    <w:rsid w:val="310440D3"/>
    <w:rsid w:val="31066125"/>
    <w:rsid w:val="310B3A83"/>
    <w:rsid w:val="310B7896"/>
    <w:rsid w:val="31162FEA"/>
    <w:rsid w:val="31181417"/>
    <w:rsid w:val="31187218"/>
    <w:rsid w:val="311A02DC"/>
    <w:rsid w:val="311A4B61"/>
    <w:rsid w:val="311A5A05"/>
    <w:rsid w:val="311A6C35"/>
    <w:rsid w:val="311B7D98"/>
    <w:rsid w:val="311D7312"/>
    <w:rsid w:val="311E7E5A"/>
    <w:rsid w:val="31216E03"/>
    <w:rsid w:val="31230DCD"/>
    <w:rsid w:val="31233144"/>
    <w:rsid w:val="31284001"/>
    <w:rsid w:val="312A552A"/>
    <w:rsid w:val="312B7C81"/>
    <w:rsid w:val="312D2DEB"/>
    <w:rsid w:val="312E1520"/>
    <w:rsid w:val="312F0DDF"/>
    <w:rsid w:val="31301335"/>
    <w:rsid w:val="31327262"/>
    <w:rsid w:val="313703D4"/>
    <w:rsid w:val="313A1C72"/>
    <w:rsid w:val="313B49D1"/>
    <w:rsid w:val="313C1E8F"/>
    <w:rsid w:val="313C53F5"/>
    <w:rsid w:val="313C778B"/>
    <w:rsid w:val="313E4DC4"/>
    <w:rsid w:val="313E6BEE"/>
    <w:rsid w:val="3140197F"/>
    <w:rsid w:val="31424684"/>
    <w:rsid w:val="31427480"/>
    <w:rsid w:val="31434FCB"/>
    <w:rsid w:val="31455DA0"/>
    <w:rsid w:val="314636BD"/>
    <w:rsid w:val="31464495"/>
    <w:rsid w:val="31487314"/>
    <w:rsid w:val="314A0258"/>
    <w:rsid w:val="314B0961"/>
    <w:rsid w:val="314D5E4A"/>
    <w:rsid w:val="3150593A"/>
    <w:rsid w:val="31565CBA"/>
    <w:rsid w:val="31574F3E"/>
    <w:rsid w:val="31576CC8"/>
    <w:rsid w:val="315A40C3"/>
    <w:rsid w:val="315C0252"/>
    <w:rsid w:val="315C7E3B"/>
    <w:rsid w:val="315E3BB3"/>
    <w:rsid w:val="315E7160"/>
    <w:rsid w:val="315F16D9"/>
    <w:rsid w:val="316078DC"/>
    <w:rsid w:val="31610624"/>
    <w:rsid w:val="3163741B"/>
    <w:rsid w:val="31647A1E"/>
    <w:rsid w:val="31660CB9"/>
    <w:rsid w:val="31666F0B"/>
    <w:rsid w:val="316A1E7D"/>
    <w:rsid w:val="316D3DF6"/>
    <w:rsid w:val="316E0418"/>
    <w:rsid w:val="316E7B6E"/>
    <w:rsid w:val="31701B38"/>
    <w:rsid w:val="31705B9F"/>
    <w:rsid w:val="317268B8"/>
    <w:rsid w:val="31750EFD"/>
    <w:rsid w:val="31774C75"/>
    <w:rsid w:val="317909ED"/>
    <w:rsid w:val="317970D2"/>
    <w:rsid w:val="317A531F"/>
    <w:rsid w:val="317B29B7"/>
    <w:rsid w:val="317D0D3C"/>
    <w:rsid w:val="317D2742"/>
    <w:rsid w:val="317E15EE"/>
    <w:rsid w:val="317F3B29"/>
    <w:rsid w:val="31815AF3"/>
    <w:rsid w:val="318220A9"/>
    <w:rsid w:val="31867EFF"/>
    <w:rsid w:val="318836BD"/>
    <w:rsid w:val="318E00B9"/>
    <w:rsid w:val="318F1FBE"/>
    <w:rsid w:val="31903F88"/>
    <w:rsid w:val="31941B27"/>
    <w:rsid w:val="3195334D"/>
    <w:rsid w:val="31973569"/>
    <w:rsid w:val="319770C5"/>
    <w:rsid w:val="31991D69"/>
    <w:rsid w:val="31992E3D"/>
    <w:rsid w:val="3199491A"/>
    <w:rsid w:val="319B054E"/>
    <w:rsid w:val="319B4E07"/>
    <w:rsid w:val="319E0453"/>
    <w:rsid w:val="319E4FA8"/>
    <w:rsid w:val="319E60C9"/>
    <w:rsid w:val="319F5F79"/>
    <w:rsid w:val="31A00C66"/>
    <w:rsid w:val="31A041CB"/>
    <w:rsid w:val="31A31CDD"/>
    <w:rsid w:val="31A8091D"/>
    <w:rsid w:val="31A87524"/>
    <w:rsid w:val="31A95C84"/>
    <w:rsid w:val="31AA6DF8"/>
    <w:rsid w:val="31AB7CD7"/>
    <w:rsid w:val="31B148E3"/>
    <w:rsid w:val="31B20818"/>
    <w:rsid w:val="31B269F5"/>
    <w:rsid w:val="31B63EB4"/>
    <w:rsid w:val="31B720F2"/>
    <w:rsid w:val="31B732C3"/>
    <w:rsid w:val="31B73C21"/>
    <w:rsid w:val="31B859B9"/>
    <w:rsid w:val="31BE7198"/>
    <w:rsid w:val="31C23391"/>
    <w:rsid w:val="31C377E3"/>
    <w:rsid w:val="31C76E5C"/>
    <w:rsid w:val="31C871EA"/>
    <w:rsid w:val="31CA3138"/>
    <w:rsid w:val="31CA749A"/>
    <w:rsid w:val="31CC4E5C"/>
    <w:rsid w:val="31CD0D39"/>
    <w:rsid w:val="31CD1BEC"/>
    <w:rsid w:val="31CD2AE7"/>
    <w:rsid w:val="31CF4AB1"/>
    <w:rsid w:val="31D06CA4"/>
    <w:rsid w:val="31D40319"/>
    <w:rsid w:val="31D41FD5"/>
    <w:rsid w:val="31D420C7"/>
    <w:rsid w:val="31D4625C"/>
    <w:rsid w:val="31D9265F"/>
    <w:rsid w:val="31DB3455"/>
    <w:rsid w:val="31E04EAA"/>
    <w:rsid w:val="31E10C80"/>
    <w:rsid w:val="31E221E0"/>
    <w:rsid w:val="31E3230A"/>
    <w:rsid w:val="31E367AE"/>
    <w:rsid w:val="31E56082"/>
    <w:rsid w:val="31E57E30"/>
    <w:rsid w:val="31E63BA8"/>
    <w:rsid w:val="31E71DFA"/>
    <w:rsid w:val="31E8596B"/>
    <w:rsid w:val="31EC43A6"/>
    <w:rsid w:val="31EF5153"/>
    <w:rsid w:val="31F022BE"/>
    <w:rsid w:val="31F2079F"/>
    <w:rsid w:val="31F35F89"/>
    <w:rsid w:val="31F5698E"/>
    <w:rsid w:val="31F61B87"/>
    <w:rsid w:val="31F732BF"/>
    <w:rsid w:val="31F745EA"/>
    <w:rsid w:val="31F80CAC"/>
    <w:rsid w:val="31FB7654"/>
    <w:rsid w:val="31FD5849"/>
    <w:rsid w:val="32004C6A"/>
    <w:rsid w:val="32005DB7"/>
    <w:rsid w:val="32026A50"/>
    <w:rsid w:val="32026C34"/>
    <w:rsid w:val="320329AC"/>
    <w:rsid w:val="32037D83"/>
    <w:rsid w:val="32044B8C"/>
    <w:rsid w:val="32071DF0"/>
    <w:rsid w:val="32081D71"/>
    <w:rsid w:val="32087FC3"/>
    <w:rsid w:val="320B405E"/>
    <w:rsid w:val="320D55D9"/>
    <w:rsid w:val="320D7E0E"/>
    <w:rsid w:val="320F4EAD"/>
    <w:rsid w:val="3212499D"/>
    <w:rsid w:val="32132BEF"/>
    <w:rsid w:val="32171F7A"/>
    <w:rsid w:val="32197AF2"/>
    <w:rsid w:val="321B4FE3"/>
    <w:rsid w:val="321E3342"/>
    <w:rsid w:val="32230EC4"/>
    <w:rsid w:val="32267B3F"/>
    <w:rsid w:val="3229159A"/>
    <w:rsid w:val="32292413"/>
    <w:rsid w:val="322C2474"/>
    <w:rsid w:val="322C67E7"/>
    <w:rsid w:val="323112C7"/>
    <w:rsid w:val="32340DB8"/>
    <w:rsid w:val="32351684"/>
    <w:rsid w:val="32354DBA"/>
    <w:rsid w:val="32367636"/>
    <w:rsid w:val="323A22B3"/>
    <w:rsid w:val="323A4620"/>
    <w:rsid w:val="323F73DF"/>
    <w:rsid w:val="324669FB"/>
    <w:rsid w:val="32494863"/>
    <w:rsid w:val="32495490"/>
    <w:rsid w:val="32496611"/>
    <w:rsid w:val="324B46DD"/>
    <w:rsid w:val="324C4353"/>
    <w:rsid w:val="324C7EAF"/>
    <w:rsid w:val="324E1E79"/>
    <w:rsid w:val="324E3C27"/>
    <w:rsid w:val="324F174E"/>
    <w:rsid w:val="324F335F"/>
    <w:rsid w:val="32505363"/>
    <w:rsid w:val="32526703"/>
    <w:rsid w:val="32560D2E"/>
    <w:rsid w:val="32582A90"/>
    <w:rsid w:val="325D4EF0"/>
    <w:rsid w:val="325E574E"/>
    <w:rsid w:val="326048F7"/>
    <w:rsid w:val="32605559"/>
    <w:rsid w:val="32650F71"/>
    <w:rsid w:val="32662F91"/>
    <w:rsid w:val="32673C7A"/>
    <w:rsid w:val="326B7D0F"/>
    <w:rsid w:val="32700042"/>
    <w:rsid w:val="32702225"/>
    <w:rsid w:val="3271320C"/>
    <w:rsid w:val="32713DBA"/>
    <w:rsid w:val="32755658"/>
    <w:rsid w:val="32766BCA"/>
    <w:rsid w:val="32774691"/>
    <w:rsid w:val="32786EF6"/>
    <w:rsid w:val="32794A1C"/>
    <w:rsid w:val="327A0EC0"/>
    <w:rsid w:val="32812D01"/>
    <w:rsid w:val="32847649"/>
    <w:rsid w:val="32877D0B"/>
    <w:rsid w:val="32891103"/>
    <w:rsid w:val="328A09D8"/>
    <w:rsid w:val="328E5537"/>
    <w:rsid w:val="328E66F6"/>
    <w:rsid w:val="32915FF8"/>
    <w:rsid w:val="3291620A"/>
    <w:rsid w:val="32934090"/>
    <w:rsid w:val="32943492"/>
    <w:rsid w:val="32963820"/>
    <w:rsid w:val="32990C1B"/>
    <w:rsid w:val="329944E6"/>
    <w:rsid w:val="329A38A8"/>
    <w:rsid w:val="329A50BF"/>
    <w:rsid w:val="329D070B"/>
    <w:rsid w:val="329D695D"/>
    <w:rsid w:val="329F4483"/>
    <w:rsid w:val="32A001FB"/>
    <w:rsid w:val="32A01434"/>
    <w:rsid w:val="32A0200E"/>
    <w:rsid w:val="32A36BD3"/>
    <w:rsid w:val="32A519E9"/>
    <w:rsid w:val="32A520FC"/>
    <w:rsid w:val="32A56E3D"/>
    <w:rsid w:val="32A93554"/>
    <w:rsid w:val="32AC6BA0"/>
    <w:rsid w:val="32AE1B2D"/>
    <w:rsid w:val="32AE7E18"/>
    <w:rsid w:val="32AF043E"/>
    <w:rsid w:val="32B0189E"/>
    <w:rsid w:val="32B53CA7"/>
    <w:rsid w:val="32B735E8"/>
    <w:rsid w:val="32BA2E92"/>
    <w:rsid w:val="32BA750F"/>
    <w:rsid w:val="32BF0681"/>
    <w:rsid w:val="32C73B5F"/>
    <w:rsid w:val="32C75788"/>
    <w:rsid w:val="32C959A4"/>
    <w:rsid w:val="32CB171C"/>
    <w:rsid w:val="32CC2D9E"/>
    <w:rsid w:val="32CD429B"/>
    <w:rsid w:val="32CE2FBA"/>
    <w:rsid w:val="32CE4D68"/>
    <w:rsid w:val="32D00AE0"/>
    <w:rsid w:val="32D113CF"/>
    <w:rsid w:val="32D37B74"/>
    <w:rsid w:val="32D61E6F"/>
    <w:rsid w:val="32D743D7"/>
    <w:rsid w:val="32D774A8"/>
    <w:rsid w:val="32D80D43"/>
    <w:rsid w:val="32D85BE7"/>
    <w:rsid w:val="32D87995"/>
    <w:rsid w:val="32D9509E"/>
    <w:rsid w:val="32DA0DE7"/>
    <w:rsid w:val="32E01447"/>
    <w:rsid w:val="32E225C2"/>
    <w:rsid w:val="32E71374"/>
    <w:rsid w:val="32E97DF4"/>
    <w:rsid w:val="32EB3B6C"/>
    <w:rsid w:val="32EC4D02"/>
    <w:rsid w:val="32F10A57"/>
    <w:rsid w:val="32F42D71"/>
    <w:rsid w:val="32F45D69"/>
    <w:rsid w:val="32F56799"/>
    <w:rsid w:val="32F72511"/>
    <w:rsid w:val="32F83B93"/>
    <w:rsid w:val="32FA0C59"/>
    <w:rsid w:val="32FA3DAF"/>
    <w:rsid w:val="32FF13C6"/>
    <w:rsid w:val="32FF6C4F"/>
    <w:rsid w:val="33010C9A"/>
    <w:rsid w:val="3305328E"/>
    <w:rsid w:val="33072028"/>
    <w:rsid w:val="33092744"/>
    <w:rsid w:val="33093FF2"/>
    <w:rsid w:val="330B41FF"/>
    <w:rsid w:val="330B7D6A"/>
    <w:rsid w:val="330C7B44"/>
    <w:rsid w:val="330E189D"/>
    <w:rsid w:val="330E33B7"/>
    <w:rsid w:val="330F07D0"/>
    <w:rsid w:val="33114C55"/>
    <w:rsid w:val="331210F9"/>
    <w:rsid w:val="33152997"/>
    <w:rsid w:val="331652F7"/>
    <w:rsid w:val="331865C6"/>
    <w:rsid w:val="331C24AB"/>
    <w:rsid w:val="331C3D26"/>
    <w:rsid w:val="331D28ED"/>
    <w:rsid w:val="33224DA6"/>
    <w:rsid w:val="33227530"/>
    <w:rsid w:val="33232CDB"/>
    <w:rsid w:val="3325581E"/>
    <w:rsid w:val="33264BA4"/>
    <w:rsid w:val="33274B88"/>
    <w:rsid w:val="332826CA"/>
    <w:rsid w:val="332A253B"/>
    <w:rsid w:val="332D15B2"/>
    <w:rsid w:val="332E0ECC"/>
    <w:rsid w:val="332E4E1D"/>
    <w:rsid w:val="3330481B"/>
    <w:rsid w:val="333252F7"/>
    <w:rsid w:val="33340965"/>
    <w:rsid w:val="333463D3"/>
    <w:rsid w:val="333465F2"/>
    <w:rsid w:val="3335354B"/>
    <w:rsid w:val="33356B95"/>
    <w:rsid w:val="333746BC"/>
    <w:rsid w:val="333A056A"/>
    <w:rsid w:val="333B3206"/>
    <w:rsid w:val="33411290"/>
    <w:rsid w:val="33411378"/>
    <w:rsid w:val="33435756"/>
    <w:rsid w:val="3344327C"/>
    <w:rsid w:val="334A0C8C"/>
    <w:rsid w:val="334C648B"/>
    <w:rsid w:val="334F654D"/>
    <w:rsid w:val="3350577D"/>
    <w:rsid w:val="33527747"/>
    <w:rsid w:val="33542619"/>
    <w:rsid w:val="335675F5"/>
    <w:rsid w:val="33572FB0"/>
    <w:rsid w:val="33576B0C"/>
    <w:rsid w:val="33596D28"/>
    <w:rsid w:val="335C05C6"/>
    <w:rsid w:val="335C2374"/>
    <w:rsid w:val="335C4122"/>
    <w:rsid w:val="335E2645"/>
    <w:rsid w:val="335E5947"/>
    <w:rsid w:val="335F33B8"/>
    <w:rsid w:val="335F3C12"/>
    <w:rsid w:val="33603168"/>
    <w:rsid w:val="3361798A"/>
    <w:rsid w:val="33622C66"/>
    <w:rsid w:val="33625438"/>
    <w:rsid w:val="33631BFD"/>
    <w:rsid w:val="33652480"/>
    <w:rsid w:val="33661445"/>
    <w:rsid w:val="33675C36"/>
    <w:rsid w:val="33686F6B"/>
    <w:rsid w:val="336968FF"/>
    <w:rsid w:val="336A2CE3"/>
    <w:rsid w:val="336E20A7"/>
    <w:rsid w:val="33721B98"/>
    <w:rsid w:val="337249A0"/>
    <w:rsid w:val="33743B62"/>
    <w:rsid w:val="337551E4"/>
    <w:rsid w:val="337A61B1"/>
    <w:rsid w:val="337B4EF0"/>
    <w:rsid w:val="337C556A"/>
    <w:rsid w:val="337D3A65"/>
    <w:rsid w:val="338418CB"/>
    <w:rsid w:val="338772A7"/>
    <w:rsid w:val="338A21CD"/>
    <w:rsid w:val="33915486"/>
    <w:rsid w:val="33923FE8"/>
    <w:rsid w:val="33941320"/>
    <w:rsid w:val="33941B0E"/>
    <w:rsid w:val="339564A9"/>
    <w:rsid w:val="3396296F"/>
    <w:rsid w:val="33A10F67"/>
    <w:rsid w:val="33A1422B"/>
    <w:rsid w:val="33A43569"/>
    <w:rsid w:val="33A46E93"/>
    <w:rsid w:val="33A53D1B"/>
    <w:rsid w:val="33A855B9"/>
    <w:rsid w:val="33A87367"/>
    <w:rsid w:val="33AA7583"/>
    <w:rsid w:val="33AB6E58"/>
    <w:rsid w:val="33AC2C34"/>
    <w:rsid w:val="33AD0E22"/>
    <w:rsid w:val="33AE5C63"/>
    <w:rsid w:val="33AF49EF"/>
    <w:rsid w:val="33B03C72"/>
    <w:rsid w:val="33B421B0"/>
    <w:rsid w:val="33B57E4C"/>
    <w:rsid w:val="33B73DAF"/>
    <w:rsid w:val="33B8407C"/>
    <w:rsid w:val="33B9550C"/>
    <w:rsid w:val="33B977C6"/>
    <w:rsid w:val="33BA0F5C"/>
    <w:rsid w:val="33BA52ED"/>
    <w:rsid w:val="33BB2A44"/>
    <w:rsid w:val="33BB62A3"/>
    <w:rsid w:val="33BE5FA7"/>
    <w:rsid w:val="33C07E4B"/>
    <w:rsid w:val="33C1667B"/>
    <w:rsid w:val="33C87AB6"/>
    <w:rsid w:val="33CA72B8"/>
    <w:rsid w:val="33CB12A8"/>
    <w:rsid w:val="33CB74FA"/>
    <w:rsid w:val="33CC574C"/>
    <w:rsid w:val="33CC6521"/>
    <w:rsid w:val="33CD3146"/>
    <w:rsid w:val="33CF2B46"/>
    <w:rsid w:val="33CF43A2"/>
    <w:rsid w:val="33D31D48"/>
    <w:rsid w:val="33D47543"/>
    <w:rsid w:val="33D820D8"/>
    <w:rsid w:val="33DB78E6"/>
    <w:rsid w:val="33DE035B"/>
    <w:rsid w:val="33DE0FDB"/>
    <w:rsid w:val="33E10ACB"/>
    <w:rsid w:val="33E23FA5"/>
    <w:rsid w:val="33E412BD"/>
    <w:rsid w:val="33E65B1A"/>
    <w:rsid w:val="33E67E90"/>
    <w:rsid w:val="33EA2EAA"/>
    <w:rsid w:val="33EB36F8"/>
    <w:rsid w:val="33EC194A"/>
    <w:rsid w:val="33ED7470"/>
    <w:rsid w:val="33F22CD8"/>
    <w:rsid w:val="33F24A86"/>
    <w:rsid w:val="33F627C9"/>
    <w:rsid w:val="33FB4C99"/>
    <w:rsid w:val="33FE1F33"/>
    <w:rsid w:val="34000F51"/>
    <w:rsid w:val="34001A34"/>
    <w:rsid w:val="34021368"/>
    <w:rsid w:val="340225C1"/>
    <w:rsid w:val="340353F4"/>
    <w:rsid w:val="34045332"/>
    <w:rsid w:val="34052A0C"/>
    <w:rsid w:val="34056568"/>
    <w:rsid w:val="34076784"/>
    <w:rsid w:val="340A1869"/>
    <w:rsid w:val="340A6274"/>
    <w:rsid w:val="340B0788"/>
    <w:rsid w:val="340D366E"/>
    <w:rsid w:val="340D7B12"/>
    <w:rsid w:val="340E3BBE"/>
    <w:rsid w:val="34101E69"/>
    <w:rsid w:val="34126ED7"/>
    <w:rsid w:val="3412759C"/>
    <w:rsid w:val="34137ABE"/>
    <w:rsid w:val="34167612"/>
    <w:rsid w:val="34190265"/>
    <w:rsid w:val="341B5F16"/>
    <w:rsid w:val="341C3CFE"/>
    <w:rsid w:val="341E3ACD"/>
    <w:rsid w:val="341E7629"/>
    <w:rsid w:val="34202060"/>
    <w:rsid w:val="3421711A"/>
    <w:rsid w:val="34264E4A"/>
    <w:rsid w:val="34272E4C"/>
    <w:rsid w:val="342804A8"/>
    <w:rsid w:val="342840E0"/>
    <w:rsid w:val="342A2472"/>
    <w:rsid w:val="342A4220"/>
    <w:rsid w:val="342C0062"/>
    <w:rsid w:val="342C5338"/>
    <w:rsid w:val="342D3D10"/>
    <w:rsid w:val="342E24AB"/>
    <w:rsid w:val="342F5CDB"/>
    <w:rsid w:val="343230D5"/>
    <w:rsid w:val="3434509F"/>
    <w:rsid w:val="3435729C"/>
    <w:rsid w:val="343614B1"/>
    <w:rsid w:val="34362BC5"/>
    <w:rsid w:val="34384B8F"/>
    <w:rsid w:val="343B5478"/>
    <w:rsid w:val="343C6393"/>
    <w:rsid w:val="343F4711"/>
    <w:rsid w:val="34404909"/>
    <w:rsid w:val="344165C4"/>
    <w:rsid w:val="344277BC"/>
    <w:rsid w:val="34445F26"/>
    <w:rsid w:val="34480B4A"/>
    <w:rsid w:val="34482B26"/>
    <w:rsid w:val="344D0D79"/>
    <w:rsid w:val="344F0124"/>
    <w:rsid w:val="34515C51"/>
    <w:rsid w:val="3454129D"/>
    <w:rsid w:val="34570B55"/>
    <w:rsid w:val="34585C26"/>
    <w:rsid w:val="34586EEB"/>
    <w:rsid w:val="345D6E68"/>
    <w:rsid w:val="345E3ECA"/>
    <w:rsid w:val="34607C42"/>
    <w:rsid w:val="3462703E"/>
    <w:rsid w:val="3463039F"/>
    <w:rsid w:val="346533F2"/>
    <w:rsid w:val="34675474"/>
    <w:rsid w:val="34676609"/>
    <w:rsid w:val="34683021"/>
    <w:rsid w:val="34684D49"/>
    <w:rsid w:val="346B6A8A"/>
    <w:rsid w:val="346C7D61"/>
    <w:rsid w:val="346D235F"/>
    <w:rsid w:val="346D2C50"/>
    <w:rsid w:val="3474171E"/>
    <w:rsid w:val="347436ED"/>
    <w:rsid w:val="347656B7"/>
    <w:rsid w:val="34767465"/>
    <w:rsid w:val="34772F52"/>
    <w:rsid w:val="34775C7A"/>
    <w:rsid w:val="34784F8C"/>
    <w:rsid w:val="347A4946"/>
    <w:rsid w:val="347C3F14"/>
    <w:rsid w:val="347D25A2"/>
    <w:rsid w:val="347D6A46"/>
    <w:rsid w:val="34802092"/>
    <w:rsid w:val="348222AE"/>
    <w:rsid w:val="34831B82"/>
    <w:rsid w:val="34873D9B"/>
    <w:rsid w:val="34874EF3"/>
    <w:rsid w:val="34875080"/>
    <w:rsid w:val="348A358D"/>
    <w:rsid w:val="348B1398"/>
    <w:rsid w:val="348E7143"/>
    <w:rsid w:val="34910520"/>
    <w:rsid w:val="349124F1"/>
    <w:rsid w:val="3492329A"/>
    <w:rsid w:val="3492696B"/>
    <w:rsid w:val="34934894"/>
    <w:rsid w:val="34945B3E"/>
    <w:rsid w:val="34983880"/>
    <w:rsid w:val="34993154"/>
    <w:rsid w:val="349A13A6"/>
    <w:rsid w:val="349B3370"/>
    <w:rsid w:val="349B6ECC"/>
    <w:rsid w:val="34A22009"/>
    <w:rsid w:val="34A357B5"/>
    <w:rsid w:val="34A479E8"/>
    <w:rsid w:val="34A77DA7"/>
    <w:rsid w:val="34A946DB"/>
    <w:rsid w:val="34AD2F93"/>
    <w:rsid w:val="34AF2977"/>
    <w:rsid w:val="34B166F0"/>
    <w:rsid w:val="34B311A6"/>
    <w:rsid w:val="34B31C18"/>
    <w:rsid w:val="34B32468"/>
    <w:rsid w:val="34B47F8E"/>
    <w:rsid w:val="34B63FF9"/>
    <w:rsid w:val="34B97D14"/>
    <w:rsid w:val="34BA0108"/>
    <w:rsid w:val="34BA4404"/>
    <w:rsid w:val="34BB6E1E"/>
    <w:rsid w:val="34BD6E42"/>
    <w:rsid w:val="34BD7997"/>
    <w:rsid w:val="34C12DD7"/>
    <w:rsid w:val="34C16BFD"/>
    <w:rsid w:val="34C208FD"/>
    <w:rsid w:val="34C46423"/>
    <w:rsid w:val="34C71A6F"/>
    <w:rsid w:val="34C90F1F"/>
    <w:rsid w:val="34C91C8B"/>
    <w:rsid w:val="34CC52D7"/>
    <w:rsid w:val="34CF6B76"/>
    <w:rsid w:val="34D0301A"/>
    <w:rsid w:val="34D10B40"/>
    <w:rsid w:val="34D128EE"/>
    <w:rsid w:val="34D14694"/>
    <w:rsid w:val="34D348B8"/>
    <w:rsid w:val="34D50630"/>
    <w:rsid w:val="34D5735F"/>
    <w:rsid w:val="34D64307"/>
    <w:rsid w:val="34D81142"/>
    <w:rsid w:val="34E24AFB"/>
    <w:rsid w:val="34E46AC5"/>
    <w:rsid w:val="34E56399"/>
    <w:rsid w:val="34E614B9"/>
    <w:rsid w:val="34E94E83"/>
    <w:rsid w:val="34EB4506"/>
    <w:rsid w:val="34EC39BB"/>
    <w:rsid w:val="34EE2567"/>
    <w:rsid w:val="34F14902"/>
    <w:rsid w:val="34F211E2"/>
    <w:rsid w:val="34F222B8"/>
    <w:rsid w:val="34F34F5A"/>
    <w:rsid w:val="34F36D08"/>
    <w:rsid w:val="34F52E22"/>
    <w:rsid w:val="34F85328"/>
    <w:rsid w:val="34FA0097"/>
    <w:rsid w:val="34FC0EDA"/>
    <w:rsid w:val="34FD2CC6"/>
    <w:rsid w:val="35000CEA"/>
    <w:rsid w:val="35003B43"/>
    <w:rsid w:val="35004F81"/>
    <w:rsid w:val="35011425"/>
    <w:rsid w:val="3502479A"/>
    <w:rsid w:val="35026BF5"/>
    <w:rsid w:val="35030C9C"/>
    <w:rsid w:val="350607E9"/>
    <w:rsid w:val="350C7DCA"/>
    <w:rsid w:val="35101668"/>
    <w:rsid w:val="3510196C"/>
    <w:rsid w:val="35104B3E"/>
    <w:rsid w:val="351346C8"/>
    <w:rsid w:val="35167049"/>
    <w:rsid w:val="351A39FE"/>
    <w:rsid w:val="351B0B66"/>
    <w:rsid w:val="351C625F"/>
    <w:rsid w:val="35234C75"/>
    <w:rsid w:val="352769B2"/>
    <w:rsid w:val="3529272A"/>
    <w:rsid w:val="352A38F1"/>
    <w:rsid w:val="352B0250"/>
    <w:rsid w:val="352B46F4"/>
    <w:rsid w:val="352E5F92"/>
    <w:rsid w:val="35366BF5"/>
    <w:rsid w:val="3537234B"/>
    <w:rsid w:val="35380BBF"/>
    <w:rsid w:val="35386ED5"/>
    <w:rsid w:val="353A4937"/>
    <w:rsid w:val="353C0DC5"/>
    <w:rsid w:val="353C5735"/>
    <w:rsid w:val="35401C2F"/>
    <w:rsid w:val="354077AE"/>
    <w:rsid w:val="35415CC5"/>
    <w:rsid w:val="3542673E"/>
    <w:rsid w:val="35460218"/>
    <w:rsid w:val="354632DC"/>
    <w:rsid w:val="3546508A"/>
    <w:rsid w:val="3548749A"/>
    <w:rsid w:val="35494B7A"/>
    <w:rsid w:val="354953BE"/>
    <w:rsid w:val="35503444"/>
    <w:rsid w:val="355057B5"/>
    <w:rsid w:val="35505A72"/>
    <w:rsid w:val="3551744D"/>
    <w:rsid w:val="35577297"/>
    <w:rsid w:val="355C251B"/>
    <w:rsid w:val="355C665B"/>
    <w:rsid w:val="355D18A7"/>
    <w:rsid w:val="355E6877"/>
    <w:rsid w:val="355F439E"/>
    <w:rsid w:val="355F5136"/>
    <w:rsid w:val="35643762"/>
    <w:rsid w:val="35694DC8"/>
    <w:rsid w:val="356B4AF0"/>
    <w:rsid w:val="356B7532"/>
    <w:rsid w:val="356C1FE4"/>
    <w:rsid w:val="356C3F71"/>
    <w:rsid w:val="356D0868"/>
    <w:rsid w:val="35700359"/>
    <w:rsid w:val="357240D1"/>
    <w:rsid w:val="35734AC9"/>
    <w:rsid w:val="35753BC1"/>
    <w:rsid w:val="35770328"/>
    <w:rsid w:val="35773495"/>
    <w:rsid w:val="35780FBB"/>
    <w:rsid w:val="3578720D"/>
    <w:rsid w:val="357A0DCF"/>
    <w:rsid w:val="357A11D7"/>
    <w:rsid w:val="357C4F4F"/>
    <w:rsid w:val="357D4824"/>
    <w:rsid w:val="357D616D"/>
    <w:rsid w:val="357F1063"/>
    <w:rsid w:val="35810BC6"/>
    <w:rsid w:val="35816960"/>
    <w:rsid w:val="35833A51"/>
    <w:rsid w:val="3586192A"/>
    <w:rsid w:val="35867B2D"/>
    <w:rsid w:val="35870802"/>
    <w:rsid w:val="35876C7B"/>
    <w:rsid w:val="358838F4"/>
    <w:rsid w:val="3589141A"/>
    <w:rsid w:val="35894ABA"/>
    <w:rsid w:val="358A20E7"/>
    <w:rsid w:val="358A5F97"/>
    <w:rsid w:val="358A766C"/>
    <w:rsid w:val="358B6243"/>
    <w:rsid w:val="358D2CB9"/>
    <w:rsid w:val="359027A9"/>
    <w:rsid w:val="35904557"/>
    <w:rsid w:val="35941C8B"/>
    <w:rsid w:val="35944047"/>
    <w:rsid w:val="35957DBF"/>
    <w:rsid w:val="35973B37"/>
    <w:rsid w:val="359777F0"/>
    <w:rsid w:val="359978AF"/>
    <w:rsid w:val="359A3628"/>
    <w:rsid w:val="359A6C78"/>
    <w:rsid w:val="359C2EFC"/>
    <w:rsid w:val="35A2540A"/>
    <w:rsid w:val="35A3428A"/>
    <w:rsid w:val="35A96A55"/>
    <w:rsid w:val="35AA4B65"/>
    <w:rsid w:val="35AB313F"/>
    <w:rsid w:val="35AD6EB7"/>
    <w:rsid w:val="35AD79D8"/>
    <w:rsid w:val="35AF70D3"/>
    <w:rsid w:val="35B00755"/>
    <w:rsid w:val="35B03355"/>
    <w:rsid w:val="35B144E6"/>
    <w:rsid w:val="35B263E6"/>
    <w:rsid w:val="35B27654"/>
    <w:rsid w:val="35B30181"/>
    <w:rsid w:val="35B335DB"/>
    <w:rsid w:val="35B41701"/>
    <w:rsid w:val="35B44A00"/>
    <w:rsid w:val="35B53FBD"/>
    <w:rsid w:val="35B71AE4"/>
    <w:rsid w:val="35B75F88"/>
    <w:rsid w:val="35B91D00"/>
    <w:rsid w:val="35BC534C"/>
    <w:rsid w:val="35BD3B86"/>
    <w:rsid w:val="35BF4E3C"/>
    <w:rsid w:val="35C34A44"/>
    <w:rsid w:val="35C366DA"/>
    <w:rsid w:val="35C51723"/>
    <w:rsid w:val="35CC08B9"/>
    <w:rsid w:val="35CD0E9C"/>
    <w:rsid w:val="35CF259B"/>
    <w:rsid w:val="35CF5631"/>
    <w:rsid w:val="35D501BC"/>
    <w:rsid w:val="35D656DF"/>
    <w:rsid w:val="35D94150"/>
    <w:rsid w:val="35D97CAC"/>
    <w:rsid w:val="35DC154A"/>
    <w:rsid w:val="35DE1766"/>
    <w:rsid w:val="35DF52F8"/>
    <w:rsid w:val="35E054DE"/>
    <w:rsid w:val="35E11256"/>
    <w:rsid w:val="35E3583F"/>
    <w:rsid w:val="35E41B3B"/>
    <w:rsid w:val="35E93C67"/>
    <w:rsid w:val="35EE60D4"/>
    <w:rsid w:val="35F10F22"/>
    <w:rsid w:val="35F22801"/>
    <w:rsid w:val="35F25212"/>
    <w:rsid w:val="35F26E84"/>
    <w:rsid w:val="35F5260C"/>
    <w:rsid w:val="35F9034E"/>
    <w:rsid w:val="360016DD"/>
    <w:rsid w:val="36010FB1"/>
    <w:rsid w:val="36015455"/>
    <w:rsid w:val="36050AA1"/>
    <w:rsid w:val="36085CF8"/>
    <w:rsid w:val="360B4516"/>
    <w:rsid w:val="360C16FF"/>
    <w:rsid w:val="360C24AB"/>
    <w:rsid w:val="360D2B08"/>
    <w:rsid w:val="360D6CE9"/>
    <w:rsid w:val="360E59DF"/>
    <w:rsid w:val="36100A32"/>
    <w:rsid w:val="36127662"/>
    <w:rsid w:val="3613194E"/>
    <w:rsid w:val="36150687"/>
    <w:rsid w:val="36176A26"/>
    <w:rsid w:val="36177C25"/>
    <w:rsid w:val="361909F0"/>
    <w:rsid w:val="3619674F"/>
    <w:rsid w:val="361B2A2D"/>
    <w:rsid w:val="361C403D"/>
    <w:rsid w:val="36203B2D"/>
    <w:rsid w:val="36213401"/>
    <w:rsid w:val="362353CB"/>
    <w:rsid w:val="3628009B"/>
    <w:rsid w:val="36280D82"/>
    <w:rsid w:val="36286FF1"/>
    <w:rsid w:val="36287986"/>
    <w:rsid w:val="362A0508"/>
    <w:rsid w:val="362D7FF8"/>
    <w:rsid w:val="362E1A2D"/>
    <w:rsid w:val="362E5176"/>
    <w:rsid w:val="3630291D"/>
    <w:rsid w:val="3632603A"/>
    <w:rsid w:val="363C53ED"/>
    <w:rsid w:val="36407D2B"/>
    <w:rsid w:val="36411800"/>
    <w:rsid w:val="364315C9"/>
    <w:rsid w:val="36455341"/>
    <w:rsid w:val="36462E68"/>
    <w:rsid w:val="3647730B"/>
    <w:rsid w:val="3649110C"/>
    <w:rsid w:val="364A5AAB"/>
    <w:rsid w:val="364A6DFC"/>
    <w:rsid w:val="364C7977"/>
    <w:rsid w:val="364D069A"/>
    <w:rsid w:val="364D1A9A"/>
    <w:rsid w:val="364D2448"/>
    <w:rsid w:val="364E59EB"/>
    <w:rsid w:val="364F15D3"/>
    <w:rsid w:val="36512993"/>
    <w:rsid w:val="365313AC"/>
    <w:rsid w:val="36581519"/>
    <w:rsid w:val="36582C80"/>
    <w:rsid w:val="36590DED"/>
    <w:rsid w:val="365A27F2"/>
    <w:rsid w:val="365B3FBE"/>
    <w:rsid w:val="365B6913"/>
    <w:rsid w:val="365C268B"/>
    <w:rsid w:val="365E4655"/>
    <w:rsid w:val="36625DA3"/>
    <w:rsid w:val="3663367F"/>
    <w:rsid w:val="366426B3"/>
    <w:rsid w:val="366559E4"/>
    <w:rsid w:val="366652B8"/>
    <w:rsid w:val="3667350A"/>
    <w:rsid w:val="36681034"/>
    <w:rsid w:val="36687282"/>
    <w:rsid w:val="36694181"/>
    <w:rsid w:val="366C6D72"/>
    <w:rsid w:val="366F23BE"/>
    <w:rsid w:val="366F3B39"/>
    <w:rsid w:val="366F6862"/>
    <w:rsid w:val="367125DA"/>
    <w:rsid w:val="36721CEE"/>
    <w:rsid w:val="3674688D"/>
    <w:rsid w:val="3675642D"/>
    <w:rsid w:val="36766A47"/>
    <w:rsid w:val="36770937"/>
    <w:rsid w:val="367807B7"/>
    <w:rsid w:val="36794FEB"/>
    <w:rsid w:val="367E0853"/>
    <w:rsid w:val="367E6AA5"/>
    <w:rsid w:val="36806379"/>
    <w:rsid w:val="36820BD0"/>
    <w:rsid w:val="368315AB"/>
    <w:rsid w:val="368816D2"/>
    <w:rsid w:val="36894863"/>
    <w:rsid w:val="368A544A"/>
    <w:rsid w:val="368C2F70"/>
    <w:rsid w:val="368C6CEE"/>
    <w:rsid w:val="368F18E7"/>
    <w:rsid w:val="369167D9"/>
    <w:rsid w:val="36940077"/>
    <w:rsid w:val="36941872"/>
    <w:rsid w:val="369736C3"/>
    <w:rsid w:val="36981AA4"/>
    <w:rsid w:val="36985DB9"/>
    <w:rsid w:val="369B1405"/>
    <w:rsid w:val="36A04C6E"/>
    <w:rsid w:val="36A33AE5"/>
    <w:rsid w:val="36A51BE5"/>
    <w:rsid w:val="36A54177"/>
    <w:rsid w:val="36A64E24"/>
    <w:rsid w:val="36A75FFC"/>
    <w:rsid w:val="36A77DAA"/>
    <w:rsid w:val="36A81136"/>
    <w:rsid w:val="36AA2E0C"/>
    <w:rsid w:val="36AD0447"/>
    <w:rsid w:val="36AF6E30"/>
    <w:rsid w:val="36B02F49"/>
    <w:rsid w:val="36B060E9"/>
    <w:rsid w:val="36B129D7"/>
    <w:rsid w:val="36B14741"/>
    <w:rsid w:val="36B3674F"/>
    <w:rsid w:val="36B45DB4"/>
    <w:rsid w:val="36B53FD2"/>
    <w:rsid w:val="36B64491"/>
    <w:rsid w:val="36B85B13"/>
    <w:rsid w:val="36BC6F7C"/>
    <w:rsid w:val="36C107AF"/>
    <w:rsid w:val="36C2393B"/>
    <w:rsid w:val="36C245DC"/>
    <w:rsid w:val="36C3270A"/>
    <w:rsid w:val="36C505FA"/>
    <w:rsid w:val="36C5381B"/>
    <w:rsid w:val="36C7044C"/>
    <w:rsid w:val="36C73FA8"/>
    <w:rsid w:val="36D36DF1"/>
    <w:rsid w:val="36D52B69"/>
    <w:rsid w:val="36D81E9B"/>
    <w:rsid w:val="36D84407"/>
    <w:rsid w:val="36DA0180"/>
    <w:rsid w:val="36DB09A1"/>
    <w:rsid w:val="36DD5FFA"/>
    <w:rsid w:val="36E02286"/>
    <w:rsid w:val="36E032BC"/>
    <w:rsid w:val="36E35B5F"/>
    <w:rsid w:val="36E50230"/>
    <w:rsid w:val="36E556BA"/>
    <w:rsid w:val="36E56B24"/>
    <w:rsid w:val="36E76741"/>
    <w:rsid w:val="36EA5EE9"/>
    <w:rsid w:val="36EB413B"/>
    <w:rsid w:val="36EC3A0F"/>
    <w:rsid w:val="36EC4C5C"/>
    <w:rsid w:val="36EE59D9"/>
    <w:rsid w:val="36EF29FB"/>
    <w:rsid w:val="36F01AF3"/>
    <w:rsid w:val="36F5014A"/>
    <w:rsid w:val="36F51D5E"/>
    <w:rsid w:val="36F9612C"/>
    <w:rsid w:val="36FA437E"/>
    <w:rsid w:val="36FB00F6"/>
    <w:rsid w:val="36FC2AF0"/>
    <w:rsid w:val="36FD1B1F"/>
    <w:rsid w:val="370074BA"/>
    <w:rsid w:val="37042CD1"/>
    <w:rsid w:val="370451FC"/>
    <w:rsid w:val="37052D23"/>
    <w:rsid w:val="37070373"/>
    <w:rsid w:val="370912BC"/>
    <w:rsid w:val="370A0339"/>
    <w:rsid w:val="370D32D7"/>
    <w:rsid w:val="370D4A38"/>
    <w:rsid w:val="370E1BD7"/>
    <w:rsid w:val="370E3632"/>
    <w:rsid w:val="37104806"/>
    <w:rsid w:val="37133692"/>
    <w:rsid w:val="37152F66"/>
    <w:rsid w:val="37155300"/>
    <w:rsid w:val="37160A8C"/>
    <w:rsid w:val="37182A56"/>
    <w:rsid w:val="371A6957"/>
    <w:rsid w:val="371B136A"/>
    <w:rsid w:val="371B6D94"/>
    <w:rsid w:val="371E1992"/>
    <w:rsid w:val="3721563F"/>
    <w:rsid w:val="37260D07"/>
    <w:rsid w:val="372633C5"/>
    <w:rsid w:val="37265173"/>
    <w:rsid w:val="3727750B"/>
    <w:rsid w:val="37277AE9"/>
    <w:rsid w:val="37293F0A"/>
    <w:rsid w:val="372B31BA"/>
    <w:rsid w:val="372D458B"/>
    <w:rsid w:val="372E2279"/>
    <w:rsid w:val="372F1B4E"/>
    <w:rsid w:val="372F6F96"/>
    <w:rsid w:val="37307DA0"/>
    <w:rsid w:val="3736112E"/>
    <w:rsid w:val="37362329"/>
    <w:rsid w:val="37375E56"/>
    <w:rsid w:val="37386C54"/>
    <w:rsid w:val="373A0C1E"/>
    <w:rsid w:val="373A417E"/>
    <w:rsid w:val="373C4996"/>
    <w:rsid w:val="373D426B"/>
    <w:rsid w:val="373F4487"/>
    <w:rsid w:val="373F44A3"/>
    <w:rsid w:val="373F6235"/>
    <w:rsid w:val="37403D5B"/>
    <w:rsid w:val="37411658"/>
    <w:rsid w:val="374675C3"/>
    <w:rsid w:val="3748449E"/>
    <w:rsid w:val="374D6BA3"/>
    <w:rsid w:val="375021F0"/>
    <w:rsid w:val="37537F32"/>
    <w:rsid w:val="37585548"/>
    <w:rsid w:val="37594C80"/>
    <w:rsid w:val="37597386"/>
    <w:rsid w:val="375A4E1C"/>
    <w:rsid w:val="375B312D"/>
    <w:rsid w:val="375B3775"/>
    <w:rsid w:val="375C6DE7"/>
    <w:rsid w:val="375D1C40"/>
    <w:rsid w:val="37634542"/>
    <w:rsid w:val="376A28C4"/>
    <w:rsid w:val="376A384F"/>
    <w:rsid w:val="376D0FF4"/>
    <w:rsid w:val="376D1185"/>
    <w:rsid w:val="3772140D"/>
    <w:rsid w:val="377240E4"/>
    <w:rsid w:val="37737682"/>
    <w:rsid w:val="37767DCE"/>
    <w:rsid w:val="377834F5"/>
    <w:rsid w:val="37797999"/>
    <w:rsid w:val="377C2FE5"/>
    <w:rsid w:val="377C7920"/>
    <w:rsid w:val="377F0D27"/>
    <w:rsid w:val="377F5CE8"/>
    <w:rsid w:val="37827920"/>
    <w:rsid w:val="378426C6"/>
    <w:rsid w:val="37850168"/>
    <w:rsid w:val="37866B0A"/>
    <w:rsid w:val="37895702"/>
    <w:rsid w:val="378A2E2C"/>
    <w:rsid w:val="378C0D4E"/>
    <w:rsid w:val="378E2D18"/>
    <w:rsid w:val="378F29A5"/>
    <w:rsid w:val="378F793A"/>
    <w:rsid w:val="379171CD"/>
    <w:rsid w:val="37921FF1"/>
    <w:rsid w:val="37936580"/>
    <w:rsid w:val="3794516D"/>
    <w:rsid w:val="379540A7"/>
    <w:rsid w:val="37957E64"/>
    <w:rsid w:val="3796501D"/>
    <w:rsid w:val="37967A1C"/>
    <w:rsid w:val="37985945"/>
    <w:rsid w:val="379A7C7E"/>
    <w:rsid w:val="379C71E3"/>
    <w:rsid w:val="379D11CC"/>
    <w:rsid w:val="379D3862"/>
    <w:rsid w:val="379E11AD"/>
    <w:rsid w:val="37A442EA"/>
    <w:rsid w:val="37AA1CA6"/>
    <w:rsid w:val="37AB5815"/>
    <w:rsid w:val="37AC319E"/>
    <w:rsid w:val="37AE6F16"/>
    <w:rsid w:val="37B00EE0"/>
    <w:rsid w:val="37B03950"/>
    <w:rsid w:val="37B341B6"/>
    <w:rsid w:val="37B409D1"/>
    <w:rsid w:val="37B41185"/>
    <w:rsid w:val="37B564F7"/>
    <w:rsid w:val="37B65D16"/>
    <w:rsid w:val="37B9264C"/>
    <w:rsid w:val="37BB61BF"/>
    <w:rsid w:val="37BC1633"/>
    <w:rsid w:val="37BD4DCC"/>
    <w:rsid w:val="37BF055E"/>
    <w:rsid w:val="37BF1123"/>
    <w:rsid w:val="37C14E9C"/>
    <w:rsid w:val="37C16C4A"/>
    <w:rsid w:val="37C21C02"/>
    <w:rsid w:val="37C30C14"/>
    <w:rsid w:val="37C33F68"/>
    <w:rsid w:val="37C4673A"/>
    <w:rsid w:val="37C624B2"/>
    <w:rsid w:val="37C8447C"/>
    <w:rsid w:val="37C8622A"/>
    <w:rsid w:val="37CA5DAF"/>
    <w:rsid w:val="37D20E57"/>
    <w:rsid w:val="37D559C4"/>
    <w:rsid w:val="37D746BF"/>
    <w:rsid w:val="37DA2C94"/>
    <w:rsid w:val="37DE77FC"/>
    <w:rsid w:val="37E172EC"/>
    <w:rsid w:val="37E2547C"/>
    <w:rsid w:val="37E335F2"/>
    <w:rsid w:val="37E56311"/>
    <w:rsid w:val="37E82428"/>
    <w:rsid w:val="37EB78D4"/>
    <w:rsid w:val="37ED7A3F"/>
    <w:rsid w:val="37EE502E"/>
    <w:rsid w:val="37EF01AA"/>
    <w:rsid w:val="37F05781"/>
    <w:rsid w:val="37F304FA"/>
    <w:rsid w:val="37F36278"/>
    <w:rsid w:val="37F4701F"/>
    <w:rsid w:val="37F73375"/>
    <w:rsid w:val="37FA03AE"/>
    <w:rsid w:val="37FE6A37"/>
    <w:rsid w:val="37FF7772"/>
    <w:rsid w:val="38033282"/>
    <w:rsid w:val="38033706"/>
    <w:rsid w:val="38084878"/>
    <w:rsid w:val="3809239F"/>
    <w:rsid w:val="380D6333"/>
    <w:rsid w:val="380D685F"/>
    <w:rsid w:val="380F7D3F"/>
    <w:rsid w:val="3814146F"/>
    <w:rsid w:val="38141BFB"/>
    <w:rsid w:val="381551E7"/>
    <w:rsid w:val="38163439"/>
    <w:rsid w:val="38194CD8"/>
    <w:rsid w:val="381E409C"/>
    <w:rsid w:val="3821204D"/>
    <w:rsid w:val="38241F15"/>
    <w:rsid w:val="3825542A"/>
    <w:rsid w:val="382556DE"/>
    <w:rsid w:val="38255F76"/>
    <w:rsid w:val="382611A3"/>
    <w:rsid w:val="38270896"/>
    <w:rsid w:val="382723D1"/>
    <w:rsid w:val="382947EF"/>
    <w:rsid w:val="382D7456"/>
    <w:rsid w:val="3834332E"/>
    <w:rsid w:val="3834566E"/>
    <w:rsid w:val="3834754A"/>
    <w:rsid w:val="383812E1"/>
    <w:rsid w:val="38392C84"/>
    <w:rsid w:val="383C4522"/>
    <w:rsid w:val="384121AB"/>
    <w:rsid w:val="38417D8A"/>
    <w:rsid w:val="3842422E"/>
    <w:rsid w:val="38434870"/>
    <w:rsid w:val="3845582B"/>
    <w:rsid w:val="384864BF"/>
    <w:rsid w:val="38496425"/>
    <w:rsid w:val="384B2E87"/>
    <w:rsid w:val="384D2BD3"/>
    <w:rsid w:val="384E7D53"/>
    <w:rsid w:val="384F06F9"/>
    <w:rsid w:val="384F24A7"/>
    <w:rsid w:val="38523D46"/>
    <w:rsid w:val="38547CF5"/>
    <w:rsid w:val="38556AA5"/>
    <w:rsid w:val="38575800"/>
    <w:rsid w:val="38593326"/>
    <w:rsid w:val="385A696F"/>
    <w:rsid w:val="386046B4"/>
    <w:rsid w:val="38635F53"/>
    <w:rsid w:val="38653A79"/>
    <w:rsid w:val="386817BB"/>
    <w:rsid w:val="386A6EE4"/>
    <w:rsid w:val="386A72E1"/>
    <w:rsid w:val="386D6DD1"/>
    <w:rsid w:val="386F3749"/>
    <w:rsid w:val="38710670"/>
    <w:rsid w:val="38711D79"/>
    <w:rsid w:val="38723954"/>
    <w:rsid w:val="38765C86"/>
    <w:rsid w:val="38782879"/>
    <w:rsid w:val="38786CAE"/>
    <w:rsid w:val="38790354"/>
    <w:rsid w:val="387B504A"/>
    <w:rsid w:val="387B7BA1"/>
    <w:rsid w:val="387F517D"/>
    <w:rsid w:val="3881462B"/>
    <w:rsid w:val="388155C3"/>
    <w:rsid w:val="3882287D"/>
    <w:rsid w:val="38833F9E"/>
    <w:rsid w:val="3886719A"/>
    <w:rsid w:val="38871C41"/>
    <w:rsid w:val="388746D3"/>
    <w:rsid w:val="38877E93"/>
    <w:rsid w:val="388859B9"/>
    <w:rsid w:val="388A3EB4"/>
    <w:rsid w:val="388A6DAD"/>
    <w:rsid w:val="388C36FB"/>
    <w:rsid w:val="388C54A1"/>
    <w:rsid w:val="388D076C"/>
    <w:rsid w:val="388D5B94"/>
    <w:rsid w:val="388E25E0"/>
    <w:rsid w:val="388F4F9A"/>
    <w:rsid w:val="38941AC9"/>
    <w:rsid w:val="38954539"/>
    <w:rsid w:val="38967055"/>
    <w:rsid w:val="38995E18"/>
    <w:rsid w:val="389C3E7B"/>
    <w:rsid w:val="389C60A9"/>
    <w:rsid w:val="389C645C"/>
    <w:rsid w:val="389D76B7"/>
    <w:rsid w:val="389E359A"/>
    <w:rsid w:val="389E6F8B"/>
    <w:rsid w:val="38A00F55"/>
    <w:rsid w:val="38A04AB1"/>
    <w:rsid w:val="38A27E1A"/>
    <w:rsid w:val="38A30A45"/>
    <w:rsid w:val="38A345A1"/>
    <w:rsid w:val="38A350A6"/>
    <w:rsid w:val="38A81BB8"/>
    <w:rsid w:val="38A87E0A"/>
    <w:rsid w:val="38A970F4"/>
    <w:rsid w:val="38AE3862"/>
    <w:rsid w:val="38AF140B"/>
    <w:rsid w:val="38AF573B"/>
    <w:rsid w:val="38B13162"/>
    <w:rsid w:val="38B4055C"/>
    <w:rsid w:val="38B467AE"/>
    <w:rsid w:val="38B555EE"/>
    <w:rsid w:val="38B5728B"/>
    <w:rsid w:val="38B642D4"/>
    <w:rsid w:val="38B93DC5"/>
    <w:rsid w:val="38BB1D13"/>
    <w:rsid w:val="38BB7B3D"/>
    <w:rsid w:val="38BC73AF"/>
    <w:rsid w:val="38BD11E3"/>
    <w:rsid w:val="38BD1B07"/>
    <w:rsid w:val="38BD38B5"/>
    <w:rsid w:val="38BE0CD9"/>
    <w:rsid w:val="38BE5988"/>
    <w:rsid w:val="38C42E95"/>
    <w:rsid w:val="38C56A2A"/>
    <w:rsid w:val="38C61316"/>
    <w:rsid w:val="38C764E2"/>
    <w:rsid w:val="38C904AC"/>
    <w:rsid w:val="38CC1D4A"/>
    <w:rsid w:val="38CC3AF8"/>
    <w:rsid w:val="38CC7F9C"/>
    <w:rsid w:val="38CD7A52"/>
    <w:rsid w:val="38D330D8"/>
    <w:rsid w:val="38D359D5"/>
    <w:rsid w:val="38D361E8"/>
    <w:rsid w:val="38D44AE9"/>
    <w:rsid w:val="38D46E50"/>
    <w:rsid w:val="38D571FF"/>
    <w:rsid w:val="38D678AA"/>
    <w:rsid w:val="38D87B7B"/>
    <w:rsid w:val="38D916F1"/>
    <w:rsid w:val="38D97FC3"/>
    <w:rsid w:val="38DA13A6"/>
    <w:rsid w:val="38E075A3"/>
    <w:rsid w:val="38E12599"/>
    <w:rsid w:val="38E250CA"/>
    <w:rsid w:val="38E31684"/>
    <w:rsid w:val="38E8641A"/>
    <w:rsid w:val="38EA21D0"/>
    <w:rsid w:val="38EA6674"/>
    <w:rsid w:val="38EB6C68"/>
    <w:rsid w:val="38EC5F48"/>
    <w:rsid w:val="38EC6355"/>
    <w:rsid w:val="38EF1C26"/>
    <w:rsid w:val="38F068BC"/>
    <w:rsid w:val="38F1355F"/>
    <w:rsid w:val="38F20621"/>
    <w:rsid w:val="38F426A1"/>
    <w:rsid w:val="38F8669B"/>
    <w:rsid w:val="38FE661D"/>
    <w:rsid w:val="39037017"/>
    <w:rsid w:val="39054BA5"/>
    <w:rsid w:val="39062584"/>
    <w:rsid w:val="390731E0"/>
    <w:rsid w:val="39084294"/>
    <w:rsid w:val="39087636"/>
    <w:rsid w:val="39094D4C"/>
    <w:rsid w:val="390E1058"/>
    <w:rsid w:val="391022B2"/>
    <w:rsid w:val="39103EC1"/>
    <w:rsid w:val="391159AF"/>
    <w:rsid w:val="39120ACB"/>
    <w:rsid w:val="3912362F"/>
    <w:rsid w:val="39124D4B"/>
    <w:rsid w:val="39131727"/>
    <w:rsid w:val="39145F71"/>
    <w:rsid w:val="3914724D"/>
    <w:rsid w:val="39150EB6"/>
    <w:rsid w:val="39164139"/>
    <w:rsid w:val="39175A88"/>
    <w:rsid w:val="39175FEC"/>
    <w:rsid w:val="391A0D07"/>
    <w:rsid w:val="391A2E6E"/>
    <w:rsid w:val="391B05DB"/>
    <w:rsid w:val="391B4A7F"/>
    <w:rsid w:val="391F00CC"/>
    <w:rsid w:val="3922196A"/>
    <w:rsid w:val="39221E01"/>
    <w:rsid w:val="3923371B"/>
    <w:rsid w:val="39241B86"/>
    <w:rsid w:val="39243934"/>
    <w:rsid w:val="39251FD0"/>
    <w:rsid w:val="39253208"/>
    <w:rsid w:val="39295939"/>
    <w:rsid w:val="3929719C"/>
    <w:rsid w:val="392F0A43"/>
    <w:rsid w:val="39312F8A"/>
    <w:rsid w:val="39355B41"/>
    <w:rsid w:val="39375C10"/>
    <w:rsid w:val="393A417B"/>
    <w:rsid w:val="393B1EAF"/>
    <w:rsid w:val="393B2A2C"/>
    <w:rsid w:val="393D1448"/>
    <w:rsid w:val="393E49CC"/>
    <w:rsid w:val="394226E9"/>
    <w:rsid w:val="39455658"/>
    <w:rsid w:val="394713D0"/>
    <w:rsid w:val="39493C2A"/>
    <w:rsid w:val="394E09B1"/>
    <w:rsid w:val="395064D7"/>
    <w:rsid w:val="3951224F"/>
    <w:rsid w:val="395317FC"/>
    <w:rsid w:val="395318DA"/>
    <w:rsid w:val="39535FC7"/>
    <w:rsid w:val="39554EAB"/>
    <w:rsid w:val="39586799"/>
    <w:rsid w:val="395C4A66"/>
    <w:rsid w:val="3962445C"/>
    <w:rsid w:val="3962620A"/>
    <w:rsid w:val="39634C35"/>
    <w:rsid w:val="39665CFB"/>
    <w:rsid w:val="39693A3D"/>
    <w:rsid w:val="396C52DB"/>
    <w:rsid w:val="396E2E01"/>
    <w:rsid w:val="396E708A"/>
    <w:rsid w:val="39761CB6"/>
    <w:rsid w:val="3979779C"/>
    <w:rsid w:val="397A17A6"/>
    <w:rsid w:val="397E6716"/>
    <w:rsid w:val="397E7D6B"/>
    <w:rsid w:val="398012D2"/>
    <w:rsid w:val="3987411D"/>
    <w:rsid w:val="398B39B3"/>
    <w:rsid w:val="398C14D9"/>
    <w:rsid w:val="398D772B"/>
    <w:rsid w:val="398E34A3"/>
    <w:rsid w:val="398E3CA6"/>
    <w:rsid w:val="398E6FFF"/>
    <w:rsid w:val="39930ABA"/>
    <w:rsid w:val="39986D6B"/>
    <w:rsid w:val="39987E7E"/>
    <w:rsid w:val="399A7CBE"/>
    <w:rsid w:val="399B34CA"/>
    <w:rsid w:val="399C171C"/>
    <w:rsid w:val="399F5B58"/>
    <w:rsid w:val="399F745E"/>
    <w:rsid w:val="39A13FF9"/>
    <w:rsid w:val="39A20CFD"/>
    <w:rsid w:val="39A20D1C"/>
    <w:rsid w:val="39A22AAB"/>
    <w:rsid w:val="39A446DE"/>
    <w:rsid w:val="39A607ED"/>
    <w:rsid w:val="39A64349"/>
    <w:rsid w:val="39A700C1"/>
    <w:rsid w:val="39A84565"/>
    <w:rsid w:val="39A86313"/>
    <w:rsid w:val="39A9208B"/>
    <w:rsid w:val="39A93E39"/>
    <w:rsid w:val="39AA5834"/>
    <w:rsid w:val="39AB5E03"/>
    <w:rsid w:val="39AE76A2"/>
    <w:rsid w:val="39B05A3B"/>
    <w:rsid w:val="39B05FC3"/>
    <w:rsid w:val="39B12CAD"/>
    <w:rsid w:val="39B12CEE"/>
    <w:rsid w:val="39B27192"/>
    <w:rsid w:val="39B34C24"/>
    <w:rsid w:val="39B527DE"/>
    <w:rsid w:val="39B93070"/>
    <w:rsid w:val="39BA4181"/>
    <w:rsid w:val="39BD78E5"/>
    <w:rsid w:val="39BF668E"/>
    <w:rsid w:val="39C11183"/>
    <w:rsid w:val="39C26CA9"/>
    <w:rsid w:val="39C6129C"/>
    <w:rsid w:val="39C742BF"/>
    <w:rsid w:val="39C93426"/>
    <w:rsid w:val="39CB0253"/>
    <w:rsid w:val="39CB2002"/>
    <w:rsid w:val="39CB3DB0"/>
    <w:rsid w:val="39CB4271"/>
    <w:rsid w:val="39CE6256"/>
    <w:rsid w:val="39CE78FF"/>
    <w:rsid w:val="39CF3348"/>
    <w:rsid w:val="39D2513E"/>
    <w:rsid w:val="39D30EB6"/>
    <w:rsid w:val="39D32C64"/>
    <w:rsid w:val="39D4078A"/>
    <w:rsid w:val="39D569DC"/>
    <w:rsid w:val="39D7412F"/>
    <w:rsid w:val="39D8471E"/>
    <w:rsid w:val="39D864CC"/>
    <w:rsid w:val="39DE1D35"/>
    <w:rsid w:val="39E11825"/>
    <w:rsid w:val="39E76710"/>
    <w:rsid w:val="39E82BB3"/>
    <w:rsid w:val="39EB4452"/>
    <w:rsid w:val="39EE5CF0"/>
    <w:rsid w:val="39F057E5"/>
    <w:rsid w:val="39F26EE6"/>
    <w:rsid w:val="39F2758E"/>
    <w:rsid w:val="39F27F9B"/>
    <w:rsid w:val="39F41558"/>
    <w:rsid w:val="39F552D0"/>
    <w:rsid w:val="39F868C9"/>
    <w:rsid w:val="39FC040D"/>
    <w:rsid w:val="39FC665F"/>
    <w:rsid w:val="39FD1880"/>
    <w:rsid w:val="39FD5F33"/>
    <w:rsid w:val="39FF7DCA"/>
    <w:rsid w:val="3A015A23"/>
    <w:rsid w:val="3A06128C"/>
    <w:rsid w:val="3A087445"/>
    <w:rsid w:val="3A092BC1"/>
    <w:rsid w:val="3A161ACB"/>
    <w:rsid w:val="3A1846D0"/>
    <w:rsid w:val="3A184B1B"/>
    <w:rsid w:val="3A190FBF"/>
    <w:rsid w:val="3A197299"/>
    <w:rsid w:val="3A1B5921"/>
    <w:rsid w:val="3A1C2BBC"/>
    <w:rsid w:val="3A1D44D9"/>
    <w:rsid w:val="3A204BE4"/>
    <w:rsid w:val="3A2160C5"/>
    <w:rsid w:val="3A222087"/>
    <w:rsid w:val="3A23021F"/>
    <w:rsid w:val="3A234205"/>
    <w:rsid w:val="3A234969"/>
    <w:rsid w:val="3A244B12"/>
    <w:rsid w:val="3A266A81"/>
    <w:rsid w:val="3A282FB0"/>
    <w:rsid w:val="3A2A6410"/>
    <w:rsid w:val="3A2B484E"/>
    <w:rsid w:val="3A2B6F44"/>
    <w:rsid w:val="3A2C5392"/>
    <w:rsid w:val="3A2D368A"/>
    <w:rsid w:val="3A2D4A6A"/>
    <w:rsid w:val="3A2F57A2"/>
    <w:rsid w:val="3A3053DE"/>
    <w:rsid w:val="3A312A70"/>
    <w:rsid w:val="3A327E40"/>
    <w:rsid w:val="3A330458"/>
    <w:rsid w:val="3A3519D1"/>
    <w:rsid w:val="3A35391F"/>
    <w:rsid w:val="3A355F37"/>
    <w:rsid w:val="3A386910"/>
    <w:rsid w:val="3A390F42"/>
    <w:rsid w:val="3A3A0A7E"/>
    <w:rsid w:val="3A3B7187"/>
    <w:rsid w:val="3A402444"/>
    <w:rsid w:val="3A445910"/>
    <w:rsid w:val="3A446667"/>
    <w:rsid w:val="3A4660DD"/>
    <w:rsid w:val="3A4678DA"/>
    <w:rsid w:val="3A485400"/>
    <w:rsid w:val="3A4A1178"/>
    <w:rsid w:val="3A4A1E22"/>
    <w:rsid w:val="3A4B3142"/>
    <w:rsid w:val="3A4E08BC"/>
    <w:rsid w:val="3A4E4136"/>
    <w:rsid w:val="3A4E617D"/>
    <w:rsid w:val="3A4F49E1"/>
    <w:rsid w:val="3A4F795A"/>
    <w:rsid w:val="3A560301"/>
    <w:rsid w:val="3A575643"/>
    <w:rsid w:val="3A59585F"/>
    <w:rsid w:val="3A5C70FE"/>
    <w:rsid w:val="3A5E4C24"/>
    <w:rsid w:val="3A60099C"/>
    <w:rsid w:val="3A613D18"/>
    <w:rsid w:val="3A622985"/>
    <w:rsid w:val="3A63223A"/>
    <w:rsid w:val="3A634F87"/>
    <w:rsid w:val="3A64576F"/>
    <w:rsid w:val="3A687850"/>
    <w:rsid w:val="3A6A0B07"/>
    <w:rsid w:val="3A6A181A"/>
    <w:rsid w:val="3A6A35C8"/>
    <w:rsid w:val="3A6A49E2"/>
    <w:rsid w:val="3A6A56B0"/>
    <w:rsid w:val="3A6C5593"/>
    <w:rsid w:val="3A6D30B9"/>
    <w:rsid w:val="3A6E4FE8"/>
    <w:rsid w:val="3A6F6951"/>
    <w:rsid w:val="3A712BA9"/>
    <w:rsid w:val="3A7461F5"/>
    <w:rsid w:val="3A753C27"/>
    <w:rsid w:val="3A762867"/>
    <w:rsid w:val="3A7A65FF"/>
    <w:rsid w:val="3A7C499E"/>
    <w:rsid w:val="3A7E31E6"/>
    <w:rsid w:val="3A7F4BED"/>
    <w:rsid w:val="3A802DEC"/>
    <w:rsid w:val="3A804B9A"/>
    <w:rsid w:val="3A81581B"/>
    <w:rsid w:val="3A82599C"/>
    <w:rsid w:val="3A8328DC"/>
    <w:rsid w:val="3A850402"/>
    <w:rsid w:val="3A85488B"/>
    <w:rsid w:val="3A862007"/>
    <w:rsid w:val="3A865F28"/>
    <w:rsid w:val="3A887EF3"/>
    <w:rsid w:val="3A8913BD"/>
    <w:rsid w:val="3A8A3559"/>
    <w:rsid w:val="3A8B0C83"/>
    <w:rsid w:val="3A8C20DC"/>
    <w:rsid w:val="3A8D375B"/>
    <w:rsid w:val="3A8F12A9"/>
    <w:rsid w:val="3A8F302F"/>
    <w:rsid w:val="3A8F74D3"/>
    <w:rsid w:val="3A900B55"/>
    <w:rsid w:val="3A946AB2"/>
    <w:rsid w:val="3A9643BE"/>
    <w:rsid w:val="3A970136"/>
    <w:rsid w:val="3A992100"/>
    <w:rsid w:val="3A9D72A6"/>
    <w:rsid w:val="3A9E028E"/>
    <w:rsid w:val="3A9E7716"/>
    <w:rsid w:val="3AA02EDE"/>
    <w:rsid w:val="3AA24606"/>
    <w:rsid w:val="3AA505E4"/>
    <w:rsid w:val="3AA51202"/>
    <w:rsid w:val="3AA52853"/>
    <w:rsid w:val="3AA60379"/>
    <w:rsid w:val="3AA9511E"/>
    <w:rsid w:val="3AAA4834"/>
    <w:rsid w:val="3AAF722D"/>
    <w:rsid w:val="3AB24F6F"/>
    <w:rsid w:val="3AB31AA7"/>
    <w:rsid w:val="3AB35415"/>
    <w:rsid w:val="3AB4098F"/>
    <w:rsid w:val="3AB55599"/>
    <w:rsid w:val="3AB765DF"/>
    <w:rsid w:val="3ABB2387"/>
    <w:rsid w:val="3ABE56C2"/>
    <w:rsid w:val="3AC058DE"/>
    <w:rsid w:val="3AC16795"/>
    <w:rsid w:val="3AC16F61"/>
    <w:rsid w:val="3AC334D5"/>
    <w:rsid w:val="3AC86AC0"/>
    <w:rsid w:val="3ACB1E7C"/>
    <w:rsid w:val="3AD15A67"/>
    <w:rsid w:val="3AD2116E"/>
    <w:rsid w:val="3AD62A0C"/>
    <w:rsid w:val="3AD66EB0"/>
    <w:rsid w:val="3ADD620D"/>
    <w:rsid w:val="3AE55345"/>
    <w:rsid w:val="3AE710BD"/>
    <w:rsid w:val="3AE74C19"/>
    <w:rsid w:val="3AE96BE3"/>
    <w:rsid w:val="3AEC01CF"/>
    <w:rsid w:val="3AEC0481"/>
    <w:rsid w:val="3AEC66D3"/>
    <w:rsid w:val="3AED0B0B"/>
    <w:rsid w:val="3AEF12E7"/>
    <w:rsid w:val="3AEF3ACE"/>
    <w:rsid w:val="3AF410E4"/>
    <w:rsid w:val="3AF47336"/>
    <w:rsid w:val="3AF563A8"/>
    <w:rsid w:val="3AF64E5C"/>
    <w:rsid w:val="3AF92B9E"/>
    <w:rsid w:val="3AFB06C4"/>
    <w:rsid w:val="3AFD443D"/>
    <w:rsid w:val="3AFD61EB"/>
    <w:rsid w:val="3AFE2091"/>
    <w:rsid w:val="3AFF6407"/>
    <w:rsid w:val="3B00217F"/>
    <w:rsid w:val="3B033286"/>
    <w:rsid w:val="3B051543"/>
    <w:rsid w:val="3B0532F1"/>
    <w:rsid w:val="3B0966CB"/>
    <w:rsid w:val="3B0A4DAB"/>
    <w:rsid w:val="3B102E3D"/>
    <w:rsid w:val="3B117EE8"/>
    <w:rsid w:val="3B135879"/>
    <w:rsid w:val="3B137FDD"/>
    <w:rsid w:val="3B141786"/>
    <w:rsid w:val="3B152257"/>
    <w:rsid w:val="3B163750"/>
    <w:rsid w:val="3B164173"/>
    <w:rsid w:val="3B1767BC"/>
    <w:rsid w:val="3B190B4B"/>
    <w:rsid w:val="3B1A36B1"/>
    <w:rsid w:val="3B1B2B15"/>
    <w:rsid w:val="3B1C71C8"/>
    <w:rsid w:val="3B1E5785"/>
    <w:rsid w:val="3B201ED9"/>
    <w:rsid w:val="3B21495D"/>
    <w:rsid w:val="3B28000C"/>
    <w:rsid w:val="3B2838A0"/>
    <w:rsid w:val="3B2A71FC"/>
    <w:rsid w:val="3B2B2C41"/>
    <w:rsid w:val="3B2B3571"/>
    <w:rsid w:val="3B2C2F74"/>
    <w:rsid w:val="3B2D45F6"/>
    <w:rsid w:val="3B2E5A94"/>
    <w:rsid w:val="3B2F652A"/>
    <w:rsid w:val="3B304195"/>
    <w:rsid w:val="3B31058A"/>
    <w:rsid w:val="3B3230A5"/>
    <w:rsid w:val="3B343BD6"/>
    <w:rsid w:val="3B344A3C"/>
    <w:rsid w:val="3B384C6F"/>
    <w:rsid w:val="3B3A381D"/>
    <w:rsid w:val="3B3D02DF"/>
    <w:rsid w:val="3B3D75CD"/>
    <w:rsid w:val="3B42326B"/>
    <w:rsid w:val="3B424545"/>
    <w:rsid w:val="3B443E1A"/>
    <w:rsid w:val="3B4C31B3"/>
    <w:rsid w:val="3B4D00F6"/>
    <w:rsid w:val="3B506C62"/>
    <w:rsid w:val="3B5265D0"/>
    <w:rsid w:val="3B561D9F"/>
    <w:rsid w:val="3B5841D5"/>
    <w:rsid w:val="3B5878C5"/>
    <w:rsid w:val="3B5A7B6B"/>
    <w:rsid w:val="3B5B19C8"/>
    <w:rsid w:val="3B5C67BA"/>
    <w:rsid w:val="3B5D16EE"/>
    <w:rsid w:val="3B5D4EDB"/>
    <w:rsid w:val="3B6049CB"/>
    <w:rsid w:val="3B605CFC"/>
    <w:rsid w:val="3B612F35"/>
    <w:rsid w:val="3B626996"/>
    <w:rsid w:val="3B637FD8"/>
    <w:rsid w:val="3B657F1A"/>
    <w:rsid w:val="3B67052F"/>
    <w:rsid w:val="3B691AD2"/>
    <w:rsid w:val="3B6B6DAB"/>
    <w:rsid w:val="3B6F4C0F"/>
    <w:rsid w:val="3B7121C5"/>
    <w:rsid w:val="3B712735"/>
    <w:rsid w:val="3B716BD9"/>
    <w:rsid w:val="3B7235DF"/>
    <w:rsid w:val="3B76329A"/>
    <w:rsid w:val="3B7A0A01"/>
    <w:rsid w:val="3B7A5A8D"/>
    <w:rsid w:val="3B7A60DF"/>
    <w:rsid w:val="3B7C2383"/>
    <w:rsid w:val="3B7C7A57"/>
    <w:rsid w:val="3B7F4E52"/>
    <w:rsid w:val="3B7F65F5"/>
    <w:rsid w:val="3B83339B"/>
    <w:rsid w:val="3B8420D3"/>
    <w:rsid w:val="3B871B87"/>
    <w:rsid w:val="3B881B73"/>
    <w:rsid w:val="3B8B1A48"/>
    <w:rsid w:val="3B903503"/>
    <w:rsid w:val="3B90705F"/>
    <w:rsid w:val="3B926BF6"/>
    <w:rsid w:val="3B950B19"/>
    <w:rsid w:val="3B960CAB"/>
    <w:rsid w:val="3B986F4A"/>
    <w:rsid w:val="3B996735"/>
    <w:rsid w:val="3B9A1C8B"/>
    <w:rsid w:val="3B9B5A04"/>
    <w:rsid w:val="3B9B5DEC"/>
    <w:rsid w:val="3B9C3C56"/>
    <w:rsid w:val="3B9D79CE"/>
    <w:rsid w:val="3B9F153B"/>
    <w:rsid w:val="3BA3677B"/>
    <w:rsid w:val="3BA64AD4"/>
    <w:rsid w:val="3BA67334"/>
    <w:rsid w:val="3BA746C1"/>
    <w:rsid w:val="3BA74A46"/>
    <w:rsid w:val="3BA83D2E"/>
    <w:rsid w:val="3BA96372"/>
    <w:rsid w:val="3BAA5C47"/>
    <w:rsid w:val="3BAD4103"/>
    <w:rsid w:val="3BAD6C67"/>
    <w:rsid w:val="3BB07701"/>
    <w:rsid w:val="3BB23479"/>
    <w:rsid w:val="3BB246F1"/>
    <w:rsid w:val="3BB32D4D"/>
    <w:rsid w:val="3BB5440F"/>
    <w:rsid w:val="3BB6283D"/>
    <w:rsid w:val="3BB702F4"/>
    <w:rsid w:val="3BBB2F20"/>
    <w:rsid w:val="3BBC0AEE"/>
    <w:rsid w:val="3BBC42F8"/>
    <w:rsid w:val="3BBF5F54"/>
    <w:rsid w:val="3BC211E2"/>
    <w:rsid w:val="3BC44F5A"/>
    <w:rsid w:val="3BC60A9D"/>
    <w:rsid w:val="3BC60CD2"/>
    <w:rsid w:val="3BC82BB4"/>
    <w:rsid w:val="3BCB62E9"/>
    <w:rsid w:val="3BD01B51"/>
    <w:rsid w:val="3BD038FF"/>
    <w:rsid w:val="3BD258C9"/>
    <w:rsid w:val="3BD418BA"/>
    <w:rsid w:val="3BD67C9F"/>
    <w:rsid w:val="3BD86C58"/>
    <w:rsid w:val="3BDA29D0"/>
    <w:rsid w:val="3BDA2DD9"/>
    <w:rsid w:val="3BDA477E"/>
    <w:rsid w:val="3BDC22A4"/>
    <w:rsid w:val="3BDD2618"/>
    <w:rsid w:val="3BDD601C"/>
    <w:rsid w:val="3BDE2894"/>
    <w:rsid w:val="3BDF3B42"/>
    <w:rsid w:val="3BE07E5D"/>
    <w:rsid w:val="3BE13D5E"/>
    <w:rsid w:val="3BE22603"/>
    <w:rsid w:val="3BE7089C"/>
    <w:rsid w:val="3BE9596A"/>
    <w:rsid w:val="3BEE0229"/>
    <w:rsid w:val="3BF05AE6"/>
    <w:rsid w:val="3BF13876"/>
    <w:rsid w:val="3BF21AC7"/>
    <w:rsid w:val="3BF3157A"/>
    <w:rsid w:val="3BF33A92"/>
    <w:rsid w:val="3BF35255"/>
    <w:rsid w:val="3BF75330"/>
    <w:rsid w:val="3C067321"/>
    <w:rsid w:val="3C095063"/>
    <w:rsid w:val="3C0A7EA2"/>
    <w:rsid w:val="3C0B0DDB"/>
    <w:rsid w:val="3C0C2277"/>
    <w:rsid w:val="3C101F4E"/>
    <w:rsid w:val="3C116DD8"/>
    <w:rsid w:val="3C12216A"/>
    <w:rsid w:val="3C153A08"/>
    <w:rsid w:val="3C162E45"/>
    <w:rsid w:val="3C17152E"/>
    <w:rsid w:val="3C1940E7"/>
    <w:rsid w:val="3C1C56EF"/>
    <w:rsid w:val="3C1F03E3"/>
    <w:rsid w:val="3C1F4887"/>
    <w:rsid w:val="3C205580"/>
    <w:rsid w:val="3C2105FF"/>
    <w:rsid w:val="3C21415B"/>
    <w:rsid w:val="3C241E9D"/>
    <w:rsid w:val="3C261771"/>
    <w:rsid w:val="3C277FBD"/>
    <w:rsid w:val="3C2854E9"/>
    <w:rsid w:val="3C2D6FA3"/>
    <w:rsid w:val="3C2E41E5"/>
    <w:rsid w:val="3C2E78F4"/>
    <w:rsid w:val="3C2F0D84"/>
    <w:rsid w:val="3C2F1D0A"/>
    <w:rsid w:val="3C30439E"/>
    <w:rsid w:val="3C326368"/>
    <w:rsid w:val="3C334AAE"/>
    <w:rsid w:val="3C340332"/>
    <w:rsid w:val="3C3420E0"/>
    <w:rsid w:val="3C362434"/>
    <w:rsid w:val="3C37397E"/>
    <w:rsid w:val="3C375CF5"/>
    <w:rsid w:val="3C3A5E97"/>
    <w:rsid w:val="3C3B0C4E"/>
    <w:rsid w:val="3C410359"/>
    <w:rsid w:val="3C4128CE"/>
    <w:rsid w:val="3C420AA3"/>
    <w:rsid w:val="3C485B8B"/>
    <w:rsid w:val="3C4A1560"/>
    <w:rsid w:val="3C4D4F50"/>
    <w:rsid w:val="3C5143DA"/>
    <w:rsid w:val="3C556C21"/>
    <w:rsid w:val="3C57638E"/>
    <w:rsid w:val="3C595011"/>
    <w:rsid w:val="3C5A766D"/>
    <w:rsid w:val="3C5B455C"/>
    <w:rsid w:val="3C5C1637"/>
    <w:rsid w:val="3C5E0F0B"/>
    <w:rsid w:val="3C5F6B62"/>
    <w:rsid w:val="3C634773"/>
    <w:rsid w:val="3C65673D"/>
    <w:rsid w:val="3C666012"/>
    <w:rsid w:val="3C687F58"/>
    <w:rsid w:val="3C6B3628"/>
    <w:rsid w:val="3C6C53D7"/>
    <w:rsid w:val="3C6F136A"/>
    <w:rsid w:val="3C704B06"/>
    <w:rsid w:val="3C7050E2"/>
    <w:rsid w:val="3C7152BA"/>
    <w:rsid w:val="3C716E3D"/>
    <w:rsid w:val="3C722C08"/>
    <w:rsid w:val="3C770CC6"/>
    <w:rsid w:val="3C780BE8"/>
    <w:rsid w:val="3C7962D9"/>
    <w:rsid w:val="3C81109D"/>
    <w:rsid w:val="3C841135"/>
    <w:rsid w:val="3C84443D"/>
    <w:rsid w:val="3C8560C7"/>
    <w:rsid w:val="3C862210"/>
    <w:rsid w:val="3C86449E"/>
    <w:rsid w:val="3C8B7826"/>
    <w:rsid w:val="3C8F37BA"/>
    <w:rsid w:val="3C917532"/>
    <w:rsid w:val="3C94492D"/>
    <w:rsid w:val="3C9868B3"/>
    <w:rsid w:val="3C996438"/>
    <w:rsid w:val="3C997325"/>
    <w:rsid w:val="3C9A5CBB"/>
    <w:rsid w:val="3C9E2FD7"/>
    <w:rsid w:val="3C9E39FD"/>
    <w:rsid w:val="3C9E7C2D"/>
    <w:rsid w:val="3CA011A6"/>
    <w:rsid w:val="3CA11B80"/>
    <w:rsid w:val="3CA31014"/>
    <w:rsid w:val="3CA37266"/>
    <w:rsid w:val="3CA628B2"/>
    <w:rsid w:val="3CA65F73"/>
    <w:rsid w:val="3CA737D7"/>
    <w:rsid w:val="3CA8487C"/>
    <w:rsid w:val="3CAF17E7"/>
    <w:rsid w:val="3CAF1F69"/>
    <w:rsid w:val="3CB43221"/>
    <w:rsid w:val="3CB600F5"/>
    <w:rsid w:val="3CB60D47"/>
    <w:rsid w:val="3CB74C32"/>
    <w:rsid w:val="3CBB3DC1"/>
    <w:rsid w:val="3CBB4F45"/>
    <w:rsid w:val="3CBD0327"/>
    <w:rsid w:val="3CBE7045"/>
    <w:rsid w:val="3CC03974"/>
    <w:rsid w:val="3CC316B6"/>
    <w:rsid w:val="3CC66907"/>
    <w:rsid w:val="3CC712FF"/>
    <w:rsid w:val="3CC72F54"/>
    <w:rsid w:val="3CCA65A0"/>
    <w:rsid w:val="3CCB2319"/>
    <w:rsid w:val="3CCD6091"/>
    <w:rsid w:val="3CD05DF7"/>
    <w:rsid w:val="3CD411CD"/>
    <w:rsid w:val="3CD45671"/>
    <w:rsid w:val="3CD613E9"/>
    <w:rsid w:val="3CD61426"/>
    <w:rsid w:val="3CD967E3"/>
    <w:rsid w:val="3CDA001B"/>
    <w:rsid w:val="3CDF4258"/>
    <w:rsid w:val="3CDF537A"/>
    <w:rsid w:val="3CE27D8E"/>
    <w:rsid w:val="3CE3696D"/>
    <w:rsid w:val="3CE4670D"/>
    <w:rsid w:val="3CE77152"/>
    <w:rsid w:val="3CF06864"/>
    <w:rsid w:val="3CF1685A"/>
    <w:rsid w:val="3CF25AF7"/>
    <w:rsid w:val="3CF31F13"/>
    <w:rsid w:val="3CF96E86"/>
    <w:rsid w:val="3CFB2BFE"/>
    <w:rsid w:val="3CFE26EE"/>
    <w:rsid w:val="3D015D3A"/>
    <w:rsid w:val="3D031AB2"/>
    <w:rsid w:val="3D031E2F"/>
    <w:rsid w:val="3D05582A"/>
    <w:rsid w:val="3D071314"/>
    <w:rsid w:val="3D071835"/>
    <w:rsid w:val="3D073351"/>
    <w:rsid w:val="3D0A362A"/>
    <w:rsid w:val="3D0C0967"/>
    <w:rsid w:val="3D0C6BB9"/>
    <w:rsid w:val="3D0F66A9"/>
    <w:rsid w:val="3D105B06"/>
    <w:rsid w:val="3D1141CF"/>
    <w:rsid w:val="3D160305"/>
    <w:rsid w:val="3D1617E6"/>
    <w:rsid w:val="3D163594"/>
    <w:rsid w:val="3D181D1F"/>
    <w:rsid w:val="3D1912D6"/>
    <w:rsid w:val="3D19153A"/>
    <w:rsid w:val="3D1A640D"/>
    <w:rsid w:val="3D1B53C1"/>
    <w:rsid w:val="3D1E069A"/>
    <w:rsid w:val="3D22018A"/>
    <w:rsid w:val="3D22462E"/>
    <w:rsid w:val="3D2263DC"/>
    <w:rsid w:val="3D230051"/>
    <w:rsid w:val="3D231C22"/>
    <w:rsid w:val="3D235CB1"/>
    <w:rsid w:val="3D242E0B"/>
    <w:rsid w:val="3D251A29"/>
    <w:rsid w:val="3D26440A"/>
    <w:rsid w:val="3D2739F3"/>
    <w:rsid w:val="3D2757A1"/>
    <w:rsid w:val="3D275893"/>
    <w:rsid w:val="3D2959BD"/>
    <w:rsid w:val="3D2C2DB7"/>
    <w:rsid w:val="3D2C689C"/>
    <w:rsid w:val="3D2E2FD3"/>
    <w:rsid w:val="3D2E41D4"/>
    <w:rsid w:val="3D346110"/>
    <w:rsid w:val="3D363C36"/>
    <w:rsid w:val="3D370EC2"/>
    <w:rsid w:val="3D37175C"/>
    <w:rsid w:val="3D3746C7"/>
    <w:rsid w:val="3D385C00"/>
    <w:rsid w:val="3D397D9A"/>
    <w:rsid w:val="3D3D3216"/>
    <w:rsid w:val="3D3D4FC4"/>
    <w:rsid w:val="3D3F24E2"/>
    <w:rsid w:val="3D3F6BAB"/>
    <w:rsid w:val="3D4640F9"/>
    <w:rsid w:val="3D4771CB"/>
    <w:rsid w:val="3D483969"/>
    <w:rsid w:val="3D484890"/>
    <w:rsid w:val="3D4E0F7F"/>
    <w:rsid w:val="3D4E1740"/>
    <w:rsid w:val="3D4E5423"/>
    <w:rsid w:val="3D4F4000"/>
    <w:rsid w:val="3D5051DA"/>
    <w:rsid w:val="3D516CC2"/>
    <w:rsid w:val="3D527239"/>
    <w:rsid w:val="3D5315C2"/>
    <w:rsid w:val="3D532A3A"/>
    <w:rsid w:val="3D533B0E"/>
    <w:rsid w:val="3D54588C"/>
    <w:rsid w:val="3D5567B2"/>
    <w:rsid w:val="3D5C645B"/>
    <w:rsid w:val="3D5D7415"/>
    <w:rsid w:val="3D60593D"/>
    <w:rsid w:val="3D606F05"/>
    <w:rsid w:val="3D6469F5"/>
    <w:rsid w:val="3D6A7D83"/>
    <w:rsid w:val="3D6C7658"/>
    <w:rsid w:val="3D6D107C"/>
    <w:rsid w:val="3D6D7DF9"/>
    <w:rsid w:val="3D6F7A43"/>
    <w:rsid w:val="3D741079"/>
    <w:rsid w:val="3D761D1B"/>
    <w:rsid w:val="3D785FFC"/>
    <w:rsid w:val="3D7A1951"/>
    <w:rsid w:val="3D7D1865"/>
    <w:rsid w:val="3D7D4325"/>
    <w:rsid w:val="3D7F1816"/>
    <w:rsid w:val="3D7F382F"/>
    <w:rsid w:val="3D806D56"/>
    <w:rsid w:val="3D864BBD"/>
    <w:rsid w:val="3D870E43"/>
    <w:rsid w:val="3D8726E3"/>
    <w:rsid w:val="3D874491"/>
    <w:rsid w:val="3D87623F"/>
    <w:rsid w:val="3D883E24"/>
    <w:rsid w:val="3D8A666C"/>
    <w:rsid w:val="3D8F1598"/>
    <w:rsid w:val="3D9170BE"/>
    <w:rsid w:val="3D976F39"/>
    <w:rsid w:val="3D98044D"/>
    <w:rsid w:val="3D9B1CEB"/>
    <w:rsid w:val="3D9C5CD0"/>
    <w:rsid w:val="3D9C67BE"/>
    <w:rsid w:val="3D9F5C7F"/>
    <w:rsid w:val="3DA07301"/>
    <w:rsid w:val="3DA21757"/>
    <w:rsid w:val="3DA520A2"/>
    <w:rsid w:val="3DA652FE"/>
    <w:rsid w:val="3DAA0180"/>
    <w:rsid w:val="3DAB6593"/>
    <w:rsid w:val="3DAC18B5"/>
    <w:rsid w:val="3DAC214A"/>
    <w:rsid w:val="3DB066A0"/>
    <w:rsid w:val="3DB17760"/>
    <w:rsid w:val="3DB37034"/>
    <w:rsid w:val="3DB433AC"/>
    <w:rsid w:val="3DB44122"/>
    <w:rsid w:val="3DB53026"/>
    <w:rsid w:val="3DB542C4"/>
    <w:rsid w:val="3DB82D12"/>
    <w:rsid w:val="3DB86D41"/>
    <w:rsid w:val="3DB96C58"/>
    <w:rsid w:val="3DBC415D"/>
    <w:rsid w:val="3DBC75B8"/>
    <w:rsid w:val="3DBD311F"/>
    <w:rsid w:val="3DBD3872"/>
    <w:rsid w:val="3DBD4357"/>
    <w:rsid w:val="3DBE5819"/>
    <w:rsid w:val="3DBF2A78"/>
    <w:rsid w:val="3DC054D4"/>
    <w:rsid w:val="3DC254CA"/>
    <w:rsid w:val="3DC456E6"/>
    <w:rsid w:val="3DC72AE0"/>
    <w:rsid w:val="3DCC00F6"/>
    <w:rsid w:val="3DCC459A"/>
    <w:rsid w:val="3DCF7433"/>
    <w:rsid w:val="3DD0408A"/>
    <w:rsid w:val="3DD11BB1"/>
    <w:rsid w:val="3DD376D7"/>
    <w:rsid w:val="3DD37A39"/>
    <w:rsid w:val="3DD4074F"/>
    <w:rsid w:val="3DD551FD"/>
    <w:rsid w:val="3DD80F91"/>
    <w:rsid w:val="3DDA6CB7"/>
    <w:rsid w:val="3DDB658B"/>
    <w:rsid w:val="3DDF42CD"/>
    <w:rsid w:val="3DE0182C"/>
    <w:rsid w:val="3DE03BA2"/>
    <w:rsid w:val="3DE10046"/>
    <w:rsid w:val="3DE22043"/>
    <w:rsid w:val="3DE2340B"/>
    <w:rsid w:val="3DE3607D"/>
    <w:rsid w:val="3DE37306"/>
    <w:rsid w:val="3DE524D0"/>
    <w:rsid w:val="3DE56464"/>
    <w:rsid w:val="3DE6565C"/>
    <w:rsid w:val="3DE9090D"/>
    <w:rsid w:val="3DE9514C"/>
    <w:rsid w:val="3DE966BA"/>
    <w:rsid w:val="3DEA67CE"/>
    <w:rsid w:val="3DEC0798"/>
    <w:rsid w:val="3DED085D"/>
    <w:rsid w:val="3DED69EA"/>
    <w:rsid w:val="3DF24001"/>
    <w:rsid w:val="3DF27B70"/>
    <w:rsid w:val="3DF44CC0"/>
    <w:rsid w:val="3DFA1107"/>
    <w:rsid w:val="3DFA4C63"/>
    <w:rsid w:val="3DFB428F"/>
    <w:rsid w:val="3DFC762D"/>
    <w:rsid w:val="3DFE622D"/>
    <w:rsid w:val="3E020D61"/>
    <w:rsid w:val="3E043D34"/>
    <w:rsid w:val="3E047890"/>
    <w:rsid w:val="3E050ED7"/>
    <w:rsid w:val="3E057C97"/>
    <w:rsid w:val="3E061F95"/>
    <w:rsid w:val="3E063608"/>
    <w:rsid w:val="3E0A124F"/>
    <w:rsid w:val="3E0B0C1F"/>
    <w:rsid w:val="3E0D2C50"/>
    <w:rsid w:val="3E1026D9"/>
    <w:rsid w:val="3E103D82"/>
    <w:rsid w:val="3E115695"/>
    <w:rsid w:val="3E135D25"/>
    <w:rsid w:val="3E142A60"/>
    <w:rsid w:val="3E142DAC"/>
    <w:rsid w:val="3E157CEF"/>
    <w:rsid w:val="3E171CB9"/>
    <w:rsid w:val="3E18158D"/>
    <w:rsid w:val="3E1A70B4"/>
    <w:rsid w:val="3E1C2E2C"/>
    <w:rsid w:val="3E1D3826"/>
    <w:rsid w:val="3E274C18"/>
    <w:rsid w:val="3E287A22"/>
    <w:rsid w:val="3E2E2B5F"/>
    <w:rsid w:val="3E3068D7"/>
    <w:rsid w:val="3E3434E2"/>
    <w:rsid w:val="3E35213F"/>
    <w:rsid w:val="3E396BE6"/>
    <w:rsid w:val="3E3A7756"/>
    <w:rsid w:val="3E3F09AD"/>
    <w:rsid w:val="3E412892"/>
    <w:rsid w:val="3E4615E2"/>
    <w:rsid w:val="3E483C21"/>
    <w:rsid w:val="3E491747"/>
    <w:rsid w:val="3E4A678D"/>
    <w:rsid w:val="3E4B3711"/>
    <w:rsid w:val="3E4D1D00"/>
    <w:rsid w:val="3E4F1453"/>
    <w:rsid w:val="3E504D64"/>
    <w:rsid w:val="3E522CF1"/>
    <w:rsid w:val="3E5636F5"/>
    <w:rsid w:val="3E5779B4"/>
    <w:rsid w:val="3E587BDC"/>
    <w:rsid w:val="3E595E2E"/>
    <w:rsid w:val="3E5C591E"/>
    <w:rsid w:val="3E5D3B27"/>
    <w:rsid w:val="3E5E3444"/>
    <w:rsid w:val="3E5F6CF2"/>
    <w:rsid w:val="3E602FB4"/>
    <w:rsid w:val="3E607257"/>
    <w:rsid w:val="3E611D98"/>
    <w:rsid w:val="3E66054B"/>
    <w:rsid w:val="3E6A6C63"/>
    <w:rsid w:val="3E6D1670"/>
    <w:rsid w:val="3E6E73FF"/>
    <w:rsid w:val="3E6F5651"/>
    <w:rsid w:val="3E7013C9"/>
    <w:rsid w:val="3E7118B4"/>
    <w:rsid w:val="3E726EF0"/>
    <w:rsid w:val="3E73782B"/>
    <w:rsid w:val="3E742C68"/>
    <w:rsid w:val="3E7569E0"/>
    <w:rsid w:val="3E77193B"/>
    <w:rsid w:val="3E771BE2"/>
    <w:rsid w:val="3E772758"/>
    <w:rsid w:val="3E77440F"/>
    <w:rsid w:val="3E774506"/>
    <w:rsid w:val="3E7964D0"/>
    <w:rsid w:val="3E7C38CA"/>
    <w:rsid w:val="3E7E3017"/>
    <w:rsid w:val="3E7E5894"/>
    <w:rsid w:val="3E7F2B27"/>
    <w:rsid w:val="3E7F4D8F"/>
    <w:rsid w:val="3E817133"/>
    <w:rsid w:val="3E8322FF"/>
    <w:rsid w:val="3E832EAB"/>
    <w:rsid w:val="3E846C23"/>
    <w:rsid w:val="3E850E1C"/>
    <w:rsid w:val="3E853C97"/>
    <w:rsid w:val="3E857D03"/>
    <w:rsid w:val="3E860BED"/>
    <w:rsid w:val="3E864749"/>
    <w:rsid w:val="3E8751F4"/>
    <w:rsid w:val="3E8804C1"/>
    <w:rsid w:val="3E8856C1"/>
    <w:rsid w:val="3E886713"/>
    <w:rsid w:val="3E8A248B"/>
    <w:rsid w:val="3E8C2329"/>
    <w:rsid w:val="3E8C2D59"/>
    <w:rsid w:val="3E8E045D"/>
    <w:rsid w:val="3E8E35FE"/>
    <w:rsid w:val="3E8F6A1A"/>
    <w:rsid w:val="3E94568C"/>
    <w:rsid w:val="3E962E4E"/>
    <w:rsid w:val="3E976956"/>
    <w:rsid w:val="3E9931E6"/>
    <w:rsid w:val="3E9B15A0"/>
    <w:rsid w:val="3E9B4698"/>
    <w:rsid w:val="3E9E4E87"/>
    <w:rsid w:val="3E9F580B"/>
    <w:rsid w:val="3EA34825"/>
    <w:rsid w:val="3EA352FB"/>
    <w:rsid w:val="3EA61C0D"/>
    <w:rsid w:val="3EA6693C"/>
    <w:rsid w:val="3EAB0654"/>
    <w:rsid w:val="3EAD1CD6"/>
    <w:rsid w:val="3EAD617A"/>
    <w:rsid w:val="3EB017C6"/>
    <w:rsid w:val="3EB07A18"/>
    <w:rsid w:val="3EB47508"/>
    <w:rsid w:val="3EB516C8"/>
    <w:rsid w:val="3EB52403"/>
    <w:rsid w:val="3EB766D4"/>
    <w:rsid w:val="3EB92D70"/>
    <w:rsid w:val="3EBD1726"/>
    <w:rsid w:val="3EC13AB1"/>
    <w:rsid w:val="3EC166B3"/>
    <w:rsid w:val="3EC4428E"/>
    <w:rsid w:val="3EC62F27"/>
    <w:rsid w:val="3EC643C8"/>
    <w:rsid w:val="3EC85481"/>
    <w:rsid w:val="3ECA2888"/>
    <w:rsid w:val="3ECA6D2C"/>
    <w:rsid w:val="3ECB34ED"/>
    <w:rsid w:val="3ECF7E9E"/>
    <w:rsid w:val="3ED022A8"/>
    <w:rsid w:val="3ED07138"/>
    <w:rsid w:val="3EE002FD"/>
    <w:rsid w:val="3EE15E23"/>
    <w:rsid w:val="3EE17BD1"/>
    <w:rsid w:val="3EE2728E"/>
    <w:rsid w:val="3EE417EC"/>
    <w:rsid w:val="3EE53B65"/>
    <w:rsid w:val="3EE9143E"/>
    <w:rsid w:val="3EE97E24"/>
    <w:rsid w:val="3EED2A1A"/>
    <w:rsid w:val="3EF04A2D"/>
    <w:rsid w:val="3EF213E3"/>
    <w:rsid w:val="3EF43DA9"/>
    <w:rsid w:val="3EF47F62"/>
    <w:rsid w:val="3EF73899"/>
    <w:rsid w:val="3EF75647"/>
    <w:rsid w:val="3EF913BF"/>
    <w:rsid w:val="3EF9316D"/>
    <w:rsid w:val="3EFB6240"/>
    <w:rsid w:val="3EFC5F2F"/>
    <w:rsid w:val="3EFD2865"/>
    <w:rsid w:val="3EFE0783"/>
    <w:rsid w:val="3F0062A9"/>
    <w:rsid w:val="3F012022"/>
    <w:rsid w:val="3F027B6D"/>
    <w:rsid w:val="3F033FEC"/>
    <w:rsid w:val="3F077B19"/>
    <w:rsid w:val="3F087854"/>
    <w:rsid w:val="3F0A35CC"/>
    <w:rsid w:val="3F0A537A"/>
    <w:rsid w:val="3F0B4C4E"/>
    <w:rsid w:val="3F0D0193"/>
    <w:rsid w:val="3F0D1A77"/>
    <w:rsid w:val="3F0D4E6A"/>
    <w:rsid w:val="3F1104B7"/>
    <w:rsid w:val="3F147FA7"/>
    <w:rsid w:val="3F156FC3"/>
    <w:rsid w:val="3F1869B8"/>
    <w:rsid w:val="3F193EC1"/>
    <w:rsid w:val="3F1D3DCD"/>
    <w:rsid w:val="3F1D716E"/>
    <w:rsid w:val="3F2006FA"/>
    <w:rsid w:val="3F200BF6"/>
    <w:rsid w:val="3F2301EA"/>
    <w:rsid w:val="3F23643C"/>
    <w:rsid w:val="3F261655"/>
    <w:rsid w:val="3F272BCD"/>
    <w:rsid w:val="3F30301D"/>
    <w:rsid w:val="3F323E3B"/>
    <w:rsid w:val="3F3348D1"/>
    <w:rsid w:val="3F364F5B"/>
    <w:rsid w:val="3F381EE7"/>
    <w:rsid w:val="3F397A0D"/>
    <w:rsid w:val="3F3B18FC"/>
    <w:rsid w:val="3F3B19D7"/>
    <w:rsid w:val="3F3B32A6"/>
    <w:rsid w:val="3F3B4420"/>
    <w:rsid w:val="3F411998"/>
    <w:rsid w:val="3F427D24"/>
    <w:rsid w:val="3F43088C"/>
    <w:rsid w:val="3F435DB6"/>
    <w:rsid w:val="3F440F89"/>
    <w:rsid w:val="3F46487E"/>
    <w:rsid w:val="3F476B9F"/>
    <w:rsid w:val="3F485EA2"/>
    <w:rsid w:val="3F4B3FFA"/>
    <w:rsid w:val="3F4C5993"/>
    <w:rsid w:val="3F4E506B"/>
    <w:rsid w:val="3F4F0EB9"/>
    <w:rsid w:val="3F4F7231"/>
    <w:rsid w:val="3F516B05"/>
    <w:rsid w:val="3F535778"/>
    <w:rsid w:val="3F540DE4"/>
    <w:rsid w:val="3F56236D"/>
    <w:rsid w:val="3F574C3E"/>
    <w:rsid w:val="3F586BC5"/>
    <w:rsid w:val="3F591E5E"/>
    <w:rsid w:val="3F5D41B8"/>
    <w:rsid w:val="3F5D49EB"/>
    <w:rsid w:val="3F5E2757"/>
    <w:rsid w:val="3F606EC9"/>
    <w:rsid w:val="3F617C3D"/>
    <w:rsid w:val="3F620D12"/>
    <w:rsid w:val="3F636838"/>
    <w:rsid w:val="3F6525B0"/>
    <w:rsid w:val="3F693DD6"/>
    <w:rsid w:val="3F696545"/>
    <w:rsid w:val="3F6A406B"/>
    <w:rsid w:val="3F6A6789"/>
    <w:rsid w:val="3F6D2E6F"/>
    <w:rsid w:val="3F6E3B5B"/>
    <w:rsid w:val="3F6E5909"/>
    <w:rsid w:val="3F733903"/>
    <w:rsid w:val="3F7559D6"/>
    <w:rsid w:val="3F7768AD"/>
    <w:rsid w:val="3F7B0026"/>
    <w:rsid w:val="3F7F7B16"/>
    <w:rsid w:val="3F8213B4"/>
    <w:rsid w:val="3F843C71"/>
    <w:rsid w:val="3F8A0269"/>
    <w:rsid w:val="3F8B63C3"/>
    <w:rsid w:val="3F8E7D59"/>
    <w:rsid w:val="3F9133A5"/>
    <w:rsid w:val="3F9335C1"/>
    <w:rsid w:val="3F945626"/>
    <w:rsid w:val="3F960493"/>
    <w:rsid w:val="3F965ED3"/>
    <w:rsid w:val="3F9847B6"/>
    <w:rsid w:val="3F9B6523"/>
    <w:rsid w:val="3FA032E2"/>
    <w:rsid w:val="3FA26360"/>
    <w:rsid w:val="3FA36C86"/>
    <w:rsid w:val="3FA4132B"/>
    <w:rsid w:val="3FA4757D"/>
    <w:rsid w:val="3FA52DF7"/>
    <w:rsid w:val="3FA56E51"/>
    <w:rsid w:val="3FA806EF"/>
    <w:rsid w:val="3FAA6758"/>
    <w:rsid w:val="3FAC6431"/>
    <w:rsid w:val="3FAE21A9"/>
    <w:rsid w:val="3FAE2946"/>
    <w:rsid w:val="3FAF7CCF"/>
    <w:rsid w:val="3FB35A12"/>
    <w:rsid w:val="3FB377C0"/>
    <w:rsid w:val="3FB908C3"/>
    <w:rsid w:val="3FB928FC"/>
    <w:rsid w:val="3FB97B2C"/>
    <w:rsid w:val="3FBA0B4E"/>
    <w:rsid w:val="3FBD23EC"/>
    <w:rsid w:val="3FBD419A"/>
    <w:rsid w:val="3FBD537D"/>
    <w:rsid w:val="3FBE443C"/>
    <w:rsid w:val="3FBF2A75"/>
    <w:rsid w:val="3FC020B7"/>
    <w:rsid w:val="3FC27F85"/>
    <w:rsid w:val="3FC30919"/>
    <w:rsid w:val="3FC66D90"/>
    <w:rsid w:val="3FC96FE3"/>
    <w:rsid w:val="3FCC0B73"/>
    <w:rsid w:val="3FCE0156"/>
    <w:rsid w:val="3FCE5B6D"/>
    <w:rsid w:val="3FCE63A8"/>
    <w:rsid w:val="3FCF10E6"/>
    <w:rsid w:val="3FD44D7F"/>
    <w:rsid w:val="3FD45259"/>
    <w:rsid w:val="3FD57736"/>
    <w:rsid w:val="3FD87226"/>
    <w:rsid w:val="3FDD483D"/>
    <w:rsid w:val="3FDF05B5"/>
    <w:rsid w:val="3FDF51CD"/>
    <w:rsid w:val="3FE16591"/>
    <w:rsid w:val="3FE43E1D"/>
    <w:rsid w:val="3FE67B95"/>
    <w:rsid w:val="3FE91433"/>
    <w:rsid w:val="3FE931E1"/>
    <w:rsid w:val="3FE94F8F"/>
    <w:rsid w:val="3FEA080E"/>
    <w:rsid w:val="3FF34060"/>
    <w:rsid w:val="3FF37BBC"/>
    <w:rsid w:val="3FF676AC"/>
    <w:rsid w:val="3FF73F55"/>
    <w:rsid w:val="3FFA0F4B"/>
    <w:rsid w:val="3FFA3176"/>
    <w:rsid w:val="3FFC64EE"/>
    <w:rsid w:val="3FFE3E92"/>
    <w:rsid w:val="3FFE6FA1"/>
    <w:rsid w:val="4001677D"/>
    <w:rsid w:val="400224F5"/>
    <w:rsid w:val="400242A3"/>
    <w:rsid w:val="40024A4A"/>
    <w:rsid w:val="40033DDF"/>
    <w:rsid w:val="400735C9"/>
    <w:rsid w:val="40073668"/>
    <w:rsid w:val="40097575"/>
    <w:rsid w:val="400C6ED0"/>
    <w:rsid w:val="400D3374"/>
    <w:rsid w:val="400D75D9"/>
    <w:rsid w:val="4010076E"/>
    <w:rsid w:val="40104B97"/>
    <w:rsid w:val="4013200C"/>
    <w:rsid w:val="40147DDE"/>
    <w:rsid w:val="401531B3"/>
    <w:rsid w:val="40155D85"/>
    <w:rsid w:val="40162936"/>
    <w:rsid w:val="401670B8"/>
    <w:rsid w:val="40183AC7"/>
    <w:rsid w:val="401C35B7"/>
    <w:rsid w:val="401C5365"/>
    <w:rsid w:val="401D592F"/>
    <w:rsid w:val="4020651C"/>
    <w:rsid w:val="402217E0"/>
    <w:rsid w:val="402661E4"/>
    <w:rsid w:val="402856B5"/>
    <w:rsid w:val="402B29D2"/>
    <w:rsid w:val="402B55A8"/>
    <w:rsid w:val="402E3FB2"/>
    <w:rsid w:val="40302BBE"/>
    <w:rsid w:val="40316D1E"/>
    <w:rsid w:val="40325444"/>
    <w:rsid w:val="403326AF"/>
    <w:rsid w:val="4033445D"/>
    <w:rsid w:val="40356427"/>
    <w:rsid w:val="40387480"/>
    <w:rsid w:val="403B57D6"/>
    <w:rsid w:val="403F0E94"/>
    <w:rsid w:val="403F72A5"/>
    <w:rsid w:val="404252FC"/>
    <w:rsid w:val="40450CBE"/>
    <w:rsid w:val="40451C80"/>
    <w:rsid w:val="40460634"/>
    <w:rsid w:val="404619BC"/>
    <w:rsid w:val="40493C80"/>
    <w:rsid w:val="4049640A"/>
    <w:rsid w:val="404B5C4A"/>
    <w:rsid w:val="404B79F8"/>
    <w:rsid w:val="404C774B"/>
    <w:rsid w:val="404D4C9A"/>
    <w:rsid w:val="40574261"/>
    <w:rsid w:val="40583A17"/>
    <w:rsid w:val="40583EC3"/>
    <w:rsid w:val="405A5E8D"/>
    <w:rsid w:val="405D4EC2"/>
    <w:rsid w:val="405F6D3D"/>
    <w:rsid w:val="40610FCA"/>
    <w:rsid w:val="40613A8C"/>
    <w:rsid w:val="4061546E"/>
    <w:rsid w:val="4062045B"/>
    <w:rsid w:val="406212F8"/>
    <w:rsid w:val="40622AED"/>
    <w:rsid w:val="40640ABA"/>
    <w:rsid w:val="40642868"/>
    <w:rsid w:val="40654658"/>
    <w:rsid w:val="406665E0"/>
    <w:rsid w:val="406717AC"/>
    <w:rsid w:val="406B009A"/>
    <w:rsid w:val="406B3BF6"/>
    <w:rsid w:val="40703903"/>
    <w:rsid w:val="40736729"/>
    <w:rsid w:val="407436D1"/>
    <w:rsid w:val="40762940"/>
    <w:rsid w:val="40790055"/>
    <w:rsid w:val="4079476E"/>
    <w:rsid w:val="407A208B"/>
    <w:rsid w:val="407F2580"/>
    <w:rsid w:val="407F3B46"/>
    <w:rsid w:val="407F58F4"/>
    <w:rsid w:val="4080090B"/>
    <w:rsid w:val="40856C3D"/>
    <w:rsid w:val="40856FC5"/>
    <w:rsid w:val="408761E5"/>
    <w:rsid w:val="408B4299"/>
    <w:rsid w:val="408B72D1"/>
    <w:rsid w:val="408F2D27"/>
    <w:rsid w:val="408F46DB"/>
    <w:rsid w:val="408F4F76"/>
    <w:rsid w:val="40905D53"/>
    <w:rsid w:val="40923879"/>
    <w:rsid w:val="40942156"/>
    <w:rsid w:val="40951BAA"/>
    <w:rsid w:val="40963817"/>
    <w:rsid w:val="40967E63"/>
    <w:rsid w:val="40970E8F"/>
    <w:rsid w:val="409969B6"/>
    <w:rsid w:val="409D5D7A"/>
    <w:rsid w:val="409E3FCC"/>
    <w:rsid w:val="409F3D9B"/>
    <w:rsid w:val="409F4703"/>
    <w:rsid w:val="40A03CFB"/>
    <w:rsid w:val="40A13ABC"/>
    <w:rsid w:val="40A23390"/>
    <w:rsid w:val="40A23ECD"/>
    <w:rsid w:val="40A31478"/>
    <w:rsid w:val="40A65EC4"/>
    <w:rsid w:val="40A85F94"/>
    <w:rsid w:val="40A86BF9"/>
    <w:rsid w:val="40A9471F"/>
    <w:rsid w:val="40AA67DA"/>
    <w:rsid w:val="40AB39BF"/>
    <w:rsid w:val="40AB66E9"/>
    <w:rsid w:val="40AC3D4A"/>
    <w:rsid w:val="40AE1D1B"/>
    <w:rsid w:val="40B05AAD"/>
    <w:rsid w:val="40B35E4B"/>
    <w:rsid w:val="40B40D43"/>
    <w:rsid w:val="40B57568"/>
    <w:rsid w:val="40B76E3C"/>
    <w:rsid w:val="40B841A9"/>
    <w:rsid w:val="40BA4B7E"/>
    <w:rsid w:val="40BC6B48"/>
    <w:rsid w:val="40BC7E78"/>
    <w:rsid w:val="40BD6AF1"/>
    <w:rsid w:val="40BE3A7E"/>
    <w:rsid w:val="40BE466E"/>
    <w:rsid w:val="40C003E6"/>
    <w:rsid w:val="40C34607"/>
    <w:rsid w:val="40C41559"/>
    <w:rsid w:val="40C8729B"/>
    <w:rsid w:val="40C90468"/>
    <w:rsid w:val="40C94286"/>
    <w:rsid w:val="40C94DC1"/>
    <w:rsid w:val="40CD2B03"/>
    <w:rsid w:val="40CE4185"/>
    <w:rsid w:val="40CF23D7"/>
    <w:rsid w:val="40D04715"/>
    <w:rsid w:val="40D53766"/>
    <w:rsid w:val="40D77348"/>
    <w:rsid w:val="40D914A8"/>
    <w:rsid w:val="40DA6FCE"/>
    <w:rsid w:val="40DB1852"/>
    <w:rsid w:val="40DC0C78"/>
    <w:rsid w:val="40DC68A2"/>
    <w:rsid w:val="40DD7F90"/>
    <w:rsid w:val="40DE04B1"/>
    <w:rsid w:val="40E12CA2"/>
    <w:rsid w:val="40E37C31"/>
    <w:rsid w:val="40E439A9"/>
    <w:rsid w:val="40E51BFB"/>
    <w:rsid w:val="40E66965"/>
    <w:rsid w:val="40E81285"/>
    <w:rsid w:val="40EA1C0C"/>
    <w:rsid w:val="40EB5901"/>
    <w:rsid w:val="40EC2740"/>
    <w:rsid w:val="40EC2BD2"/>
    <w:rsid w:val="40ED35B3"/>
    <w:rsid w:val="40EF4827"/>
    <w:rsid w:val="40F12EAD"/>
    <w:rsid w:val="40F300AD"/>
    <w:rsid w:val="40F30ECD"/>
    <w:rsid w:val="40F462E2"/>
    <w:rsid w:val="40F60F8C"/>
    <w:rsid w:val="40F761A9"/>
    <w:rsid w:val="40F8571D"/>
    <w:rsid w:val="40F8759F"/>
    <w:rsid w:val="40F93FD5"/>
    <w:rsid w:val="40FA31CC"/>
    <w:rsid w:val="40FA7CEB"/>
    <w:rsid w:val="40FB141E"/>
    <w:rsid w:val="40FB1C0B"/>
    <w:rsid w:val="40FB7670"/>
    <w:rsid w:val="40FC6F44"/>
    <w:rsid w:val="40FE6F21"/>
    <w:rsid w:val="41004C87"/>
    <w:rsid w:val="41006A35"/>
    <w:rsid w:val="410645A3"/>
    <w:rsid w:val="410837C3"/>
    <w:rsid w:val="410A78B3"/>
    <w:rsid w:val="410B7187"/>
    <w:rsid w:val="410C362B"/>
    <w:rsid w:val="41104BE4"/>
    <w:rsid w:val="41130F3F"/>
    <w:rsid w:val="411918A4"/>
    <w:rsid w:val="411A14F0"/>
    <w:rsid w:val="411A7741"/>
    <w:rsid w:val="411B438F"/>
    <w:rsid w:val="411C3143"/>
    <w:rsid w:val="411D149A"/>
    <w:rsid w:val="411D7E73"/>
    <w:rsid w:val="411E6EBB"/>
    <w:rsid w:val="411E79D5"/>
    <w:rsid w:val="411F02FE"/>
    <w:rsid w:val="41230975"/>
    <w:rsid w:val="41232723"/>
    <w:rsid w:val="412531D5"/>
    <w:rsid w:val="4125649B"/>
    <w:rsid w:val="412626B7"/>
    <w:rsid w:val="412F10C8"/>
    <w:rsid w:val="412F2E76"/>
    <w:rsid w:val="41326E0A"/>
    <w:rsid w:val="413466DE"/>
    <w:rsid w:val="41362456"/>
    <w:rsid w:val="4137194E"/>
    <w:rsid w:val="413761CE"/>
    <w:rsid w:val="413811BE"/>
    <w:rsid w:val="413900B2"/>
    <w:rsid w:val="413A1E7C"/>
    <w:rsid w:val="413C5593"/>
    <w:rsid w:val="41426B54"/>
    <w:rsid w:val="41434B73"/>
    <w:rsid w:val="41460888"/>
    <w:rsid w:val="41463239"/>
    <w:rsid w:val="41472D70"/>
    <w:rsid w:val="414803DC"/>
    <w:rsid w:val="41483F38"/>
    <w:rsid w:val="414A4154"/>
    <w:rsid w:val="414C1688"/>
    <w:rsid w:val="414C55B7"/>
    <w:rsid w:val="414D59F2"/>
    <w:rsid w:val="414F52C6"/>
    <w:rsid w:val="4150545A"/>
    <w:rsid w:val="41523008"/>
    <w:rsid w:val="41541B00"/>
    <w:rsid w:val="415624BA"/>
    <w:rsid w:val="415648A7"/>
    <w:rsid w:val="41571922"/>
    <w:rsid w:val="41586871"/>
    <w:rsid w:val="415A5282"/>
    <w:rsid w:val="415D5D41"/>
    <w:rsid w:val="41615155"/>
    <w:rsid w:val="41686388"/>
    <w:rsid w:val="416C39BC"/>
    <w:rsid w:val="416C5E78"/>
    <w:rsid w:val="416C72C8"/>
    <w:rsid w:val="416D1BF0"/>
    <w:rsid w:val="41705E06"/>
    <w:rsid w:val="4171348E"/>
    <w:rsid w:val="41720E7D"/>
    <w:rsid w:val="41727207"/>
    <w:rsid w:val="41792343"/>
    <w:rsid w:val="41824E23"/>
    <w:rsid w:val="4182569C"/>
    <w:rsid w:val="4182744A"/>
    <w:rsid w:val="41851242"/>
    <w:rsid w:val="41853921"/>
    <w:rsid w:val="41867134"/>
    <w:rsid w:val="41874A60"/>
    <w:rsid w:val="41886A2A"/>
    <w:rsid w:val="418C651A"/>
    <w:rsid w:val="418F3D98"/>
    <w:rsid w:val="41901586"/>
    <w:rsid w:val="419453CF"/>
    <w:rsid w:val="41955799"/>
    <w:rsid w:val="41967399"/>
    <w:rsid w:val="41970A1B"/>
    <w:rsid w:val="41981844"/>
    <w:rsid w:val="41990AA1"/>
    <w:rsid w:val="419D0724"/>
    <w:rsid w:val="419E451A"/>
    <w:rsid w:val="41A21717"/>
    <w:rsid w:val="41A21F6B"/>
    <w:rsid w:val="41A25D3E"/>
    <w:rsid w:val="41A37780"/>
    <w:rsid w:val="41A4267C"/>
    <w:rsid w:val="41A43864"/>
    <w:rsid w:val="41A5138A"/>
    <w:rsid w:val="41A53138"/>
    <w:rsid w:val="41A73354"/>
    <w:rsid w:val="41A87BDE"/>
    <w:rsid w:val="41AA4BF2"/>
    <w:rsid w:val="41AE7D8C"/>
    <w:rsid w:val="41AF2209"/>
    <w:rsid w:val="41B011C1"/>
    <w:rsid w:val="41B25855"/>
    <w:rsid w:val="41B31CF9"/>
    <w:rsid w:val="41B3357F"/>
    <w:rsid w:val="41B408F0"/>
    <w:rsid w:val="41B569E3"/>
    <w:rsid w:val="41B617E9"/>
    <w:rsid w:val="41B63597"/>
    <w:rsid w:val="41B823B2"/>
    <w:rsid w:val="41B92C02"/>
    <w:rsid w:val="41BA3087"/>
    <w:rsid w:val="41BD33FC"/>
    <w:rsid w:val="41BE5291"/>
    <w:rsid w:val="41C04416"/>
    <w:rsid w:val="41C31810"/>
    <w:rsid w:val="41C34EB6"/>
    <w:rsid w:val="41C51A2C"/>
    <w:rsid w:val="41C95F78"/>
    <w:rsid w:val="41CA0DF1"/>
    <w:rsid w:val="41CB50F5"/>
    <w:rsid w:val="41CC7662"/>
    <w:rsid w:val="41CD3D96"/>
    <w:rsid w:val="41CF1D2F"/>
    <w:rsid w:val="41D103D1"/>
    <w:rsid w:val="41D37CA5"/>
    <w:rsid w:val="41D55520"/>
    <w:rsid w:val="41D63C39"/>
    <w:rsid w:val="41D70CB5"/>
    <w:rsid w:val="41D748E9"/>
    <w:rsid w:val="41D8277C"/>
    <w:rsid w:val="41D852BC"/>
    <w:rsid w:val="41D90676"/>
    <w:rsid w:val="41D91034"/>
    <w:rsid w:val="41DA0DDC"/>
    <w:rsid w:val="41DE664A"/>
    <w:rsid w:val="41DF2AEE"/>
    <w:rsid w:val="41DF7049"/>
    <w:rsid w:val="41E111CE"/>
    <w:rsid w:val="41E16229"/>
    <w:rsid w:val="41E21304"/>
    <w:rsid w:val="41E27935"/>
    <w:rsid w:val="41E569DA"/>
    <w:rsid w:val="41E66563"/>
    <w:rsid w:val="41E77BF5"/>
    <w:rsid w:val="41E86DA1"/>
    <w:rsid w:val="41EA1493"/>
    <w:rsid w:val="41EA4D51"/>
    <w:rsid w:val="41EE4CD3"/>
    <w:rsid w:val="41F01EAA"/>
    <w:rsid w:val="41F32BB9"/>
    <w:rsid w:val="41F57644"/>
    <w:rsid w:val="41F67E38"/>
    <w:rsid w:val="41FB1D75"/>
    <w:rsid w:val="41FB36A0"/>
    <w:rsid w:val="41FB71FC"/>
    <w:rsid w:val="41FC7697"/>
    <w:rsid w:val="41FD11C6"/>
    <w:rsid w:val="41FE6944"/>
    <w:rsid w:val="42002A64"/>
    <w:rsid w:val="42016538"/>
    <w:rsid w:val="4203064F"/>
    <w:rsid w:val="42042D87"/>
    <w:rsid w:val="42066E88"/>
    <w:rsid w:val="420936C7"/>
    <w:rsid w:val="42093900"/>
    <w:rsid w:val="42095809"/>
    <w:rsid w:val="420F14F3"/>
    <w:rsid w:val="420F4A55"/>
    <w:rsid w:val="42111E62"/>
    <w:rsid w:val="42116A20"/>
    <w:rsid w:val="42132798"/>
    <w:rsid w:val="42140266"/>
    <w:rsid w:val="4216130A"/>
    <w:rsid w:val="42196BBB"/>
    <w:rsid w:val="42196C84"/>
    <w:rsid w:val="421F738E"/>
    <w:rsid w:val="422211A6"/>
    <w:rsid w:val="42256101"/>
    <w:rsid w:val="422571C3"/>
    <w:rsid w:val="42274445"/>
    <w:rsid w:val="42293D69"/>
    <w:rsid w:val="422A188F"/>
    <w:rsid w:val="422C3859"/>
    <w:rsid w:val="422D323D"/>
    <w:rsid w:val="422F0F8D"/>
    <w:rsid w:val="423050F8"/>
    <w:rsid w:val="423401BD"/>
    <w:rsid w:val="423746D8"/>
    <w:rsid w:val="42375F12"/>
    <w:rsid w:val="423821FE"/>
    <w:rsid w:val="423911B9"/>
    <w:rsid w:val="423B06B5"/>
    <w:rsid w:val="423B584A"/>
    <w:rsid w:val="423D7F3F"/>
    <w:rsid w:val="423E777F"/>
    <w:rsid w:val="423F533B"/>
    <w:rsid w:val="42401397"/>
    <w:rsid w:val="424171FA"/>
    <w:rsid w:val="42417305"/>
    <w:rsid w:val="4248180C"/>
    <w:rsid w:val="4249440B"/>
    <w:rsid w:val="424B1F31"/>
    <w:rsid w:val="424B40BA"/>
    <w:rsid w:val="424D1552"/>
    <w:rsid w:val="424F7CB9"/>
    <w:rsid w:val="4250131F"/>
    <w:rsid w:val="425132C0"/>
    <w:rsid w:val="42521512"/>
    <w:rsid w:val="42552DB0"/>
    <w:rsid w:val="425608D6"/>
    <w:rsid w:val="42586A16"/>
    <w:rsid w:val="425B7C9B"/>
    <w:rsid w:val="425C5EED"/>
    <w:rsid w:val="425C6FBD"/>
    <w:rsid w:val="425D7EB7"/>
    <w:rsid w:val="42617224"/>
    <w:rsid w:val="426346BA"/>
    <w:rsid w:val="426404A9"/>
    <w:rsid w:val="42642FF3"/>
    <w:rsid w:val="42652791"/>
    <w:rsid w:val="42660B19"/>
    <w:rsid w:val="42662F59"/>
    <w:rsid w:val="42666D6B"/>
    <w:rsid w:val="426A3716"/>
    <w:rsid w:val="426C006E"/>
    <w:rsid w:val="426E06C0"/>
    <w:rsid w:val="426E2A27"/>
    <w:rsid w:val="42701C84"/>
    <w:rsid w:val="4272159B"/>
    <w:rsid w:val="42723FBF"/>
    <w:rsid w:val="42730869"/>
    <w:rsid w:val="42733236"/>
    <w:rsid w:val="427743CD"/>
    <w:rsid w:val="427871AA"/>
    <w:rsid w:val="427A45C5"/>
    <w:rsid w:val="427A6373"/>
    <w:rsid w:val="427B09F3"/>
    <w:rsid w:val="427D0EF9"/>
    <w:rsid w:val="427F607F"/>
    <w:rsid w:val="42815953"/>
    <w:rsid w:val="42844C60"/>
    <w:rsid w:val="42846FB4"/>
    <w:rsid w:val="42855E8C"/>
    <w:rsid w:val="428611BC"/>
    <w:rsid w:val="42864D18"/>
    <w:rsid w:val="42884F7A"/>
    <w:rsid w:val="42890CAC"/>
    <w:rsid w:val="42895A25"/>
    <w:rsid w:val="428A2BBD"/>
    <w:rsid w:val="428B4A24"/>
    <w:rsid w:val="428E62C2"/>
    <w:rsid w:val="42925DB2"/>
    <w:rsid w:val="429A4C67"/>
    <w:rsid w:val="429C0CF7"/>
    <w:rsid w:val="429C453B"/>
    <w:rsid w:val="429D02B3"/>
    <w:rsid w:val="429E3CD9"/>
    <w:rsid w:val="42A17DA3"/>
    <w:rsid w:val="42A20F87"/>
    <w:rsid w:val="42A54C01"/>
    <w:rsid w:val="42A81132"/>
    <w:rsid w:val="42A955DC"/>
    <w:rsid w:val="42AD6748"/>
    <w:rsid w:val="42B07FE6"/>
    <w:rsid w:val="42B21F0C"/>
    <w:rsid w:val="42B23A97"/>
    <w:rsid w:val="42B366BD"/>
    <w:rsid w:val="42B51AA1"/>
    <w:rsid w:val="42B61B65"/>
    <w:rsid w:val="42B67EEA"/>
    <w:rsid w:val="42B749AD"/>
    <w:rsid w:val="42BA70B7"/>
    <w:rsid w:val="42BC2E2F"/>
    <w:rsid w:val="42BC6970"/>
    <w:rsid w:val="42BF193F"/>
    <w:rsid w:val="42C27D1A"/>
    <w:rsid w:val="42C37E5F"/>
    <w:rsid w:val="42C47973"/>
    <w:rsid w:val="42C6780A"/>
    <w:rsid w:val="42C91F6D"/>
    <w:rsid w:val="42CA6A52"/>
    <w:rsid w:val="42CD2946"/>
    <w:rsid w:val="42CD367E"/>
    <w:rsid w:val="42CD56F2"/>
    <w:rsid w:val="42CF4BFA"/>
    <w:rsid w:val="42D02437"/>
    <w:rsid w:val="42D04BE9"/>
    <w:rsid w:val="42D04BF1"/>
    <w:rsid w:val="42D13D54"/>
    <w:rsid w:val="42D52BD6"/>
    <w:rsid w:val="42D71A17"/>
    <w:rsid w:val="42D737C5"/>
    <w:rsid w:val="42DC25A8"/>
    <w:rsid w:val="42DD7C1B"/>
    <w:rsid w:val="42DE0FF8"/>
    <w:rsid w:val="42DE4B54"/>
    <w:rsid w:val="42E01B18"/>
    <w:rsid w:val="42E10C5E"/>
    <w:rsid w:val="42E20147"/>
    <w:rsid w:val="42E278AA"/>
    <w:rsid w:val="42E303BC"/>
    <w:rsid w:val="42E40679"/>
    <w:rsid w:val="42E42B37"/>
    <w:rsid w:val="42E45EE2"/>
    <w:rsid w:val="42E57C88"/>
    <w:rsid w:val="42E91A76"/>
    <w:rsid w:val="42E9352D"/>
    <w:rsid w:val="42E953BC"/>
    <w:rsid w:val="42EA48E1"/>
    <w:rsid w:val="42EB0CE8"/>
    <w:rsid w:val="42EE39BE"/>
    <w:rsid w:val="42EF4FB3"/>
    <w:rsid w:val="42EF6D61"/>
    <w:rsid w:val="42F60A70"/>
    <w:rsid w:val="42F779C3"/>
    <w:rsid w:val="42FA74B4"/>
    <w:rsid w:val="42FC5355"/>
    <w:rsid w:val="42FC63B2"/>
    <w:rsid w:val="42FD3E0B"/>
    <w:rsid w:val="42FE51F6"/>
    <w:rsid w:val="42FF4201"/>
    <w:rsid w:val="43035753"/>
    <w:rsid w:val="4305067F"/>
    <w:rsid w:val="430622FC"/>
    <w:rsid w:val="43065E58"/>
    <w:rsid w:val="43076410"/>
    <w:rsid w:val="43081BD1"/>
    <w:rsid w:val="43087A30"/>
    <w:rsid w:val="430C0D23"/>
    <w:rsid w:val="430D13D6"/>
    <w:rsid w:val="430E3882"/>
    <w:rsid w:val="43171E14"/>
    <w:rsid w:val="43193DDE"/>
    <w:rsid w:val="431966FC"/>
    <w:rsid w:val="431E31A2"/>
    <w:rsid w:val="43206B0B"/>
    <w:rsid w:val="432509D4"/>
    <w:rsid w:val="43252782"/>
    <w:rsid w:val="43267FAF"/>
    <w:rsid w:val="43272DE2"/>
    <w:rsid w:val="43284A6E"/>
    <w:rsid w:val="432A7D99"/>
    <w:rsid w:val="432D155B"/>
    <w:rsid w:val="432F3601"/>
    <w:rsid w:val="43301127"/>
    <w:rsid w:val="43303E58"/>
    <w:rsid w:val="433429C6"/>
    <w:rsid w:val="4334493A"/>
    <w:rsid w:val="43364990"/>
    <w:rsid w:val="43365018"/>
    <w:rsid w:val="43386A09"/>
    <w:rsid w:val="43397FDC"/>
    <w:rsid w:val="433A3442"/>
    <w:rsid w:val="433B01F8"/>
    <w:rsid w:val="433C1D12"/>
    <w:rsid w:val="433C3EB3"/>
    <w:rsid w:val="433E6C6C"/>
    <w:rsid w:val="434150E2"/>
    <w:rsid w:val="4343228F"/>
    <w:rsid w:val="43434383"/>
    <w:rsid w:val="434446BE"/>
    <w:rsid w:val="43454BD3"/>
    <w:rsid w:val="434846C3"/>
    <w:rsid w:val="434C41B3"/>
    <w:rsid w:val="434C53D8"/>
    <w:rsid w:val="434D1CD9"/>
    <w:rsid w:val="434D2966"/>
    <w:rsid w:val="43503578"/>
    <w:rsid w:val="43530F99"/>
    <w:rsid w:val="435B2648"/>
    <w:rsid w:val="435C378C"/>
    <w:rsid w:val="435D1730"/>
    <w:rsid w:val="436037BB"/>
    <w:rsid w:val="43605CF6"/>
    <w:rsid w:val="43615785"/>
    <w:rsid w:val="43632D4D"/>
    <w:rsid w:val="436B215F"/>
    <w:rsid w:val="436E05FA"/>
    <w:rsid w:val="436F037C"/>
    <w:rsid w:val="436F1C50"/>
    <w:rsid w:val="436F5E34"/>
    <w:rsid w:val="437159C8"/>
    <w:rsid w:val="43730BCB"/>
    <w:rsid w:val="43761230"/>
    <w:rsid w:val="43776D56"/>
    <w:rsid w:val="43784479"/>
    <w:rsid w:val="437A1FF5"/>
    <w:rsid w:val="438020AF"/>
    <w:rsid w:val="43803E5D"/>
    <w:rsid w:val="438356FB"/>
    <w:rsid w:val="43844FFB"/>
    <w:rsid w:val="43853262"/>
    <w:rsid w:val="438576C5"/>
    <w:rsid w:val="438D0328"/>
    <w:rsid w:val="438D25BA"/>
    <w:rsid w:val="438D36CB"/>
    <w:rsid w:val="439128F1"/>
    <w:rsid w:val="4392793D"/>
    <w:rsid w:val="4395391D"/>
    <w:rsid w:val="43957F31"/>
    <w:rsid w:val="439671DC"/>
    <w:rsid w:val="43972ECA"/>
    <w:rsid w:val="43990B9B"/>
    <w:rsid w:val="43994F1E"/>
    <w:rsid w:val="439C2164"/>
    <w:rsid w:val="439D4A0F"/>
    <w:rsid w:val="439E42E3"/>
    <w:rsid w:val="439E4C2E"/>
    <w:rsid w:val="439E6E16"/>
    <w:rsid w:val="43A1566F"/>
    <w:rsid w:val="43A3069B"/>
    <w:rsid w:val="43A35D9D"/>
    <w:rsid w:val="43A377F2"/>
    <w:rsid w:val="43A460BD"/>
    <w:rsid w:val="43A51B15"/>
    <w:rsid w:val="43A54A0B"/>
    <w:rsid w:val="43A713E9"/>
    <w:rsid w:val="43A75821"/>
    <w:rsid w:val="43A86F10"/>
    <w:rsid w:val="43A93F3B"/>
    <w:rsid w:val="43A95569"/>
    <w:rsid w:val="43A956C9"/>
    <w:rsid w:val="43B109C9"/>
    <w:rsid w:val="43B12268"/>
    <w:rsid w:val="43B20377"/>
    <w:rsid w:val="43B27D8E"/>
    <w:rsid w:val="43B365E4"/>
    <w:rsid w:val="43B41D58"/>
    <w:rsid w:val="43B835F7"/>
    <w:rsid w:val="43B9736F"/>
    <w:rsid w:val="43BB30E7"/>
    <w:rsid w:val="43BB57E7"/>
    <w:rsid w:val="43BD0680"/>
    <w:rsid w:val="43C24475"/>
    <w:rsid w:val="43C32CD4"/>
    <w:rsid w:val="43C53F65"/>
    <w:rsid w:val="43C55D14"/>
    <w:rsid w:val="43C860C2"/>
    <w:rsid w:val="43CA0602"/>
    <w:rsid w:val="43CA157C"/>
    <w:rsid w:val="43CA332A"/>
    <w:rsid w:val="43CA769A"/>
    <w:rsid w:val="43CC70A2"/>
    <w:rsid w:val="43CE23F3"/>
    <w:rsid w:val="43CF0940"/>
    <w:rsid w:val="43CF28BC"/>
    <w:rsid w:val="43D052B6"/>
    <w:rsid w:val="43D146B8"/>
    <w:rsid w:val="43D16466"/>
    <w:rsid w:val="43D23F8D"/>
    <w:rsid w:val="43D47C81"/>
    <w:rsid w:val="43D66F74"/>
    <w:rsid w:val="43DA4440"/>
    <w:rsid w:val="43DA4812"/>
    <w:rsid w:val="43DD12AF"/>
    <w:rsid w:val="43DD433B"/>
    <w:rsid w:val="43E1343F"/>
    <w:rsid w:val="43E30E9C"/>
    <w:rsid w:val="43E4263E"/>
    <w:rsid w:val="43E601AC"/>
    <w:rsid w:val="43E735EE"/>
    <w:rsid w:val="43E73EDC"/>
    <w:rsid w:val="43E769BA"/>
    <w:rsid w:val="43E77A38"/>
    <w:rsid w:val="43E97AFD"/>
    <w:rsid w:val="43EA6480"/>
    <w:rsid w:val="43EA7528"/>
    <w:rsid w:val="43ED3070"/>
    <w:rsid w:val="43F03412"/>
    <w:rsid w:val="43F074F2"/>
    <w:rsid w:val="43F1397C"/>
    <w:rsid w:val="43F6411F"/>
    <w:rsid w:val="43F87310"/>
    <w:rsid w:val="43FA3C0F"/>
    <w:rsid w:val="43FD54AD"/>
    <w:rsid w:val="43FF1225"/>
    <w:rsid w:val="44000AFA"/>
    <w:rsid w:val="44006D4C"/>
    <w:rsid w:val="4402047A"/>
    <w:rsid w:val="440447FC"/>
    <w:rsid w:val="44056110"/>
    <w:rsid w:val="44071E88"/>
    <w:rsid w:val="4407632C"/>
    <w:rsid w:val="44094A6A"/>
    <w:rsid w:val="440A4F32"/>
    <w:rsid w:val="440C56F0"/>
    <w:rsid w:val="440E2ACF"/>
    <w:rsid w:val="440E39EB"/>
    <w:rsid w:val="440F353A"/>
    <w:rsid w:val="441133CA"/>
    <w:rsid w:val="44153672"/>
    <w:rsid w:val="44173130"/>
    <w:rsid w:val="441765C3"/>
    <w:rsid w:val="44187F32"/>
    <w:rsid w:val="44191BBB"/>
    <w:rsid w:val="441A3B8C"/>
    <w:rsid w:val="441A601F"/>
    <w:rsid w:val="441B7080"/>
    <w:rsid w:val="441D3799"/>
    <w:rsid w:val="441E2B06"/>
    <w:rsid w:val="441F3676"/>
    <w:rsid w:val="4422032B"/>
    <w:rsid w:val="442229E7"/>
    <w:rsid w:val="4423205F"/>
    <w:rsid w:val="44292814"/>
    <w:rsid w:val="442944F4"/>
    <w:rsid w:val="4429503A"/>
    <w:rsid w:val="442A3DC9"/>
    <w:rsid w:val="442D690F"/>
    <w:rsid w:val="443127E2"/>
    <w:rsid w:val="443161AD"/>
    <w:rsid w:val="44352E99"/>
    <w:rsid w:val="443640EC"/>
    <w:rsid w:val="44384737"/>
    <w:rsid w:val="4439400C"/>
    <w:rsid w:val="443A16C8"/>
    <w:rsid w:val="443B068B"/>
    <w:rsid w:val="443B5FD6"/>
    <w:rsid w:val="443C075B"/>
    <w:rsid w:val="443D426D"/>
    <w:rsid w:val="4444266B"/>
    <w:rsid w:val="44444E8A"/>
    <w:rsid w:val="44446C38"/>
    <w:rsid w:val="44450C02"/>
    <w:rsid w:val="444848A4"/>
    <w:rsid w:val="444E008C"/>
    <w:rsid w:val="444E3F5B"/>
    <w:rsid w:val="444E7AB7"/>
    <w:rsid w:val="444F0682"/>
    <w:rsid w:val="444F55DD"/>
    <w:rsid w:val="444F7EFF"/>
    <w:rsid w:val="4450382F"/>
    <w:rsid w:val="44504583"/>
    <w:rsid w:val="445175A7"/>
    <w:rsid w:val="4453331F"/>
    <w:rsid w:val="44533614"/>
    <w:rsid w:val="44562545"/>
    <w:rsid w:val="44582F7E"/>
    <w:rsid w:val="445A2900"/>
    <w:rsid w:val="445A645C"/>
    <w:rsid w:val="445B642E"/>
    <w:rsid w:val="445C6678"/>
    <w:rsid w:val="445C7C82"/>
    <w:rsid w:val="445D419E"/>
    <w:rsid w:val="445D5F4C"/>
    <w:rsid w:val="44611D22"/>
    <w:rsid w:val="44621C79"/>
    <w:rsid w:val="44623562"/>
    <w:rsid w:val="44623677"/>
    <w:rsid w:val="44635B55"/>
    <w:rsid w:val="44692CA3"/>
    <w:rsid w:val="446948F1"/>
    <w:rsid w:val="446B68BB"/>
    <w:rsid w:val="446C7AA6"/>
    <w:rsid w:val="446F3E2D"/>
    <w:rsid w:val="44702A10"/>
    <w:rsid w:val="44713000"/>
    <w:rsid w:val="447158E2"/>
    <w:rsid w:val="447436E5"/>
    <w:rsid w:val="44755326"/>
    <w:rsid w:val="4475773A"/>
    <w:rsid w:val="44762611"/>
    <w:rsid w:val="44782D86"/>
    <w:rsid w:val="447A0CEB"/>
    <w:rsid w:val="447C5F3F"/>
    <w:rsid w:val="447D039C"/>
    <w:rsid w:val="44801C3A"/>
    <w:rsid w:val="448226F3"/>
    <w:rsid w:val="44840E86"/>
    <w:rsid w:val="44864E15"/>
    <w:rsid w:val="44867251"/>
    <w:rsid w:val="44872FC9"/>
    <w:rsid w:val="448874A3"/>
    <w:rsid w:val="448C6831"/>
    <w:rsid w:val="449000D0"/>
    <w:rsid w:val="4490653F"/>
    <w:rsid w:val="449104B3"/>
    <w:rsid w:val="44913E48"/>
    <w:rsid w:val="44915BF6"/>
    <w:rsid w:val="449213EC"/>
    <w:rsid w:val="44937BC0"/>
    <w:rsid w:val="44951C56"/>
    <w:rsid w:val="449556E6"/>
    <w:rsid w:val="449730B0"/>
    <w:rsid w:val="4498047B"/>
    <w:rsid w:val="449E21ED"/>
    <w:rsid w:val="44A04633"/>
    <w:rsid w:val="44A122DD"/>
    <w:rsid w:val="44A1408B"/>
    <w:rsid w:val="44A3316C"/>
    <w:rsid w:val="44A45929"/>
    <w:rsid w:val="44A75419"/>
    <w:rsid w:val="44A771C7"/>
    <w:rsid w:val="44A818BD"/>
    <w:rsid w:val="44A973E3"/>
    <w:rsid w:val="44AC2A30"/>
    <w:rsid w:val="44AE11F2"/>
    <w:rsid w:val="44B02520"/>
    <w:rsid w:val="44B042CE"/>
    <w:rsid w:val="44B31520"/>
    <w:rsid w:val="44B318D9"/>
    <w:rsid w:val="44B3525B"/>
    <w:rsid w:val="44BC2C73"/>
    <w:rsid w:val="44BC5D67"/>
    <w:rsid w:val="44BE2E8F"/>
    <w:rsid w:val="44C45FCB"/>
    <w:rsid w:val="44C63AF1"/>
    <w:rsid w:val="44C94A67"/>
    <w:rsid w:val="44CA5EB7"/>
    <w:rsid w:val="44CC2378"/>
    <w:rsid w:val="44CD4E80"/>
    <w:rsid w:val="44CE0BF8"/>
    <w:rsid w:val="44CE5BB2"/>
    <w:rsid w:val="44D0671E"/>
    <w:rsid w:val="44D16072"/>
    <w:rsid w:val="44D31D2E"/>
    <w:rsid w:val="44D3768F"/>
    <w:rsid w:val="44D44D47"/>
    <w:rsid w:val="44D64FFB"/>
    <w:rsid w:val="44D658C4"/>
    <w:rsid w:val="44D81A76"/>
    <w:rsid w:val="44DA4136"/>
    <w:rsid w:val="44DA535F"/>
    <w:rsid w:val="44DA759D"/>
    <w:rsid w:val="44DB3A2D"/>
    <w:rsid w:val="44DF2E05"/>
    <w:rsid w:val="44E25BC9"/>
    <w:rsid w:val="44E26451"/>
    <w:rsid w:val="44E4666D"/>
    <w:rsid w:val="44E977E0"/>
    <w:rsid w:val="44EA2F34"/>
    <w:rsid w:val="44EB136F"/>
    <w:rsid w:val="44EB3B62"/>
    <w:rsid w:val="44EC0BB3"/>
    <w:rsid w:val="44EC5239"/>
    <w:rsid w:val="44F05012"/>
    <w:rsid w:val="44F06DC0"/>
    <w:rsid w:val="44F20D8A"/>
    <w:rsid w:val="44F436F8"/>
    <w:rsid w:val="44F56185"/>
    <w:rsid w:val="44F76B7B"/>
    <w:rsid w:val="44FA2E29"/>
    <w:rsid w:val="44FC65D5"/>
    <w:rsid w:val="45041776"/>
    <w:rsid w:val="4504286C"/>
    <w:rsid w:val="45062140"/>
    <w:rsid w:val="450665E4"/>
    <w:rsid w:val="4508235C"/>
    <w:rsid w:val="450A54D3"/>
    <w:rsid w:val="450D34CE"/>
    <w:rsid w:val="450E7246"/>
    <w:rsid w:val="450F1C85"/>
    <w:rsid w:val="4510317B"/>
    <w:rsid w:val="451231DA"/>
    <w:rsid w:val="45156827"/>
    <w:rsid w:val="45165A20"/>
    <w:rsid w:val="451848C2"/>
    <w:rsid w:val="451848F1"/>
    <w:rsid w:val="451900C5"/>
    <w:rsid w:val="45191E0F"/>
    <w:rsid w:val="451A4083"/>
    <w:rsid w:val="451C7BB5"/>
    <w:rsid w:val="451D3AB6"/>
    <w:rsid w:val="451F3201"/>
    <w:rsid w:val="452508D3"/>
    <w:rsid w:val="452627E2"/>
    <w:rsid w:val="452641C4"/>
    <w:rsid w:val="4528655A"/>
    <w:rsid w:val="45286D33"/>
    <w:rsid w:val="452B7DF8"/>
    <w:rsid w:val="452E38BB"/>
    <w:rsid w:val="4530540F"/>
    <w:rsid w:val="45321187"/>
    <w:rsid w:val="45336CAD"/>
    <w:rsid w:val="45344EFF"/>
    <w:rsid w:val="45352A25"/>
    <w:rsid w:val="45375CA5"/>
    <w:rsid w:val="45390767"/>
    <w:rsid w:val="453E18DA"/>
    <w:rsid w:val="453F3B2A"/>
    <w:rsid w:val="454141D4"/>
    <w:rsid w:val="4545799C"/>
    <w:rsid w:val="45462E84"/>
    <w:rsid w:val="45467F1B"/>
    <w:rsid w:val="4550750E"/>
    <w:rsid w:val="455235D7"/>
    <w:rsid w:val="45525385"/>
    <w:rsid w:val="45560523"/>
    <w:rsid w:val="45561A39"/>
    <w:rsid w:val="45570BED"/>
    <w:rsid w:val="45581B00"/>
    <w:rsid w:val="455A248C"/>
    <w:rsid w:val="455D2E28"/>
    <w:rsid w:val="455E01CE"/>
    <w:rsid w:val="455E2CAF"/>
    <w:rsid w:val="45610764"/>
    <w:rsid w:val="456142F3"/>
    <w:rsid w:val="45660E30"/>
    <w:rsid w:val="456A4DC4"/>
    <w:rsid w:val="456B28EB"/>
    <w:rsid w:val="456B7A8E"/>
    <w:rsid w:val="45701E3C"/>
    <w:rsid w:val="45733B31"/>
    <w:rsid w:val="45740942"/>
    <w:rsid w:val="457505DA"/>
    <w:rsid w:val="45772A5A"/>
    <w:rsid w:val="457A48DC"/>
    <w:rsid w:val="457B2B2E"/>
    <w:rsid w:val="457D6671"/>
    <w:rsid w:val="457D6AC5"/>
    <w:rsid w:val="457E2FEE"/>
    <w:rsid w:val="457F1EF2"/>
    <w:rsid w:val="4582210E"/>
    <w:rsid w:val="458443EE"/>
    <w:rsid w:val="458614D2"/>
    <w:rsid w:val="45863281"/>
    <w:rsid w:val="458662BF"/>
    <w:rsid w:val="45877724"/>
    <w:rsid w:val="458845E5"/>
    <w:rsid w:val="45884E24"/>
    <w:rsid w:val="458A2D71"/>
    <w:rsid w:val="458B526A"/>
    <w:rsid w:val="458E276F"/>
    <w:rsid w:val="45900801"/>
    <w:rsid w:val="45921C25"/>
    <w:rsid w:val="45954DBC"/>
    <w:rsid w:val="45957555"/>
    <w:rsid w:val="4597548E"/>
    <w:rsid w:val="4597723C"/>
    <w:rsid w:val="45977B3E"/>
    <w:rsid w:val="45984502"/>
    <w:rsid w:val="45994684"/>
    <w:rsid w:val="459C7852"/>
    <w:rsid w:val="459D36E4"/>
    <w:rsid w:val="45A02594"/>
    <w:rsid w:val="45A04342"/>
    <w:rsid w:val="45A445E1"/>
    <w:rsid w:val="45A57BAB"/>
    <w:rsid w:val="45A601D4"/>
    <w:rsid w:val="45A62619"/>
    <w:rsid w:val="45A813AB"/>
    <w:rsid w:val="45A85967"/>
    <w:rsid w:val="45AB7232"/>
    <w:rsid w:val="45AC450E"/>
    <w:rsid w:val="45AC718B"/>
    <w:rsid w:val="45AD701B"/>
    <w:rsid w:val="45B25DCB"/>
    <w:rsid w:val="45B26A4B"/>
    <w:rsid w:val="45B55914"/>
    <w:rsid w:val="45B61DB8"/>
    <w:rsid w:val="45B72C55"/>
    <w:rsid w:val="45B918A8"/>
    <w:rsid w:val="45BA3EFC"/>
    <w:rsid w:val="45BB73CE"/>
    <w:rsid w:val="45C06792"/>
    <w:rsid w:val="45C1250B"/>
    <w:rsid w:val="45C15EDA"/>
    <w:rsid w:val="45C62011"/>
    <w:rsid w:val="45C80D40"/>
    <w:rsid w:val="45C83899"/>
    <w:rsid w:val="45CB18B1"/>
    <w:rsid w:val="45CC15DB"/>
    <w:rsid w:val="45CC3389"/>
    <w:rsid w:val="45CE1EE4"/>
    <w:rsid w:val="45D036EC"/>
    <w:rsid w:val="45D12E46"/>
    <w:rsid w:val="45D264C6"/>
    <w:rsid w:val="45D36858"/>
    <w:rsid w:val="45D51413"/>
    <w:rsid w:val="45D73ADC"/>
    <w:rsid w:val="45D74549"/>
    <w:rsid w:val="45D746D7"/>
    <w:rsid w:val="45D8633D"/>
    <w:rsid w:val="45D93CF8"/>
    <w:rsid w:val="45DD5596"/>
    <w:rsid w:val="45E0355F"/>
    <w:rsid w:val="45E435E2"/>
    <w:rsid w:val="45EC57D9"/>
    <w:rsid w:val="45F12DF0"/>
    <w:rsid w:val="45F428E0"/>
    <w:rsid w:val="45F73CC7"/>
    <w:rsid w:val="46020CB8"/>
    <w:rsid w:val="4603181D"/>
    <w:rsid w:val="46032B23"/>
    <w:rsid w:val="460348D1"/>
    <w:rsid w:val="4607616F"/>
    <w:rsid w:val="46080139"/>
    <w:rsid w:val="46084993"/>
    <w:rsid w:val="4609638B"/>
    <w:rsid w:val="460A3EB2"/>
    <w:rsid w:val="460A5C60"/>
    <w:rsid w:val="460B1E86"/>
    <w:rsid w:val="460C7C2A"/>
    <w:rsid w:val="460E0C9C"/>
    <w:rsid w:val="46113492"/>
    <w:rsid w:val="46115240"/>
    <w:rsid w:val="46132D66"/>
    <w:rsid w:val="461650A9"/>
    <w:rsid w:val="46172DAA"/>
    <w:rsid w:val="46177262"/>
    <w:rsid w:val="46177A30"/>
    <w:rsid w:val="4618546F"/>
    <w:rsid w:val="461940F5"/>
    <w:rsid w:val="46194489"/>
    <w:rsid w:val="461A0599"/>
    <w:rsid w:val="461C16C9"/>
    <w:rsid w:val="461D1E37"/>
    <w:rsid w:val="461E51EB"/>
    <w:rsid w:val="46205483"/>
    <w:rsid w:val="46220097"/>
    <w:rsid w:val="462426E2"/>
    <w:rsid w:val="46252A99"/>
    <w:rsid w:val="462702C5"/>
    <w:rsid w:val="46282CE8"/>
    <w:rsid w:val="462907DC"/>
    <w:rsid w:val="462C02CC"/>
    <w:rsid w:val="462F2CD4"/>
    <w:rsid w:val="462F54EC"/>
    <w:rsid w:val="46315F87"/>
    <w:rsid w:val="4633630A"/>
    <w:rsid w:val="46336A6C"/>
    <w:rsid w:val="46342CDD"/>
    <w:rsid w:val="46344476"/>
    <w:rsid w:val="463475C6"/>
    <w:rsid w:val="463536F5"/>
    <w:rsid w:val="463539B1"/>
    <w:rsid w:val="46364E41"/>
    <w:rsid w:val="46380A1F"/>
    <w:rsid w:val="463A4797"/>
    <w:rsid w:val="463D2913"/>
    <w:rsid w:val="463E4D14"/>
    <w:rsid w:val="463F1DAD"/>
    <w:rsid w:val="464060FB"/>
    <w:rsid w:val="46441E82"/>
    <w:rsid w:val="464473C4"/>
    <w:rsid w:val="464508D5"/>
    <w:rsid w:val="46491241"/>
    <w:rsid w:val="464C54AC"/>
    <w:rsid w:val="464E04AD"/>
    <w:rsid w:val="464E1FF0"/>
    <w:rsid w:val="465346DC"/>
    <w:rsid w:val="4654512D"/>
    <w:rsid w:val="46560EA5"/>
    <w:rsid w:val="46565349"/>
    <w:rsid w:val="465670F7"/>
    <w:rsid w:val="465B295F"/>
    <w:rsid w:val="46603AD2"/>
    <w:rsid w:val="46616A8D"/>
    <w:rsid w:val="46623CEE"/>
    <w:rsid w:val="4662762C"/>
    <w:rsid w:val="4665066E"/>
    <w:rsid w:val="46663C08"/>
    <w:rsid w:val="46673AB5"/>
    <w:rsid w:val="46690BD8"/>
    <w:rsid w:val="466C2476"/>
    <w:rsid w:val="466E0B17"/>
    <w:rsid w:val="466E34FE"/>
    <w:rsid w:val="46731A57"/>
    <w:rsid w:val="46741CBB"/>
    <w:rsid w:val="4675358A"/>
    <w:rsid w:val="46787EE8"/>
    <w:rsid w:val="467B6B5D"/>
    <w:rsid w:val="467E4117"/>
    <w:rsid w:val="467E7053"/>
    <w:rsid w:val="46821C9A"/>
    <w:rsid w:val="468450E5"/>
    <w:rsid w:val="46851ED3"/>
    <w:rsid w:val="468635AE"/>
    <w:rsid w:val="4689127A"/>
    <w:rsid w:val="468A0B4E"/>
    <w:rsid w:val="468B4FF2"/>
    <w:rsid w:val="468C64C8"/>
    <w:rsid w:val="468E6891"/>
    <w:rsid w:val="46920B02"/>
    <w:rsid w:val="469320F9"/>
    <w:rsid w:val="46980030"/>
    <w:rsid w:val="469876B5"/>
    <w:rsid w:val="46995E2D"/>
    <w:rsid w:val="469C4B4D"/>
    <w:rsid w:val="469D0882"/>
    <w:rsid w:val="46A02DC8"/>
    <w:rsid w:val="46A165C4"/>
    <w:rsid w:val="46A55988"/>
    <w:rsid w:val="46A61E2C"/>
    <w:rsid w:val="46A64D52"/>
    <w:rsid w:val="46A77952"/>
    <w:rsid w:val="46A937CA"/>
    <w:rsid w:val="46AC31BB"/>
    <w:rsid w:val="46AC6D17"/>
    <w:rsid w:val="46AE76B3"/>
    <w:rsid w:val="46B1432D"/>
    <w:rsid w:val="46B53E1D"/>
    <w:rsid w:val="46BA1E6E"/>
    <w:rsid w:val="46BC1650"/>
    <w:rsid w:val="46BC33FE"/>
    <w:rsid w:val="46BD0F24"/>
    <w:rsid w:val="46C16C66"/>
    <w:rsid w:val="46C16EB8"/>
    <w:rsid w:val="46C2478C"/>
    <w:rsid w:val="46C329DE"/>
    <w:rsid w:val="46C6602A"/>
    <w:rsid w:val="46C753E2"/>
    <w:rsid w:val="46CB4320"/>
    <w:rsid w:val="46CD0358"/>
    <w:rsid w:val="46CE1685"/>
    <w:rsid w:val="46CE44B9"/>
    <w:rsid w:val="46CF3795"/>
    <w:rsid w:val="46D00C57"/>
    <w:rsid w:val="46D41128"/>
    <w:rsid w:val="46D47974"/>
    <w:rsid w:val="46D52711"/>
    <w:rsid w:val="46D63D94"/>
    <w:rsid w:val="46D66E6B"/>
    <w:rsid w:val="46D83FB0"/>
    <w:rsid w:val="46DA0CAE"/>
    <w:rsid w:val="46DA1AD6"/>
    <w:rsid w:val="46DC1815"/>
    <w:rsid w:val="46DC2498"/>
    <w:rsid w:val="46DC584E"/>
    <w:rsid w:val="46DC688E"/>
    <w:rsid w:val="46DD4069"/>
    <w:rsid w:val="46E34D0C"/>
    <w:rsid w:val="46E4385F"/>
    <w:rsid w:val="46E97F6B"/>
    <w:rsid w:val="46EB5A91"/>
    <w:rsid w:val="46EB783F"/>
    <w:rsid w:val="46EC05D8"/>
    <w:rsid w:val="46ED7A5B"/>
    <w:rsid w:val="46ED7FD2"/>
    <w:rsid w:val="46EE4786"/>
    <w:rsid w:val="46F000D2"/>
    <w:rsid w:val="46F030A7"/>
    <w:rsid w:val="46F34946"/>
    <w:rsid w:val="46F506BE"/>
    <w:rsid w:val="46F522DA"/>
    <w:rsid w:val="46F62029"/>
    <w:rsid w:val="46F74436"/>
    <w:rsid w:val="46FA5CD4"/>
    <w:rsid w:val="46FA7D6B"/>
    <w:rsid w:val="46FC3323"/>
    <w:rsid w:val="46FD7882"/>
    <w:rsid w:val="46FF61BD"/>
    <w:rsid w:val="470628CB"/>
    <w:rsid w:val="4707219F"/>
    <w:rsid w:val="47094169"/>
    <w:rsid w:val="470B1C8F"/>
    <w:rsid w:val="470C526B"/>
    <w:rsid w:val="470D3C59"/>
    <w:rsid w:val="470E1780"/>
    <w:rsid w:val="470F240B"/>
    <w:rsid w:val="471057A1"/>
    <w:rsid w:val="47115080"/>
    <w:rsid w:val="47121221"/>
    <w:rsid w:val="47150D60"/>
    <w:rsid w:val="47176886"/>
    <w:rsid w:val="47177FE7"/>
    <w:rsid w:val="471A1ED2"/>
    <w:rsid w:val="471C20EE"/>
    <w:rsid w:val="47262F6D"/>
    <w:rsid w:val="472745EF"/>
    <w:rsid w:val="4728079F"/>
    <w:rsid w:val="472E3BD0"/>
    <w:rsid w:val="47305B9A"/>
    <w:rsid w:val="47307948"/>
    <w:rsid w:val="4733772F"/>
    <w:rsid w:val="47372A84"/>
    <w:rsid w:val="47376F28"/>
    <w:rsid w:val="47392CA0"/>
    <w:rsid w:val="47394A4E"/>
    <w:rsid w:val="473A07C7"/>
    <w:rsid w:val="473A2575"/>
    <w:rsid w:val="473C5A42"/>
    <w:rsid w:val="473E2C29"/>
    <w:rsid w:val="473F7677"/>
    <w:rsid w:val="47433509"/>
    <w:rsid w:val="47434B02"/>
    <w:rsid w:val="474447E8"/>
    <w:rsid w:val="47486A40"/>
    <w:rsid w:val="474B4782"/>
    <w:rsid w:val="474D4056"/>
    <w:rsid w:val="474E7DCE"/>
    <w:rsid w:val="47520928"/>
    <w:rsid w:val="47521BE9"/>
    <w:rsid w:val="47523B4A"/>
    <w:rsid w:val="47546C80"/>
    <w:rsid w:val="475573AE"/>
    <w:rsid w:val="47574ED5"/>
    <w:rsid w:val="47590C4D"/>
    <w:rsid w:val="475A2ACE"/>
    <w:rsid w:val="475A49C5"/>
    <w:rsid w:val="475C24EB"/>
    <w:rsid w:val="475C4911"/>
    <w:rsid w:val="475E48C6"/>
    <w:rsid w:val="475F71FF"/>
    <w:rsid w:val="4760647F"/>
    <w:rsid w:val="47640ED8"/>
    <w:rsid w:val="47655050"/>
    <w:rsid w:val="47677085"/>
    <w:rsid w:val="47694F1C"/>
    <w:rsid w:val="476B2D31"/>
    <w:rsid w:val="476B4E24"/>
    <w:rsid w:val="476C56FD"/>
    <w:rsid w:val="476D1B91"/>
    <w:rsid w:val="476D39CC"/>
    <w:rsid w:val="476F0470"/>
    <w:rsid w:val="477041E8"/>
    <w:rsid w:val="47737835"/>
    <w:rsid w:val="47744EFD"/>
    <w:rsid w:val="47777325"/>
    <w:rsid w:val="47794E4B"/>
    <w:rsid w:val="477A6E15"/>
    <w:rsid w:val="477B77F0"/>
    <w:rsid w:val="477E06B3"/>
    <w:rsid w:val="477E64AB"/>
    <w:rsid w:val="477E6905"/>
    <w:rsid w:val="477F4A60"/>
    <w:rsid w:val="47801562"/>
    <w:rsid w:val="478060F5"/>
    <w:rsid w:val="47835CCA"/>
    <w:rsid w:val="478364D6"/>
    <w:rsid w:val="47855EE6"/>
    <w:rsid w:val="47881532"/>
    <w:rsid w:val="478C7274"/>
    <w:rsid w:val="47905A6E"/>
    <w:rsid w:val="479156C5"/>
    <w:rsid w:val="47923502"/>
    <w:rsid w:val="47951367"/>
    <w:rsid w:val="479738E7"/>
    <w:rsid w:val="479779C7"/>
    <w:rsid w:val="479A3013"/>
    <w:rsid w:val="479B30C4"/>
    <w:rsid w:val="479E2B1E"/>
    <w:rsid w:val="479E77BF"/>
    <w:rsid w:val="479F672B"/>
    <w:rsid w:val="47A10049"/>
    <w:rsid w:val="47A112C4"/>
    <w:rsid w:val="47A27A39"/>
    <w:rsid w:val="47A434E8"/>
    <w:rsid w:val="47A60E8E"/>
    <w:rsid w:val="47A63E71"/>
    <w:rsid w:val="47AD71EA"/>
    <w:rsid w:val="47AD788C"/>
    <w:rsid w:val="47AF4D11"/>
    <w:rsid w:val="47B02837"/>
    <w:rsid w:val="47B05F6F"/>
    <w:rsid w:val="47B14B6A"/>
    <w:rsid w:val="47B16CDB"/>
    <w:rsid w:val="47B26AE0"/>
    <w:rsid w:val="47B33460"/>
    <w:rsid w:val="47B35534"/>
    <w:rsid w:val="47B37D01"/>
    <w:rsid w:val="47B40579"/>
    <w:rsid w:val="47B67647"/>
    <w:rsid w:val="47B705CB"/>
    <w:rsid w:val="47BA1077"/>
    <w:rsid w:val="47BC11DC"/>
    <w:rsid w:val="47BE6D02"/>
    <w:rsid w:val="47C00CCC"/>
    <w:rsid w:val="47C06F1E"/>
    <w:rsid w:val="47C14A44"/>
    <w:rsid w:val="47C307BC"/>
    <w:rsid w:val="47C3362C"/>
    <w:rsid w:val="47C36A0E"/>
    <w:rsid w:val="47C421B2"/>
    <w:rsid w:val="47C562E2"/>
    <w:rsid w:val="47C8374D"/>
    <w:rsid w:val="47CA000E"/>
    <w:rsid w:val="47CB7671"/>
    <w:rsid w:val="47CC58C3"/>
    <w:rsid w:val="47CD4126"/>
    <w:rsid w:val="47CF38C5"/>
    <w:rsid w:val="47CF53B3"/>
    <w:rsid w:val="47CF7161"/>
    <w:rsid w:val="47D20E71"/>
    <w:rsid w:val="47D31FCF"/>
    <w:rsid w:val="47D46525"/>
    <w:rsid w:val="47D6098A"/>
    <w:rsid w:val="47D67F9D"/>
    <w:rsid w:val="47D77D01"/>
    <w:rsid w:val="47D91D8D"/>
    <w:rsid w:val="47DA3B64"/>
    <w:rsid w:val="47DD63FF"/>
    <w:rsid w:val="47DE1152"/>
    <w:rsid w:val="47DE55F6"/>
    <w:rsid w:val="47DE5F6C"/>
    <w:rsid w:val="47DF7717"/>
    <w:rsid w:val="47E250E6"/>
    <w:rsid w:val="47E26E94"/>
    <w:rsid w:val="47E744AA"/>
    <w:rsid w:val="47EA0986"/>
    <w:rsid w:val="47EA3F9B"/>
    <w:rsid w:val="47EB0D8B"/>
    <w:rsid w:val="47EC1A7F"/>
    <w:rsid w:val="47EC7D13"/>
    <w:rsid w:val="47EF1057"/>
    <w:rsid w:val="47F20291"/>
    <w:rsid w:val="47F25F35"/>
    <w:rsid w:val="47F60B91"/>
    <w:rsid w:val="47F646ED"/>
    <w:rsid w:val="47F92430"/>
    <w:rsid w:val="47FC5A7C"/>
    <w:rsid w:val="47FE7A46"/>
    <w:rsid w:val="480212E4"/>
    <w:rsid w:val="48036E0A"/>
    <w:rsid w:val="48052B82"/>
    <w:rsid w:val="48065BC2"/>
    <w:rsid w:val="480B174B"/>
    <w:rsid w:val="480C05A2"/>
    <w:rsid w:val="480E5EDB"/>
    <w:rsid w:val="480F1EC9"/>
    <w:rsid w:val="481110FB"/>
    <w:rsid w:val="481132D5"/>
    <w:rsid w:val="48141018"/>
    <w:rsid w:val="48147269"/>
    <w:rsid w:val="48174664"/>
    <w:rsid w:val="4819662E"/>
    <w:rsid w:val="481A32B8"/>
    <w:rsid w:val="481C4769"/>
    <w:rsid w:val="481D7ECC"/>
    <w:rsid w:val="481E3C44"/>
    <w:rsid w:val="481E59F2"/>
    <w:rsid w:val="48217291"/>
    <w:rsid w:val="4821732C"/>
    <w:rsid w:val="48221986"/>
    <w:rsid w:val="48270D4B"/>
    <w:rsid w:val="48286871"/>
    <w:rsid w:val="4829646F"/>
    <w:rsid w:val="48297D90"/>
    <w:rsid w:val="482B6361"/>
    <w:rsid w:val="482D3655"/>
    <w:rsid w:val="48315726"/>
    <w:rsid w:val="48322FDB"/>
    <w:rsid w:val="4832775E"/>
    <w:rsid w:val="48345216"/>
    <w:rsid w:val="48374729"/>
    <w:rsid w:val="483777CA"/>
    <w:rsid w:val="483B3667"/>
    <w:rsid w:val="483C4A0D"/>
    <w:rsid w:val="483D40CA"/>
    <w:rsid w:val="48427933"/>
    <w:rsid w:val="48484E52"/>
    <w:rsid w:val="4849192D"/>
    <w:rsid w:val="484C07B1"/>
    <w:rsid w:val="484C4447"/>
    <w:rsid w:val="484E5A16"/>
    <w:rsid w:val="484E7228"/>
    <w:rsid w:val="48515DC8"/>
    <w:rsid w:val="485301B3"/>
    <w:rsid w:val="485458B8"/>
    <w:rsid w:val="485853A8"/>
    <w:rsid w:val="48597AA1"/>
    <w:rsid w:val="485B1224"/>
    <w:rsid w:val="485B27FD"/>
    <w:rsid w:val="485B6CDB"/>
    <w:rsid w:val="485D651B"/>
    <w:rsid w:val="485E2293"/>
    <w:rsid w:val="485E533F"/>
    <w:rsid w:val="485F01F2"/>
    <w:rsid w:val="4860425D"/>
    <w:rsid w:val="48617256"/>
    <w:rsid w:val="48623B31"/>
    <w:rsid w:val="48651873"/>
    <w:rsid w:val="48652586"/>
    <w:rsid w:val="48653621"/>
    <w:rsid w:val="48673685"/>
    <w:rsid w:val="486C0E54"/>
    <w:rsid w:val="486C4563"/>
    <w:rsid w:val="486D4F9E"/>
    <w:rsid w:val="486E697A"/>
    <w:rsid w:val="486F44A0"/>
    <w:rsid w:val="48733F90"/>
    <w:rsid w:val="48743864"/>
    <w:rsid w:val="487570F2"/>
    <w:rsid w:val="48787B8E"/>
    <w:rsid w:val="487A531F"/>
    <w:rsid w:val="487E491C"/>
    <w:rsid w:val="487F75A9"/>
    <w:rsid w:val="4880045B"/>
    <w:rsid w:val="488066AD"/>
    <w:rsid w:val="4886014F"/>
    <w:rsid w:val="48897310"/>
    <w:rsid w:val="488A3088"/>
    <w:rsid w:val="488C32A4"/>
    <w:rsid w:val="488C5052"/>
    <w:rsid w:val="488D341A"/>
    <w:rsid w:val="48905F2C"/>
    <w:rsid w:val="48931F3C"/>
    <w:rsid w:val="48965ED0"/>
    <w:rsid w:val="489675A2"/>
    <w:rsid w:val="48967C7F"/>
    <w:rsid w:val="489751D3"/>
    <w:rsid w:val="489A151D"/>
    <w:rsid w:val="489A40F3"/>
    <w:rsid w:val="489B7043"/>
    <w:rsid w:val="489B7854"/>
    <w:rsid w:val="489F1764"/>
    <w:rsid w:val="489F6B33"/>
    <w:rsid w:val="48A028AB"/>
    <w:rsid w:val="48A203D1"/>
    <w:rsid w:val="48A25AA1"/>
    <w:rsid w:val="48A405ED"/>
    <w:rsid w:val="48A40B02"/>
    <w:rsid w:val="48A51C70"/>
    <w:rsid w:val="48A57EC2"/>
    <w:rsid w:val="48A64365"/>
    <w:rsid w:val="48A705E4"/>
    <w:rsid w:val="48A759E8"/>
    <w:rsid w:val="48A94357"/>
    <w:rsid w:val="48AB62AA"/>
    <w:rsid w:val="48B30830"/>
    <w:rsid w:val="48B6310F"/>
    <w:rsid w:val="48B816B4"/>
    <w:rsid w:val="48B9571B"/>
    <w:rsid w:val="48BD345D"/>
    <w:rsid w:val="48BD520B"/>
    <w:rsid w:val="48BF5427"/>
    <w:rsid w:val="48C20A74"/>
    <w:rsid w:val="48C31442"/>
    <w:rsid w:val="48C37CC6"/>
    <w:rsid w:val="48C540C0"/>
    <w:rsid w:val="48C86DFF"/>
    <w:rsid w:val="48C93B11"/>
    <w:rsid w:val="48CC6C09"/>
    <w:rsid w:val="48CD034B"/>
    <w:rsid w:val="48D013E2"/>
    <w:rsid w:val="48D12A65"/>
    <w:rsid w:val="48D20056"/>
    <w:rsid w:val="48D52555"/>
    <w:rsid w:val="48DE4596"/>
    <w:rsid w:val="48E3260B"/>
    <w:rsid w:val="48E46798"/>
    <w:rsid w:val="48E520AB"/>
    <w:rsid w:val="48E704DA"/>
    <w:rsid w:val="48E72288"/>
    <w:rsid w:val="48EB0BF1"/>
    <w:rsid w:val="48EB7FCA"/>
    <w:rsid w:val="48EC5AF0"/>
    <w:rsid w:val="48EC789E"/>
    <w:rsid w:val="48F03833"/>
    <w:rsid w:val="48F055E1"/>
    <w:rsid w:val="48F14EB5"/>
    <w:rsid w:val="48F20FF1"/>
    <w:rsid w:val="48F549A5"/>
    <w:rsid w:val="48F63184"/>
    <w:rsid w:val="48F65F2A"/>
    <w:rsid w:val="48F75AD6"/>
    <w:rsid w:val="48F86243"/>
    <w:rsid w:val="48FA3736"/>
    <w:rsid w:val="48FC5BB2"/>
    <w:rsid w:val="48FF3A76"/>
    <w:rsid w:val="49047674"/>
    <w:rsid w:val="49060F7A"/>
    <w:rsid w:val="490612E6"/>
    <w:rsid w:val="49072873"/>
    <w:rsid w:val="4907292A"/>
    <w:rsid w:val="49076CCA"/>
    <w:rsid w:val="49080B7C"/>
    <w:rsid w:val="490E5212"/>
    <w:rsid w:val="4910358D"/>
    <w:rsid w:val="4913307D"/>
    <w:rsid w:val="49144E77"/>
    <w:rsid w:val="49145B48"/>
    <w:rsid w:val="491513C9"/>
    <w:rsid w:val="49153299"/>
    <w:rsid w:val="4916491B"/>
    <w:rsid w:val="49177011"/>
    <w:rsid w:val="491A265E"/>
    <w:rsid w:val="491C4628"/>
    <w:rsid w:val="491C63D6"/>
    <w:rsid w:val="491F1A22"/>
    <w:rsid w:val="491F1B0A"/>
    <w:rsid w:val="49203F9B"/>
    <w:rsid w:val="49206FF2"/>
    <w:rsid w:val="492139EC"/>
    <w:rsid w:val="492359B6"/>
    <w:rsid w:val="49262DB0"/>
    <w:rsid w:val="49285EBE"/>
    <w:rsid w:val="492928A1"/>
    <w:rsid w:val="49296D45"/>
    <w:rsid w:val="492A385B"/>
    <w:rsid w:val="49314D9A"/>
    <w:rsid w:val="4933371F"/>
    <w:rsid w:val="493A4AAE"/>
    <w:rsid w:val="493C685D"/>
    <w:rsid w:val="493C7D30"/>
    <w:rsid w:val="49404145"/>
    <w:rsid w:val="49413E94"/>
    <w:rsid w:val="49417BEA"/>
    <w:rsid w:val="49431BB4"/>
    <w:rsid w:val="49456FB3"/>
    <w:rsid w:val="494724F8"/>
    <w:rsid w:val="494910C3"/>
    <w:rsid w:val="494B3812"/>
    <w:rsid w:val="494D7D27"/>
    <w:rsid w:val="495042D1"/>
    <w:rsid w:val="495054CB"/>
    <w:rsid w:val="495518E8"/>
    <w:rsid w:val="49553696"/>
    <w:rsid w:val="49555444"/>
    <w:rsid w:val="49562BAB"/>
    <w:rsid w:val="495777FB"/>
    <w:rsid w:val="495A51F3"/>
    <w:rsid w:val="495A72F9"/>
    <w:rsid w:val="495F4F39"/>
    <w:rsid w:val="496168F1"/>
    <w:rsid w:val="496174D0"/>
    <w:rsid w:val="49627B61"/>
    <w:rsid w:val="49635E64"/>
    <w:rsid w:val="496460B1"/>
    <w:rsid w:val="496B110B"/>
    <w:rsid w:val="496B2EB9"/>
    <w:rsid w:val="496B398E"/>
    <w:rsid w:val="496D6C31"/>
    <w:rsid w:val="49715F88"/>
    <w:rsid w:val="49747FC0"/>
    <w:rsid w:val="49757894"/>
    <w:rsid w:val="497A134E"/>
    <w:rsid w:val="497A48C5"/>
    <w:rsid w:val="497C70A9"/>
    <w:rsid w:val="497D7EC3"/>
    <w:rsid w:val="497E5570"/>
    <w:rsid w:val="49830203"/>
    <w:rsid w:val="49830438"/>
    <w:rsid w:val="49885819"/>
    <w:rsid w:val="49886CCE"/>
    <w:rsid w:val="4989189A"/>
    <w:rsid w:val="4989268A"/>
    <w:rsid w:val="498A77E3"/>
    <w:rsid w:val="498C643A"/>
    <w:rsid w:val="498E392B"/>
    <w:rsid w:val="498F4DFA"/>
    <w:rsid w:val="499046CE"/>
    <w:rsid w:val="49931E65"/>
    <w:rsid w:val="4994021E"/>
    <w:rsid w:val="499410ED"/>
    <w:rsid w:val="499441BE"/>
    <w:rsid w:val="4995520C"/>
    <w:rsid w:val="49963040"/>
    <w:rsid w:val="499E503D"/>
    <w:rsid w:val="49A168DB"/>
    <w:rsid w:val="49A308A5"/>
    <w:rsid w:val="49A33231"/>
    <w:rsid w:val="49A34BDC"/>
    <w:rsid w:val="49A66CF3"/>
    <w:rsid w:val="49A81A17"/>
    <w:rsid w:val="49A8294B"/>
    <w:rsid w:val="49A87D57"/>
    <w:rsid w:val="49AB0BC8"/>
    <w:rsid w:val="49AE7010"/>
    <w:rsid w:val="49B06B1E"/>
    <w:rsid w:val="49B20AE8"/>
    <w:rsid w:val="49B27663"/>
    <w:rsid w:val="49B361E0"/>
    <w:rsid w:val="49B42429"/>
    <w:rsid w:val="49B503C3"/>
    <w:rsid w:val="49B62E33"/>
    <w:rsid w:val="49B91DF3"/>
    <w:rsid w:val="49BB5BEF"/>
    <w:rsid w:val="49BE123B"/>
    <w:rsid w:val="49BE21AE"/>
    <w:rsid w:val="49BE748D"/>
    <w:rsid w:val="49C16F7D"/>
    <w:rsid w:val="49C34AA3"/>
    <w:rsid w:val="49C83E68"/>
    <w:rsid w:val="49CB5506"/>
    <w:rsid w:val="49CE3D13"/>
    <w:rsid w:val="49D4280C"/>
    <w:rsid w:val="49D7054F"/>
    <w:rsid w:val="49D722FD"/>
    <w:rsid w:val="49D82FAF"/>
    <w:rsid w:val="49DB1DED"/>
    <w:rsid w:val="49DB4ABE"/>
    <w:rsid w:val="49DC6E4B"/>
    <w:rsid w:val="49DC7264"/>
    <w:rsid w:val="49DE7B2F"/>
    <w:rsid w:val="49DF1D43"/>
    <w:rsid w:val="49E04557"/>
    <w:rsid w:val="49E113CD"/>
    <w:rsid w:val="49E119A8"/>
    <w:rsid w:val="49E14F29"/>
    <w:rsid w:val="49E60786"/>
    <w:rsid w:val="49E862B8"/>
    <w:rsid w:val="49E94147"/>
    <w:rsid w:val="49EA2030"/>
    <w:rsid w:val="49EB1754"/>
    <w:rsid w:val="49EC0D0F"/>
    <w:rsid w:val="49F033BE"/>
    <w:rsid w:val="49F41101"/>
    <w:rsid w:val="49F50475"/>
    <w:rsid w:val="49F562AD"/>
    <w:rsid w:val="49F96717"/>
    <w:rsid w:val="49FA5FEB"/>
    <w:rsid w:val="49FB3E82"/>
    <w:rsid w:val="49FB423D"/>
    <w:rsid w:val="49FC7FB5"/>
    <w:rsid w:val="49FE1F7F"/>
    <w:rsid w:val="4A005CD9"/>
    <w:rsid w:val="4A02381D"/>
    <w:rsid w:val="4A042B96"/>
    <w:rsid w:val="4A051A53"/>
    <w:rsid w:val="4A060802"/>
    <w:rsid w:val="4A076836"/>
    <w:rsid w:val="4A0A4260"/>
    <w:rsid w:val="4A0A6440"/>
    <w:rsid w:val="4A0A7544"/>
    <w:rsid w:val="4A0B01F8"/>
    <w:rsid w:val="4A0B0B6D"/>
    <w:rsid w:val="4A0B1FA6"/>
    <w:rsid w:val="4A0B31A3"/>
    <w:rsid w:val="4A0C4AF8"/>
    <w:rsid w:val="4A0C644A"/>
    <w:rsid w:val="4A0D5E02"/>
    <w:rsid w:val="4A0D7AE9"/>
    <w:rsid w:val="4A0F1A96"/>
    <w:rsid w:val="4A0F5443"/>
    <w:rsid w:val="4A0F76E1"/>
    <w:rsid w:val="4A1059A1"/>
    <w:rsid w:val="4A11580F"/>
    <w:rsid w:val="4A143D56"/>
    <w:rsid w:val="4A1452FF"/>
    <w:rsid w:val="4A156F01"/>
    <w:rsid w:val="4A157D1B"/>
    <w:rsid w:val="4A161077"/>
    <w:rsid w:val="4A1B4FE6"/>
    <w:rsid w:val="4A1E3F87"/>
    <w:rsid w:val="4A1F6116"/>
    <w:rsid w:val="4A216D1C"/>
    <w:rsid w:val="4A2229E8"/>
    <w:rsid w:val="4A227A1C"/>
    <w:rsid w:val="4A237F30"/>
    <w:rsid w:val="4A25750C"/>
    <w:rsid w:val="4A266DE0"/>
    <w:rsid w:val="4A2819C9"/>
    <w:rsid w:val="4A2B43F6"/>
    <w:rsid w:val="4A3236BC"/>
    <w:rsid w:val="4A3414FD"/>
    <w:rsid w:val="4A361719"/>
    <w:rsid w:val="4A370FED"/>
    <w:rsid w:val="4A372D9B"/>
    <w:rsid w:val="4A3C6604"/>
    <w:rsid w:val="4A404346"/>
    <w:rsid w:val="4A4060F4"/>
    <w:rsid w:val="4A410A45"/>
    <w:rsid w:val="4A422570"/>
    <w:rsid w:val="4A431740"/>
    <w:rsid w:val="4A4543C6"/>
    <w:rsid w:val="4A455A4A"/>
    <w:rsid w:val="4A471230"/>
    <w:rsid w:val="4A477482"/>
    <w:rsid w:val="4A491FE5"/>
    <w:rsid w:val="4A495D52"/>
    <w:rsid w:val="4A4C2CEB"/>
    <w:rsid w:val="4A4C4A99"/>
    <w:rsid w:val="4A4E6A63"/>
    <w:rsid w:val="4A4F27DB"/>
    <w:rsid w:val="4A4F36F5"/>
    <w:rsid w:val="4A4F6337"/>
    <w:rsid w:val="4A506668"/>
    <w:rsid w:val="4A507296"/>
    <w:rsid w:val="4A513E5D"/>
    <w:rsid w:val="4A514532"/>
    <w:rsid w:val="4A516994"/>
    <w:rsid w:val="4A530323"/>
    <w:rsid w:val="4A530F91"/>
    <w:rsid w:val="4A562C5D"/>
    <w:rsid w:val="4A582AE4"/>
    <w:rsid w:val="4A582F7F"/>
    <w:rsid w:val="4A5A7640"/>
    <w:rsid w:val="4A5B1180"/>
    <w:rsid w:val="4A5D6CA6"/>
    <w:rsid w:val="4A5F26D2"/>
    <w:rsid w:val="4A6718D3"/>
    <w:rsid w:val="4A677B24"/>
    <w:rsid w:val="4A6902EC"/>
    <w:rsid w:val="4A69564B"/>
    <w:rsid w:val="4A6C6EE9"/>
    <w:rsid w:val="4A6E2C61"/>
    <w:rsid w:val="4A6F2AC4"/>
    <w:rsid w:val="4A702737"/>
    <w:rsid w:val="4A7144FF"/>
    <w:rsid w:val="4A742241"/>
    <w:rsid w:val="4A791606"/>
    <w:rsid w:val="4A7933B4"/>
    <w:rsid w:val="4A7B35D0"/>
    <w:rsid w:val="4A7D10F6"/>
    <w:rsid w:val="4A7E276F"/>
    <w:rsid w:val="4A851D59"/>
    <w:rsid w:val="4A876A56"/>
    <w:rsid w:val="4A8A736F"/>
    <w:rsid w:val="4A8A7B79"/>
    <w:rsid w:val="4A8C219C"/>
    <w:rsid w:val="4A8D175A"/>
    <w:rsid w:val="4A8E3106"/>
    <w:rsid w:val="4A903ADF"/>
    <w:rsid w:val="4A9059AA"/>
    <w:rsid w:val="4A954692"/>
    <w:rsid w:val="4A9621B8"/>
    <w:rsid w:val="4A9800BE"/>
    <w:rsid w:val="4A993A56"/>
    <w:rsid w:val="4A9D52F4"/>
    <w:rsid w:val="4AA06B93"/>
    <w:rsid w:val="4AA62FE3"/>
    <w:rsid w:val="4AA77F21"/>
    <w:rsid w:val="4AAA7A11"/>
    <w:rsid w:val="4AAD305D"/>
    <w:rsid w:val="4AAE79C0"/>
    <w:rsid w:val="4AB05D85"/>
    <w:rsid w:val="4AB12B4E"/>
    <w:rsid w:val="4AB13F10"/>
    <w:rsid w:val="4AB26EED"/>
    <w:rsid w:val="4AB33ACA"/>
    <w:rsid w:val="4AB43DE7"/>
    <w:rsid w:val="4AB47927"/>
    <w:rsid w:val="4AB7046D"/>
    <w:rsid w:val="4AB7483D"/>
    <w:rsid w:val="4AB75F76"/>
    <w:rsid w:val="4ABF10E5"/>
    <w:rsid w:val="4AC1576B"/>
    <w:rsid w:val="4AC16767"/>
    <w:rsid w:val="4AC32AFE"/>
    <w:rsid w:val="4AC46D25"/>
    <w:rsid w:val="4AC565F9"/>
    <w:rsid w:val="4AC7411F"/>
    <w:rsid w:val="4AC960E9"/>
    <w:rsid w:val="4ACB00B3"/>
    <w:rsid w:val="4ACC6C89"/>
    <w:rsid w:val="4ACD68D0"/>
    <w:rsid w:val="4AD535D1"/>
    <w:rsid w:val="4AD61BC4"/>
    <w:rsid w:val="4AD625B4"/>
    <w:rsid w:val="4AD64AE0"/>
    <w:rsid w:val="4AD74352"/>
    <w:rsid w:val="4ADF76BB"/>
    <w:rsid w:val="4AE526E3"/>
    <w:rsid w:val="4AE755E0"/>
    <w:rsid w:val="4AE87E40"/>
    <w:rsid w:val="4AEC002A"/>
    <w:rsid w:val="4AEC1DD8"/>
    <w:rsid w:val="4AEC6208"/>
    <w:rsid w:val="4AF105BB"/>
    <w:rsid w:val="4AF173EE"/>
    <w:rsid w:val="4AF33166"/>
    <w:rsid w:val="4AF40C8C"/>
    <w:rsid w:val="4AF77225"/>
    <w:rsid w:val="4AFA2747"/>
    <w:rsid w:val="4AFD2237"/>
    <w:rsid w:val="4B01549C"/>
    <w:rsid w:val="4B044791"/>
    <w:rsid w:val="4B050D33"/>
    <w:rsid w:val="4B0735C9"/>
    <w:rsid w:val="4B074E64"/>
    <w:rsid w:val="4B076C12"/>
    <w:rsid w:val="4B097F9B"/>
    <w:rsid w:val="4B0A4A82"/>
    <w:rsid w:val="4B0E1D4E"/>
    <w:rsid w:val="4B105AC6"/>
    <w:rsid w:val="4B1347D3"/>
    <w:rsid w:val="4B1530DD"/>
    <w:rsid w:val="4B18665E"/>
    <w:rsid w:val="4B1A0514"/>
    <w:rsid w:val="4B1B735F"/>
    <w:rsid w:val="4B1E62D9"/>
    <w:rsid w:val="4B1F03FF"/>
    <w:rsid w:val="4B1F3F5B"/>
    <w:rsid w:val="4B2006E5"/>
    <w:rsid w:val="4B217CD3"/>
    <w:rsid w:val="4B2206E7"/>
    <w:rsid w:val="4B221C9D"/>
    <w:rsid w:val="4B226BBF"/>
    <w:rsid w:val="4B241572"/>
    <w:rsid w:val="4B257098"/>
    <w:rsid w:val="4B257E5A"/>
    <w:rsid w:val="4B2751B2"/>
    <w:rsid w:val="4B296B88"/>
    <w:rsid w:val="4B2D09CB"/>
    <w:rsid w:val="4B307F16"/>
    <w:rsid w:val="4B3240B3"/>
    <w:rsid w:val="4B3519D1"/>
    <w:rsid w:val="4B3544BD"/>
    <w:rsid w:val="4B3612A5"/>
    <w:rsid w:val="4B3A6458"/>
    <w:rsid w:val="4B3D4425"/>
    <w:rsid w:val="4B3D6AD7"/>
    <w:rsid w:val="4B3F45FD"/>
    <w:rsid w:val="4B3F63AB"/>
    <w:rsid w:val="4B404E95"/>
    <w:rsid w:val="4B407D12"/>
    <w:rsid w:val="4B4343A3"/>
    <w:rsid w:val="4B436937"/>
    <w:rsid w:val="4B455725"/>
    <w:rsid w:val="4B4A79AF"/>
    <w:rsid w:val="4B591900"/>
    <w:rsid w:val="4B5972F6"/>
    <w:rsid w:val="4B5A1437"/>
    <w:rsid w:val="4B5C6C70"/>
    <w:rsid w:val="4B5D6832"/>
    <w:rsid w:val="4B5E27BB"/>
    <w:rsid w:val="4B60476F"/>
    <w:rsid w:val="4B626FF1"/>
    <w:rsid w:val="4B63341F"/>
    <w:rsid w:val="4B69318E"/>
    <w:rsid w:val="4B6A69C7"/>
    <w:rsid w:val="4B6B71A0"/>
    <w:rsid w:val="4B6C3116"/>
    <w:rsid w:val="4B6C67EC"/>
    <w:rsid w:val="4B6D0ACA"/>
    <w:rsid w:val="4B6F4854"/>
    <w:rsid w:val="4B756C16"/>
    <w:rsid w:val="4B771FE9"/>
    <w:rsid w:val="4B773D97"/>
    <w:rsid w:val="4B7778F3"/>
    <w:rsid w:val="4B7819AE"/>
    <w:rsid w:val="4B784BAB"/>
    <w:rsid w:val="4B787A3F"/>
    <w:rsid w:val="4B797B0F"/>
    <w:rsid w:val="4B7A5635"/>
    <w:rsid w:val="4B7C13AE"/>
    <w:rsid w:val="4B7F6B5E"/>
    <w:rsid w:val="4B83098E"/>
    <w:rsid w:val="4B8402B1"/>
    <w:rsid w:val="4B874E28"/>
    <w:rsid w:val="4B897627"/>
    <w:rsid w:val="4B8B339F"/>
    <w:rsid w:val="4B8E0947"/>
    <w:rsid w:val="4B8F061D"/>
    <w:rsid w:val="4B906C07"/>
    <w:rsid w:val="4B9304A5"/>
    <w:rsid w:val="4B931AB6"/>
    <w:rsid w:val="4B97466D"/>
    <w:rsid w:val="4B9777E8"/>
    <w:rsid w:val="4B9A4C52"/>
    <w:rsid w:val="4B9D30D2"/>
    <w:rsid w:val="4B9F6E4A"/>
    <w:rsid w:val="4BA426B2"/>
    <w:rsid w:val="4BAB57EF"/>
    <w:rsid w:val="4BAC4274"/>
    <w:rsid w:val="4BAF1783"/>
    <w:rsid w:val="4BB24DCF"/>
    <w:rsid w:val="4BB64B5D"/>
    <w:rsid w:val="4BB85574"/>
    <w:rsid w:val="4BB86CCB"/>
    <w:rsid w:val="4BBA0A13"/>
    <w:rsid w:val="4BBA1ED6"/>
    <w:rsid w:val="4BBC5046"/>
    <w:rsid w:val="4BBC5C4E"/>
    <w:rsid w:val="4BBF74EC"/>
    <w:rsid w:val="4BC01555"/>
    <w:rsid w:val="4BC32230"/>
    <w:rsid w:val="4BC345EB"/>
    <w:rsid w:val="4BC468B1"/>
    <w:rsid w:val="4BC66B09"/>
    <w:rsid w:val="4BC863A1"/>
    <w:rsid w:val="4BC879CC"/>
    <w:rsid w:val="4BCC5D64"/>
    <w:rsid w:val="4BCC6947"/>
    <w:rsid w:val="4BCE14DD"/>
    <w:rsid w:val="4BCE41B0"/>
    <w:rsid w:val="4BCE6ED7"/>
    <w:rsid w:val="4BCE772F"/>
    <w:rsid w:val="4BCF3098"/>
    <w:rsid w:val="4BD50ABE"/>
    <w:rsid w:val="4BD72A88"/>
    <w:rsid w:val="4BD9235C"/>
    <w:rsid w:val="4BDC009E"/>
    <w:rsid w:val="4BDC1E4C"/>
    <w:rsid w:val="4BDC3BFA"/>
    <w:rsid w:val="4BDD61C3"/>
    <w:rsid w:val="4BDF193C"/>
    <w:rsid w:val="4BE05B04"/>
    <w:rsid w:val="4BE06F19"/>
    <w:rsid w:val="4BE10A59"/>
    <w:rsid w:val="4BE11211"/>
    <w:rsid w:val="4BE551A5"/>
    <w:rsid w:val="4BE94734"/>
    <w:rsid w:val="4BEB03BD"/>
    <w:rsid w:val="4BEC797C"/>
    <w:rsid w:val="4BED4669"/>
    <w:rsid w:val="4BEF1B80"/>
    <w:rsid w:val="4BF03B4A"/>
    <w:rsid w:val="4BF21670"/>
    <w:rsid w:val="4BF31A94"/>
    <w:rsid w:val="4BF4363A"/>
    <w:rsid w:val="4BF65692"/>
    <w:rsid w:val="4BF65B0C"/>
    <w:rsid w:val="4BF76C86"/>
    <w:rsid w:val="4BF90723"/>
    <w:rsid w:val="4BFA22D2"/>
    <w:rsid w:val="4BFB49C8"/>
    <w:rsid w:val="4BFC429C"/>
    <w:rsid w:val="4BFD4B47"/>
    <w:rsid w:val="4BFE26DE"/>
    <w:rsid w:val="4BFE5D3C"/>
    <w:rsid w:val="4C0A0767"/>
    <w:rsid w:val="4C0C0983"/>
    <w:rsid w:val="4C0D4452"/>
    <w:rsid w:val="4C0E4C32"/>
    <w:rsid w:val="4C100A3E"/>
    <w:rsid w:val="4C10198D"/>
    <w:rsid w:val="4C101AF6"/>
    <w:rsid w:val="4C104CFE"/>
    <w:rsid w:val="4C121D12"/>
    <w:rsid w:val="4C124959"/>
    <w:rsid w:val="4C133023"/>
    <w:rsid w:val="4C14361A"/>
    <w:rsid w:val="4C1C66ED"/>
    <w:rsid w:val="4C1E4213"/>
    <w:rsid w:val="4C1F021C"/>
    <w:rsid w:val="4C2630C7"/>
    <w:rsid w:val="4C2757BD"/>
    <w:rsid w:val="4C2832E3"/>
    <w:rsid w:val="4C286E40"/>
    <w:rsid w:val="4C294CD7"/>
    <w:rsid w:val="4C2D26A8"/>
    <w:rsid w:val="4C2D4456"/>
    <w:rsid w:val="4C2E255A"/>
    <w:rsid w:val="4C2E790B"/>
    <w:rsid w:val="4C312198"/>
    <w:rsid w:val="4C327CBE"/>
    <w:rsid w:val="4C3604B4"/>
    <w:rsid w:val="4C393C27"/>
    <w:rsid w:val="4C3C0B3D"/>
    <w:rsid w:val="4C3E6427"/>
    <w:rsid w:val="4C3F6085"/>
    <w:rsid w:val="4C3F755B"/>
    <w:rsid w:val="4C404189"/>
    <w:rsid w:val="4C407DF8"/>
    <w:rsid w:val="4C4243A5"/>
    <w:rsid w:val="4C431ECB"/>
    <w:rsid w:val="4C4579F1"/>
    <w:rsid w:val="4C481290"/>
    <w:rsid w:val="4C482624"/>
    <w:rsid w:val="4C486BB6"/>
    <w:rsid w:val="4C4C13DC"/>
    <w:rsid w:val="4C4C5224"/>
    <w:rsid w:val="4C4C6FD2"/>
    <w:rsid w:val="4C4D53AE"/>
    <w:rsid w:val="4C4F15F1"/>
    <w:rsid w:val="4C51283A"/>
    <w:rsid w:val="4C5145E8"/>
    <w:rsid w:val="4C520F1C"/>
    <w:rsid w:val="4C52210E"/>
    <w:rsid w:val="4C5405D8"/>
    <w:rsid w:val="4C54511D"/>
    <w:rsid w:val="4C545E87"/>
    <w:rsid w:val="4C547C35"/>
    <w:rsid w:val="4C5B7215"/>
    <w:rsid w:val="4C5C4D3B"/>
    <w:rsid w:val="4C5D11DF"/>
    <w:rsid w:val="4C602A7D"/>
    <w:rsid w:val="4C60482B"/>
    <w:rsid w:val="4C605F87"/>
    <w:rsid w:val="4C6111C2"/>
    <w:rsid w:val="4C6267F5"/>
    <w:rsid w:val="4C6528C3"/>
    <w:rsid w:val="4C681391"/>
    <w:rsid w:val="4C681932"/>
    <w:rsid w:val="4C6D519A"/>
    <w:rsid w:val="4C715F73"/>
    <w:rsid w:val="4C7223A4"/>
    <w:rsid w:val="4C722884"/>
    <w:rsid w:val="4C726D60"/>
    <w:rsid w:val="4C755315"/>
    <w:rsid w:val="4C793B3F"/>
    <w:rsid w:val="4C7B3413"/>
    <w:rsid w:val="4C7B4735"/>
    <w:rsid w:val="4C7B78B7"/>
    <w:rsid w:val="4C7D7030"/>
    <w:rsid w:val="4C7E2F03"/>
    <w:rsid w:val="4C7F4940"/>
    <w:rsid w:val="4C8360AA"/>
    <w:rsid w:val="4C83676C"/>
    <w:rsid w:val="4C8524E4"/>
    <w:rsid w:val="4C867D7C"/>
    <w:rsid w:val="4C891FD4"/>
    <w:rsid w:val="4C892DE6"/>
    <w:rsid w:val="4C8E586B"/>
    <w:rsid w:val="4C9013CE"/>
    <w:rsid w:val="4C921698"/>
    <w:rsid w:val="4C9646F1"/>
    <w:rsid w:val="4C966BCE"/>
    <w:rsid w:val="4C975D73"/>
    <w:rsid w:val="4C980280"/>
    <w:rsid w:val="4C9826DD"/>
    <w:rsid w:val="4C9B1D07"/>
    <w:rsid w:val="4C9E5354"/>
    <w:rsid w:val="4C9E5360"/>
    <w:rsid w:val="4CA0731E"/>
    <w:rsid w:val="4CA335F2"/>
    <w:rsid w:val="4CA52920"/>
    <w:rsid w:val="4CA5386E"/>
    <w:rsid w:val="4CA706AC"/>
    <w:rsid w:val="4CA7245A"/>
    <w:rsid w:val="4CA7410C"/>
    <w:rsid w:val="4CA87F80"/>
    <w:rsid w:val="4CA94424"/>
    <w:rsid w:val="4CAC7A71"/>
    <w:rsid w:val="4CAD5597"/>
    <w:rsid w:val="4CAF6A30"/>
    <w:rsid w:val="4CB30DFF"/>
    <w:rsid w:val="4CB42157"/>
    <w:rsid w:val="4CB5540A"/>
    <w:rsid w:val="4CB6269D"/>
    <w:rsid w:val="4CBA03DF"/>
    <w:rsid w:val="4CBB4158"/>
    <w:rsid w:val="4CBB688C"/>
    <w:rsid w:val="4CBC1582"/>
    <w:rsid w:val="4CBE77A4"/>
    <w:rsid w:val="4CC0208A"/>
    <w:rsid w:val="4CC052CA"/>
    <w:rsid w:val="4CC108A9"/>
    <w:rsid w:val="4CC24137"/>
    <w:rsid w:val="4CC3195D"/>
    <w:rsid w:val="4CC36B68"/>
    <w:rsid w:val="4CC4300C"/>
    <w:rsid w:val="4CC72AFC"/>
    <w:rsid w:val="4CCB5CF0"/>
    <w:rsid w:val="4CCD5E83"/>
    <w:rsid w:val="4CD13823"/>
    <w:rsid w:val="4CD15729"/>
    <w:rsid w:val="4CD60F91"/>
    <w:rsid w:val="4CD6689C"/>
    <w:rsid w:val="4CD75D41"/>
    <w:rsid w:val="4CD86AB8"/>
    <w:rsid w:val="4CD87ED1"/>
    <w:rsid w:val="4CD9638C"/>
    <w:rsid w:val="4CD97E11"/>
    <w:rsid w:val="4CDD5E7C"/>
    <w:rsid w:val="4CE27B44"/>
    <w:rsid w:val="4CE4720A"/>
    <w:rsid w:val="4CE74F4D"/>
    <w:rsid w:val="4CEA67EB"/>
    <w:rsid w:val="4CEB4DF7"/>
    <w:rsid w:val="4CEC2563"/>
    <w:rsid w:val="4CEE0B24"/>
    <w:rsid w:val="4CEF245C"/>
    <w:rsid w:val="4CEF795D"/>
    <w:rsid w:val="4CF02261"/>
    <w:rsid w:val="4CF5766A"/>
    <w:rsid w:val="4CF65190"/>
    <w:rsid w:val="4CF80F08"/>
    <w:rsid w:val="4CF82B9B"/>
    <w:rsid w:val="4CFA4C80"/>
    <w:rsid w:val="4CFC3A52"/>
    <w:rsid w:val="4CFE133B"/>
    <w:rsid w:val="4CFF4044"/>
    <w:rsid w:val="4D0258E3"/>
    <w:rsid w:val="4D057181"/>
    <w:rsid w:val="4D066599"/>
    <w:rsid w:val="4D072E8F"/>
    <w:rsid w:val="4D0838AD"/>
    <w:rsid w:val="4D094EC3"/>
    <w:rsid w:val="4D0B0C3B"/>
    <w:rsid w:val="4D0C050F"/>
    <w:rsid w:val="4D0C5871"/>
    <w:rsid w:val="4D0C6761"/>
    <w:rsid w:val="4D0E1E67"/>
    <w:rsid w:val="4D0F1621"/>
    <w:rsid w:val="4D0F3528"/>
    <w:rsid w:val="4D0F5EA3"/>
    <w:rsid w:val="4D147929"/>
    <w:rsid w:val="4D176FE7"/>
    <w:rsid w:val="4D186EB4"/>
    <w:rsid w:val="4D1A10FE"/>
    <w:rsid w:val="4D1A26A7"/>
    <w:rsid w:val="4D1D271C"/>
    <w:rsid w:val="4D1E57EE"/>
    <w:rsid w:val="4D201FD7"/>
    <w:rsid w:val="4D223028"/>
    <w:rsid w:val="4D245859"/>
    <w:rsid w:val="4D260FE9"/>
    <w:rsid w:val="4D2674F1"/>
    <w:rsid w:val="4D2770F7"/>
    <w:rsid w:val="4D277A78"/>
    <w:rsid w:val="4D294D99"/>
    <w:rsid w:val="4D2B4E39"/>
    <w:rsid w:val="4D2E2B7B"/>
    <w:rsid w:val="4D2E3D60"/>
    <w:rsid w:val="4D2E66D8"/>
    <w:rsid w:val="4D302450"/>
    <w:rsid w:val="4D3161C8"/>
    <w:rsid w:val="4D322BAA"/>
    <w:rsid w:val="4D3335ED"/>
    <w:rsid w:val="4D341814"/>
    <w:rsid w:val="4D39639D"/>
    <w:rsid w:val="4D3A1520"/>
    <w:rsid w:val="4D3A5CC6"/>
    <w:rsid w:val="4D3C597F"/>
    <w:rsid w:val="4D3D41B0"/>
    <w:rsid w:val="4D3D691B"/>
    <w:rsid w:val="4D4363C0"/>
    <w:rsid w:val="4D44414D"/>
    <w:rsid w:val="4D445EFB"/>
    <w:rsid w:val="4D455430"/>
    <w:rsid w:val="4D4963F2"/>
    <w:rsid w:val="4D4E6D7A"/>
    <w:rsid w:val="4D4F5852"/>
    <w:rsid w:val="4D4F75EE"/>
    <w:rsid w:val="4D52686A"/>
    <w:rsid w:val="4D534B94"/>
    <w:rsid w:val="4D543701"/>
    <w:rsid w:val="4D545C59"/>
    <w:rsid w:val="4D551EB6"/>
    <w:rsid w:val="4D560112"/>
    <w:rsid w:val="4D571ED5"/>
    <w:rsid w:val="4D58092E"/>
    <w:rsid w:val="4D583754"/>
    <w:rsid w:val="4D5A127B"/>
    <w:rsid w:val="4D5C310F"/>
    <w:rsid w:val="4D5D520F"/>
    <w:rsid w:val="4D5F0F87"/>
    <w:rsid w:val="4D64034B"/>
    <w:rsid w:val="4D64659D"/>
    <w:rsid w:val="4D6473B4"/>
    <w:rsid w:val="4D661B5A"/>
    <w:rsid w:val="4D662315"/>
    <w:rsid w:val="4D665026"/>
    <w:rsid w:val="4D693B73"/>
    <w:rsid w:val="4D6B16DA"/>
    <w:rsid w:val="4D6D0D6D"/>
    <w:rsid w:val="4D6E6A5E"/>
    <w:rsid w:val="4D700A9E"/>
    <w:rsid w:val="4D710BC6"/>
    <w:rsid w:val="4D714816"/>
    <w:rsid w:val="4D717D7D"/>
    <w:rsid w:val="4D7447F7"/>
    <w:rsid w:val="4D754306"/>
    <w:rsid w:val="4D7D140D"/>
    <w:rsid w:val="4D7E3D3A"/>
    <w:rsid w:val="4D804F75"/>
    <w:rsid w:val="4D812262"/>
    <w:rsid w:val="4D826A23"/>
    <w:rsid w:val="4D8373D7"/>
    <w:rsid w:val="4D87403A"/>
    <w:rsid w:val="4D875DE8"/>
    <w:rsid w:val="4D8819E2"/>
    <w:rsid w:val="4D896004"/>
    <w:rsid w:val="4D8B5B0D"/>
    <w:rsid w:val="4D8D7A93"/>
    <w:rsid w:val="4D8E2AB6"/>
    <w:rsid w:val="4D925D8E"/>
    <w:rsid w:val="4D9512C6"/>
    <w:rsid w:val="4D966842"/>
    <w:rsid w:val="4D9724CF"/>
    <w:rsid w:val="4D994832"/>
    <w:rsid w:val="4D9D0A83"/>
    <w:rsid w:val="4DA1313B"/>
    <w:rsid w:val="4DA1334D"/>
    <w:rsid w:val="4DA13B09"/>
    <w:rsid w:val="4DA21824"/>
    <w:rsid w:val="4DA22C22"/>
    <w:rsid w:val="4DA23822"/>
    <w:rsid w:val="4DA5343B"/>
    <w:rsid w:val="4DA8648A"/>
    <w:rsid w:val="4DA90454"/>
    <w:rsid w:val="4DA93FB0"/>
    <w:rsid w:val="4DAB53B6"/>
    <w:rsid w:val="4DAB7D28"/>
    <w:rsid w:val="4DAD1D19"/>
    <w:rsid w:val="4DAE7818"/>
    <w:rsid w:val="4DB324AF"/>
    <w:rsid w:val="4DB56DF9"/>
    <w:rsid w:val="4DB61CC2"/>
    <w:rsid w:val="4DB84313"/>
    <w:rsid w:val="4DB924F6"/>
    <w:rsid w:val="4DBA0643"/>
    <w:rsid w:val="4DBA4883"/>
    <w:rsid w:val="4DBB2012"/>
    <w:rsid w:val="4DBC2102"/>
    <w:rsid w:val="4DBD215C"/>
    <w:rsid w:val="4DBF5232"/>
    <w:rsid w:val="4DC21ABB"/>
    <w:rsid w:val="4DC25072"/>
    <w:rsid w:val="4DC42B98"/>
    <w:rsid w:val="4DC4703C"/>
    <w:rsid w:val="4DC71375"/>
    <w:rsid w:val="4DC86B2C"/>
    <w:rsid w:val="4DC92B7A"/>
    <w:rsid w:val="4DCB42A8"/>
    <w:rsid w:val="4DCE3A17"/>
    <w:rsid w:val="4DCF093C"/>
    <w:rsid w:val="4DD03C33"/>
    <w:rsid w:val="4DD311EA"/>
    <w:rsid w:val="4DD86643"/>
    <w:rsid w:val="4DDA23BB"/>
    <w:rsid w:val="4DDA2D9C"/>
    <w:rsid w:val="4DE2119A"/>
    <w:rsid w:val="4DE44FE8"/>
    <w:rsid w:val="4DE66FB2"/>
    <w:rsid w:val="4DE82D2A"/>
    <w:rsid w:val="4DE90A01"/>
    <w:rsid w:val="4DED2FB5"/>
    <w:rsid w:val="4DEF206E"/>
    <w:rsid w:val="4DF06B51"/>
    <w:rsid w:val="4DF14773"/>
    <w:rsid w:val="4DF218C5"/>
    <w:rsid w:val="4DF416CF"/>
    <w:rsid w:val="4DF55447"/>
    <w:rsid w:val="4DF5709E"/>
    <w:rsid w:val="4DF571F5"/>
    <w:rsid w:val="4DF80A94"/>
    <w:rsid w:val="4DF84F73"/>
    <w:rsid w:val="4DFC02CA"/>
    <w:rsid w:val="4DFC4AC6"/>
    <w:rsid w:val="4DFD4457"/>
    <w:rsid w:val="4DFF04B8"/>
    <w:rsid w:val="4DFF3484"/>
    <w:rsid w:val="4E0062C6"/>
    <w:rsid w:val="4E017F9B"/>
    <w:rsid w:val="4E0336C0"/>
    <w:rsid w:val="4E04568A"/>
    <w:rsid w:val="4E0559F7"/>
    <w:rsid w:val="4E055CD0"/>
    <w:rsid w:val="4E061402"/>
    <w:rsid w:val="4E073C92"/>
    <w:rsid w:val="4E07508C"/>
    <w:rsid w:val="4E0830BF"/>
    <w:rsid w:val="4E08517B"/>
    <w:rsid w:val="4E0B41FA"/>
    <w:rsid w:val="4E0D09E3"/>
    <w:rsid w:val="4E102185"/>
    <w:rsid w:val="4E105835"/>
    <w:rsid w:val="4E115F4C"/>
    <w:rsid w:val="4E164FFE"/>
    <w:rsid w:val="4E166EC4"/>
    <w:rsid w:val="4E1842B0"/>
    <w:rsid w:val="4E1D74E5"/>
    <w:rsid w:val="4E1E04FA"/>
    <w:rsid w:val="4E1F24C4"/>
    <w:rsid w:val="4E2009B9"/>
    <w:rsid w:val="4E254C41"/>
    <w:rsid w:val="4E257ADB"/>
    <w:rsid w:val="4E2A3343"/>
    <w:rsid w:val="4E2D1D8D"/>
    <w:rsid w:val="4E2E44B5"/>
    <w:rsid w:val="4E307B7D"/>
    <w:rsid w:val="4E335C67"/>
    <w:rsid w:val="4E341CC8"/>
    <w:rsid w:val="4E347D1E"/>
    <w:rsid w:val="4E37780E"/>
    <w:rsid w:val="4E41068C"/>
    <w:rsid w:val="4E473098"/>
    <w:rsid w:val="4E481A1B"/>
    <w:rsid w:val="4E481E04"/>
    <w:rsid w:val="4E485577"/>
    <w:rsid w:val="4E4F1CA6"/>
    <w:rsid w:val="4E5008D0"/>
    <w:rsid w:val="4E515DC4"/>
    <w:rsid w:val="4E516B22"/>
    <w:rsid w:val="4E5403C0"/>
    <w:rsid w:val="4E546612"/>
    <w:rsid w:val="4E576029"/>
    <w:rsid w:val="4E593C28"/>
    <w:rsid w:val="4E5B34FC"/>
    <w:rsid w:val="4E5B79A0"/>
    <w:rsid w:val="4E5D76F2"/>
    <w:rsid w:val="4E5E2FEC"/>
    <w:rsid w:val="4E652928"/>
    <w:rsid w:val="4E654842"/>
    <w:rsid w:val="4E657343"/>
    <w:rsid w:val="4E67043A"/>
    <w:rsid w:val="4E686959"/>
    <w:rsid w:val="4E6879C7"/>
    <w:rsid w:val="4E6A373F"/>
    <w:rsid w:val="4E710F72"/>
    <w:rsid w:val="4E7319B9"/>
    <w:rsid w:val="4E742810"/>
    <w:rsid w:val="4E74458A"/>
    <w:rsid w:val="4E755A1A"/>
    <w:rsid w:val="4E7A6CBB"/>
    <w:rsid w:val="4E7B76FB"/>
    <w:rsid w:val="4E7C58ED"/>
    <w:rsid w:val="4E7D4DEB"/>
    <w:rsid w:val="4E7E368F"/>
    <w:rsid w:val="4E7E71EB"/>
    <w:rsid w:val="4E802F63"/>
    <w:rsid w:val="4E807407"/>
    <w:rsid w:val="4E8110AE"/>
    <w:rsid w:val="4E82001E"/>
    <w:rsid w:val="4E854A1D"/>
    <w:rsid w:val="4E862106"/>
    <w:rsid w:val="4E8642F1"/>
    <w:rsid w:val="4E870795"/>
    <w:rsid w:val="4E8928A6"/>
    <w:rsid w:val="4E8C60C7"/>
    <w:rsid w:val="4E8C7B5A"/>
    <w:rsid w:val="4E8D550C"/>
    <w:rsid w:val="4E8F59E5"/>
    <w:rsid w:val="4E913AC8"/>
    <w:rsid w:val="4E921BF3"/>
    <w:rsid w:val="4E984750"/>
    <w:rsid w:val="4E992277"/>
    <w:rsid w:val="4E9E0BE5"/>
    <w:rsid w:val="4E9F41DC"/>
    <w:rsid w:val="4EA233F4"/>
    <w:rsid w:val="4EA41F28"/>
    <w:rsid w:val="4EA6124F"/>
    <w:rsid w:val="4EA66DD5"/>
    <w:rsid w:val="4EA73BC3"/>
    <w:rsid w:val="4EA824BA"/>
    <w:rsid w:val="4EAA18FF"/>
    <w:rsid w:val="4EAC7BB2"/>
    <w:rsid w:val="4EAD187E"/>
    <w:rsid w:val="4EAD1B4A"/>
    <w:rsid w:val="4EAD7AD0"/>
    <w:rsid w:val="4EAF7709"/>
    <w:rsid w:val="4EB175C0"/>
    <w:rsid w:val="4EB26E94"/>
    <w:rsid w:val="4EB32846"/>
    <w:rsid w:val="4EB41733"/>
    <w:rsid w:val="4EB43C12"/>
    <w:rsid w:val="4EB46B62"/>
    <w:rsid w:val="4EB96475"/>
    <w:rsid w:val="4EBB043F"/>
    <w:rsid w:val="4EBB21ED"/>
    <w:rsid w:val="4EBB34D9"/>
    <w:rsid w:val="4EBC186B"/>
    <w:rsid w:val="4EBC4CF2"/>
    <w:rsid w:val="4EBD5F65"/>
    <w:rsid w:val="4EBE116A"/>
    <w:rsid w:val="4EBF7184"/>
    <w:rsid w:val="4EC03A6C"/>
    <w:rsid w:val="4EC05A55"/>
    <w:rsid w:val="4EC100CA"/>
    <w:rsid w:val="4EC15C1A"/>
    <w:rsid w:val="4EC21491"/>
    <w:rsid w:val="4EC217CD"/>
    <w:rsid w:val="4EC24B02"/>
    <w:rsid w:val="4EC92B5C"/>
    <w:rsid w:val="4ECA741E"/>
    <w:rsid w:val="4ECC43FA"/>
    <w:rsid w:val="4ECC61A8"/>
    <w:rsid w:val="4ECD7E6D"/>
    <w:rsid w:val="4ECE265E"/>
    <w:rsid w:val="4ECF5C98"/>
    <w:rsid w:val="4ED01595"/>
    <w:rsid w:val="4ED10F45"/>
    <w:rsid w:val="4ED25FA6"/>
    <w:rsid w:val="4ED67027"/>
    <w:rsid w:val="4ED676B8"/>
    <w:rsid w:val="4EDA49FD"/>
    <w:rsid w:val="4EE07004"/>
    <w:rsid w:val="4EE17B16"/>
    <w:rsid w:val="4EE31744"/>
    <w:rsid w:val="4EE36D57"/>
    <w:rsid w:val="4EE820C6"/>
    <w:rsid w:val="4EE974A6"/>
    <w:rsid w:val="4EEA4880"/>
    <w:rsid w:val="4EEC23A6"/>
    <w:rsid w:val="4EF23735"/>
    <w:rsid w:val="4EF70D4B"/>
    <w:rsid w:val="4EFA0F67"/>
    <w:rsid w:val="4EFB6C2C"/>
    <w:rsid w:val="4F007553"/>
    <w:rsid w:val="4F02606E"/>
    <w:rsid w:val="4F036945"/>
    <w:rsid w:val="4F043B94"/>
    <w:rsid w:val="4F045001"/>
    <w:rsid w:val="4F052784"/>
    <w:rsid w:val="4F061C2A"/>
    <w:rsid w:val="4F0A6A1E"/>
    <w:rsid w:val="4F0E0EE6"/>
    <w:rsid w:val="4F0E1669"/>
    <w:rsid w:val="4F0F26C5"/>
    <w:rsid w:val="4F0F42E7"/>
    <w:rsid w:val="4F133DD7"/>
    <w:rsid w:val="4F135B85"/>
    <w:rsid w:val="4F1813ED"/>
    <w:rsid w:val="4F195165"/>
    <w:rsid w:val="4F1A1903"/>
    <w:rsid w:val="4F1A3ED3"/>
    <w:rsid w:val="4F1C34EA"/>
    <w:rsid w:val="4F1D43F5"/>
    <w:rsid w:val="4F1F277C"/>
    <w:rsid w:val="4F217382"/>
    <w:rsid w:val="4F2204BE"/>
    <w:rsid w:val="4F22226C"/>
    <w:rsid w:val="4F245F2E"/>
    <w:rsid w:val="4F2558B8"/>
    <w:rsid w:val="4F275AD4"/>
    <w:rsid w:val="4F29184C"/>
    <w:rsid w:val="4F2E29BF"/>
    <w:rsid w:val="4F312B99"/>
    <w:rsid w:val="4F334479"/>
    <w:rsid w:val="4F343D4D"/>
    <w:rsid w:val="4F345086"/>
    <w:rsid w:val="4F365F97"/>
    <w:rsid w:val="4F3855EC"/>
    <w:rsid w:val="4F385868"/>
    <w:rsid w:val="4F3A4752"/>
    <w:rsid w:val="4F3B332E"/>
    <w:rsid w:val="4F3D23FD"/>
    <w:rsid w:val="4F4421E2"/>
    <w:rsid w:val="4F4426F6"/>
    <w:rsid w:val="4F462154"/>
    <w:rsid w:val="4F471CD3"/>
    <w:rsid w:val="4F477F24"/>
    <w:rsid w:val="4F493C9D"/>
    <w:rsid w:val="4F4A2F4E"/>
    <w:rsid w:val="4F4C553B"/>
    <w:rsid w:val="4F51066C"/>
    <w:rsid w:val="4F5421EB"/>
    <w:rsid w:val="4F552B8F"/>
    <w:rsid w:val="4F57031E"/>
    <w:rsid w:val="4F571077"/>
    <w:rsid w:val="4F583EE0"/>
    <w:rsid w:val="4F593DEF"/>
    <w:rsid w:val="4F5A1194"/>
    <w:rsid w:val="4F5A37B4"/>
    <w:rsid w:val="4F5A491C"/>
    <w:rsid w:val="4F5B219C"/>
    <w:rsid w:val="4F5B2E70"/>
    <w:rsid w:val="4F5C13BF"/>
    <w:rsid w:val="4F5D0DF9"/>
    <w:rsid w:val="4F5F526E"/>
    <w:rsid w:val="4F60078E"/>
    <w:rsid w:val="4F6208BA"/>
    <w:rsid w:val="4F653170"/>
    <w:rsid w:val="4F6840CF"/>
    <w:rsid w:val="4F6A04C4"/>
    <w:rsid w:val="4F6A5B52"/>
    <w:rsid w:val="4F6B59C1"/>
    <w:rsid w:val="4F6C1739"/>
    <w:rsid w:val="4F6D2D16"/>
    <w:rsid w:val="4F6F4D85"/>
    <w:rsid w:val="4F716D4F"/>
    <w:rsid w:val="4F732893"/>
    <w:rsid w:val="4F77740A"/>
    <w:rsid w:val="4F7B372A"/>
    <w:rsid w:val="4F7B673F"/>
    <w:rsid w:val="4F7D158C"/>
    <w:rsid w:val="4F7D3629"/>
    <w:rsid w:val="4F802680"/>
    <w:rsid w:val="4F806D35"/>
    <w:rsid w:val="4F815FEA"/>
    <w:rsid w:val="4F850EEC"/>
    <w:rsid w:val="4F892481"/>
    <w:rsid w:val="4F8B1BBF"/>
    <w:rsid w:val="4F8B75C2"/>
    <w:rsid w:val="4F8C3E59"/>
    <w:rsid w:val="4F8E7901"/>
    <w:rsid w:val="4F905428"/>
    <w:rsid w:val="4F9111A0"/>
    <w:rsid w:val="4F920CCB"/>
    <w:rsid w:val="4F93316A"/>
    <w:rsid w:val="4F936CC6"/>
    <w:rsid w:val="4F9452D4"/>
    <w:rsid w:val="4F950B0E"/>
    <w:rsid w:val="4F9707C8"/>
    <w:rsid w:val="4F9842DC"/>
    <w:rsid w:val="4F9B22FE"/>
    <w:rsid w:val="4F9B2AB0"/>
    <w:rsid w:val="4F9B5B7A"/>
    <w:rsid w:val="4F9F38BD"/>
    <w:rsid w:val="4F9F566B"/>
    <w:rsid w:val="4FA122AD"/>
    <w:rsid w:val="4FA204E6"/>
    <w:rsid w:val="4FA40ED3"/>
    <w:rsid w:val="4FA709C3"/>
    <w:rsid w:val="4FA7451F"/>
    <w:rsid w:val="4FAA2BC4"/>
    <w:rsid w:val="4FAB04B3"/>
    <w:rsid w:val="4FAE1D52"/>
    <w:rsid w:val="4FB07878"/>
    <w:rsid w:val="4FB32981"/>
    <w:rsid w:val="4FB37368"/>
    <w:rsid w:val="4FB42608"/>
    <w:rsid w:val="4FB44F71"/>
    <w:rsid w:val="4FB521E8"/>
    <w:rsid w:val="4FB7572D"/>
    <w:rsid w:val="4FBC1146"/>
    <w:rsid w:val="4FBC735D"/>
    <w:rsid w:val="4FC01822"/>
    <w:rsid w:val="4FC21359"/>
    <w:rsid w:val="4FC21D40"/>
    <w:rsid w:val="4FC652ED"/>
    <w:rsid w:val="4FC74BC1"/>
    <w:rsid w:val="4FC93A55"/>
    <w:rsid w:val="4FCB46B2"/>
    <w:rsid w:val="4FCE7CFE"/>
    <w:rsid w:val="4FCF53D3"/>
    <w:rsid w:val="4FD06986"/>
    <w:rsid w:val="4FD07F1A"/>
    <w:rsid w:val="4FD317B8"/>
    <w:rsid w:val="4FD64204"/>
    <w:rsid w:val="4FD86DCF"/>
    <w:rsid w:val="4FDA078E"/>
    <w:rsid w:val="4FDA6EFE"/>
    <w:rsid w:val="4FE27D8A"/>
    <w:rsid w:val="4FE305A5"/>
    <w:rsid w:val="4FE53D49"/>
    <w:rsid w:val="4FE63299"/>
    <w:rsid w:val="4FE6773D"/>
    <w:rsid w:val="4FE90FDC"/>
    <w:rsid w:val="4FE92D8A"/>
    <w:rsid w:val="4FEC4F6F"/>
    <w:rsid w:val="4FED106B"/>
    <w:rsid w:val="4FF10AAF"/>
    <w:rsid w:val="4FF3276C"/>
    <w:rsid w:val="4FF513B0"/>
    <w:rsid w:val="4FF5552A"/>
    <w:rsid w:val="4FF7041D"/>
    <w:rsid w:val="4FF84D7B"/>
    <w:rsid w:val="4FF97471"/>
    <w:rsid w:val="4FFD032E"/>
    <w:rsid w:val="50016A57"/>
    <w:rsid w:val="50016CED"/>
    <w:rsid w:val="5003209D"/>
    <w:rsid w:val="500373A2"/>
    <w:rsid w:val="50067DD6"/>
    <w:rsid w:val="50096F88"/>
    <w:rsid w:val="500C1890"/>
    <w:rsid w:val="500C7BA7"/>
    <w:rsid w:val="500D2A67"/>
    <w:rsid w:val="500D49E0"/>
    <w:rsid w:val="500E459E"/>
    <w:rsid w:val="500F0A42"/>
    <w:rsid w:val="500F336D"/>
    <w:rsid w:val="5011725B"/>
    <w:rsid w:val="501871CB"/>
    <w:rsid w:val="501A2F43"/>
    <w:rsid w:val="501A4730"/>
    <w:rsid w:val="501B46D5"/>
    <w:rsid w:val="501C4F0D"/>
    <w:rsid w:val="50210776"/>
    <w:rsid w:val="5021122F"/>
    <w:rsid w:val="50212524"/>
    <w:rsid w:val="5023629C"/>
    <w:rsid w:val="50253947"/>
    <w:rsid w:val="502C6FAE"/>
    <w:rsid w:val="502D0EC8"/>
    <w:rsid w:val="502D14DE"/>
    <w:rsid w:val="502D45E7"/>
    <w:rsid w:val="502F4415"/>
    <w:rsid w:val="502F4EAB"/>
    <w:rsid w:val="50316EA9"/>
    <w:rsid w:val="50342257"/>
    <w:rsid w:val="50347AA2"/>
    <w:rsid w:val="503C0DF6"/>
    <w:rsid w:val="503C110B"/>
    <w:rsid w:val="503E30D6"/>
    <w:rsid w:val="503E6C32"/>
    <w:rsid w:val="503F0BFC"/>
    <w:rsid w:val="50401050"/>
    <w:rsid w:val="50416722"/>
    <w:rsid w:val="50425543"/>
    <w:rsid w:val="5043249A"/>
    <w:rsid w:val="50483F54"/>
    <w:rsid w:val="50485D02"/>
    <w:rsid w:val="504D156B"/>
    <w:rsid w:val="50504BB7"/>
    <w:rsid w:val="50526B81"/>
    <w:rsid w:val="50544866"/>
    <w:rsid w:val="50570FFD"/>
    <w:rsid w:val="50574197"/>
    <w:rsid w:val="50577CF3"/>
    <w:rsid w:val="50597248"/>
    <w:rsid w:val="505A018C"/>
    <w:rsid w:val="505C63D6"/>
    <w:rsid w:val="505C7A00"/>
    <w:rsid w:val="505F0E17"/>
    <w:rsid w:val="506003AC"/>
    <w:rsid w:val="506059D9"/>
    <w:rsid w:val="506239C4"/>
    <w:rsid w:val="50632B3C"/>
    <w:rsid w:val="50642410"/>
    <w:rsid w:val="506568B4"/>
    <w:rsid w:val="50682D5B"/>
    <w:rsid w:val="506B19F1"/>
    <w:rsid w:val="506B6974"/>
    <w:rsid w:val="506C14FB"/>
    <w:rsid w:val="506C2D45"/>
    <w:rsid w:val="506D5769"/>
    <w:rsid w:val="50713D8D"/>
    <w:rsid w:val="50717F25"/>
    <w:rsid w:val="50741C6D"/>
    <w:rsid w:val="50746AF7"/>
    <w:rsid w:val="50753279"/>
    <w:rsid w:val="5079410E"/>
    <w:rsid w:val="507B7E86"/>
    <w:rsid w:val="507C59AC"/>
    <w:rsid w:val="507C7F21"/>
    <w:rsid w:val="508036EE"/>
    <w:rsid w:val="50850D04"/>
    <w:rsid w:val="50852AB2"/>
    <w:rsid w:val="508605D9"/>
    <w:rsid w:val="508717E4"/>
    <w:rsid w:val="508A00C9"/>
    <w:rsid w:val="508B5895"/>
    <w:rsid w:val="508C7595"/>
    <w:rsid w:val="508D27A6"/>
    <w:rsid w:val="50903205"/>
    <w:rsid w:val="50950B4F"/>
    <w:rsid w:val="50964CC0"/>
    <w:rsid w:val="50975B0F"/>
    <w:rsid w:val="5099030C"/>
    <w:rsid w:val="509B22D6"/>
    <w:rsid w:val="509C1BAA"/>
    <w:rsid w:val="50A078EC"/>
    <w:rsid w:val="50A54F03"/>
    <w:rsid w:val="50A941CF"/>
    <w:rsid w:val="50AC6291"/>
    <w:rsid w:val="50AF18DD"/>
    <w:rsid w:val="50AF5D81"/>
    <w:rsid w:val="50B10C04"/>
    <w:rsid w:val="50B213CE"/>
    <w:rsid w:val="50B30AE7"/>
    <w:rsid w:val="50B41619"/>
    <w:rsid w:val="50B82E88"/>
    <w:rsid w:val="50B906AB"/>
    <w:rsid w:val="50B909AE"/>
    <w:rsid w:val="50BB2978"/>
    <w:rsid w:val="50BB3581"/>
    <w:rsid w:val="50BB4726"/>
    <w:rsid w:val="50BE284A"/>
    <w:rsid w:val="50C01D3C"/>
    <w:rsid w:val="50C270E5"/>
    <w:rsid w:val="50C505E4"/>
    <w:rsid w:val="50C636F7"/>
    <w:rsid w:val="50C730CB"/>
    <w:rsid w:val="50CA2BBB"/>
    <w:rsid w:val="50CC248F"/>
    <w:rsid w:val="50CC6933"/>
    <w:rsid w:val="50CF0550"/>
    <w:rsid w:val="50D06EDD"/>
    <w:rsid w:val="50D21A70"/>
    <w:rsid w:val="50D2312A"/>
    <w:rsid w:val="50D457E8"/>
    <w:rsid w:val="50D574E2"/>
    <w:rsid w:val="50D6330E"/>
    <w:rsid w:val="50D70E34"/>
    <w:rsid w:val="50D92DFE"/>
    <w:rsid w:val="50D97C76"/>
    <w:rsid w:val="50DA7442"/>
    <w:rsid w:val="50DB6B76"/>
    <w:rsid w:val="50DE0415"/>
    <w:rsid w:val="50E357F0"/>
    <w:rsid w:val="50E377D9"/>
    <w:rsid w:val="50E41316"/>
    <w:rsid w:val="50E752AD"/>
    <w:rsid w:val="50E95C79"/>
    <w:rsid w:val="50EA390B"/>
    <w:rsid w:val="50EC48E0"/>
    <w:rsid w:val="50EE4AFC"/>
    <w:rsid w:val="50F10148"/>
    <w:rsid w:val="50F25C6E"/>
    <w:rsid w:val="50F43DD5"/>
    <w:rsid w:val="50F449E9"/>
    <w:rsid w:val="50F47C38"/>
    <w:rsid w:val="50F762BB"/>
    <w:rsid w:val="50F87728"/>
    <w:rsid w:val="50F9443C"/>
    <w:rsid w:val="50F94D32"/>
    <w:rsid w:val="50FA5A4F"/>
    <w:rsid w:val="50FA5D76"/>
    <w:rsid w:val="50FC767B"/>
    <w:rsid w:val="50FE1162"/>
    <w:rsid w:val="50FF2509"/>
    <w:rsid w:val="51002139"/>
    <w:rsid w:val="51007C94"/>
    <w:rsid w:val="5101065B"/>
    <w:rsid w:val="51030AC8"/>
    <w:rsid w:val="510734AA"/>
    <w:rsid w:val="51085492"/>
    <w:rsid w:val="510917FD"/>
    <w:rsid w:val="51092F22"/>
    <w:rsid w:val="510A0F61"/>
    <w:rsid w:val="510C0237"/>
    <w:rsid w:val="510D0253"/>
    <w:rsid w:val="510D0454"/>
    <w:rsid w:val="510D2AA8"/>
    <w:rsid w:val="510F6820"/>
    <w:rsid w:val="511018A7"/>
    <w:rsid w:val="511124D0"/>
    <w:rsid w:val="511424AE"/>
    <w:rsid w:val="51153049"/>
    <w:rsid w:val="51164E85"/>
    <w:rsid w:val="511857E7"/>
    <w:rsid w:val="5119144D"/>
    <w:rsid w:val="511B51C5"/>
    <w:rsid w:val="511C6111"/>
    <w:rsid w:val="511D2CEB"/>
    <w:rsid w:val="511D718F"/>
    <w:rsid w:val="511E6A63"/>
    <w:rsid w:val="51206ED5"/>
    <w:rsid w:val="512322CB"/>
    <w:rsid w:val="51255AB1"/>
    <w:rsid w:val="51257DF2"/>
    <w:rsid w:val="5126587F"/>
    <w:rsid w:val="51312C3A"/>
    <w:rsid w:val="51321D6B"/>
    <w:rsid w:val="513403C7"/>
    <w:rsid w:val="51380E48"/>
    <w:rsid w:val="513A7D83"/>
    <w:rsid w:val="513B3E45"/>
    <w:rsid w:val="513C35FC"/>
    <w:rsid w:val="513C3BDA"/>
    <w:rsid w:val="513D439B"/>
    <w:rsid w:val="513D4503"/>
    <w:rsid w:val="513D5060"/>
    <w:rsid w:val="513E0EB3"/>
    <w:rsid w:val="513F7105"/>
    <w:rsid w:val="513F7D22"/>
    <w:rsid w:val="51426BF5"/>
    <w:rsid w:val="514711E7"/>
    <w:rsid w:val="51477D68"/>
    <w:rsid w:val="514847F9"/>
    <w:rsid w:val="51491D32"/>
    <w:rsid w:val="51494287"/>
    <w:rsid w:val="514A7858"/>
    <w:rsid w:val="514D5A05"/>
    <w:rsid w:val="514E7348"/>
    <w:rsid w:val="51521B45"/>
    <w:rsid w:val="515406D7"/>
    <w:rsid w:val="51587844"/>
    <w:rsid w:val="515C0123"/>
    <w:rsid w:val="515F0B5F"/>
    <w:rsid w:val="515F1132"/>
    <w:rsid w:val="51600E2A"/>
    <w:rsid w:val="51622DF4"/>
    <w:rsid w:val="51650921"/>
    <w:rsid w:val="51655A28"/>
    <w:rsid w:val="5165605F"/>
    <w:rsid w:val="5167040A"/>
    <w:rsid w:val="516A3A56"/>
    <w:rsid w:val="516A534F"/>
    <w:rsid w:val="516B41EC"/>
    <w:rsid w:val="516C5A20"/>
    <w:rsid w:val="516E0A46"/>
    <w:rsid w:val="516E13D9"/>
    <w:rsid w:val="51703D89"/>
    <w:rsid w:val="51722A07"/>
    <w:rsid w:val="517448D5"/>
    <w:rsid w:val="517555E9"/>
    <w:rsid w:val="51782617"/>
    <w:rsid w:val="517939E1"/>
    <w:rsid w:val="517A638F"/>
    <w:rsid w:val="517B2107"/>
    <w:rsid w:val="517B5C63"/>
    <w:rsid w:val="517D19DC"/>
    <w:rsid w:val="517F1B32"/>
    <w:rsid w:val="518169CB"/>
    <w:rsid w:val="51825244"/>
    <w:rsid w:val="51830E34"/>
    <w:rsid w:val="518321B6"/>
    <w:rsid w:val="5183249D"/>
    <w:rsid w:val="518409DB"/>
    <w:rsid w:val="518720C4"/>
    <w:rsid w:val="51872E72"/>
    <w:rsid w:val="518A5EA7"/>
    <w:rsid w:val="518C22A8"/>
    <w:rsid w:val="51905DE1"/>
    <w:rsid w:val="51962A9D"/>
    <w:rsid w:val="51976F41"/>
    <w:rsid w:val="519A07DF"/>
    <w:rsid w:val="519F5DF6"/>
    <w:rsid w:val="51A134FE"/>
    <w:rsid w:val="51A27694"/>
    <w:rsid w:val="51A67184"/>
    <w:rsid w:val="51A72EFC"/>
    <w:rsid w:val="51A742B0"/>
    <w:rsid w:val="51A753BA"/>
    <w:rsid w:val="51AF22A8"/>
    <w:rsid w:val="51B00003"/>
    <w:rsid w:val="51B233DE"/>
    <w:rsid w:val="51B57C80"/>
    <w:rsid w:val="51B70290"/>
    <w:rsid w:val="51B7313F"/>
    <w:rsid w:val="51B80C66"/>
    <w:rsid w:val="51B819BA"/>
    <w:rsid w:val="51BA2C30"/>
    <w:rsid w:val="51BA2E99"/>
    <w:rsid w:val="51BA49DE"/>
    <w:rsid w:val="51BC69A8"/>
    <w:rsid w:val="51BF3DA2"/>
    <w:rsid w:val="51C1461E"/>
    <w:rsid w:val="51C21AAD"/>
    <w:rsid w:val="51C413B8"/>
    <w:rsid w:val="51C4760A"/>
    <w:rsid w:val="51C55104"/>
    <w:rsid w:val="51C629BB"/>
    <w:rsid w:val="51D3684B"/>
    <w:rsid w:val="51D56584"/>
    <w:rsid w:val="51D81308"/>
    <w:rsid w:val="51D86E94"/>
    <w:rsid w:val="51D977EB"/>
    <w:rsid w:val="51DA0BDC"/>
    <w:rsid w:val="51DB1DFE"/>
    <w:rsid w:val="51DB6702"/>
    <w:rsid w:val="51E25B32"/>
    <w:rsid w:val="51E25CE3"/>
    <w:rsid w:val="51E5516C"/>
    <w:rsid w:val="51E63A25"/>
    <w:rsid w:val="51E657D3"/>
    <w:rsid w:val="51E83D51"/>
    <w:rsid w:val="51E90445"/>
    <w:rsid w:val="51EB4B97"/>
    <w:rsid w:val="51ED6B61"/>
    <w:rsid w:val="51F0705D"/>
    <w:rsid w:val="51F133E0"/>
    <w:rsid w:val="51F15F26"/>
    <w:rsid w:val="51F3539E"/>
    <w:rsid w:val="51F3621E"/>
    <w:rsid w:val="51F7138C"/>
    <w:rsid w:val="51F7178E"/>
    <w:rsid w:val="51FA1F8D"/>
    <w:rsid w:val="51FC4FF6"/>
    <w:rsid w:val="51FF2E33"/>
    <w:rsid w:val="520069E9"/>
    <w:rsid w:val="520112E1"/>
    <w:rsid w:val="52011CB2"/>
    <w:rsid w:val="52024D8F"/>
    <w:rsid w:val="520619D1"/>
    <w:rsid w:val="52067C23"/>
    <w:rsid w:val="520774F7"/>
    <w:rsid w:val="5208399B"/>
    <w:rsid w:val="52097713"/>
    <w:rsid w:val="52097AA8"/>
    <w:rsid w:val="520D7203"/>
    <w:rsid w:val="520E4D2A"/>
    <w:rsid w:val="52105559"/>
    <w:rsid w:val="52132340"/>
    <w:rsid w:val="521778EB"/>
    <w:rsid w:val="521A722A"/>
    <w:rsid w:val="521B7236"/>
    <w:rsid w:val="521F6F37"/>
    <w:rsid w:val="52207E0C"/>
    <w:rsid w:val="522105B9"/>
    <w:rsid w:val="5221680B"/>
    <w:rsid w:val="522462FB"/>
    <w:rsid w:val="52266585"/>
    <w:rsid w:val="52285DEB"/>
    <w:rsid w:val="52291B63"/>
    <w:rsid w:val="522A3A8F"/>
    <w:rsid w:val="522B58DB"/>
    <w:rsid w:val="522C0745"/>
    <w:rsid w:val="52374280"/>
    <w:rsid w:val="52391DA6"/>
    <w:rsid w:val="52397523"/>
    <w:rsid w:val="52397903"/>
    <w:rsid w:val="52397B4D"/>
    <w:rsid w:val="523A7256"/>
    <w:rsid w:val="523D1A1D"/>
    <w:rsid w:val="52405CB5"/>
    <w:rsid w:val="52410C5B"/>
    <w:rsid w:val="52423A8B"/>
    <w:rsid w:val="52466271"/>
    <w:rsid w:val="52484AA4"/>
    <w:rsid w:val="5248789B"/>
    <w:rsid w:val="524A72E4"/>
    <w:rsid w:val="524D13AE"/>
    <w:rsid w:val="52500E9E"/>
    <w:rsid w:val="52546CFC"/>
    <w:rsid w:val="52565D07"/>
    <w:rsid w:val="52613F05"/>
    <w:rsid w:val="52614E59"/>
    <w:rsid w:val="526158C8"/>
    <w:rsid w:val="52624CA7"/>
    <w:rsid w:val="52636E23"/>
    <w:rsid w:val="52662470"/>
    <w:rsid w:val="526B5CD8"/>
    <w:rsid w:val="526C74C3"/>
    <w:rsid w:val="52706A0C"/>
    <w:rsid w:val="52706B67"/>
    <w:rsid w:val="52720E14"/>
    <w:rsid w:val="52742DDF"/>
    <w:rsid w:val="52756B57"/>
    <w:rsid w:val="52774716"/>
    <w:rsid w:val="527F3531"/>
    <w:rsid w:val="52802E6D"/>
    <w:rsid w:val="52804889"/>
    <w:rsid w:val="5282072A"/>
    <w:rsid w:val="528374C6"/>
    <w:rsid w:val="5285323E"/>
    <w:rsid w:val="528648C0"/>
    <w:rsid w:val="52887DF5"/>
    <w:rsid w:val="528A06C4"/>
    <w:rsid w:val="528B637A"/>
    <w:rsid w:val="528D3EA0"/>
    <w:rsid w:val="528D5C4E"/>
    <w:rsid w:val="528F30E6"/>
    <w:rsid w:val="528F7C18"/>
    <w:rsid w:val="52903990"/>
    <w:rsid w:val="529671F9"/>
    <w:rsid w:val="52984200"/>
    <w:rsid w:val="529A036B"/>
    <w:rsid w:val="529A68C0"/>
    <w:rsid w:val="529C2921"/>
    <w:rsid w:val="52A4383C"/>
    <w:rsid w:val="52A445CA"/>
    <w:rsid w:val="52AA3DB9"/>
    <w:rsid w:val="52AC6214"/>
    <w:rsid w:val="52AC6306"/>
    <w:rsid w:val="52AD4542"/>
    <w:rsid w:val="52AD62F0"/>
    <w:rsid w:val="52AF1F28"/>
    <w:rsid w:val="52B11F76"/>
    <w:rsid w:val="52B13329"/>
    <w:rsid w:val="52B24D9F"/>
    <w:rsid w:val="52B42038"/>
    <w:rsid w:val="52B42FE6"/>
    <w:rsid w:val="52B45E81"/>
    <w:rsid w:val="52B61649"/>
    <w:rsid w:val="52B633F7"/>
    <w:rsid w:val="52B7005B"/>
    <w:rsid w:val="52B729E6"/>
    <w:rsid w:val="52B81571"/>
    <w:rsid w:val="52B95344"/>
    <w:rsid w:val="52BC78D9"/>
    <w:rsid w:val="52BD1C5A"/>
    <w:rsid w:val="52BD7A0A"/>
    <w:rsid w:val="52BE04FE"/>
    <w:rsid w:val="52BE5996"/>
    <w:rsid w:val="52C403B0"/>
    <w:rsid w:val="52C44581"/>
    <w:rsid w:val="52C567CF"/>
    <w:rsid w:val="52C8137C"/>
    <w:rsid w:val="52C84ED8"/>
    <w:rsid w:val="52CA3BE0"/>
    <w:rsid w:val="52CC1B65"/>
    <w:rsid w:val="52CD0741"/>
    <w:rsid w:val="52CF31CB"/>
    <w:rsid w:val="52D10166"/>
    <w:rsid w:val="52D11E1B"/>
    <w:rsid w:val="52D1331E"/>
    <w:rsid w:val="52D23FA9"/>
    <w:rsid w:val="52D27B05"/>
    <w:rsid w:val="52D61371"/>
    <w:rsid w:val="52D65847"/>
    <w:rsid w:val="52D82854"/>
    <w:rsid w:val="52DA3FF0"/>
    <w:rsid w:val="52DC1E0F"/>
    <w:rsid w:val="52DC6BD6"/>
    <w:rsid w:val="52DD6F37"/>
    <w:rsid w:val="52DE5B10"/>
    <w:rsid w:val="52DE6D04"/>
    <w:rsid w:val="52DF6735"/>
    <w:rsid w:val="52E066C6"/>
    <w:rsid w:val="52E2243E"/>
    <w:rsid w:val="52E31D12"/>
    <w:rsid w:val="52E361B6"/>
    <w:rsid w:val="52E8770B"/>
    <w:rsid w:val="52EA30A1"/>
    <w:rsid w:val="52ED75F8"/>
    <w:rsid w:val="52EF337E"/>
    <w:rsid w:val="52F061DD"/>
    <w:rsid w:val="52F201A7"/>
    <w:rsid w:val="52F608EB"/>
    <w:rsid w:val="52F7756C"/>
    <w:rsid w:val="52F932E4"/>
    <w:rsid w:val="52FF3D0B"/>
    <w:rsid w:val="53010E60"/>
    <w:rsid w:val="53042DB3"/>
    <w:rsid w:val="53071EA5"/>
    <w:rsid w:val="53081E4A"/>
    <w:rsid w:val="530B0448"/>
    <w:rsid w:val="530C3017"/>
    <w:rsid w:val="530D6D8F"/>
    <w:rsid w:val="530E3233"/>
    <w:rsid w:val="530F0D59"/>
    <w:rsid w:val="53122C69"/>
    <w:rsid w:val="53142C8D"/>
    <w:rsid w:val="531445C2"/>
    <w:rsid w:val="53146370"/>
    <w:rsid w:val="53147A72"/>
    <w:rsid w:val="53165C44"/>
    <w:rsid w:val="53193C5A"/>
    <w:rsid w:val="531D5224"/>
    <w:rsid w:val="531E7B67"/>
    <w:rsid w:val="53202F66"/>
    <w:rsid w:val="532145E9"/>
    <w:rsid w:val="53226CDE"/>
    <w:rsid w:val="5327117F"/>
    <w:rsid w:val="53281E1B"/>
    <w:rsid w:val="53283BC9"/>
    <w:rsid w:val="532A7941"/>
    <w:rsid w:val="532E5683"/>
    <w:rsid w:val="532E6782"/>
    <w:rsid w:val="532F7D98"/>
    <w:rsid w:val="53300856"/>
    <w:rsid w:val="53316F22"/>
    <w:rsid w:val="533267F6"/>
    <w:rsid w:val="53346A12"/>
    <w:rsid w:val="53360094"/>
    <w:rsid w:val="53367F96"/>
    <w:rsid w:val="533802B0"/>
    <w:rsid w:val="53386198"/>
    <w:rsid w:val="533B38FC"/>
    <w:rsid w:val="533D07C2"/>
    <w:rsid w:val="533D242D"/>
    <w:rsid w:val="533E33EC"/>
    <w:rsid w:val="533E605E"/>
    <w:rsid w:val="53414391"/>
    <w:rsid w:val="53420DCF"/>
    <w:rsid w:val="534419AD"/>
    <w:rsid w:val="53456529"/>
    <w:rsid w:val="53464AD3"/>
    <w:rsid w:val="53465AE9"/>
    <w:rsid w:val="53496683"/>
    <w:rsid w:val="534A7FE3"/>
    <w:rsid w:val="534D68B8"/>
    <w:rsid w:val="534F57A0"/>
    <w:rsid w:val="53511372"/>
    <w:rsid w:val="53517035"/>
    <w:rsid w:val="53542C10"/>
    <w:rsid w:val="53552806"/>
    <w:rsid w:val="535528FF"/>
    <w:rsid w:val="53561893"/>
    <w:rsid w:val="535B6350"/>
    <w:rsid w:val="536015B5"/>
    <w:rsid w:val="53603898"/>
    <w:rsid w:val="53603D1E"/>
    <w:rsid w:val="53605DDA"/>
    <w:rsid w:val="53634C01"/>
    <w:rsid w:val="536410A5"/>
    <w:rsid w:val="536554BD"/>
    <w:rsid w:val="536A0E7C"/>
    <w:rsid w:val="536A1C32"/>
    <w:rsid w:val="536C2239"/>
    <w:rsid w:val="536C796C"/>
    <w:rsid w:val="537306D5"/>
    <w:rsid w:val="537312E8"/>
    <w:rsid w:val="537506AF"/>
    <w:rsid w:val="537820C8"/>
    <w:rsid w:val="53792797"/>
    <w:rsid w:val="537B019D"/>
    <w:rsid w:val="537D42F8"/>
    <w:rsid w:val="537F5A73"/>
    <w:rsid w:val="53803A05"/>
    <w:rsid w:val="538057C2"/>
    <w:rsid w:val="53817CA1"/>
    <w:rsid w:val="5382150D"/>
    <w:rsid w:val="5382152B"/>
    <w:rsid w:val="538232D9"/>
    <w:rsid w:val="53830241"/>
    <w:rsid w:val="53830363"/>
    <w:rsid w:val="53831B29"/>
    <w:rsid w:val="5385216D"/>
    <w:rsid w:val="53863019"/>
    <w:rsid w:val="53864205"/>
    <w:rsid w:val="53890B0C"/>
    <w:rsid w:val="53893080"/>
    <w:rsid w:val="538C4158"/>
    <w:rsid w:val="538C7A30"/>
    <w:rsid w:val="538D543C"/>
    <w:rsid w:val="538E7F4B"/>
    <w:rsid w:val="538F59F6"/>
    <w:rsid w:val="5392763B"/>
    <w:rsid w:val="53933738"/>
    <w:rsid w:val="53937719"/>
    <w:rsid w:val="53942B34"/>
    <w:rsid w:val="53964D5A"/>
    <w:rsid w:val="53964FD7"/>
    <w:rsid w:val="53986FA1"/>
    <w:rsid w:val="539B5781"/>
    <w:rsid w:val="539B691C"/>
    <w:rsid w:val="539E7A17"/>
    <w:rsid w:val="539F3E8B"/>
    <w:rsid w:val="53A10DA8"/>
    <w:rsid w:val="53A169C5"/>
    <w:rsid w:val="53A45945"/>
    <w:rsid w:val="53A51893"/>
    <w:rsid w:val="53A96AB8"/>
    <w:rsid w:val="53AA0A2F"/>
    <w:rsid w:val="53AA18CB"/>
    <w:rsid w:val="53AE0572"/>
    <w:rsid w:val="53AE47FC"/>
    <w:rsid w:val="53B02421"/>
    <w:rsid w:val="53B33222"/>
    <w:rsid w:val="53B65679"/>
    <w:rsid w:val="53B92A73"/>
    <w:rsid w:val="53BB33F9"/>
    <w:rsid w:val="53BC2C8F"/>
    <w:rsid w:val="53BD18F1"/>
    <w:rsid w:val="53BF0089"/>
    <w:rsid w:val="53BF536C"/>
    <w:rsid w:val="53C04B08"/>
    <w:rsid w:val="53C07FC2"/>
    <w:rsid w:val="53C30050"/>
    <w:rsid w:val="53C402D2"/>
    <w:rsid w:val="53C90F08"/>
    <w:rsid w:val="53CB14A9"/>
    <w:rsid w:val="53CC09F8"/>
    <w:rsid w:val="53CE56F1"/>
    <w:rsid w:val="53CF4A5C"/>
    <w:rsid w:val="53D07695"/>
    <w:rsid w:val="53D61877"/>
    <w:rsid w:val="53D8114B"/>
    <w:rsid w:val="53D87451"/>
    <w:rsid w:val="53D91813"/>
    <w:rsid w:val="53DA1367"/>
    <w:rsid w:val="53DD0E57"/>
    <w:rsid w:val="53DF4C9B"/>
    <w:rsid w:val="53DF552A"/>
    <w:rsid w:val="53E04287"/>
    <w:rsid w:val="53E26336"/>
    <w:rsid w:val="53E30B9D"/>
    <w:rsid w:val="53E421E6"/>
    <w:rsid w:val="53E43F94"/>
    <w:rsid w:val="53E75832"/>
    <w:rsid w:val="53EB70D0"/>
    <w:rsid w:val="53EC4BF7"/>
    <w:rsid w:val="53ED42CE"/>
    <w:rsid w:val="53F05B9F"/>
    <w:rsid w:val="53F123D3"/>
    <w:rsid w:val="53F266B1"/>
    <w:rsid w:val="53F35F85"/>
    <w:rsid w:val="53F54917"/>
    <w:rsid w:val="53F73CC7"/>
    <w:rsid w:val="53FA37B7"/>
    <w:rsid w:val="53FA5565"/>
    <w:rsid w:val="53FA7313"/>
    <w:rsid w:val="53FC4219"/>
    <w:rsid w:val="53FD2283"/>
    <w:rsid w:val="53FF0DCE"/>
    <w:rsid w:val="53FF3654"/>
    <w:rsid w:val="53FF37FC"/>
    <w:rsid w:val="5402266C"/>
    <w:rsid w:val="54074A9D"/>
    <w:rsid w:val="54077C82"/>
    <w:rsid w:val="540B1521"/>
    <w:rsid w:val="540D7691"/>
    <w:rsid w:val="541008E5"/>
    <w:rsid w:val="54113C3E"/>
    <w:rsid w:val="5414351A"/>
    <w:rsid w:val="54152708"/>
    <w:rsid w:val="541859EC"/>
    <w:rsid w:val="541977FF"/>
    <w:rsid w:val="541C37E8"/>
    <w:rsid w:val="541E6914"/>
    <w:rsid w:val="541F4FCC"/>
    <w:rsid w:val="54212AF2"/>
    <w:rsid w:val="54223609"/>
    <w:rsid w:val="54260108"/>
    <w:rsid w:val="5426037B"/>
    <w:rsid w:val="54281ACB"/>
    <w:rsid w:val="54286D1A"/>
    <w:rsid w:val="542873AB"/>
    <w:rsid w:val="542B4919"/>
    <w:rsid w:val="542D76E9"/>
    <w:rsid w:val="542E3461"/>
    <w:rsid w:val="543071D9"/>
    <w:rsid w:val="54332825"/>
    <w:rsid w:val="54352A41"/>
    <w:rsid w:val="54387E3C"/>
    <w:rsid w:val="543B2B99"/>
    <w:rsid w:val="543D1653"/>
    <w:rsid w:val="543E469C"/>
    <w:rsid w:val="5440557B"/>
    <w:rsid w:val="54445400"/>
    <w:rsid w:val="544601C6"/>
    <w:rsid w:val="54484523"/>
    <w:rsid w:val="544E6D65"/>
    <w:rsid w:val="544F77DB"/>
    <w:rsid w:val="54510E06"/>
    <w:rsid w:val="54532EC8"/>
    <w:rsid w:val="5454111A"/>
    <w:rsid w:val="5455279C"/>
    <w:rsid w:val="54555615"/>
    <w:rsid w:val="54573084"/>
    <w:rsid w:val="54574766"/>
    <w:rsid w:val="545B7D9E"/>
    <w:rsid w:val="545D78A2"/>
    <w:rsid w:val="54613836"/>
    <w:rsid w:val="54617AD3"/>
    <w:rsid w:val="54662BFB"/>
    <w:rsid w:val="54680721"/>
    <w:rsid w:val="546832F7"/>
    <w:rsid w:val="54684BC5"/>
    <w:rsid w:val="5468773F"/>
    <w:rsid w:val="546926EB"/>
    <w:rsid w:val="54694499"/>
    <w:rsid w:val="546A1491"/>
    <w:rsid w:val="546A298F"/>
    <w:rsid w:val="546B31A6"/>
    <w:rsid w:val="546C3108"/>
    <w:rsid w:val="546F6CA6"/>
    <w:rsid w:val="5473227C"/>
    <w:rsid w:val="5478723A"/>
    <w:rsid w:val="547B3DEE"/>
    <w:rsid w:val="547C1105"/>
    <w:rsid w:val="547C241E"/>
    <w:rsid w:val="547F67E6"/>
    <w:rsid w:val="548117E3"/>
    <w:rsid w:val="54817A35"/>
    <w:rsid w:val="54833180"/>
    <w:rsid w:val="548337AD"/>
    <w:rsid w:val="548412D3"/>
    <w:rsid w:val="54843081"/>
    <w:rsid w:val="54846D38"/>
    <w:rsid w:val="54857525"/>
    <w:rsid w:val="5486329D"/>
    <w:rsid w:val="54863F14"/>
    <w:rsid w:val="54880DC3"/>
    <w:rsid w:val="548919F1"/>
    <w:rsid w:val="548B155F"/>
    <w:rsid w:val="548B440F"/>
    <w:rsid w:val="548D0188"/>
    <w:rsid w:val="548D0E98"/>
    <w:rsid w:val="548D462B"/>
    <w:rsid w:val="548D77C2"/>
    <w:rsid w:val="548D7BC8"/>
    <w:rsid w:val="54901501"/>
    <w:rsid w:val="54901A26"/>
    <w:rsid w:val="54907148"/>
    <w:rsid w:val="549464D0"/>
    <w:rsid w:val="54977258"/>
    <w:rsid w:val="549F0FB0"/>
    <w:rsid w:val="54A056B6"/>
    <w:rsid w:val="54A11D47"/>
    <w:rsid w:val="54A11E85"/>
    <w:rsid w:val="54A12E7B"/>
    <w:rsid w:val="54A24F0A"/>
    <w:rsid w:val="54A31759"/>
    <w:rsid w:val="54A3297F"/>
    <w:rsid w:val="54A52796"/>
    <w:rsid w:val="54A551B4"/>
    <w:rsid w:val="54A6722A"/>
    <w:rsid w:val="54A8045F"/>
    <w:rsid w:val="54AA0D3A"/>
    <w:rsid w:val="54AA10DD"/>
    <w:rsid w:val="54AD6A7C"/>
    <w:rsid w:val="54AD6F78"/>
    <w:rsid w:val="54AE29FA"/>
    <w:rsid w:val="54B03E76"/>
    <w:rsid w:val="54B303BA"/>
    <w:rsid w:val="54B55930"/>
    <w:rsid w:val="54B65706"/>
    <w:rsid w:val="54B75F56"/>
    <w:rsid w:val="54B92B9F"/>
    <w:rsid w:val="54B95421"/>
    <w:rsid w:val="54BB36CD"/>
    <w:rsid w:val="54BE29B0"/>
    <w:rsid w:val="54C0055D"/>
    <w:rsid w:val="54C019B5"/>
    <w:rsid w:val="54C51BDB"/>
    <w:rsid w:val="54C87412"/>
    <w:rsid w:val="54CB4FB3"/>
    <w:rsid w:val="54CD2C7A"/>
    <w:rsid w:val="54CF098D"/>
    <w:rsid w:val="54CF254E"/>
    <w:rsid w:val="54D1544D"/>
    <w:rsid w:val="54D354E4"/>
    <w:rsid w:val="54D55BE3"/>
    <w:rsid w:val="54D758A7"/>
    <w:rsid w:val="54D8141E"/>
    <w:rsid w:val="54D87E8C"/>
    <w:rsid w:val="54D97871"/>
    <w:rsid w:val="54DA0EF3"/>
    <w:rsid w:val="54DA2638"/>
    <w:rsid w:val="54DB52AD"/>
    <w:rsid w:val="54DC110F"/>
    <w:rsid w:val="54DE6C35"/>
    <w:rsid w:val="54E12281"/>
    <w:rsid w:val="54E2366B"/>
    <w:rsid w:val="54E44363"/>
    <w:rsid w:val="54E67898"/>
    <w:rsid w:val="54EA382C"/>
    <w:rsid w:val="54EF2BF0"/>
    <w:rsid w:val="54F00818"/>
    <w:rsid w:val="54F14BBA"/>
    <w:rsid w:val="54F16968"/>
    <w:rsid w:val="54F16CCE"/>
    <w:rsid w:val="54F2623D"/>
    <w:rsid w:val="54F36B90"/>
    <w:rsid w:val="54F41FB5"/>
    <w:rsid w:val="54FC530D"/>
    <w:rsid w:val="54FE4194"/>
    <w:rsid w:val="55003CBC"/>
    <w:rsid w:val="55012E6A"/>
    <w:rsid w:val="55023DF8"/>
    <w:rsid w:val="55072BCC"/>
    <w:rsid w:val="55082440"/>
    <w:rsid w:val="550B5550"/>
    <w:rsid w:val="550D751A"/>
    <w:rsid w:val="550E3200"/>
    <w:rsid w:val="550F3292"/>
    <w:rsid w:val="550F5041"/>
    <w:rsid w:val="5511700B"/>
    <w:rsid w:val="55145A25"/>
    <w:rsid w:val="55162754"/>
    <w:rsid w:val="551672DF"/>
    <w:rsid w:val="551709E9"/>
    <w:rsid w:val="551752CF"/>
    <w:rsid w:val="551C150B"/>
    <w:rsid w:val="551C55B1"/>
    <w:rsid w:val="5526102B"/>
    <w:rsid w:val="55264138"/>
    <w:rsid w:val="55275A0F"/>
    <w:rsid w:val="55284354"/>
    <w:rsid w:val="552A1E7A"/>
    <w:rsid w:val="552C79A0"/>
    <w:rsid w:val="552F7491"/>
    <w:rsid w:val="553003DF"/>
    <w:rsid w:val="55322ADD"/>
    <w:rsid w:val="55342CF9"/>
    <w:rsid w:val="55344AA7"/>
    <w:rsid w:val="55366A71"/>
    <w:rsid w:val="55393E6B"/>
    <w:rsid w:val="553979D4"/>
    <w:rsid w:val="553A55CC"/>
    <w:rsid w:val="553B0B83"/>
    <w:rsid w:val="553B5E36"/>
    <w:rsid w:val="553C2B64"/>
    <w:rsid w:val="553C662A"/>
    <w:rsid w:val="553F7CC7"/>
    <w:rsid w:val="554051FA"/>
    <w:rsid w:val="55406C0B"/>
    <w:rsid w:val="55430C5C"/>
    <w:rsid w:val="55444FA5"/>
    <w:rsid w:val="55445227"/>
    <w:rsid w:val="55447A06"/>
    <w:rsid w:val="55485FED"/>
    <w:rsid w:val="55486565"/>
    <w:rsid w:val="554A6079"/>
    <w:rsid w:val="554D7917"/>
    <w:rsid w:val="554E4E34"/>
    <w:rsid w:val="554F18E1"/>
    <w:rsid w:val="554F368F"/>
    <w:rsid w:val="555030C9"/>
    <w:rsid w:val="55504310"/>
    <w:rsid w:val="555111B5"/>
    <w:rsid w:val="5551190F"/>
    <w:rsid w:val="5552317F"/>
    <w:rsid w:val="55540CA5"/>
    <w:rsid w:val="55562519"/>
    <w:rsid w:val="55564A1D"/>
    <w:rsid w:val="5559268E"/>
    <w:rsid w:val="555962BC"/>
    <w:rsid w:val="555A514E"/>
    <w:rsid w:val="555C085E"/>
    <w:rsid w:val="555E7D76"/>
    <w:rsid w:val="556232C2"/>
    <w:rsid w:val="55627866"/>
    <w:rsid w:val="55652EB2"/>
    <w:rsid w:val="55674BF2"/>
    <w:rsid w:val="556907F7"/>
    <w:rsid w:val="55690BF5"/>
    <w:rsid w:val="556C4241"/>
    <w:rsid w:val="556C7A16"/>
    <w:rsid w:val="556D6A38"/>
    <w:rsid w:val="556F3D31"/>
    <w:rsid w:val="556F4103"/>
    <w:rsid w:val="557238F3"/>
    <w:rsid w:val="557355CF"/>
    <w:rsid w:val="55735655"/>
    <w:rsid w:val="55740B4B"/>
    <w:rsid w:val="557650C0"/>
    <w:rsid w:val="557B2451"/>
    <w:rsid w:val="557D7931"/>
    <w:rsid w:val="557E3F74"/>
    <w:rsid w:val="5581018E"/>
    <w:rsid w:val="5583514A"/>
    <w:rsid w:val="558512E8"/>
    <w:rsid w:val="55852E44"/>
    <w:rsid w:val="5587107B"/>
    <w:rsid w:val="558B770A"/>
    <w:rsid w:val="558C043F"/>
    <w:rsid w:val="558C48E3"/>
    <w:rsid w:val="558D41B7"/>
    <w:rsid w:val="558F093B"/>
    <w:rsid w:val="558F7F2F"/>
    <w:rsid w:val="55915A56"/>
    <w:rsid w:val="55983288"/>
    <w:rsid w:val="55985036"/>
    <w:rsid w:val="559D43FA"/>
    <w:rsid w:val="55A0038E"/>
    <w:rsid w:val="55A01D44"/>
    <w:rsid w:val="55A16646"/>
    <w:rsid w:val="55A33E57"/>
    <w:rsid w:val="55A35789"/>
    <w:rsid w:val="55A559A5"/>
    <w:rsid w:val="55A74FEE"/>
    <w:rsid w:val="55A75066"/>
    <w:rsid w:val="55A95AE1"/>
    <w:rsid w:val="55AB03BC"/>
    <w:rsid w:val="55AB6149"/>
    <w:rsid w:val="55AC0AE1"/>
    <w:rsid w:val="55AD5535"/>
    <w:rsid w:val="55AE2AAB"/>
    <w:rsid w:val="55AE6607"/>
    <w:rsid w:val="55AF05D2"/>
    <w:rsid w:val="55B14699"/>
    <w:rsid w:val="55B31E70"/>
    <w:rsid w:val="55B41744"/>
    <w:rsid w:val="55B42837"/>
    <w:rsid w:val="55B83875"/>
    <w:rsid w:val="55BC7D14"/>
    <w:rsid w:val="55BE59E9"/>
    <w:rsid w:val="55C070BA"/>
    <w:rsid w:val="55C16D48"/>
    <w:rsid w:val="55C37BD9"/>
    <w:rsid w:val="55C45E2B"/>
    <w:rsid w:val="55C52565"/>
    <w:rsid w:val="55C77F50"/>
    <w:rsid w:val="55C951EF"/>
    <w:rsid w:val="55CB1664"/>
    <w:rsid w:val="55CB39DB"/>
    <w:rsid w:val="55CD0EBB"/>
    <w:rsid w:val="55D12672"/>
    <w:rsid w:val="55D1679A"/>
    <w:rsid w:val="55D32512"/>
    <w:rsid w:val="55D5564F"/>
    <w:rsid w:val="55D623BA"/>
    <w:rsid w:val="55DA1BE7"/>
    <w:rsid w:val="55DB13C7"/>
    <w:rsid w:val="55DB4492"/>
    <w:rsid w:val="55DD6EED"/>
    <w:rsid w:val="55E02539"/>
    <w:rsid w:val="55E55DA1"/>
    <w:rsid w:val="55E71B19"/>
    <w:rsid w:val="55E75420"/>
    <w:rsid w:val="55E81727"/>
    <w:rsid w:val="55E93AE3"/>
    <w:rsid w:val="55EB7AD2"/>
    <w:rsid w:val="55EC5382"/>
    <w:rsid w:val="55EC6EE7"/>
    <w:rsid w:val="55EE10FA"/>
    <w:rsid w:val="55EF6A29"/>
    <w:rsid w:val="55F10BEA"/>
    <w:rsid w:val="55F304BE"/>
    <w:rsid w:val="55F54632"/>
    <w:rsid w:val="55F67FAE"/>
    <w:rsid w:val="55F935FB"/>
    <w:rsid w:val="55F97104"/>
    <w:rsid w:val="55FA1AF9"/>
    <w:rsid w:val="55FB03D6"/>
    <w:rsid w:val="55FB7373"/>
    <w:rsid w:val="55FB7B9D"/>
    <w:rsid w:val="55FC4BDC"/>
    <w:rsid w:val="56010E2D"/>
    <w:rsid w:val="56026953"/>
    <w:rsid w:val="5604091D"/>
    <w:rsid w:val="560477BF"/>
    <w:rsid w:val="56052E94"/>
    <w:rsid w:val="5607323E"/>
    <w:rsid w:val="56073F6A"/>
    <w:rsid w:val="56095D90"/>
    <w:rsid w:val="56095F34"/>
    <w:rsid w:val="560C1580"/>
    <w:rsid w:val="560C72B1"/>
    <w:rsid w:val="560D4D74"/>
    <w:rsid w:val="561072C2"/>
    <w:rsid w:val="561074A3"/>
    <w:rsid w:val="56114DE8"/>
    <w:rsid w:val="56153514"/>
    <w:rsid w:val="56187F25"/>
    <w:rsid w:val="561C0617"/>
    <w:rsid w:val="561C5140"/>
    <w:rsid w:val="561F3061"/>
    <w:rsid w:val="56242D6E"/>
    <w:rsid w:val="5625461D"/>
    <w:rsid w:val="56263A67"/>
    <w:rsid w:val="5626556B"/>
    <w:rsid w:val="56271D62"/>
    <w:rsid w:val="56272957"/>
    <w:rsid w:val="562946DE"/>
    <w:rsid w:val="562B5EAA"/>
    <w:rsid w:val="562B7C58"/>
    <w:rsid w:val="562D229C"/>
    <w:rsid w:val="562D6072"/>
    <w:rsid w:val="563034C0"/>
    <w:rsid w:val="5632283D"/>
    <w:rsid w:val="563369DD"/>
    <w:rsid w:val="56363D8F"/>
    <w:rsid w:val="56365031"/>
    <w:rsid w:val="563A5E8C"/>
    <w:rsid w:val="563A60ED"/>
    <w:rsid w:val="563D2158"/>
    <w:rsid w:val="563E238F"/>
    <w:rsid w:val="564156CE"/>
    <w:rsid w:val="5641747C"/>
    <w:rsid w:val="56424FA2"/>
    <w:rsid w:val="564725B8"/>
    <w:rsid w:val="564927D4"/>
    <w:rsid w:val="564960AE"/>
    <w:rsid w:val="564A0AC3"/>
    <w:rsid w:val="564F1C59"/>
    <w:rsid w:val="564F65FF"/>
    <w:rsid w:val="56502307"/>
    <w:rsid w:val="565151E5"/>
    <w:rsid w:val="56531B75"/>
    <w:rsid w:val="56552F27"/>
    <w:rsid w:val="56587692"/>
    <w:rsid w:val="565C42B5"/>
    <w:rsid w:val="565D1DDC"/>
    <w:rsid w:val="565D3B8A"/>
    <w:rsid w:val="565E03C9"/>
    <w:rsid w:val="565F54B6"/>
    <w:rsid w:val="5661367A"/>
    <w:rsid w:val="5661616B"/>
    <w:rsid w:val="56665134"/>
    <w:rsid w:val="56674A08"/>
    <w:rsid w:val="56677FEB"/>
    <w:rsid w:val="56680EAC"/>
    <w:rsid w:val="566B24CD"/>
    <w:rsid w:val="566B5A3F"/>
    <w:rsid w:val="566C2B9D"/>
    <w:rsid w:val="566C3B26"/>
    <w:rsid w:val="566F7FB5"/>
    <w:rsid w:val="56701B0F"/>
    <w:rsid w:val="56724C0E"/>
    <w:rsid w:val="56727CCF"/>
    <w:rsid w:val="56750A04"/>
    <w:rsid w:val="56764C4B"/>
    <w:rsid w:val="56767C24"/>
    <w:rsid w:val="56785F21"/>
    <w:rsid w:val="567A1B6A"/>
    <w:rsid w:val="567C073D"/>
    <w:rsid w:val="567F017E"/>
    <w:rsid w:val="568137B0"/>
    <w:rsid w:val="56886469"/>
    <w:rsid w:val="568C16BE"/>
    <w:rsid w:val="56903F5F"/>
    <w:rsid w:val="5692255E"/>
    <w:rsid w:val="56944336"/>
    <w:rsid w:val="56952843"/>
    <w:rsid w:val="56982E14"/>
    <w:rsid w:val="569862EE"/>
    <w:rsid w:val="569F23F4"/>
    <w:rsid w:val="569F6CEC"/>
    <w:rsid w:val="56A25A40"/>
    <w:rsid w:val="56A33C92"/>
    <w:rsid w:val="56A8314F"/>
    <w:rsid w:val="56AA4FB9"/>
    <w:rsid w:val="56AB2B47"/>
    <w:rsid w:val="56AC7116"/>
    <w:rsid w:val="56AD2D63"/>
    <w:rsid w:val="56AE2637"/>
    <w:rsid w:val="56AF6ADB"/>
    <w:rsid w:val="56B0015D"/>
    <w:rsid w:val="56B20379"/>
    <w:rsid w:val="56B35700"/>
    <w:rsid w:val="56B440F1"/>
    <w:rsid w:val="56B539C6"/>
    <w:rsid w:val="56B7773E"/>
    <w:rsid w:val="56BA0FDC"/>
    <w:rsid w:val="56BB686A"/>
    <w:rsid w:val="56BD76A4"/>
    <w:rsid w:val="56BE0ACC"/>
    <w:rsid w:val="56C13C34"/>
    <w:rsid w:val="56C169E5"/>
    <w:rsid w:val="56C70AEA"/>
    <w:rsid w:val="56C91964"/>
    <w:rsid w:val="56C91F59"/>
    <w:rsid w:val="56CD67B5"/>
    <w:rsid w:val="56CE0629"/>
    <w:rsid w:val="56D075F1"/>
    <w:rsid w:val="56D106EB"/>
    <w:rsid w:val="56D402F0"/>
    <w:rsid w:val="56D61CC5"/>
    <w:rsid w:val="56D83E08"/>
    <w:rsid w:val="56D842AC"/>
    <w:rsid w:val="56DA342C"/>
    <w:rsid w:val="56DB5BC3"/>
    <w:rsid w:val="56DB7600"/>
    <w:rsid w:val="56DE116E"/>
    <w:rsid w:val="56E10C5F"/>
    <w:rsid w:val="56E12A0D"/>
    <w:rsid w:val="56E15A12"/>
    <w:rsid w:val="56E36785"/>
    <w:rsid w:val="56E524FD"/>
    <w:rsid w:val="56E56FCD"/>
    <w:rsid w:val="56E66275"/>
    <w:rsid w:val="56E878F7"/>
    <w:rsid w:val="56E96B45"/>
    <w:rsid w:val="56EA526A"/>
    <w:rsid w:val="56EA7B13"/>
    <w:rsid w:val="56EE4427"/>
    <w:rsid w:val="56EF2D80"/>
    <w:rsid w:val="56F37C7C"/>
    <w:rsid w:val="56F56327"/>
    <w:rsid w:val="56F72230"/>
    <w:rsid w:val="56F92612"/>
    <w:rsid w:val="56FA762A"/>
    <w:rsid w:val="56FC33A3"/>
    <w:rsid w:val="56FC7846"/>
    <w:rsid w:val="570010E5"/>
    <w:rsid w:val="57010267"/>
    <w:rsid w:val="570235A6"/>
    <w:rsid w:val="57034309"/>
    <w:rsid w:val="57064221"/>
    <w:rsid w:val="570A3D11"/>
    <w:rsid w:val="570A5ABF"/>
    <w:rsid w:val="570B2198"/>
    <w:rsid w:val="570C0F09"/>
    <w:rsid w:val="570D735E"/>
    <w:rsid w:val="570F30D6"/>
    <w:rsid w:val="5713005A"/>
    <w:rsid w:val="571526B6"/>
    <w:rsid w:val="57161D4B"/>
    <w:rsid w:val="571B27BE"/>
    <w:rsid w:val="571B7CCD"/>
    <w:rsid w:val="571D3CAF"/>
    <w:rsid w:val="572052E3"/>
    <w:rsid w:val="572574AA"/>
    <w:rsid w:val="572823EA"/>
    <w:rsid w:val="572A5B9B"/>
    <w:rsid w:val="572A6162"/>
    <w:rsid w:val="572C1BBD"/>
    <w:rsid w:val="572D17AE"/>
    <w:rsid w:val="572D7A00"/>
    <w:rsid w:val="572F0738"/>
    <w:rsid w:val="57316080"/>
    <w:rsid w:val="573214BA"/>
    <w:rsid w:val="5732516C"/>
    <w:rsid w:val="573332EA"/>
    <w:rsid w:val="57340D8E"/>
    <w:rsid w:val="57341025"/>
    <w:rsid w:val="57342B3C"/>
    <w:rsid w:val="5737044C"/>
    <w:rsid w:val="5737087F"/>
    <w:rsid w:val="57390153"/>
    <w:rsid w:val="573C1789"/>
    <w:rsid w:val="573C7197"/>
    <w:rsid w:val="573D5C29"/>
    <w:rsid w:val="573E4CBA"/>
    <w:rsid w:val="574014E1"/>
    <w:rsid w:val="57402131"/>
    <w:rsid w:val="57482D4C"/>
    <w:rsid w:val="574870DD"/>
    <w:rsid w:val="574A05B2"/>
    <w:rsid w:val="574C432A"/>
    <w:rsid w:val="574C743D"/>
    <w:rsid w:val="574D1ABF"/>
    <w:rsid w:val="574E0114"/>
    <w:rsid w:val="574E5CB2"/>
    <w:rsid w:val="574F301B"/>
    <w:rsid w:val="574F5022"/>
    <w:rsid w:val="574F6D32"/>
    <w:rsid w:val="575152D9"/>
    <w:rsid w:val="57535931"/>
    <w:rsid w:val="57552E65"/>
    <w:rsid w:val="575818A9"/>
    <w:rsid w:val="57596A47"/>
    <w:rsid w:val="575C2B1D"/>
    <w:rsid w:val="575E5D6B"/>
    <w:rsid w:val="57601B83"/>
    <w:rsid w:val="576140F4"/>
    <w:rsid w:val="57632CB7"/>
    <w:rsid w:val="57633422"/>
    <w:rsid w:val="57650F48"/>
    <w:rsid w:val="57684EDC"/>
    <w:rsid w:val="57692338"/>
    <w:rsid w:val="576A3BB8"/>
    <w:rsid w:val="576D24F2"/>
    <w:rsid w:val="5774717B"/>
    <w:rsid w:val="577675F9"/>
    <w:rsid w:val="57770C7B"/>
    <w:rsid w:val="577737A7"/>
    <w:rsid w:val="577B076B"/>
    <w:rsid w:val="577C773B"/>
    <w:rsid w:val="577D2735"/>
    <w:rsid w:val="577F72A2"/>
    <w:rsid w:val="57803FD4"/>
    <w:rsid w:val="578535BE"/>
    <w:rsid w:val="578616C7"/>
    <w:rsid w:val="578A4E52"/>
    <w:rsid w:val="578B3D48"/>
    <w:rsid w:val="578C3B45"/>
    <w:rsid w:val="578D66F1"/>
    <w:rsid w:val="578E5DDC"/>
    <w:rsid w:val="579058D3"/>
    <w:rsid w:val="57916D63"/>
    <w:rsid w:val="57921934"/>
    <w:rsid w:val="57923D07"/>
    <w:rsid w:val="57931345"/>
    <w:rsid w:val="579637F7"/>
    <w:rsid w:val="579706B0"/>
    <w:rsid w:val="5798756F"/>
    <w:rsid w:val="579A50DA"/>
    <w:rsid w:val="579B0E0D"/>
    <w:rsid w:val="579D3A20"/>
    <w:rsid w:val="579E2AA8"/>
    <w:rsid w:val="579E445A"/>
    <w:rsid w:val="57A31A70"/>
    <w:rsid w:val="57A35F14"/>
    <w:rsid w:val="57A557E8"/>
    <w:rsid w:val="57A74D3D"/>
    <w:rsid w:val="57AD28EF"/>
    <w:rsid w:val="57AE5B3B"/>
    <w:rsid w:val="57AE6D93"/>
    <w:rsid w:val="57AF48B9"/>
    <w:rsid w:val="57B05EAA"/>
    <w:rsid w:val="57B14116"/>
    <w:rsid w:val="57B36157"/>
    <w:rsid w:val="57B4157D"/>
    <w:rsid w:val="57B63E99"/>
    <w:rsid w:val="57B6747D"/>
    <w:rsid w:val="57B7551B"/>
    <w:rsid w:val="57BB500C"/>
    <w:rsid w:val="57BC2B32"/>
    <w:rsid w:val="57BC3BD4"/>
    <w:rsid w:val="57BC3D6B"/>
    <w:rsid w:val="57BD0D84"/>
    <w:rsid w:val="57C14AAA"/>
    <w:rsid w:val="57C27C0E"/>
    <w:rsid w:val="57C540DC"/>
    <w:rsid w:val="57C57C38"/>
    <w:rsid w:val="57CB0383"/>
    <w:rsid w:val="57CB0EC2"/>
    <w:rsid w:val="57CB5CDA"/>
    <w:rsid w:val="57CC546B"/>
    <w:rsid w:val="57D04F5B"/>
    <w:rsid w:val="57D32355"/>
    <w:rsid w:val="57D64006"/>
    <w:rsid w:val="57D83E10"/>
    <w:rsid w:val="57D857A7"/>
    <w:rsid w:val="57D8796C"/>
    <w:rsid w:val="57D901FE"/>
    <w:rsid w:val="57DB0DFF"/>
    <w:rsid w:val="57DB745C"/>
    <w:rsid w:val="57DE5703"/>
    <w:rsid w:val="57E04DEC"/>
    <w:rsid w:val="57E171D9"/>
    <w:rsid w:val="57E247B5"/>
    <w:rsid w:val="57E24C8E"/>
    <w:rsid w:val="57E52628"/>
    <w:rsid w:val="57E549B6"/>
    <w:rsid w:val="57ED286F"/>
    <w:rsid w:val="57F067B7"/>
    <w:rsid w:val="57F16C7F"/>
    <w:rsid w:val="57F40742"/>
    <w:rsid w:val="57F50A1F"/>
    <w:rsid w:val="57F56770"/>
    <w:rsid w:val="57F66044"/>
    <w:rsid w:val="57F86C75"/>
    <w:rsid w:val="57F927D3"/>
    <w:rsid w:val="57FA1FD8"/>
    <w:rsid w:val="57FA3401"/>
    <w:rsid w:val="57FD2F22"/>
    <w:rsid w:val="58003366"/>
    <w:rsid w:val="58020E8D"/>
    <w:rsid w:val="58022C3B"/>
    <w:rsid w:val="580469B3"/>
    <w:rsid w:val="580649C9"/>
    <w:rsid w:val="58070251"/>
    <w:rsid w:val="5807647D"/>
    <w:rsid w:val="5807776A"/>
    <w:rsid w:val="580A2E87"/>
    <w:rsid w:val="580A7D41"/>
    <w:rsid w:val="580C3793"/>
    <w:rsid w:val="580E5A83"/>
    <w:rsid w:val="580E7831"/>
    <w:rsid w:val="581110D0"/>
    <w:rsid w:val="58131D55"/>
    <w:rsid w:val="58160494"/>
    <w:rsid w:val="5818245E"/>
    <w:rsid w:val="581A4428"/>
    <w:rsid w:val="581B1F4E"/>
    <w:rsid w:val="581E29DE"/>
    <w:rsid w:val="5822260D"/>
    <w:rsid w:val="58224758"/>
    <w:rsid w:val="58244F2D"/>
    <w:rsid w:val="58247124"/>
    <w:rsid w:val="58294241"/>
    <w:rsid w:val="5829466B"/>
    <w:rsid w:val="58296419"/>
    <w:rsid w:val="582C7CB7"/>
    <w:rsid w:val="582D7F42"/>
    <w:rsid w:val="582F11AF"/>
    <w:rsid w:val="582F1556"/>
    <w:rsid w:val="583059FA"/>
    <w:rsid w:val="58331046"/>
    <w:rsid w:val="583420FB"/>
    <w:rsid w:val="58346B6C"/>
    <w:rsid w:val="58363006"/>
    <w:rsid w:val="583A0626"/>
    <w:rsid w:val="583B7EFB"/>
    <w:rsid w:val="583C289C"/>
    <w:rsid w:val="583D005B"/>
    <w:rsid w:val="583D1D79"/>
    <w:rsid w:val="583D29BF"/>
    <w:rsid w:val="583F79EB"/>
    <w:rsid w:val="58466FCB"/>
    <w:rsid w:val="584A6390"/>
    <w:rsid w:val="584B3B1E"/>
    <w:rsid w:val="584B45E2"/>
    <w:rsid w:val="584D65AC"/>
    <w:rsid w:val="585273B2"/>
    <w:rsid w:val="585319BE"/>
    <w:rsid w:val="58532F19"/>
    <w:rsid w:val="5853734E"/>
    <w:rsid w:val="585711D8"/>
    <w:rsid w:val="58580AAD"/>
    <w:rsid w:val="58587E62"/>
    <w:rsid w:val="585A0885"/>
    <w:rsid w:val="585C1411"/>
    <w:rsid w:val="585E4E1D"/>
    <w:rsid w:val="585F790C"/>
    <w:rsid w:val="5860449E"/>
    <w:rsid w:val="586072AB"/>
    <w:rsid w:val="58610AB0"/>
    <w:rsid w:val="586456A3"/>
    <w:rsid w:val="586557AC"/>
    <w:rsid w:val="58680309"/>
    <w:rsid w:val="58694A68"/>
    <w:rsid w:val="586A08FB"/>
    <w:rsid w:val="586E207E"/>
    <w:rsid w:val="587022DE"/>
    <w:rsid w:val="587203C3"/>
    <w:rsid w:val="58744106"/>
    <w:rsid w:val="58770FEB"/>
    <w:rsid w:val="58782D8B"/>
    <w:rsid w:val="58792349"/>
    <w:rsid w:val="587B71B7"/>
    <w:rsid w:val="587C0C3F"/>
    <w:rsid w:val="58802102"/>
    <w:rsid w:val="58804092"/>
    <w:rsid w:val="58817FB9"/>
    <w:rsid w:val="58836930"/>
    <w:rsid w:val="58845D45"/>
    <w:rsid w:val="58860E04"/>
    <w:rsid w:val="58866DF4"/>
    <w:rsid w:val="58873140"/>
    <w:rsid w:val="588B5CAC"/>
    <w:rsid w:val="588C69A8"/>
    <w:rsid w:val="588E60C4"/>
    <w:rsid w:val="588E6F35"/>
    <w:rsid w:val="5892699C"/>
    <w:rsid w:val="58941AA7"/>
    <w:rsid w:val="589715D5"/>
    <w:rsid w:val="589A4DAB"/>
    <w:rsid w:val="589B7C55"/>
    <w:rsid w:val="589C19C7"/>
    <w:rsid w:val="589D2963"/>
    <w:rsid w:val="58A14202"/>
    <w:rsid w:val="58A14BE8"/>
    <w:rsid w:val="58A3441E"/>
    <w:rsid w:val="58A733C0"/>
    <w:rsid w:val="58A837E2"/>
    <w:rsid w:val="58A947C8"/>
    <w:rsid w:val="58AA336E"/>
    <w:rsid w:val="58AE0309"/>
    <w:rsid w:val="58AE04D7"/>
    <w:rsid w:val="58AE1096"/>
    <w:rsid w:val="58AF13AE"/>
    <w:rsid w:val="58AF1B4E"/>
    <w:rsid w:val="58B06B3A"/>
    <w:rsid w:val="58B12A14"/>
    <w:rsid w:val="58B24661"/>
    <w:rsid w:val="58B351FF"/>
    <w:rsid w:val="58B50BB8"/>
    <w:rsid w:val="58BA3515"/>
    <w:rsid w:val="58BC728D"/>
    <w:rsid w:val="58C12985"/>
    <w:rsid w:val="58C12AF6"/>
    <w:rsid w:val="58C148A4"/>
    <w:rsid w:val="58C43FFE"/>
    <w:rsid w:val="58C45ED4"/>
    <w:rsid w:val="58C6432E"/>
    <w:rsid w:val="58C83E84"/>
    <w:rsid w:val="58C85C32"/>
    <w:rsid w:val="58C86C4E"/>
    <w:rsid w:val="58C965E7"/>
    <w:rsid w:val="58CA68FD"/>
    <w:rsid w:val="58CB127E"/>
    <w:rsid w:val="58CD4FF7"/>
    <w:rsid w:val="58CF5213"/>
    <w:rsid w:val="58D15E39"/>
    <w:rsid w:val="58D267BC"/>
    <w:rsid w:val="58D26AB1"/>
    <w:rsid w:val="58D72319"/>
    <w:rsid w:val="58D8399B"/>
    <w:rsid w:val="58D86630"/>
    <w:rsid w:val="58DB73AF"/>
    <w:rsid w:val="58DE3FD9"/>
    <w:rsid w:val="58DE5456"/>
    <w:rsid w:val="58DF4D2A"/>
    <w:rsid w:val="58E0607E"/>
    <w:rsid w:val="58E07AA6"/>
    <w:rsid w:val="58E273FB"/>
    <w:rsid w:val="58E37FE6"/>
    <w:rsid w:val="58E40592"/>
    <w:rsid w:val="58E42340"/>
    <w:rsid w:val="58E467E4"/>
    <w:rsid w:val="58E56DC7"/>
    <w:rsid w:val="58E6430A"/>
    <w:rsid w:val="58E660B8"/>
    <w:rsid w:val="58E67833"/>
    <w:rsid w:val="58E67940"/>
    <w:rsid w:val="58E81E30"/>
    <w:rsid w:val="58EA204C"/>
    <w:rsid w:val="58ED74D9"/>
    <w:rsid w:val="58EE6726"/>
    <w:rsid w:val="58F00CE5"/>
    <w:rsid w:val="58F037C1"/>
    <w:rsid w:val="58F4510A"/>
    <w:rsid w:val="58F7361C"/>
    <w:rsid w:val="58FC2F6D"/>
    <w:rsid w:val="58FC58DC"/>
    <w:rsid w:val="58FE1654"/>
    <w:rsid w:val="58FE78A6"/>
    <w:rsid w:val="5901327B"/>
    <w:rsid w:val="59017396"/>
    <w:rsid w:val="59023463"/>
    <w:rsid w:val="5903310E"/>
    <w:rsid w:val="59071F3F"/>
    <w:rsid w:val="5909228A"/>
    <w:rsid w:val="590970A3"/>
    <w:rsid w:val="590B1FC3"/>
    <w:rsid w:val="590D75BE"/>
    <w:rsid w:val="590E38B7"/>
    <w:rsid w:val="590F1AB3"/>
    <w:rsid w:val="591075D9"/>
    <w:rsid w:val="591116E6"/>
    <w:rsid w:val="59125592"/>
    <w:rsid w:val="59164BBB"/>
    <w:rsid w:val="59170161"/>
    <w:rsid w:val="59171FE7"/>
    <w:rsid w:val="5919023C"/>
    <w:rsid w:val="591B0458"/>
    <w:rsid w:val="591D4E77"/>
    <w:rsid w:val="59204C49"/>
    <w:rsid w:val="59206DEC"/>
    <w:rsid w:val="59215342"/>
    <w:rsid w:val="59232E69"/>
    <w:rsid w:val="59236BA2"/>
    <w:rsid w:val="59253085"/>
    <w:rsid w:val="5927766A"/>
    <w:rsid w:val="592B4413"/>
    <w:rsid w:val="592D018B"/>
    <w:rsid w:val="592D3026"/>
    <w:rsid w:val="592F09CD"/>
    <w:rsid w:val="593212FE"/>
    <w:rsid w:val="59324726"/>
    <w:rsid w:val="593309E8"/>
    <w:rsid w:val="59345076"/>
    <w:rsid w:val="5937393A"/>
    <w:rsid w:val="59396B30"/>
    <w:rsid w:val="593A5382"/>
    <w:rsid w:val="593B28A8"/>
    <w:rsid w:val="593C1B3E"/>
    <w:rsid w:val="593D5DAF"/>
    <w:rsid w:val="594013EC"/>
    <w:rsid w:val="594043C9"/>
    <w:rsid w:val="594159E5"/>
    <w:rsid w:val="59423865"/>
    <w:rsid w:val="59436B91"/>
    <w:rsid w:val="59457283"/>
    <w:rsid w:val="59480B21"/>
    <w:rsid w:val="594A48EA"/>
    <w:rsid w:val="594B0611"/>
    <w:rsid w:val="594B23BF"/>
    <w:rsid w:val="594F3C5E"/>
    <w:rsid w:val="5950653D"/>
    <w:rsid w:val="59545403"/>
    <w:rsid w:val="59576FB6"/>
    <w:rsid w:val="59593DC0"/>
    <w:rsid w:val="59594ADC"/>
    <w:rsid w:val="595A5BCE"/>
    <w:rsid w:val="595C5D13"/>
    <w:rsid w:val="595D1E4E"/>
    <w:rsid w:val="595E520F"/>
    <w:rsid w:val="59601354"/>
    <w:rsid w:val="59610C8A"/>
    <w:rsid w:val="59633BAD"/>
    <w:rsid w:val="59637709"/>
    <w:rsid w:val="596516D3"/>
    <w:rsid w:val="59670764"/>
    <w:rsid w:val="59676172"/>
    <w:rsid w:val="596908AC"/>
    <w:rsid w:val="596D0588"/>
    <w:rsid w:val="596D797C"/>
    <w:rsid w:val="596F37BB"/>
    <w:rsid w:val="596F44B8"/>
    <w:rsid w:val="59702CC4"/>
    <w:rsid w:val="597151FC"/>
    <w:rsid w:val="59757F05"/>
    <w:rsid w:val="59777658"/>
    <w:rsid w:val="59787687"/>
    <w:rsid w:val="5979517E"/>
    <w:rsid w:val="597B1764"/>
    <w:rsid w:val="597B2CC1"/>
    <w:rsid w:val="597B512C"/>
    <w:rsid w:val="597F4FDF"/>
    <w:rsid w:val="5980475F"/>
    <w:rsid w:val="5980650D"/>
    <w:rsid w:val="59822285"/>
    <w:rsid w:val="59832B94"/>
    <w:rsid w:val="59861649"/>
    <w:rsid w:val="5986547D"/>
    <w:rsid w:val="59881E2B"/>
    <w:rsid w:val="598863C7"/>
    <w:rsid w:val="5988716F"/>
    <w:rsid w:val="598A1326"/>
    <w:rsid w:val="598A738C"/>
    <w:rsid w:val="598C4EB2"/>
    <w:rsid w:val="598C5812"/>
    <w:rsid w:val="598F6750"/>
    <w:rsid w:val="5996188C"/>
    <w:rsid w:val="59967ADE"/>
    <w:rsid w:val="599827B6"/>
    <w:rsid w:val="599B3347"/>
    <w:rsid w:val="599C2C1B"/>
    <w:rsid w:val="599D4BCB"/>
    <w:rsid w:val="599E4BE5"/>
    <w:rsid w:val="59A26483"/>
    <w:rsid w:val="59A3044D"/>
    <w:rsid w:val="59A321FB"/>
    <w:rsid w:val="59A4101C"/>
    <w:rsid w:val="59A44A9E"/>
    <w:rsid w:val="59AA17DC"/>
    <w:rsid w:val="59AC10B0"/>
    <w:rsid w:val="59AD738B"/>
    <w:rsid w:val="59AF294E"/>
    <w:rsid w:val="59B63CDD"/>
    <w:rsid w:val="59B64B36"/>
    <w:rsid w:val="59B77897"/>
    <w:rsid w:val="59BB5797"/>
    <w:rsid w:val="59BB60BB"/>
    <w:rsid w:val="59BD32BD"/>
    <w:rsid w:val="59BE0DE3"/>
    <w:rsid w:val="59BE5287"/>
    <w:rsid w:val="59C06909"/>
    <w:rsid w:val="59C124C9"/>
    <w:rsid w:val="59C17412"/>
    <w:rsid w:val="59C609FF"/>
    <w:rsid w:val="59C73E41"/>
    <w:rsid w:val="59C7413C"/>
    <w:rsid w:val="59C9625C"/>
    <w:rsid w:val="59C97EB4"/>
    <w:rsid w:val="59CC1227"/>
    <w:rsid w:val="59CC1752"/>
    <w:rsid w:val="59CE513A"/>
    <w:rsid w:val="59CF1242"/>
    <w:rsid w:val="59D122A2"/>
    <w:rsid w:val="59D12E03"/>
    <w:rsid w:val="59D13ABB"/>
    <w:rsid w:val="59D24F4B"/>
    <w:rsid w:val="59D46859"/>
    <w:rsid w:val="59D84617"/>
    <w:rsid w:val="59D84FB0"/>
    <w:rsid w:val="59DB1995"/>
    <w:rsid w:val="59DD395F"/>
    <w:rsid w:val="59DE4FE1"/>
    <w:rsid w:val="59E0276A"/>
    <w:rsid w:val="59E24AD2"/>
    <w:rsid w:val="59E73A41"/>
    <w:rsid w:val="59E9098B"/>
    <w:rsid w:val="59E9425F"/>
    <w:rsid w:val="59EA0484"/>
    <w:rsid w:val="59EA1BD8"/>
    <w:rsid w:val="59EA4662"/>
    <w:rsid w:val="59EE16C8"/>
    <w:rsid w:val="59F111B9"/>
    <w:rsid w:val="59F11B9D"/>
    <w:rsid w:val="59F25A17"/>
    <w:rsid w:val="59F64A21"/>
    <w:rsid w:val="59F85C7F"/>
    <w:rsid w:val="59F91E1B"/>
    <w:rsid w:val="59FB5B93"/>
    <w:rsid w:val="59FE7432"/>
    <w:rsid w:val="59FF3A27"/>
    <w:rsid w:val="5A007EC4"/>
    <w:rsid w:val="5A026F22"/>
    <w:rsid w:val="5A032C9A"/>
    <w:rsid w:val="5A04713E"/>
    <w:rsid w:val="5A053A3E"/>
    <w:rsid w:val="5A07010E"/>
    <w:rsid w:val="5A070492"/>
    <w:rsid w:val="5A076501"/>
    <w:rsid w:val="5A077CF2"/>
    <w:rsid w:val="5A0802B0"/>
    <w:rsid w:val="5A0B678B"/>
    <w:rsid w:val="5A0B7E90"/>
    <w:rsid w:val="5A0E1D6B"/>
    <w:rsid w:val="5A0F7283"/>
    <w:rsid w:val="5A0F7891"/>
    <w:rsid w:val="5A101F2D"/>
    <w:rsid w:val="5A1153B7"/>
    <w:rsid w:val="5A137693"/>
    <w:rsid w:val="5A1804F3"/>
    <w:rsid w:val="5A194A92"/>
    <w:rsid w:val="5A1A113B"/>
    <w:rsid w:val="5A1A6159"/>
    <w:rsid w:val="5A1B6236"/>
    <w:rsid w:val="5A1E5C1E"/>
    <w:rsid w:val="5A20384C"/>
    <w:rsid w:val="5A221372"/>
    <w:rsid w:val="5A236E98"/>
    <w:rsid w:val="5A250E62"/>
    <w:rsid w:val="5A252C10"/>
    <w:rsid w:val="5A272E2C"/>
    <w:rsid w:val="5A276988"/>
    <w:rsid w:val="5A2A0227"/>
    <w:rsid w:val="5A2C7CFB"/>
    <w:rsid w:val="5A2F1CE1"/>
    <w:rsid w:val="5A313B60"/>
    <w:rsid w:val="5A320287"/>
    <w:rsid w:val="5A3219C8"/>
    <w:rsid w:val="5A3324F5"/>
    <w:rsid w:val="5A34314E"/>
    <w:rsid w:val="5A366373"/>
    <w:rsid w:val="5A382944"/>
    <w:rsid w:val="5A3A490E"/>
    <w:rsid w:val="5A3A7F9C"/>
    <w:rsid w:val="5A3E1C96"/>
    <w:rsid w:val="5A3E6328"/>
    <w:rsid w:val="5A3F0176"/>
    <w:rsid w:val="5A4968FF"/>
    <w:rsid w:val="5A4A08C9"/>
    <w:rsid w:val="5A4A2D11"/>
    <w:rsid w:val="5A4F7393"/>
    <w:rsid w:val="5A504131"/>
    <w:rsid w:val="5A532D4A"/>
    <w:rsid w:val="5A540CF3"/>
    <w:rsid w:val="5A56129A"/>
    <w:rsid w:val="5A56726E"/>
    <w:rsid w:val="5A570B12"/>
    <w:rsid w:val="5A58195D"/>
    <w:rsid w:val="5A5B177E"/>
    <w:rsid w:val="5A5B1EC4"/>
    <w:rsid w:val="5A5B4884"/>
    <w:rsid w:val="5A5C2F8F"/>
    <w:rsid w:val="5A5D05FC"/>
    <w:rsid w:val="5A5D23AA"/>
    <w:rsid w:val="5A5D5A51"/>
    <w:rsid w:val="5A5E76C1"/>
    <w:rsid w:val="5A5F4374"/>
    <w:rsid w:val="5A614795"/>
    <w:rsid w:val="5A624D10"/>
    <w:rsid w:val="5A6279C1"/>
    <w:rsid w:val="5A643739"/>
    <w:rsid w:val="5A6516AD"/>
    <w:rsid w:val="5A67147B"/>
    <w:rsid w:val="5A672A61"/>
    <w:rsid w:val="5A6776CD"/>
    <w:rsid w:val="5A6A4AC7"/>
    <w:rsid w:val="5A6A5AF8"/>
    <w:rsid w:val="5A6B0F6B"/>
    <w:rsid w:val="5A6C6A91"/>
    <w:rsid w:val="5A6E263F"/>
    <w:rsid w:val="5A6E45B7"/>
    <w:rsid w:val="5A733899"/>
    <w:rsid w:val="5A736072"/>
    <w:rsid w:val="5A737E20"/>
    <w:rsid w:val="5A744206"/>
    <w:rsid w:val="5A74536B"/>
    <w:rsid w:val="5A7616BE"/>
    <w:rsid w:val="5A764DC4"/>
    <w:rsid w:val="5A7A11AE"/>
    <w:rsid w:val="5A7A7A20"/>
    <w:rsid w:val="5A7B164E"/>
    <w:rsid w:val="5A7E4FF1"/>
    <w:rsid w:val="5A865DA5"/>
    <w:rsid w:val="5A8A21CA"/>
    <w:rsid w:val="5A8B33BB"/>
    <w:rsid w:val="5A8C0EE1"/>
    <w:rsid w:val="5A9102A6"/>
    <w:rsid w:val="5A9164F8"/>
    <w:rsid w:val="5A9304C2"/>
    <w:rsid w:val="5A983AE6"/>
    <w:rsid w:val="5A9B1124"/>
    <w:rsid w:val="5A9B522B"/>
    <w:rsid w:val="5A9C7376"/>
    <w:rsid w:val="5A9D30EE"/>
    <w:rsid w:val="5A9F29C3"/>
    <w:rsid w:val="5A9F65AB"/>
    <w:rsid w:val="5AA010B8"/>
    <w:rsid w:val="5AA1498D"/>
    <w:rsid w:val="5AA24261"/>
    <w:rsid w:val="5AA4622B"/>
    <w:rsid w:val="5AA71877"/>
    <w:rsid w:val="5AA955EF"/>
    <w:rsid w:val="5AAA410D"/>
    <w:rsid w:val="5AAB580B"/>
    <w:rsid w:val="5AAB75B9"/>
    <w:rsid w:val="5AAD30F4"/>
    <w:rsid w:val="5AB126F6"/>
    <w:rsid w:val="5AB33C9A"/>
    <w:rsid w:val="5AB53F94"/>
    <w:rsid w:val="5AB57A12"/>
    <w:rsid w:val="5AB6666A"/>
    <w:rsid w:val="5ABA5A4E"/>
    <w:rsid w:val="5ABD553F"/>
    <w:rsid w:val="5AC010AA"/>
    <w:rsid w:val="5AC10B8B"/>
    <w:rsid w:val="5AC32B55"/>
    <w:rsid w:val="5AC60BF9"/>
    <w:rsid w:val="5AC65776"/>
    <w:rsid w:val="5AC70F4B"/>
    <w:rsid w:val="5AC97A40"/>
    <w:rsid w:val="5ACA2EAE"/>
    <w:rsid w:val="5ACA7106"/>
    <w:rsid w:val="5ACE11CE"/>
    <w:rsid w:val="5AD05272"/>
    <w:rsid w:val="5AD10E92"/>
    <w:rsid w:val="5AD20FEA"/>
    <w:rsid w:val="5AD52888"/>
    <w:rsid w:val="5AD764D0"/>
    <w:rsid w:val="5ADA1C4D"/>
    <w:rsid w:val="5ADC59C5"/>
    <w:rsid w:val="5ADD34EB"/>
    <w:rsid w:val="5ADF3244"/>
    <w:rsid w:val="5ADF330A"/>
    <w:rsid w:val="5AE14D89"/>
    <w:rsid w:val="5AE42ACB"/>
    <w:rsid w:val="5AE467A0"/>
    <w:rsid w:val="5AE4717C"/>
    <w:rsid w:val="5AE53E6E"/>
    <w:rsid w:val="5AE623A0"/>
    <w:rsid w:val="5AE75DC0"/>
    <w:rsid w:val="5AE8436A"/>
    <w:rsid w:val="5AE85AFD"/>
    <w:rsid w:val="5AED1980"/>
    <w:rsid w:val="5AED7BD2"/>
    <w:rsid w:val="5AEE56F8"/>
    <w:rsid w:val="5AEE6ECB"/>
    <w:rsid w:val="5AEF277B"/>
    <w:rsid w:val="5AF01470"/>
    <w:rsid w:val="5AF120AA"/>
    <w:rsid w:val="5AF30F60"/>
    <w:rsid w:val="5AF34ABD"/>
    <w:rsid w:val="5AF53CAE"/>
    <w:rsid w:val="5AF56A87"/>
    <w:rsid w:val="5AF727FF"/>
    <w:rsid w:val="5AF80325"/>
    <w:rsid w:val="5AF87C09"/>
    <w:rsid w:val="5AF96577"/>
    <w:rsid w:val="5AFD593B"/>
    <w:rsid w:val="5AFE1DDF"/>
    <w:rsid w:val="5AFF7905"/>
    <w:rsid w:val="5B01367D"/>
    <w:rsid w:val="5B032705"/>
    <w:rsid w:val="5B044F1C"/>
    <w:rsid w:val="5B062A42"/>
    <w:rsid w:val="5B070DD5"/>
    <w:rsid w:val="5B0A2ED5"/>
    <w:rsid w:val="5B0B44FC"/>
    <w:rsid w:val="5B0C41F8"/>
    <w:rsid w:val="5B0E4D1C"/>
    <w:rsid w:val="5B1038C0"/>
    <w:rsid w:val="5B13515F"/>
    <w:rsid w:val="5B136F0D"/>
    <w:rsid w:val="5B183720"/>
    <w:rsid w:val="5B1D2007"/>
    <w:rsid w:val="5B1F3B03"/>
    <w:rsid w:val="5B22356E"/>
    <w:rsid w:val="5B2458F6"/>
    <w:rsid w:val="5B2474AC"/>
    <w:rsid w:val="5B2555BE"/>
    <w:rsid w:val="5B2605E0"/>
    <w:rsid w:val="5B2666D3"/>
    <w:rsid w:val="5B2D4231"/>
    <w:rsid w:val="5B2F1F99"/>
    <w:rsid w:val="5B2F6B51"/>
    <w:rsid w:val="5B30285E"/>
    <w:rsid w:val="5B302BB2"/>
    <w:rsid w:val="5B305D11"/>
    <w:rsid w:val="5B310B4C"/>
    <w:rsid w:val="5B327443"/>
    <w:rsid w:val="5B3515CA"/>
    <w:rsid w:val="5B354AD3"/>
    <w:rsid w:val="5B390226"/>
    <w:rsid w:val="5B392CCB"/>
    <w:rsid w:val="5B3A136D"/>
    <w:rsid w:val="5B3E21DC"/>
    <w:rsid w:val="5B3F7D02"/>
    <w:rsid w:val="5B4041A6"/>
    <w:rsid w:val="5B41202E"/>
    <w:rsid w:val="5B413A7A"/>
    <w:rsid w:val="5B450184"/>
    <w:rsid w:val="5B4812AC"/>
    <w:rsid w:val="5B490B80"/>
    <w:rsid w:val="5B4A0CF4"/>
    <w:rsid w:val="5B4A4658"/>
    <w:rsid w:val="5B4C2E3D"/>
    <w:rsid w:val="5B4D0590"/>
    <w:rsid w:val="5B501091"/>
    <w:rsid w:val="5B5075CB"/>
    <w:rsid w:val="5B51362C"/>
    <w:rsid w:val="5B51453F"/>
    <w:rsid w:val="5B537B85"/>
    <w:rsid w:val="5B54277B"/>
    <w:rsid w:val="5B590DC3"/>
    <w:rsid w:val="5B597D57"/>
    <w:rsid w:val="5B5B72AF"/>
    <w:rsid w:val="5B5C3914"/>
    <w:rsid w:val="5B5E1623"/>
    <w:rsid w:val="5B5F03A4"/>
    <w:rsid w:val="5B6156E4"/>
    <w:rsid w:val="5B63096F"/>
    <w:rsid w:val="5B632B55"/>
    <w:rsid w:val="5B6360E6"/>
    <w:rsid w:val="5B661382"/>
    <w:rsid w:val="5B667984"/>
    <w:rsid w:val="5B675852"/>
    <w:rsid w:val="5B690727"/>
    <w:rsid w:val="5B6C0511"/>
    <w:rsid w:val="5B6D2AC1"/>
    <w:rsid w:val="5B6D4F60"/>
    <w:rsid w:val="5B7200D7"/>
    <w:rsid w:val="5B762465"/>
    <w:rsid w:val="5B765E19"/>
    <w:rsid w:val="5B780C82"/>
    <w:rsid w:val="5B794490"/>
    <w:rsid w:val="5B7D6216"/>
    <w:rsid w:val="5B827ED5"/>
    <w:rsid w:val="5B8338EA"/>
    <w:rsid w:val="5B85605C"/>
    <w:rsid w:val="5B880AF5"/>
    <w:rsid w:val="5B8A3F97"/>
    <w:rsid w:val="5B8E6DD6"/>
    <w:rsid w:val="5B8F0C89"/>
    <w:rsid w:val="5B8F35CE"/>
    <w:rsid w:val="5B8F47E5"/>
    <w:rsid w:val="5B944D01"/>
    <w:rsid w:val="5B962018"/>
    <w:rsid w:val="5B99469B"/>
    <w:rsid w:val="5B9C2737"/>
    <w:rsid w:val="5B9C33A6"/>
    <w:rsid w:val="5B9E711E"/>
    <w:rsid w:val="5BA02D1A"/>
    <w:rsid w:val="5BA83AF8"/>
    <w:rsid w:val="5BA87F9D"/>
    <w:rsid w:val="5BAB1666"/>
    <w:rsid w:val="5BAD55B3"/>
    <w:rsid w:val="5BAF6C35"/>
    <w:rsid w:val="5BB02907"/>
    <w:rsid w:val="5BB029AE"/>
    <w:rsid w:val="5BB16E51"/>
    <w:rsid w:val="5BB21512"/>
    <w:rsid w:val="5BB6317A"/>
    <w:rsid w:val="5BB800FE"/>
    <w:rsid w:val="5BB849D8"/>
    <w:rsid w:val="5BBE568F"/>
    <w:rsid w:val="5BC14BBB"/>
    <w:rsid w:val="5BC30933"/>
    <w:rsid w:val="5BC67079"/>
    <w:rsid w:val="5BC70423"/>
    <w:rsid w:val="5BC8419B"/>
    <w:rsid w:val="5BCC087F"/>
    <w:rsid w:val="5BCC3C8B"/>
    <w:rsid w:val="5BCE029E"/>
    <w:rsid w:val="5BCF552A"/>
    <w:rsid w:val="5BD04920"/>
    <w:rsid w:val="5BD30872"/>
    <w:rsid w:val="5BD42B40"/>
    <w:rsid w:val="5BD60666"/>
    <w:rsid w:val="5BD91F04"/>
    <w:rsid w:val="5BDC07D1"/>
    <w:rsid w:val="5BDE1878"/>
    <w:rsid w:val="5BDE576D"/>
    <w:rsid w:val="5BE01BEC"/>
    <w:rsid w:val="5BE51515"/>
    <w:rsid w:val="5BE82147"/>
    <w:rsid w:val="5BEA4111"/>
    <w:rsid w:val="5BEA7C93"/>
    <w:rsid w:val="5BF14209"/>
    <w:rsid w:val="5BF16DC6"/>
    <w:rsid w:val="5BF62519"/>
    <w:rsid w:val="5BF63941"/>
    <w:rsid w:val="5BF671C1"/>
    <w:rsid w:val="5BF70433"/>
    <w:rsid w:val="5BF84A80"/>
    <w:rsid w:val="5BF92E16"/>
    <w:rsid w:val="5BFC41DC"/>
    <w:rsid w:val="5BFD77E3"/>
    <w:rsid w:val="5BFE5D5C"/>
    <w:rsid w:val="5C010550"/>
    <w:rsid w:val="5C010D1F"/>
    <w:rsid w:val="5C02145B"/>
    <w:rsid w:val="5C036F81"/>
    <w:rsid w:val="5C052CF9"/>
    <w:rsid w:val="5C0827EA"/>
    <w:rsid w:val="5C0B024A"/>
    <w:rsid w:val="5C0E36AA"/>
    <w:rsid w:val="5C1318BA"/>
    <w:rsid w:val="5C145C50"/>
    <w:rsid w:val="5C147195"/>
    <w:rsid w:val="5C170BF0"/>
    <w:rsid w:val="5C171C05"/>
    <w:rsid w:val="5C180C7F"/>
    <w:rsid w:val="5C1967A5"/>
    <w:rsid w:val="5C197B65"/>
    <w:rsid w:val="5C1A18C6"/>
    <w:rsid w:val="5C1A2683"/>
    <w:rsid w:val="5C1A61CE"/>
    <w:rsid w:val="5C1B251D"/>
    <w:rsid w:val="5C1B782B"/>
    <w:rsid w:val="5C1E3DF0"/>
    <w:rsid w:val="5C225659"/>
    <w:rsid w:val="5C230000"/>
    <w:rsid w:val="5C237B99"/>
    <w:rsid w:val="5C2528EA"/>
    <w:rsid w:val="5C2671DD"/>
    <w:rsid w:val="5C2A3D92"/>
    <w:rsid w:val="5C2C0286"/>
    <w:rsid w:val="5C321615"/>
    <w:rsid w:val="5C332333"/>
    <w:rsid w:val="5C3564CD"/>
    <w:rsid w:val="5C357BB0"/>
    <w:rsid w:val="5C367357"/>
    <w:rsid w:val="5C384E7D"/>
    <w:rsid w:val="5C3A115D"/>
    <w:rsid w:val="5C3A490C"/>
    <w:rsid w:val="5C3A5390"/>
    <w:rsid w:val="5C3D2493"/>
    <w:rsid w:val="5C3E7FB9"/>
    <w:rsid w:val="5C4315A9"/>
    <w:rsid w:val="5C441A74"/>
    <w:rsid w:val="5C451348"/>
    <w:rsid w:val="5C454916"/>
    <w:rsid w:val="5C481D27"/>
    <w:rsid w:val="5C4D1EAC"/>
    <w:rsid w:val="5C4D5AB6"/>
    <w:rsid w:val="5C503520"/>
    <w:rsid w:val="5C511A74"/>
    <w:rsid w:val="5C5123E2"/>
    <w:rsid w:val="5C525315"/>
    <w:rsid w:val="5C537F09"/>
    <w:rsid w:val="5C5477DD"/>
    <w:rsid w:val="5C5504D2"/>
    <w:rsid w:val="5C555D47"/>
    <w:rsid w:val="5C5571F5"/>
    <w:rsid w:val="5C58107B"/>
    <w:rsid w:val="5C5D48E3"/>
    <w:rsid w:val="5C6032EB"/>
    <w:rsid w:val="5C604512"/>
    <w:rsid w:val="5C6254EA"/>
    <w:rsid w:val="5C626C2B"/>
    <w:rsid w:val="5C642116"/>
    <w:rsid w:val="5C643663"/>
    <w:rsid w:val="5C67283F"/>
    <w:rsid w:val="5C6809DF"/>
    <w:rsid w:val="5C687E1A"/>
    <w:rsid w:val="5C69772C"/>
    <w:rsid w:val="5C710EE5"/>
    <w:rsid w:val="5C713F1F"/>
    <w:rsid w:val="5C732653"/>
    <w:rsid w:val="5C734529"/>
    <w:rsid w:val="5C7731D7"/>
    <w:rsid w:val="5C7913C1"/>
    <w:rsid w:val="5C7A36E7"/>
    <w:rsid w:val="5C81424E"/>
    <w:rsid w:val="5C822577"/>
    <w:rsid w:val="5C8409E0"/>
    <w:rsid w:val="5C844566"/>
    <w:rsid w:val="5C8B08CD"/>
    <w:rsid w:val="5C8D6C87"/>
    <w:rsid w:val="5C8E2CEF"/>
    <w:rsid w:val="5C90266F"/>
    <w:rsid w:val="5C9854A8"/>
    <w:rsid w:val="5C9B365E"/>
    <w:rsid w:val="5C9B45B7"/>
    <w:rsid w:val="5C9B6DBC"/>
    <w:rsid w:val="5C9F314E"/>
    <w:rsid w:val="5CA00C74"/>
    <w:rsid w:val="5CA249EC"/>
    <w:rsid w:val="5CA33017"/>
    <w:rsid w:val="5CA469DE"/>
    <w:rsid w:val="5CA477A4"/>
    <w:rsid w:val="5CA6628A"/>
    <w:rsid w:val="5CA73DB1"/>
    <w:rsid w:val="5CA97B29"/>
    <w:rsid w:val="5CAA465E"/>
    <w:rsid w:val="5CAA564F"/>
    <w:rsid w:val="5CAB38A1"/>
    <w:rsid w:val="5CAD5F7D"/>
    <w:rsid w:val="5CAE513F"/>
    <w:rsid w:val="5CAF2C65"/>
    <w:rsid w:val="5CB126BC"/>
    <w:rsid w:val="5CB2053F"/>
    <w:rsid w:val="5CB24A77"/>
    <w:rsid w:val="5CB56981"/>
    <w:rsid w:val="5CB70498"/>
    <w:rsid w:val="5CB85FBE"/>
    <w:rsid w:val="5CBC212B"/>
    <w:rsid w:val="5CBD35D4"/>
    <w:rsid w:val="5CBF559E"/>
    <w:rsid w:val="5CBF7D93"/>
    <w:rsid w:val="5CC26E3C"/>
    <w:rsid w:val="5CC31B3E"/>
    <w:rsid w:val="5CC40E96"/>
    <w:rsid w:val="5CC826A5"/>
    <w:rsid w:val="5CC95B45"/>
    <w:rsid w:val="5CCB3F43"/>
    <w:rsid w:val="5CCC1A69"/>
    <w:rsid w:val="5CCD0727"/>
    <w:rsid w:val="5CCE3A33"/>
    <w:rsid w:val="5CCE758F"/>
    <w:rsid w:val="5CD050B5"/>
    <w:rsid w:val="5CD32DF8"/>
    <w:rsid w:val="5CD5434D"/>
    <w:rsid w:val="5CD54DC2"/>
    <w:rsid w:val="5CD60EB2"/>
    <w:rsid w:val="5CD64696"/>
    <w:rsid w:val="5CDA7BA2"/>
    <w:rsid w:val="5CDF179C"/>
    <w:rsid w:val="5CE01B90"/>
    <w:rsid w:val="5CE10AD0"/>
    <w:rsid w:val="5CE57CED"/>
    <w:rsid w:val="5CE60816"/>
    <w:rsid w:val="5CE62B2B"/>
    <w:rsid w:val="5CE70651"/>
    <w:rsid w:val="5CE727F2"/>
    <w:rsid w:val="5CE9261B"/>
    <w:rsid w:val="5CE95B0C"/>
    <w:rsid w:val="5CF35248"/>
    <w:rsid w:val="5CF36FF6"/>
    <w:rsid w:val="5CF55A11"/>
    <w:rsid w:val="5CF66B2F"/>
    <w:rsid w:val="5CF66CF4"/>
    <w:rsid w:val="5CF80AB0"/>
    <w:rsid w:val="5CF95C10"/>
    <w:rsid w:val="5CFB020D"/>
    <w:rsid w:val="5D001BC7"/>
    <w:rsid w:val="5D0347EA"/>
    <w:rsid w:val="5D041203"/>
    <w:rsid w:val="5D05627B"/>
    <w:rsid w:val="5D066D29"/>
    <w:rsid w:val="5D080CF3"/>
    <w:rsid w:val="5D087BE1"/>
    <w:rsid w:val="5D096819"/>
    <w:rsid w:val="5D0A2B3D"/>
    <w:rsid w:val="5D0D6309"/>
    <w:rsid w:val="5D0E3E30"/>
    <w:rsid w:val="5D0F44F7"/>
    <w:rsid w:val="5D107877"/>
    <w:rsid w:val="5D12464E"/>
    <w:rsid w:val="5D1458EA"/>
    <w:rsid w:val="5D1551BE"/>
    <w:rsid w:val="5D192F00"/>
    <w:rsid w:val="5D1D22C5"/>
    <w:rsid w:val="5D1F01E6"/>
    <w:rsid w:val="5D2031A1"/>
    <w:rsid w:val="5D215911"/>
    <w:rsid w:val="5D217368"/>
    <w:rsid w:val="5D227420"/>
    <w:rsid w:val="5D2418A5"/>
    <w:rsid w:val="5D243653"/>
    <w:rsid w:val="5D2525A6"/>
    <w:rsid w:val="5D2531BC"/>
    <w:rsid w:val="5D25720C"/>
    <w:rsid w:val="5D261179"/>
    <w:rsid w:val="5D266BF9"/>
    <w:rsid w:val="5D2B2C34"/>
    <w:rsid w:val="5D2C419E"/>
    <w:rsid w:val="5D2C7751"/>
    <w:rsid w:val="5D31225D"/>
    <w:rsid w:val="5D324D98"/>
    <w:rsid w:val="5D347D3A"/>
    <w:rsid w:val="5D355860"/>
    <w:rsid w:val="5D380EAD"/>
    <w:rsid w:val="5D3D1EAB"/>
    <w:rsid w:val="5D3D64C3"/>
    <w:rsid w:val="5D3F30F5"/>
    <w:rsid w:val="5D3F46CF"/>
    <w:rsid w:val="5D403922"/>
    <w:rsid w:val="5D4101A1"/>
    <w:rsid w:val="5D427E46"/>
    <w:rsid w:val="5D431D2B"/>
    <w:rsid w:val="5D443CF5"/>
    <w:rsid w:val="5D4635C9"/>
    <w:rsid w:val="5D46469E"/>
    <w:rsid w:val="5D476C1D"/>
    <w:rsid w:val="5D4B5084"/>
    <w:rsid w:val="5D4E06D0"/>
    <w:rsid w:val="5D5154F9"/>
    <w:rsid w:val="5D5340D1"/>
    <w:rsid w:val="5D5977A1"/>
    <w:rsid w:val="5D5A563A"/>
    <w:rsid w:val="5D5B27A1"/>
    <w:rsid w:val="5D5E4DB7"/>
    <w:rsid w:val="5D5E7A84"/>
    <w:rsid w:val="5D612666"/>
    <w:rsid w:val="5D616655"/>
    <w:rsid w:val="5D63087E"/>
    <w:rsid w:val="5D637CD5"/>
    <w:rsid w:val="5D641CA2"/>
    <w:rsid w:val="5D647D73"/>
    <w:rsid w:val="5D681792"/>
    <w:rsid w:val="5D693F0E"/>
    <w:rsid w:val="5D6A1E18"/>
    <w:rsid w:val="5D6F0D72"/>
    <w:rsid w:val="5D704AEA"/>
    <w:rsid w:val="5D716BFF"/>
    <w:rsid w:val="5D723378"/>
    <w:rsid w:val="5D7444B4"/>
    <w:rsid w:val="5D7548E6"/>
    <w:rsid w:val="5D7719D5"/>
    <w:rsid w:val="5D79574D"/>
    <w:rsid w:val="5D795C02"/>
    <w:rsid w:val="5D7A14C5"/>
    <w:rsid w:val="5D7A5920"/>
    <w:rsid w:val="5D7C6FEB"/>
    <w:rsid w:val="5D7D74D8"/>
    <w:rsid w:val="5D7F6ADB"/>
    <w:rsid w:val="5D814602"/>
    <w:rsid w:val="5D844640"/>
    <w:rsid w:val="5D88354C"/>
    <w:rsid w:val="5D8A795A"/>
    <w:rsid w:val="5D8B1F3D"/>
    <w:rsid w:val="5D8E3AF3"/>
    <w:rsid w:val="5D902A97"/>
    <w:rsid w:val="5D9407D9"/>
    <w:rsid w:val="5D9A49F2"/>
    <w:rsid w:val="5D9E6F62"/>
    <w:rsid w:val="5DA052A8"/>
    <w:rsid w:val="5DA1635C"/>
    <w:rsid w:val="5DA24FF7"/>
    <w:rsid w:val="5DA327CA"/>
    <w:rsid w:val="5DA37C65"/>
    <w:rsid w:val="5DA4509D"/>
    <w:rsid w:val="5DA54865"/>
    <w:rsid w:val="5DAA7FFC"/>
    <w:rsid w:val="5DAB1F64"/>
    <w:rsid w:val="5DAB3C67"/>
    <w:rsid w:val="5DB1138B"/>
    <w:rsid w:val="5DB24888"/>
    <w:rsid w:val="5DB42ACA"/>
    <w:rsid w:val="5DB524FD"/>
    <w:rsid w:val="5DB64EE9"/>
    <w:rsid w:val="5DB66536"/>
    <w:rsid w:val="5DB93D33"/>
    <w:rsid w:val="5DC26D1A"/>
    <w:rsid w:val="5DC3008A"/>
    <w:rsid w:val="5DC32E6C"/>
    <w:rsid w:val="5DC5129A"/>
    <w:rsid w:val="5DC6793A"/>
    <w:rsid w:val="5DC80482"/>
    <w:rsid w:val="5DC82230"/>
    <w:rsid w:val="5DC840D9"/>
    <w:rsid w:val="5DCA244C"/>
    <w:rsid w:val="5DCA46B2"/>
    <w:rsid w:val="5DD00333"/>
    <w:rsid w:val="5DD17A54"/>
    <w:rsid w:val="5DD5494D"/>
    <w:rsid w:val="5DD60A25"/>
    <w:rsid w:val="5DD72473"/>
    <w:rsid w:val="5DDC5A0A"/>
    <w:rsid w:val="5DDD2180"/>
    <w:rsid w:val="5DDE3802"/>
    <w:rsid w:val="5DDF5E8A"/>
    <w:rsid w:val="5DE11544"/>
    <w:rsid w:val="5DE1497B"/>
    <w:rsid w:val="5DE60909"/>
    <w:rsid w:val="5DE62272"/>
    <w:rsid w:val="5DE66B5A"/>
    <w:rsid w:val="5DE9152E"/>
    <w:rsid w:val="5DEC12B6"/>
    <w:rsid w:val="5DEC23C3"/>
    <w:rsid w:val="5DED6828"/>
    <w:rsid w:val="5DED7EE9"/>
    <w:rsid w:val="5DEF3C61"/>
    <w:rsid w:val="5DF24B50"/>
    <w:rsid w:val="5DF271A3"/>
    <w:rsid w:val="5DF36E10"/>
    <w:rsid w:val="5DF44B66"/>
    <w:rsid w:val="5DFC1EDA"/>
    <w:rsid w:val="5E0430BA"/>
    <w:rsid w:val="5E044DBA"/>
    <w:rsid w:val="5E055233"/>
    <w:rsid w:val="5E061885"/>
    <w:rsid w:val="5E070FAB"/>
    <w:rsid w:val="5E090206"/>
    <w:rsid w:val="5E096C5A"/>
    <w:rsid w:val="5E0A7399"/>
    <w:rsid w:val="5E0C4813"/>
    <w:rsid w:val="5E0C5358"/>
    <w:rsid w:val="5E0C65C1"/>
    <w:rsid w:val="5E1216FE"/>
    <w:rsid w:val="5E135BAC"/>
    <w:rsid w:val="5E14191A"/>
    <w:rsid w:val="5E145476"/>
    <w:rsid w:val="5E1611EE"/>
    <w:rsid w:val="5E197CFB"/>
    <w:rsid w:val="5E224037"/>
    <w:rsid w:val="5E252280"/>
    <w:rsid w:val="5E28130E"/>
    <w:rsid w:val="5E281A99"/>
    <w:rsid w:val="5E2841CF"/>
    <w:rsid w:val="5E287173"/>
    <w:rsid w:val="5E2B00B3"/>
    <w:rsid w:val="5E2D7601"/>
    <w:rsid w:val="5E2F28EA"/>
    <w:rsid w:val="5E304571"/>
    <w:rsid w:val="5E317DD6"/>
    <w:rsid w:val="5E337FF2"/>
    <w:rsid w:val="5E3641C2"/>
    <w:rsid w:val="5E3653EC"/>
    <w:rsid w:val="5E37325F"/>
    <w:rsid w:val="5E385608"/>
    <w:rsid w:val="5E3B2A02"/>
    <w:rsid w:val="5E3C677A"/>
    <w:rsid w:val="5E3E0745"/>
    <w:rsid w:val="5E4045E7"/>
    <w:rsid w:val="5E420397"/>
    <w:rsid w:val="5E421FE3"/>
    <w:rsid w:val="5E444AC9"/>
    <w:rsid w:val="5E445C6B"/>
    <w:rsid w:val="5E446D0A"/>
    <w:rsid w:val="5E451AD3"/>
    <w:rsid w:val="5E464EE8"/>
    <w:rsid w:val="5E4775F9"/>
    <w:rsid w:val="5E492B9A"/>
    <w:rsid w:val="5E49308C"/>
    <w:rsid w:val="5E4A70E9"/>
    <w:rsid w:val="5E4F2952"/>
    <w:rsid w:val="5E4F4700"/>
    <w:rsid w:val="5E502D85"/>
    <w:rsid w:val="5E522624"/>
    <w:rsid w:val="5E534EEB"/>
    <w:rsid w:val="5E541D16"/>
    <w:rsid w:val="5E583512"/>
    <w:rsid w:val="5E5A0537"/>
    <w:rsid w:val="5E5B37F0"/>
    <w:rsid w:val="5E5E1C13"/>
    <w:rsid w:val="5E5E5C71"/>
    <w:rsid w:val="5E602469"/>
    <w:rsid w:val="5E604B5F"/>
    <w:rsid w:val="5E60690D"/>
    <w:rsid w:val="5E624433"/>
    <w:rsid w:val="5E630057"/>
    <w:rsid w:val="5E646364"/>
    <w:rsid w:val="5E663412"/>
    <w:rsid w:val="5E6703F1"/>
    <w:rsid w:val="5E6741C2"/>
    <w:rsid w:val="5E6834B8"/>
    <w:rsid w:val="5E68756F"/>
    <w:rsid w:val="5E6920B2"/>
    <w:rsid w:val="5E6E1C44"/>
    <w:rsid w:val="5E6F4DA2"/>
    <w:rsid w:val="5E705A5F"/>
    <w:rsid w:val="5E7A3635"/>
    <w:rsid w:val="5E7A6C06"/>
    <w:rsid w:val="5E7E2933"/>
    <w:rsid w:val="5E7E6D93"/>
    <w:rsid w:val="5E820631"/>
    <w:rsid w:val="5E824AD5"/>
    <w:rsid w:val="5E843541"/>
    <w:rsid w:val="5E8A398A"/>
    <w:rsid w:val="5E9209CE"/>
    <w:rsid w:val="5E930A90"/>
    <w:rsid w:val="5E940E76"/>
    <w:rsid w:val="5E974DDA"/>
    <w:rsid w:val="5E9D36BD"/>
    <w:rsid w:val="5E9E4F90"/>
    <w:rsid w:val="5E9E56E0"/>
    <w:rsid w:val="5E9F6A0F"/>
    <w:rsid w:val="5E9F7434"/>
    <w:rsid w:val="5EA06693"/>
    <w:rsid w:val="5EA1088D"/>
    <w:rsid w:val="5EA22A81"/>
    <w:rsid w:val="5EA27B7C"/>
    <w:rsid w:val="5EA45048"/>
    <w:rsid w:val="5EA507C4"/>
    <w:rsid w:val="5EAC56AE"/>
    <w:rsid w:val="5EAE7678"/>
    <w:rsid w:val="5EB153BA"/>
    <w:rsid w:val="5EB17168"/>
    <w:rsid w:val="5EB629D1"/>
    <w:rsid w:val="5EB67481"/>
    <w:rsid w:val="5EBD23CA"/>
    <w:rsid w:val="5EBD5B0D"/>
    <w:rsid w:val="5EBF51EE"/>
    <w:rsid w:val="5EC4727E"/>
    <w:rsid w:val="5EC6163E"/>
    <w:rsid w:val="5EC70AA6"/>
    <w:rsid w:val="5EC724E8"/>
    <w:rsid w:val="5EC7698C"/>
    <w:rsid w:val="5EC77170"/>
    <w:rsid w:val="5EC944B2"/>
    <w:rsid w:val="5ECA2FCC"/>
    <w:rsid w:val="5ECE1AC8"/>
    <w:rsid w:val="5ED07823"/>
    <w:rsid w:val="5ED109BF"/>
    <w:rsid w:val="5ED22406"/>
    <w:rsid w:val="5ED30E8D"/>
    <w:rsid w:val="5ED370DF"/>
    <w:rsid w:val="5ED903A7"/>
    <w:rsid w:val="5EDA66BF"/>
    <w:rsid w:val="5EDC0865"/>
    <w:rsid w:val="5EDE2626"/>
    <w:rsid w:val="5EE72B8A"/>
    <w:rsid w:val="5EE7485D"/>
    <w:rsid w:val="5EE916A2"/>
    <w:rsid w:val="5EE94B54"/>
    <w:rsid w:val="5EEA2EAA"/>
    <w:rsid w:val="5EEA61D6"/>
    <w:rsid w:val="5EEB267A"/>
    <w:rsid w:val="5EEC1F4F"/>
    <w:rsid w:val="5EF01A3F"/>
    <w:rsid w:val="5EF07C91"/>
    <w:rsid w:val="5EF11205"/>
    <w:rsid w:val="5EF25169"/>
    <w:rsid w:val="5EF534F9"/>
    <w:rsid w:val="5EF57055"/>
    <w:rsid w:val="5EF77271"/>
    <w:rsid w:val="5EF84876"/>
    <w:rsid w:val="5EFA28BD"/>
    <w:rsid w:val="5EFD23AE"/>
    <w:rsid w:val="5EFD5F0A"/>
    <w:rsid w:val="5F0107F3"/>
    <w:rsid w:val="5F0279C4"/>
    <w:rsid w:val="5F06135B"/>
    <w:rsid w:val="5F0674B4"/>
    <w:rsid w:val="5F08613A"/>
    <w:rsid w:val="5F130AAE"/>
    <w:rsid w:val="5F1314CF"/>
    <w:rsid w:val="5F1514A5"/>
    <w:rsid w:val="5F164BAD"/>
    <w:rsid w:val="5F181700"/>
    <w:rsid w:val="5F18712F"/>
    <w:rsid w:val="5F1A4D0E"/>
    <w:rsid w:val="5F1A6ABC"/>
    <w:rsid w:val="5F1C1C0C"/>
    <w:rsid w:val="5F1C42D0"/>
    <w:rsid w:val="5F1D035A"/>
    <w:rsid w:val="5F275E09"/>
    <w:rsid w:val="5F28567D"/>
    <w:rsid w:val="5F29288B"/>
    <w:rsid w:val="5F294F51"/>
    <w:rsid w:val="5F296CFF"/>
    <w:rsid w:val="5F2A38A9"/>
    <w:rsid w:val="5F2B4FBB"/>
    <w:rsid w:val="5F2E2F07"/>
    <w:rsid w:val="5F2E474F"/>
    <w:rsid w:val="5F2E577D"/>
    <w:rsid w:val="5F321DAE"/>
    <w:rsid w:val="5F334021"/>
    <w:rsid w:val="5F3550EA"/>
    <w:rsid w:val="5F381638"/>
    <w:rsid w:val="5F386D8E"/>
    <w:rsid w:val="5F443B39"/>
    <w:rsid w:val="5F473629"/>
    <w:rsid w:val="5F4B136B"/>
    <w:rsid w:val="5F4C0708"/>
    <w:rsid w:val="5F4C123C"/>
    <w:rsid w:val="5F4E2554"/>
    <w:rsid w:val="5F51734E"/>
    <w:rsid w:val="5F522BAD"/>
    <w:rsid w:val="5F526256"/>
    <w:rsid w:val="5F562C95"/>
    <w:rsid w:val="5F574BF4"/>
    <w:rsid w:val="5F574EE8"/>
    <w:rsid w:val="5F577D10"/>
    <w:rsid w:val="5F593A88"/>
    <w:rsid w:val="5F5A335C"/>
    <w:rsid w:val="5F5A6ED0"/>
    <w:rsid w:val="5F5A70CF"/>
    <w:rsid w:val="5F5A7800"/>
    <w:rsid w:val="5F5C5326"/>
    <w:rsid w:val="5F5C70D4"/>
    <w:rsid w:val="5F5E0A5B"/>
    <w:rsid w:val="5F5E6503"/>
    <w:rsid w:val="5F5F5D77"/>
    <w:rsid w:val="5F61293D"/>
    <w:rsid w:val="5F6146EB"/>
    <w:rsid w:val="5F645E8C"/>
    <w:rsid w:val="5F69359F"/>
    <w:rsid w:val="5F6D710E"/>
    <w:rsid w:val="5F6E0BB6"/>
    <w:rsid w:val="5F6E6E08"/>
    <w:rsid w:val="5F724B4A"/>
    <w:rsid w:val="5F740727"/>
    <w:rsid w:val="5F751F44"/>
    <w:rsid w:val="5F77699D"/>
    <w:rsid w:val="5F781A34"/>
    <w:rsid w:val="5F7A39FE"/>
    <w:rsid w:val="5F7C32D2"/>
    <w:rsid w:val="5F7E2C27"/>
    <w:rsid w:val="5F835D70"/>
    <w:rsid w:val="5F851ACB"/>
    <w:rsid w:val="5F8806C1"/>
    <w:rsid w:val="5F887EC9"/>
    <w:rsid w:val="5F8A1E93"/>
    <w:rsid w:val="5F8D3328"/>
    <w:rsid w:val="5F8D3732"/>
    <w:rsid w:val="5F8E3006"/>
    <w:rsid w:val="5F903222"/>
    <w:rsid w:val="5F922AF6"/>
    <w:rsid w:val="5F93061C"/>
    <w:rsid w:val="5F972498"/>
    <w:rsid w:val="5F9745B0"/>
    <w:rsid w:val="5F9A7BFD"/>
    <w:rsid w:val="5FA05850"/>
    <w:rsid w:val="5FA12D39"/>
    <w:rsid w:val="5FA16FA6"/>
    <w:rsid w:val="5FA42829"/>
    <w:rsid w:val="5FA911F0"/>
    <w:rsid w:val="5FAB0540"/>
    <w:rsid w:val="5FAB2559"/>
    <w:rsid w:val="5FAB4923"/>
    <w:rsid w:val="5FAE5456"/>
    <w:rsid w:val="5FAF3513"/>
    <w:rsid w:val="5FB00B8B"/>
    <w:rsid w:val="5FB02102"/>
    <w:rsid w:val="5FB30C74"/>
    <w:rsid w:val="5FB32ED1"/>
    <w:rsid w:val="5FB40CBE"/>
    <w:rsid w:val="5FB418A3"/>
    <w:rsid w:val="5FB42F01"/>
    <w:rsid w:val="5FB521ED"/>
    <w:rsid w:val="5FB7255D"/>
    <w:rsid w:val="5FBA01E9"/>
    <w:rsid w:val="5FC14EF9"/>
    <w:rsid w:val="5FC420F6"/>
    <w:rsid w:val="5FC44C79"/>
    <w:rsid w:val="5FC627A0"/>
    <w:rsid w:val="5FC636E4"/>
    <w:rsid w:val="5FC811A9"/>
    <w:rsid w:val="5FC92290"/>
    <w:rsid w:val="5FCA54A8"/>
    <w:rsid w:val="5FCF49FC"/>
    <w:rsid w:val="5FD21144"/>
    <w:rsid w:val="5FD41360"/>
    <w:rsid w:val="5FD60DE7"/>
    <w:rsid w:val="5FD72D43"/>
    <w:rsid w:val="5FD924D3"/>
    <w:rsid w:val="5FD92CBE"/>
    <w:rsid w:val="5FDB26EF"/>
    <w:rsid w:val="5FDE21DF"/>
    <w:rsid w:val="5FE00E1F"/>
    <w:rsid w:val="5FE01AB3"/>
    <w:rsid w:val="5FE07D05"/>
    <w:rsid w:val="5FE175D9"/>
    <w:rsid w:val="5FE315A4"/>
    <w:rsid w:val="5FE64BF0"/>
    <w:rsid w:val="5FEB66AA"/>
    <w:rsid w:val="5FEC48FC"/>
    <w:rsid w:val="5FEC6260"/>
    <w:rsid w:val="5FEF1CF6"/>
    <w:rsid w:val="5FF303EE"/>
    <w:rsid w:val="5FF34165"/>
    <w:rsid w:val="5FF41558"/>
    <w:rsid w:val="5FF4555F"/>
    <w:rsid w:val="5FF51F22"/>
    <w:rsid w:val="5FF76DFD"/>
    <w:rsid w:val="5FF9489B"/>
    <w:rsid w:val="5FFB5FA1"/>
    <w:rsid w:val="5FFC08B7"/>
    <w:rsid w:val="5FFD505A"/>
    <w:rsid w:val="60030521"/>
    <w:rsid w:val="60031C46"/>
    <w:rsid w:val="60041AB1"/>
    <w:rsid w:val="600476F9"/>
    <w:rsid w:val="600507B4"/>
    <w:rsid w:val="60067040"/>
    <w:rsid w:val="60067FDB"/>
    <w:rsid w:val="600734E4"/>
    <w:rsid w:val="60083B32"/>
    <w:rsid w:val="600B6B96"/>
    <w:rsid w:val="600D34B9"/>
    <w:rsid w:val="600D4872"/>
    <w:rsid w:val="60121C48"/>
    <w:rsid w:val="60193217"/>
    <w:rsid w:val="6019677F"/>
    <w:rsid w:val="601E438A"/>
    <w:rsid w:val="602014C6"/>
    <w:rsid w:val="60220673"/>
    <w:rsid w:val="602259D4"/>
    <w:rsid w:val="60256581"/>
    <w:rsid w:val="602633BC"/>
    <w:rsid w:val="60265C34"/>
    <w:rsid w:val="60275934"/>
    <w:rsid w:val="602A71D2"/>
    <w:rsid w:val="602C1292"/>
    <w:rsid w:val="602C4CF9"/>
    <w:rsid w:val="602E7E55"/>
    <w:rsid w:val="60302D22"/>
    <w:rsid w:val="603040BD"/>
    <w:rsid w:val="60310A19"/>
    <w:rsid w:val="6032727F"/>
    <w:rsid w:val="6033661F"/>
    <w:rsid w:val="60336BFF"/>
    <w:rsid w:val="60395667"/>
    <w:rsid w:val="603C5D56"/>
    <w:rsid w:val="603D15B1"/>
    <w:rsid w:val="603F2E02"/>
    <w:rsid w:val="60423096"/>
    <w:rsid w:val="60435EE0"/>
    <w:rsid w:val="604611AF"/>
    <w:rsid w:val="60461BF9"/>
    <w:rsid w:val="604A517F"/>
    <w:rsid w:val="604A6707"/>
    <w:rsid w:val="604C7149"/>
    <w:rsid w:val="604D2796"/>
    <w:rsid w:val="604D4D1B"/>
    <w:rsid w:val="60502261"/>
    <w:rsid w:val="60567FC7"/>
    <w:rsid w:val="60575AEE"/>
    <w:rsid w:val="6058575B"/>
    <w:rsid w:val="60593614"/>
    <w:rsid w:val="605A3B80"/>
    <w:rsid w:val="605C7F06"/>
    <w:rsid w:val="605D1356"/>
    <w:rsid w:val="605D227C"/>
    <w:rsid w:val="605E4ED2"/>
    <w:rsid w:val="605F491F"/>
    <w:rsid w:val="60600E46"/>
    <w:rsid w:val="60602BF4"/>
    <w:rsid w:val="606049A2"/>
    <w:rsid w:val="606072E0"/>
    <w:rsid w:val="6063159B"/>
    <w:rsid w:val="6065307F"/>
    <w:rsid w:val="60681AA9"/>
    <w:rsid w:val="606A72AE"/>
    <w:rsid w:val="606B7E4D"/>
    <w:rsid w:val="606C3347"/>
    <w:rsid w:val="606D13C6"/>
    <w:rsid w:val="606D7CB2"/>
    <w:rsid w:val="606F4BE5"/>
    <w:rsid w:val="60733F1C"/>
    <w:rsid w:val="60733F41"/>
    <w:rsid w:val="60736A8B"/>
    <w:rsid w:val="60745FCF"/>
    <w:rsid w:val="607703D0"/>
    <w:rsid w:val="60781BAE"/>
    <w:rsid w:val="60787F3E"/>
    <w:rsid w:val="607B5C80"/>
    <w:rsid w:val="607C44DA"/>
    <w:rsid w:val="607E12CC"/>
    <w:rsid w:val="607E751E"/>
    <w:rsid w:val="60805DB4"/>
    <w:rsid w:val="60820545"/>
    <w:rsid w:val="60830691"/>
    <w:rsid w:val="60854409"/>
    <w:rsid w:val="608B2C82"/>
    <w:rsid w:val="608C1C3B"/>
    <w:rsid w:val="608C66DA"/>
    <w:rsid w:val="609103C0"/>
    <w:rsid w:val="60912DAE"/>
    <w:rsid w:val="60932FCA"/>
    <w:rsid w:val="60934D78"/>
    <w:rsid w:val="60956D42"/>
    <w:rsid w:val="60964868"/>
    <w:rsid w:val="60980C3C"/>
    <w:rsid w:val="60A71366"/>
    <w:rsid w:val="60AA4D26"/>
    <w:rsid w:val="60AD3665"/>
    <w:rsid w:val="60AD570E"/>
    <w:rsid w:val="60AE3960"/>
    <w:rsid w:val="60AF0D46"/>
    <w:rsid w:val="60AF76D8"/>
    <w:rsid w:val="60B23FEB"/>
    <w:rsid w:val="60B30F76"/>
    <w:rsid w:val="60B31268"/>
    <w:rsid w:val="60B33F1D"/>
    <w:rsid w:val="60B46A9C"/>
    <w:rsid w:val="60B65EA9"/>
    <w:rsid w:val="60BB1C90"/>
    <w:rsid w:val="60BB26AF"/>
    <w:rsid w:val="60BD3BA3"/>
    <w:rsid w:val="60BF3DBF"/>
    <w:rsid w:val="60C05441"/>
    <w:rsid w:val="60C1349F"/>
    <w:rsid w:val="60C2740B"/>
    <w:rsid w:val="60C5514D"/>
    <w:rsid w:val="60C74A21"/>
    <w:rsid w:val="60C90799"/>
    <w:rsid w:val="60C94FD7"/>
    <w:rsid w:val="60C969EB"/>
    <w:rsid w:val="60CA2B01"/>
    <w:rsid w:val="60CC64DC"/>
    <w:rsid w:val="60CE7B5E"/>
    <w:rsid w:val="60CF759C"/>
    <w:rsid w:val="60D158A0"/>
    <w:rsid w:val="60D55390"/>
    <w:rsid w:val="60D90FC0"/>
    <w:rsid w:val="60DA70C8"/>
    <w:rsid w:val="60DB04CD"/>
    <w:rsid w:val="60DB4EF2"/>
    <w:rsid w:val="60DD4245"/>
    <w:rsid w:val="60DD5FF3"/>
    <w:rsid w:val="60DF2F38"/>
    <w:rsid w:val="60DF7FBD"/>
    <w:rsid w:val="60E0328F"/>
    <w:rsid w:val="60E3323C"/>
    <w:rsid w:val="60E34F6F"/>
    <w:rsid w:val="60E43825"/>
    <w:rsid w:val="60E455D3"/>
    <w:rsid w:val="60E65A9C"/>
    <w:rsid w:val="60E66F49"/>
    <w:rsid w:val="60E67DEF"/>
    <w:rsid w:val="60E70C20"/>
    <w:rsid w:val="60E7224A"/>
    <w:rsid w:val="60E8429D"/>
    <w:rsid w:val="60E867C1"/>
    <w:rsid w:val="60E94F36"/>
    <w:rsid w:val="60EA02FE"/>
    <w:rsid w:val="60EA6962"/>
    <w:rsid w:val="60ED3212"/>
    <w:rsid w:val="60F12BA5"/>
    <w:rsid w:val="60F339BD"/>
    <w:rsid w:val="60F41EFF"/>
    <w:rsid w:val="60F75C4D"/>
    <w:rsid w:val="60FA2382"/>
    <w:rsid w:val="60FB291D"/>
    <w:rsid w:val="60FC3D4F"/>
    <w:rsid w:val="60FD0443"/>
    <w:rsid w:val="60FD3BA3"/>
    <w:rsid w:val="61001C59"/>
    <w:rsid w:val="61002660"/>
    <w:rsid w:val="61023CAB"/>
    <w:rsid w:val="61071CE7"/>
    <w:rsid w:val="6107422D"/>
    <w:rsid w:val="61080CB6"/>
    <w:rsid w:val="61092146"/>
    <w:rsid w:val="61093A67"/>
    <w:rsid w:val="61094D17"/>
    <w:rsid w:val="610C692D"/>
    <w:rsid w:val="610D1775"/>
    <w:rsid w:val="610E43FE"/>
    <w:rsid w:val="61111FBE"/>
    <w:rsid w:val="61127C0B"/>
    <w:rsid w:val="61137C66"/>
    <w:rsid w:val="61181721"/>
    <w:rsid w:val="611D0AE5"/>
    <w:rsid w:val="61204131"/>
    <w:rsid w:val="61224BC2"/>
    <w:rsid w:val="61227EAA"/>
    <w:rsid w:val="6126799A"/>
    <w:rsid w:val="61270436"/>
    <w:rsid w:val="61294603"/>
    <w:rsid w:val="61295C27"/>
    <w:rsid w:val="613148C5"/>
    <w:rsid w:val="61351007"/>
    <w:rsid w:val="61357BDD"/>
    <w:rsid w:val="61366398"/>
    <w:rsid w:val="613715D8"/>
    <w:rsid w:val="6138009E"/>
    <w:rsid w:val="613C7BA6"/>
    <w:rsid w:val="613F0304"/>
    <w:rsid w:val="613F0A5C"/>
    <w:rsid w:val="613F6CAD"/>
    <w:rsid w:val="6140265D"/>
    <w:rsid w:val="6142054C"/>
    <w:rsid w:val="6142081C"/>
    <w:rsid w:val="61420BF6"/>
    <w:rsid w:val="61436FDD"/>
    <w:rsid w:val="61461415"/>
    <w:rsid w:val="61475B62"/>
    <w:rsid w:val="61477910"/>
    <w:rsid w:val="614813C1"/>
    <w:rsid w:val="614918DA"/>
    <w:rsid w:val="614965E3"/>
    <w:rsid w:val="614B5652"/>
    <w:rsid w:val="614D0462"/>
    <w:rsid w:val="615269E1"/>
    <w:rsid w:val="61565DA5"/>
    <w:rsid w:val="615A7643"/>
    <w:rsid w:val="615C160D"/>
    <w:rsid w:val="615D5386"/>
    <w:rsid w:val="615F4C5A"/>
    <w:rsid w:val="616109D2"/>
    <w:rsid w:val="6162299C"/>
    <w:rsid w:val="61652388"/>
    <w:rsid w:val="6166248C"/>
    <w:rsid w:val="61665FE8"/>
    <w:rsid w:val="616927E9"/>
    <w:rsid w:val="61693D2A"/>
    <w:rsid w:val="616A14E3"/>
    <w:rsid w:val="616B337F"/>
    <w:rsid w:val="616F12F4"/>
    <w:rsid w:val="61702EF6"/>
    <w:rsid w:val="61706E67"/>
    <w:rsid w:val="61712450"/>
    <w:rsid w:val="61720E31"/>
    <w:rsid w:val="61736957"/>
    <w:rsid w:val="61750921"/>
    <w:rsid w:val="61756303"/>
    <w:rsid w:val="6177221B"/>
    <w:rsid w:val="61785D1C"/>
    <w:rsid w:val="61786A54"/>
    <w:rsid w:val="617A5F38"/>
    <w:rsid w:val="617A7B14"/>
    <w:rsid w:val="617F2279"/>
    <w:rsid w:val="61821A3C"/>
    <w:rsid w:val="61826B9A"/>
    <w:rsid w:val="61831E52"/>
    <w:rsid w:val="61840B64"/>
    <w:rsid w:val="61874EE4"/>
    <w:rsid w:val="61881063"/>
    <w:rsid w:val="618B3CA1"/>
    <w:rsid w:val="618B5A4F"/>
    <w:rsid w:val="618B5E05"/>
    <w:rsid w:val="618C07A2"/>
    <w:rsid w:val="618C3C66"/>
    <w:rsid w:val="618D40C0"/>
    <w:rsid w:val="618F658B"/>
    <w:rsid w:val="61903B64"/>
    <w:rsid w:val="61906C3F"/>
    <w:rsid w:val="61920962"/>
    <w:rsid w:val="61952D71"/>
    <w:rsid w:val="61954B1F"/>
    <w:rsid w:val="61955945"/>
    <w:rsid w:val="619863BE"/>
    <w:rsid w:val="61990971"/>
    <w:rsid w:val="619A0388"/>
    <w:rsid w:val="619A2136"/>
    <w:rsid w:val="619A6E81"/>
    <w:rsid w:val="619C1A0A"/>
    <w:rsid w:val="619C2EE2"/>
    <w:rsid w:val="61A26C5E"/>
    <w:rsid w:val="61A27246"/>
    <w:rsid w:val="61A3723C"/>
    <w:rsid w:val="61A556D5"/>
    <w:rsid w:val="61A72788"/>
    <w:rsid w:val="61A94ACB"/>
    <w:rsid w:val="61AA60A3"/>
    <w:rsid w:val="61AC33CD"/>
    <w:rsid w:val="61AE798F"/>
    <w:rsid w:val="61B2122D"/>
    <w:rsid w:val="61B639B9"/>
    <w:rsid w:val="61B72CE8"/>
    <w:rsid w:val="61B72E0A"/>
    <w:rsid w:val="61BA6334"/>
    <w:rsid w:val="61BF3EC7"/>
    <w:rsid w:val="61C159AA"/>
    <w:rsid w:val="61C2108D"/>
    <w:rsid w:val="61C46511"/>
    <w:rsid w:val="61C5311B"/>
    <w:rsid w:val="61C96577"/>
    <w:rsid w:val="61CA2A1B"/>
    <w:rsid w:val="61CA5F0E"/>
    <w:rsid w:val="61CD250B"/>
    <w:rsid w:val="61CE3B8D"/>
    <w:rsid w:val="61CF192D"/>
    <w:rsid w:val="61D373F6"/>
    <w:rsid w:val="61D5316E"/>
    <w:rsid w:val="61D82E86"/>
    <w:rsid w:val="61D90EB0"/>
    <w:rsid w:val="61D95A9A"/>
    <w:rsid w:val="61DD7429"/>
    <w:rsid w:val="61DE0CF0"/>
    <w:rsid w:val="61DE64C6"/>
    <w:rsid w:val="61E06614"/>
    <w:rsid w:val="61E17D65"/>
    <w:rsid w:val="61E84C4F"/>
    <w:rsid w:val="61EA6C19"/>
    <w:rsid w:val="61ED04B8"/>
    <w:rsid w:val="61EE4D5B"/>
    <w:rsid w:val="61EE5FDE"/>
    <w:rsid w:val="61EE7024"/>
    <w:rsid w:val="61F02199"/>
    <w:rsid w:val="61F02AB0"/>
    <w:rsid w:val="61F037A0"/>
    <w:rsid w:val="61F07C7B"/>
    <w:rsid w:val="61F21F72"/>
    <w:rsid w:val="61F23D20"/>
    <w:rsid w:val="61F25ACE"/>
    <w:rsid w:val="61F5736C"/>
    <w:rsid w:val="61F74650"/>
    <w:rsid w:val="61FA1B5F"/>
    <w:rsid w:val="61FA4049"/>
    <w:rsid w:val="61FA4982"/>
    <w:rsid w:val="61FA7348"/>
    <w:rsid w:val="61FC4B9F"/>
    <w:rsid w:val="61FE19D4"/>
    <w:rsid w:val="62015D11"/>
    <w:rsid w:val="62015EA8"/>
    <w:rsid w:val="6203395D"/>
    <w:rsid w:val="620417B8"/>
    <w:rsid w:val="62057669"/>
    <w:rsid w:val="62061EA0"/>
    <w:rsid w:val="62072AD6"/>
    <w:rsid w:val="62090A6F"/>
    <w:rsid w:val="620924F0"/>
    <w:rsid w:val="621023F8"/>
    <w:rsid w:val="621041A6"/>
    <w:rsid w:val="621150B7"/>
    <w:rsid w:val="62124F8E"/>
    <w:rsid w:val="621719D8"/>
    <w:rsid w:val="62185614"/>
    <w:rsid w:val="62195750"/>
    <w:rsid w:val="621C6FEF"/>
    <w:rsid w:val="621E2D67"/>
    <w:rsid w:val="621E4B15"/>
    <w:rsid w:val="621E68C3"/>
    <w:rsid w:val="621F15B7"/>
    <w:rsid w:val="62222377"/>
    <w:rsid w:val="622639C9"/>
    <w:rsid w:val="622B641F"/>
    <w:rsid w:val="622C3041"/>
    <w:rsid w:val="622F0AD0"/>
    <w:rsid w:val="62314848"/>
    <w:rsid w:val="6232299A"/>
    <w:rsid w:val="62334E9D"/>
    <w:rsid w:val="6234234D"/>
    <w:rsid w:val="62352697"/>
    <w:rsid w:val="62397BA1"/>
    <w:rsid w:val="623B464D"/>
    <w:rsid w:val="623B6A29"/>
    <w:rsid w:val="623F0400"/>
    <w:rsid w:val="624047FF"/>
    <w:rsid w:val="624052BA"/>
    <w:rsid w:val="6241391E"/>
    <w:rsid w:val="6243457B"/>
    <w:rsid w:val="62436174"/>
    <w:rsid w:val="624438CC"/>
    <w:rsid w:val="624561A8"/>
    <w:rsid w:val="624A3B5C"/>
    <w:rsid w:val="624B1454"/>
    <w:rsid w:val="624B3430"/>
    <w:rsid w:val="624C5326"/>
    <w:rsid w:val="624D53FA"/>
    <w:rsid w:val="624F1172"/>
    <w:rsid w:val="624F2F20"/>
    <w:rsid w:val="62500A46"/>
    <w:rsid w:val="625247BE"/>
    <w:rsid w:val="625258D6"/>
    <w:rsid w:val="62531BA6"/>
    <w:rsid w:val="62546789"/>
    <w:rsid w:val="62557ED0"/>
    <w:rsid w:val="62570027"/>
    <w:rsid w:val="6258163D"/>
    <w:rsid w:val="62593D9F"/>
    <w:rsid w:val="625978FB"/>
    <w:rsid w:val="625C2690"/>
    <w:rsid w:val="625C563D"/>
    <w:rsid w:val="6260512D"/>
    <w:rsid w:val="62606EDB"/>
    <w:rsid w:val="62613CB7"/>
    <w:rsid w:val="626545E7"/>
    <w:rsid w:val="6267026A"/>
    <w:rsid w:val="62682234"/>
    <w:rsid w:val="62683FE2"/>
    <w:rsid w:val="626A5FAC"/>
    <w:rsid w:val="626B762E"/>
    <w:rsid w:val="626C5880"/>
    <w:rsid w:val="62712E97"/>
    <w:rsid w:val="627209BD"/>
    <w:rsid w:val="62727F12"/>
    <w:rsid w:val="62744735"/>
    <w:rsid w:val="627604AD"/>
    <w:rsid w:val="627666FF"/>
    <w:rsid w:val="62770698"/>
    <w:rsid w:val="62772662"/>
    <w:rsid w:val="62791D4B"/>
    <w:rsid w:val="627961EF"/>
    <w:rsid w:val="62797F9D"/>
    <w:rsid w:val="627A14BA"/>
    <w:rsid w:val="627E7362"/>
    <w:rsid w:val="6280132C"/>
    <w:rsid w:val="62810954"/>
    <w:rsid w:val="628520E2"/>
    <w:rsid w:val="62854B94"/>
    <w:rsid w:val="62856138"/>
    <w:rsid w:val="628726BA"/>
    <w:rsid w:val="628B67A5"/>
    <w:rsid w:val="628C136C"/>
    <w:rsid w:val="628C5F22"/>
    <w:rsid w:val="62913539"/>
    <w:rsid w:val="629372B1"/>
    <w:rsid w:val="62960B4F"/>
    <w:rsid w:val="62966DA1"/>
    <w:rsid w:val="6299063F"/>
    <w:rsid w:val="629923ED"/>
    <w:rsid w:val="629A2EA9"/>
    <w:rsid w:val="62A0098C"/>
    <w:rsid w:val="62A0151A"/>
    <w:rsid w:val="62A019CE"/>
    <w:rsid w:val="62A071DE"/>
    <w:rsid w:val="62A3326C"/>
    <w:rsid w:val="62A4520F"/>
    <w:rsid w:val="62A57D4F"/>
    <w:rsid w:val="62A66906"/>
    <w:rsid w:val="62A74B0A"/>
    <w:rsid w:val="62A768B8"/>
    <w:rsid w:val="62A82630"/>
    <w:rsid w:val="62AA45FB"/>
    <w:rsid w:val="62AA720C"/>
    <w:rsid w:val="62AB7833"/>
    <w:rsid w:val="62AC0373"/>
    <w:rsid w:val="62AC2121"/>
    <w:rsid w:val="62AE7668"/>
    <w:rsid w:val="62B02069"/>
    <w:rsid w:val="62B04E62"/>
    <w:rsid w:val="62B162F2"/>
    <w:rsid w:val="62B17737"/>
    <w:rsid w:val="62B334AF"/>
    <w:rsid w:val="62B54D18"/>
    <w:rsid w:val="62B60CD4"/>
    <w:rsid w:val="62B80B47"/>
    <w:rsid w:val="62B919BD"/>
    <w:rsid w:val="62BA2CFA"/>
    <w:rsid w:val="62BB05B6"/>
    <w:rsid w:val="62BB5790"/>
    <w:rsid w:val="62BB6808"/>
    <w:rsid w:val="62BC4273"/>
    <w:rsid w:val="62BF00A6"/>
    <w:rsid w:val="62BF638B"/>
    <w:rsid w:val="62C1431D"/>
    <w:rsid w:val="62C1727D"/>
    <w:rsid w:val="62C52F94"/>
    <w:rsid w:val="62C75F55"/>
    <w:rsid w:val="62C76F5B"/>
    <w:rsid w:val="62CA07F9"/>
    <w:rsid w:val="62CA6A4B"/>
    <w:rsid w:val="62CD2D40"/>
    <w:rsid w:val="62CE02E9"/>
    <w:rsid w:val="62CF0EFA"/>
    <w:rsid w:val="62CF186C"/>
    <w:rsid w:val="62D00439"/>
    <w:rsid w:val="62D12DC3"/>
    <w:rsid w:val="62D358FF"/>
    <w:rsid w:val="62D37E72"/>
    <w:rsid w:val="62D653F0"/>
    <w:rsid w:val="62DA4EE0"/>
    <w:rsid w:val="62DB2A06"/>
    <w:rsid w:val="62DB6C01"/>
    <w:rsid w:val="62DC4402"/>
    <w:rsid w:val="62DD1DD6"/>
    <w:rsid w:val="62E01DCA"/>
    <w:rsid w:val="62E01E19"/>
    <w:rsid w:val="62E278F0"/>
    <w:rsid w:val="62E41C87"/>
    <w:rsid w:val="62E60C60"/>
    <w:rsid w:val="62E96ED1"/>
    <w:rsid w:val="62E97998"/>
    <w:rsid w:val="62EA49F7"/>
    <w:rsid w:val="62ED5559"/>
    <w:rsid w:val="62EE2739"/>
    <w:rsid w:val="62EE64A7"/>
    <w:rsid w:val="62EF025F"/>
    <w:rsid w:val="62F53AC8"/>
    <w:rsid w:val="62F615EE"/>
    <w:rsid w:val="62F74AE0"/>
    <w:rsid w:val="62F871FA"/>
    <w:rsid w:val="62FA108C"/>
    <w:rsid w:val="62FC3643"/>
    <w:rsid w:val="62FD43A6"/>
    <w:rsid w:val="62FE49F7"/>
    <w:rsid w:val="62FF66F4"/>
    <w:rsid w:val="63035AB9"/>
    <w:rsid w:val="6306451B"/>
    <w:rsid w:val="63081791"/>
    <w:rsid w:val="63091321"/>
    <w:rsid w:val="630C7063"/>
    <w:rsid w:val="630E33CB"/>
    <w:rsid w:val="630F26B0"/>
    <w:rsid w:val="63141A74"/>
    <w:rsid w:val="6315416A"/>
    <w:rsid w:val="63154F43"/>
    <w:rsid w:val="63181564"/>
    <w:rsid w:val="63184BDD"/>
    <w:rsid w:val="631853C6"/>
    <w:rsid w:val="631B72A6"/>
    <w:rsid w:val="631D301E"/>
    <w:rsid w:val="631D5A96"/>
    <w:rsid w:val="631E7638"/>
    <w:rsid w:val="631F28F3"/>
    <w:rsid w:val="632048BD"/>
    <w:rsid w:val="63212B0F"/>
    <w:rsid w:val="63220635"/>
    <w:rsid w:val="632322C8"/>
    <w:rsid w:val="63250702"/>
    <w:rsid w:val="63274B3B"/>
    <w:rsid w:val="63275C4B"/>
    <w:rsid w:val="632843A1"/>
    <w:rsid w:val="6329551F"/>
    <w:rsid w:val="632A1297"/>
    <w:rsid w:val="632A62E7"/>
    <w:rsid w:val="632B74E9"/>
    <w:rsid w:val="632F5A7F"/>
    <w:rsid w:val="6330361E"/>
    <w:rsid w:val="63327860"/>
    <w:rsid w:val="6336041D"/>
    <w:rsid w:val="63367C3C"/>
    <w:rsid w:val="633700B0"/>
    <w:rsid w:val="63380AEB"/>
    <w:rsid w:val="633B16F7"/>
    <w:rsid w:val="63400ABB"/>
    <w:rsid w:val="63416D0D"/>
    <w:rsid w:val="63423F86"/>
    <w:rsid w:val="634630EF"/>
    <w:rsid w:val="63495D5A"/>
    <w:rsid w:val="634B3C50"/>
    <w:rsid w:val="634C07DF"/>
    <w:rsid w:val="634C56B2"/>
    <w:rsid w:val="634C7460"/>
    <w:rsid w:val="634D2738"/>
    <w:rsid w:val="634D5A78"/>
    <w:rsid w:val="634E4F86"/>
    <w:rsid w:val="634F1A44"/>
    <w:rsid w:val="63541245"/>
    <w:rsid w:val="635A392B"/>
    <w:rsid w:val="635B58F5"/>
    <w:rsid w:val="635D2B8F"/>
    <w:rsid w:val="635D341B"/>
    <w:rsid w:val="635F7193"/>
    <w:rsid w:val="6361115D"/>
    <w:rsid w:val="636429FB"/>
    <w:rsid w:val="63644F37"/>
    <w:rsid w:val="63690012"/>
    <w:rsid w:val="636D6842"/>
    <w:rsid w:val="6370314E"/>
    <w:rsid w:val="6371075E"/>
    <w:rsid w:val="63710EF6"/>
    <w:rsid w:val="63716EC6"/>
    <w:rsid w:val="63743A15"/>
    <w:rsid w:val="6377708D"/>
    <w:rsid w:val="637A3FCD"/>
    <w:rsid w:val="637D3ABD"/>
    <w:rsid w:val="637D586B"/>
    <w:rsid w:val="637F4537"/>
    <w:rsid w:val="637F5A87"/>
    <w:rsid w:val="63870498"/>
    <w:rsid w:val="63884331"/>
    <w:rsid w:val="63892C19"/>
    <w:rsid w:val="63894210"/>
    <w:rsid w:val="638B7F88"/>
    <w:rsid w:val="638D1360"/>
    <w:rsid w:val="63901A42"/>
    <w:rsid w:val="6390559E"/>
    <w:rsid w:val="63931444"/>
    <w:rsid w:val="63950E07"/>
    <w:rsid w:val="63A1155A"/>
    <w:rsid w:val="63A30F39"/>
    <w:rsid w:val="63A35F2F"/>
    <w:rsid w:val="63A4104A"/>
    <w:rsid w:val="63A44BEB"/>
    <w:rsid w:val="63A579A2"/>
    <w:rsid w:val="63A728E8"/>
    <w:rsid w:val="63A829AE"/>
    <w:rsid w:val="63A903D2"/>
    <w:rsid w:val="63AA1D2D"/>
    <w:rsid w:val="63AB445A"/>
    <w:rsid w:val="63AB687C"/>
    <w:rsid w:val="63B020AD"/>
    <w:rsid w:val="63B23952"/>
    <w:rsid w:val="63B31127"/>
    <w:rsid w:val="63B514A9"/>
    <w:rsid w:val="63B55005"/>
    <w:rsid w:val="63B864AB"/>
    <w:rsid w:val="63B86661"/>
    <w:rsid w:val="63BB340C"/>
    <w:rsid w:val="63BC2837"/>
    <w:rsid w:val="63BC6393"/>
    <w:rsid w:val="63BD210C"/>
    <w:rsid w:val="63BE5566"/>
    <w:rsid w:val="63C11BFC"/>
    <w:rsid w:val="63C139AA"/>
    <w:rsid w:val="63C42FFF"/>
    <w:rsid w:val="63C611A9"/>
    <w:rsid w:val="63C70334"/>
    <w:rsid w:val="63C94602"/>
    <w:rsid w:val="63CB0806"/>
    <w:rsid w:val="63D27965"/>
    <w:rsid w:val="63D3192F"/>
    <w:rsid w:val="63D336DD"/>
    <w:rsid w:val="63D407E9"/>
    <w:rsid w:val="63D42F6E"/>
    <w:rsid w:val="63D52BD9"/>
    <w:rsid w:val="63D640D5"/>
    <w:rsid w:val="63D931FE"/>
    <w:rsid w:val="63D95197"/>
    <w:rsid w:val="63DA6EB4"/>
    <w:rsid w:val="63DE16B9"/>
    <w:rsid w:val="63E1229E"/>
    <w:rsid w:val="63E404B4"/>
    <w:rsid w:val="63E679FF"/>
    <w:rsid w:val="63EB6252"/>
    <w:rsid w:val="63EE0517"/>
    <w:rsid w:val="63F024E1"/>
    <w:rsid w:val="63F025AA"/>
    <w:rsid w:val="63F41FD1"/>
    <w:rsid w:val="63F62B3F"/>
    <w:rsid w:val="63F7561D"/>
    <w:rsid w:val="63FB16F3"/>
    <w:rsid w:val="63FE4BFE"/>
    <w:rsid w:val="63FE69AC"/>
    <w:rsid w:val="63FF1893"/>
    <w:rsid w:val="64002254"/>
    <w:rsid w:val="6401149C"/>
    <w:rsid w:val="64011719"/>
    <w:rsid w:val="64012C27"/>
    <w:rsid w:val="64030466"/>
    <w:rsid w:val="64032214"/>
    <w:rsid w:val="64061D04"/>
    <w:rsid w:val="64063620"/>
    <w:rsid w:val="640748B4"/>
    <w:rsid w:val="64095516"/>
    <w:rsid w:val="640A35A3"/>
    <w:rsid w:val="640B10C9"/>
    <w:rsid w:val="640D6BEF"/>
    <w:rsid w:val="6410048D"/>
    <w:rsid w:val="64195594"/>
    <w:rsid w:val="641B57B0"/>
    <w:rsid w:val="641C5084"/>
    <w:rsid w:val="641E0DFC"/>
    <w:rsid w:val="64234664"/>
    <w:rsid w:val="6424218B"/>
    <w:rsid w:val="642663F5"/>
    <w:rsid w:val="642721E0"/>
    <w:rsid w:val="64287ECD"/>
    <w:rsid w:val="6431099A"/>
    <w:rsid w:val="643175DF"/>
    <w:rsid w:val="64357EF4"/>
    <w:rsid w:val="64360F64"/>
    <w:rsid w:val="643A375C"/>
    <w:rsid w:val="643C1282"/>
    <w:rsid w:val="643E149E"/>
    <w:rsid w:val="64416899"/>
    <w:rsid w:val="64422D1C"/>
    <w:rsid w:val="64430863"/>
    <w:rsid w:val="64445364"/>
    <w:rsid w:val="64485E79"/>
    <w:rsid w:val="64487C27"/>
    <w:rsid w:val="644A7E43"/>
    <w:rsid w:val="644D1A40"/>
    <w:rsid w:val="644F5459"/>
    <w:rsid w:val="645111D2"/>
    <w:rsid w:val="64524F4A"/>
    <w:rsid w:val="64550596"/>
    <w:rsid w:val="64560D22"/>
    <w:rsid w:val="645A7AC5"/>
    <w:rsid w:val="645C7B76"/>
    <w:rsid w:val="645E744B"/>
    <w:rsid w:val="645F59C0"/>
    <w:rsid w:val="6461518D"/>
    <w:rsid w:val="64664551"/>
    <w:rsid w:val="646865D6"/>
    <w:rsid w:val="646A2293"/>
    <w:rsid w:val="646A571F"/>
    <w:rsid w:val="646C2758"/>
    <w:rsid w:val="64722EF6"/>
    <w:rsid w:val="64740A1C"/>
    <w:rsid w:val="6477050C"/>
    <w:rsid w:val="647729F1"/>
    <w:rsid w:val="647B56B6"/>
    <w:rsid w:val="647C1FC7"/>
    <w:rsid w:val="647C5B23"/>
    <w:rsid w:val="647D4F59"/>
    <w:rsid w:val="647E2376"/>
    <w:rsid w:val="648275DD"/>
    <w:rsid w:val="6486074F"/>
    <w:rsid w:val="648843BF"/>
    <w:rsid w:val="648844C8"/>
    <w:rsid w:val="64887EF2"/>
    <w:rsid w:val="648C220A"/>
    <w:rsid w:val="648D1ADE"/>
    <w:rsid w:val="648F3AA8"/>
    <w:rsid w:val="6491334D"/>
    <w:rsid w:val="64942E6C"/>
    <w:rsid w:val="64966BE4"/>
    <w:rsid w:val="64977085"/>
    <w:rsid w:val="64994927"/>
    <w:rsid w:val="649C61C5"/>
    <w:rsid w:val="649E018F"/>
    <w:rsid w:val="649E1F3D"/>
    <w:rsid w:val="64A357A5"/>
    <w:rsid w:val="64A439AF"/>
    <w:rsid w:val="64A62BA0"/>
    <w:rsid w:val="64A70DF2"/>
    <w:rsid w:val="64A86918"/>
    <w:rsid w:val="64AB4837"/>
    <w:rsid w:val="64AD0A4C"/>
    <w:rsid w:val="64B31765"/>
    <w:rsid w:val="64B4459B"/>
    <w:rsid w:val="64B52DFE"/>
    <w:rsid w:val="64B61035"/>
    <w:rsid w:val="64B81251"/>
    <w:rsid w:val="64B90B25"/>
    <w:rsid w:val="64BE5FF1"/>
    <w:rsid w:val="64BF778C"/>
    <w:rsid w:val="64C2694C"/>
    <w:rsid w:val="64C33752"/>
    <w:rsid w:val="64C37BF6"/>
    <w:rsid w:val="64C71494"/>
    <w:rsid w:val="64CC0566"/>
    <w:rsid w:val="64CC06B4"/>
    <w:rsid w:val="64CC2606"/>
    <w:rsid w:val="64D36B71"/>
    <w:rsid w:val="64D439CB"/>
    <w:rsid w:val="64D4595F"/>
    <w:rsid w:val="64D62737"/>
    <w:rsid w:val="64D771FD"/>
    <w:rsid w:val="64D836A1"/>
    <w:rsid w:val="64D83EA9"/>
    <w:rsid w:val="64DC7EF2"/>
    <w:rsid w:val="64DD4BD5"/>
    <w:rsid w:val="64DE058B"/>
    <w:rsid w:val="64E04C97"/>
    <w:rsid w:val="64E23632"/>
    <w:rsid w:val="64E34687"/>
    <w:rsid w:val="64E35BA2"/>
    <w:rsid w:val="64E536C8"/>
    <w:rsid w:val="64E54025"/>
    <w:rsid w:val="64E75692"/>
    <w:rsid w:val="64E819B2"/>
    <w:rsid w:val="64EA6406"/>
    <w:rsid w:val="64EA6F30"/>
    <w:rsid w:val="64ED07CF"/>
    <w:rsid w:val="64EF09EB"/>
    <w:rsid w:val="64F00E12"/>
    <w:rsid w:val="64F15C1C"/>
    <w:rsid w:val="64F3053C"/>
    <w:rsid w:val="64F32289"/>
    <w:rsid w:val="64F41B5D"/>
    <w:rsid w:val="64F817DC"/>
    <w:rsid w:val="64F81AF8"/>
    <w:rsid w:val="64FE57A9"/>
    <w:rsid w:val="6502071E"/>
    <w:rsid w:val="65073E19"/>
    <w:rsid w:val="65090005"/>
    <w:rsid w:val="650946B3"/>
    <w:rsid w:val="650B5081"/>
    <w:rsid w:val="650E0E71"/>
    <w:rsid w:val="65123D2A"/>
    <w:rsid w:val="65160E7A"/>
    <w:rsid w:val="65163A19"/>
    <w:rsid w:val="65167D25"/>
    <w:rsid w:val="651D7E2B"/>
    <w:rsid w:val="652C12F7"/>
    <w:rsid w:val="652D2588"/>
    <w:rsid w:val="652D2C0F"/>
    <w:rsid w:val="652E1513"/>
    <w:rsid w:val="65311873"/>
    <w:rsid w:val="6532279F"/>
    <w:rsid w:val="65332685"/>
    <w:rsid w:val="65336B29"/>
    <w:rsid w:val="65341CC7"/>
    <w:rsid w:val="653527B9"/>
    <w:rsid w:val="653601C2"/>
    <w:rsid w:val="65362175"/>
    <w:rsid w:val="65387C9C"/>
    <w:rsid w:val="653B778C"/>
    <w:rsid w:val="653D3739"/>
    <w:rsid w:val="653E102A"/>
    <w:rsid w:val="65401246"/>
    <w:rsid w:val="65405B6C"/>
    <w:rsid w:val="65420538"/>
    <w:rsid w:val="65442AE4"/>
    <w:rsid w:val="654523B9"/>
    <w:rsid w:val="65474383"/>
    <w:rsid w:val="65486D72"/>
    <w:rsid w:val="6549634D"/>
    <w:rsid w:val="654F4FE5"/>
    <w:rsid w:val="65501489"/>
    <w:rsid w:val="65507112"/>
    <w:rsid w:val="65545142"/>
    <w:rsid w:val="65556AA0"/>
    <w:rsid w:val="65562818"/>
    <w:rsid w:val="655645C6"/>
    <w:rsid w:val="655774EE"/>
    <w:rsid w:val="655A1999"/>
    <w:rsid w:val="655A2308"/>
    <w:rsid w:val="655B7E2E"/>
    <w:rsid w:val="655D7702"/>
    <w:rsid w:val="655F1B76"/>
    <w:rsid w:val="6562740E"/>
    <w:rsid w:val="65683817"/>
    <w:rsid w:val="656942F9"/>
    <w:rsid w:val="656A0DDA"/>
    <w:rsid w:val="656A1E1F"/>
    <w:rsid w:val="656B1AFE"/>
    <w:rsid w:val="656C403D"/>
    <w:rsid w:val="656E232E"/>
    <w:rsid w:val="656E6CA1"/>
    <w:rsid w:val="65711400"/>
    <w:rsid w:val="65735178"/>
    <w:rsid w:val="65744A4C"/>
    <w:rsid w:val="65745B1C"/>
    <w:rsid w:val="65757142"/>
    <w:rsid w:val="657747EA"/>
    <w:rsid w:val="657935AB"/>
    <w:rsid w:val="657C0476"/>
    <w:rsid w:val="657D5FF6"/>
    <w:rsid w:val="657F0F6F"/>
    <w:rsid w:val="658152FE"/>
    <w:rsid w:val="658729D1"/>
    <w:rsid w:val="658746F1"/>
    <w:rsid w:val="65896B41"/>
    <w:rsid w:val="658F693F"/>
    <w:rsid w:val="6592268F"/>
    <w:rsid w:val="659375C8"/>
    <w:rsid w:val="65960E66"/>
    <w:rsid w:val="65967804"/>
    <w:rsid w:val="65971F7A"/>
    <w:rsid w:val="659843C7"/>
    <w:rsid w:val="659A175A"/>
    <w:rsid w:val="659C46CE"/>
    <w:rsid w:val="659D21F5"/>
    <w:rsid w:val="659F21F0"/>
    <w:rsid w:val="659F78B6"/>
    <w:rsid w:val="65A17F37"/>
    <w:rsid w:val="65A543AA"/>
    <w:rsid w:val="65A55ACF"/>
    <w:rsid w:val="65A672FB"/>
    <w:rsid w:val="65A74E21"/>
    <w:rsid w:val="65B01F28"/>
    <w:rsid w:val="65B03CD6"/>
    <w:rsid w:val="65B15C47"/>
    <w:rsid w:val="65B732AF"/>
    <w:rsid w:val="65B75B1D"/>
    <w:rsid w:val="65B76790"/>
    <w:rsid w:val="65BA2DA7"/>
    <w:rsid w:val="65C21C5B"/>
    <w:rsid w:val="65C50FC8"/>
    <w:rsid w:val="65C9123C"/>
    <w:rsid w:val="65C92FEA"/>
    <w:rsid w:val="65CB4FB4"/>
    <w:rsid w:val="65CC73AB"/>
    <w:rsid w:val="65CE154F"/>
    <w:rsid w:val="65D05B91"/>
    <w:rsid w:val="65D06126"/>
    <w:rsid w:val="65D11E9E"/>
    <w:rsid w:val="65D14AF0"/>
    <w:rsid w:val="65D26342"/>
    <w:rsid w:val="65D33E68"/>
    <w:rsid w:val="65D5198E"/>
    <w:rsid w:val="65D8147F"/>
    <w:rsid w:val="65D90ED8"/>
    <w:rsid w:val="65D91FA1"/>
    <w:rsid w:val="65D96A84"/>
    <w:rsid w:val="65DA129E"/>
    <w:rsid w:val="65DA51F7"/>
    <w:rsid w:val="65DA6FA5"/>
    <w:rsid w:val="65DC4ACB"/>
    <w:rsid w:val="65DE17D9"/>
    <w:rsid w:val="65DE5D8A"/>
    <w:rsid w:val="65DF280D"/>
    <w:rsid w:val="65E06A24"/>
    <w:rsid w:val="65E10333"/>
    <w:rsid w:val="65EE0CA2"/>
    <w:rsid w:val="65F16B55"/>
    <w:rsid w:val="65F47DCA"/>
    <w:rsid w:val="65F77B57"/>
    <w:rsid w:val="65F95419"/>
    <w:rsid w:val="65FB281B"/>
    <w:rsid w:val="65FE05DA"/>
    <w:rsid w:val="65FE0EE5"/>
    <w:rsid w:val="65FF1773"/>
    <w:rsid w:val="6602450C"/>
    <w:rsid w:val="66024866"/>
    <w:rsid w:val="6603474E"/>
    <w:rsid w:val="660364FC"/>
    <w:rsid w:val="660409AD"/>
    <w:rsid w:val="660A2B89"/>
    <w:rsid w:val="660B715E"/>
    <w:rsid w:val="660D23A2"/>
    <w:rsid w:val="660D477E"/>
    <w:rsid w:val="660E4A25"/>
    <w:rsid w:val="661223FE"/>
    <w:rsid w:val="66154481"/>
    <w:rsid w:val="66157FDD"/>
    <w:rsid w:val="661963B8"/>
    <w:rsid w:val="66196AEB"/>
    <w:rsid w:val="661B7749"/>
    <w:rsid w:val="661B7AAA"/>
    <w:rsid w:val="661C136B"/>
    <w:rsid w:val="661C5E23"/>
    <w:rsid w:val="661E05CA"/>
    <w:rsid w:val="661E1587"/>
    <w:rsid w:val="661F50D0"/>
    <w:rsid w:val="66230554"/>
    <w:rsid w:val="66271AA6"/>
    <w:rsid w:val="66291CDA"/>
    <w:rsid w:val="66293A88"/>
    <w:rsid w:val="662D3578"/>
    <w:rsid w:val="662E109F"/>
    <w:rsid w:val="66344907"/>
    <w:rsid w:val="6635067F"/>
    <w:rsid w:val="66364A06"/>
    <w:rsid w:val="66365101"/>
    <w:rsid w:val="663761A5"/>
    <w:rsid w:val="66377F53"/>
    <w:rsid w:val="66380E6B"/>
    <w:rsid w:val="66391F1D"/>
    <w:rsid w:val="663A5FE2"/>
    <w:rsid w:val="663D112D"/>
    <w:rsid w:val="663E488E"/>
    <w:rsid w:val="663E5786"/>
    <w:rsid w:val="663E7C71"/>
    <w:rsid w:val="66410DD2"/>
    <w:rsid w:val="66424AF5"/>
    <w:rsid w:val="66426389"/>
    <w:rsid w:val="66432D9C"/>
    <w:rsid w:val="66482160"/>
    <w:rsid w:val="664B39FF"/>
    <w:rsid w:val="664B523A"/>
    <w:rsid w:val="664D3C1B"/>
    <w:rsid w:val="66523F4A"/>
    <w:rsid w:val="66544FA9"/>
    <w:rsid w:val="66545D8C"/>
    <w:rsid w:val="66546211"/>
    <w:rsid w:val="66557695"/>
    <w:rsid w:val="665705F5"/>
    <w:rsid w:val="665925BF"/>
    <w:rsid w:val="665D5572"/>
    <w:rsid w:val="665E35B4"/>
    <w:rsid w:val="665F56FC"/>
    <w:rsid w:val="666176C6"/>
    <w:rsid w:val="66644AC0"/>
    <w:rsid w:val="666872B3"/>
    <w:rsid w:val="66692CAE"/>
    <w:rsid w:val="66696334"/>
    <w:rsid w:val="666A633E"/>
    <w:rsid w:val="666D1BC7"/>
    <w:rsid w:val="666E4D11"/>
    <w:rsid w:val="666E75D0"/>
    <w:rsid w:val="666F3B91"/>
    <w:rsid w:val="66703465"/>
    <w:rsid w:val="6672404B"/>
    <w:rsid w:val="6673503F"/>
    <w:rsid w:val="6673680F"/>
    <w:rsid w:val="667373DF"/>
    <w:rsid w:val="66750262"/>
    <w:rsid w:val="66770C98"/>
    <w:rsid w:val="667927DD"/>
    <w:rsid w:val="667B2483"/>
    <w:rsid w:val="667B2536"/>
    <w:rsid w:val="667C658D"/>
    <w:rsid w:val="667D1EB8"/>
    <w:rsid w:val="667D39EF"/>
    <w:rsid w:val="66811B16"/>
    <w:rsid w:val="66855163"/>
    <w:rsid w:val="66856845"/>
    <w:rsid w:val="668A09CB"/>
    <w:rsid w:val="668B64F1"/>
    <w:rsid w:val="668E5567"/>
    <w:rsid w:val="668F47CF"/>
    <w:rsid w:val="669013B2"/>
    <w:rsid w:val="669075D4"/>
    <w:rsid w:val="66935F55"/>
    <w:rsid w:val="66967370"/>
    <w:rsid w:val="66976C44"/>
    <w:rsid w:val="66990C0E"/>
    <w:rsid w:val="669929BC"/>
    <w:rsid w:val="66994B74"/>
    <w:rsid w:val="669C24AC"/>
    <w:rsid w:val="669E13E4"/>
    <w:rsid w:val="669F3F4A"/>
    <w:rsid w:val="66A03D4A"/>
    <w:rsid w:val="66A3383B"/>
    <w:rsid w:val="66A355E9"/>
    <w:rsid w:val="66A7157D"/>
    <w:rsid w:val="66AB0941"/>
    <w:rsid w:val="66AF1AB9"/>
    <w:rsid w:val="66AF38A9"/>
    <w:rsid w:val="66B10793"/>
    <w:rsid w:val="66B27BC7"/>
    <w:rsid w:val="66B5531C"/>
    <w:rsid w:val="66B659E8"/>
    <w:rsid w:val="66BC7DEC"/>
    <w:rsid w:val="66BE02E8"/>
    <w:rsid w:val="66BE68C6"/>
    <w:rsid w:val="66BE7A81"/>
    <w:rsid w:val="66C13CC1"/>
    <w:rsid w:val="66C64D11"/>
    <w:rsid w:val="66C8504F"/>
    <w:rsid w:val="66C93632"/>
    <w:rsid w:val="66CA6D4B"/>
    <w:rsid w:val="66CB03C8"/>
    <w:rsid w:val="66CC48EC"/>
    <w:rsid w:val="66D10ED0"/>
    <w:rsid w:val="66D1451E"/>
    <w:rsid w:val="66D15CCA"/>
    <w:rsid w:val="66D15D4D"/>
    <w:rsid w:val="66D439F4"/>
    <w:rsid w:val="66D63C10"/>
    <w:rsid w:val="66D659BE"/>
    <w:rsid w:val="66D734E4"/>
    <w:rsid w:val="66D94DA6"/>
    <w:rsid w:val="66D959C1"/>
    <w:rsid w:val="66DC23F0"/>
    <w:rsid w:val="66DC5708"/>
    <w:rsid w:val="66DE04FB"/>
    <w:rsid w:val="66E635BA"/>
    <w:rsid w:val="66EA6A9E"/>
    <w:rsid w:val="66EB246B"/>
    <w:rsid w:val="66EB68C0"/>
    <w:rsid w:val="66EF082E"/>
    <w:rsid w:val="66F2031E"/>
    <w:rsid w:val="66F44096"/>
    <w:rsid w:val="66F5053F"/>
    <w:rsid w:val="66F70DFE"/>
    <w:rsid w:val="66F96B07"/>
    <w:rsid w:val="67006EDF"/>
    <w:rsid w:val="670219E7"/>
    <w:rsid w:val="67024D25"/>
    <w:rsid w:val="67026F0D"/>
    <w:rsid w:val="670342D9"/>
    <w:rsid w:val="67042B58"/>
    <w:rsid w:val="67095D94"/>
    <w:rsid w:val="670A38BA"/>
    <w:rsid w:val="670B3D93"/>
    <w:rsid w:val="670E538D"/>
    <w:rsid w:val="670F1C02"/>
    <w:rsid w:val="671013B3"/>
    <w:rsid w:val="67102791"/>
    <w:rsid w:val="67105719"/>
    <w:rsid w:val="671169F6"/>
    <w:rsid w:val="671309C0"/>
    <w:rsid w:val="67136EEC"/>
    <w:rsid w:val="67141D0B"/>
    <w:rsid w:val="67187780"/>
    <w:rsid w:val="67192E02"/>
    <w:rsid w:val="671A0D9F"/>
    <w:rsid w:val="671D183F"/>
    <w:rsid w:val="671E7EF0"/>
    <w:rsid w:val="671F5673"/>
    <w:rsid w:val="672034A8"/>
    <w:rsid w:val="672229B1"/>
    <w:rsid w:val="6723497B"/>
    <w:rsid w:val="672506F4"/>
    <w:rsid w:val="672524A2"/>
    <w:rsid w:val="6727621A"/>
    <w:rsid w:val="672900F8"/>
    <w:rsid w:val="672C55DE"/>
    <w:rsid w:val="673152EA"/>
    <w:rsid w:val="673362C2"/>
    <w:rsid w:val="67337CA6"/>
    <w:rsid w:val="67354758"/>
    <w:rsid w:val="6736645D"/>
    <w:rsid w:val="673853DA"/>
    <w:rsid w:val="673B284F"/>
    <w:rsid w:val="673C6346"/>
    <w:rsid w:val="673D6D3E"/>
    <w:rsid w:val="673E148E"/>
    <w:rsid w:val="673F4707"/>
    <w:rsid w:val="67412B6D"/>
    <w:rsid w:val="67431FB7"/>
    <w:rsid w:val="67452B44"/>
    <w:rsid w:val="674C5E3B"/>
    <w:rsid w:val="67513297"/>
    <w:rsid w:val="67550FD9"/>
    <w:rsid w:val="675A65EF"/>
    <w:rsid w:val="675B2367"/>
    <w:rsid w:val="675B5A1D"/>
    <w:rsid w:val="675E59B4"/>
    <w:rsid w:val="675F16E0"/>
    <w:rsid w:val="676034DA"/>
    <w:rsid w:val="6760797E"/>
    <w:rsid w:val="67671D58"/>
    <w:rsid w:val="67672ABA"/>
    <w:rsid w:val="676758FB"/>
    <w:rsid w:val="676964E9"/>
    <w:rsid w:val="676A7B00"/>
    <w:rsid w:val="676B07FC"/>
    <w:rsid w:val="676C04CB"/>
    <w:rsid w:val="676E3E49"/>
    <w:rsid w:val="676F1547"/>
    <w:rsid w:val="676F196F"/>
    <w:rsid w:val="67704073"/>
    <w:rsid w:val="67707325"/>
    <w:rsid w:val="67743BB7"/>
    <w:rsid w:val="67760F4F"/>
    <w:rsid w:val="67780823"/>
    <w:rsid w:val="67781497"/>
    <w:rsid w:val="677A208D"/>
    <w:rsid w:val="677B0314"/>
    <w:rsid w:val="677B47B7"/>
    <w:rsid w:val="677B6565"/>
    <w:rsid w:val="677C1791"/>
    <w:rsid w:val="677D3952"/>
    <w:rsid w:val="677E4BD5"/>
    <w:rsid w:val="677F5301"/>
    <w:rsid w:val="67803B7C"/>
    <w:rsid w:val="678155C1"/>
    <w:rsid w:val="6781623E"/>
    <w:rsid w:val="67826102"/>
    <w:rsid w:val="678371C8"/>
    <w:rsid w:val="6784366C"/>
    <w:rsid w:val="6784541A"/>
    <w:rsid w:val="67873C71"/>
    <w:rsid w:val="6787695C"/>
    <w:rsid w:val="678A0557"/>
    <w:rsid w:val="678A67A9"/>
    <w:rsid w:val="678D429A"/>
    <w:rsid w:val="678D42BB"/>
    <w:rsid w:val="67900263"/>
    <w:rsid w:val="679118E5"/>
    <w:rsid w:val="67912200"/>
    <w:rsid w:val="67917192"/>
    <w:rsid w:val="67965D0E"/>
    <w:rsid w:val="67982C74"/>
    <w:rsid w:val="67984046"/>
    <w:rsid w:val="679C1682"/>
    <w:rsid w:val="67A05D70"/>
    <w:rsid w:val="67A25668"/>
    <w:rsid w:val="67A41618"/>
    <w:rsid w:val="67A4786A"/>
    <w:rsid w:val="67A55390"/>
    <w:rsid w:val="67A55838"/>
    <w:rsid w:val="67A84C13"/>
    <w:rsid w:val="67A96C2F"/>
    <w:rsid w:val="67AC2BC3"/>
    <w:rsid w:val="67B21056"/>
    <w:rsid w:val="67B210CD"/>
    <w:rsid w:val="67B45FC3"/>
    <w:rsid w:val="67B850C4"/>
    <w:rsid w:val="67BA2652"/>
    <w:rsid w:val="67BA708E"/>
    <w:rsid w:val="67BD092C"/>
    <w:rsid w:val="67BD782D"/>
    <w:rsid w:val="67C1041C"/>
    <w:rsid w:val="67C129F2"/>
    <w:rsid w:val="67C219AD"/>
    <w:rsid w:val="67C22427"/>
    <w:rsid w:val="67C26639"/>
    <w:rsid w:val="67C41CBB"/>
    <w:rsid w:val="67C42D4B"/>
    <w:rsid w:val="67C67F55"/>
    <w:rsid w:val="67C9107F"/>
    <w:rsid w:val="67C972D1"/>
    <w:rsid w:val="67CB129B"/>
    <w:rsid w:val="67CB474A"/>
    <w:rsid w:val="67D16185"/>
    <w:rsid w:val="67D1624A"/>
    <w:rsid w:val="67D363A2"/>
    <w:rsid w:val="67D77C40"/>
    <w:rsid w:val="67D84593"/>
    <w:rsid w:val="67D85379"/>
    <w:rsid w:val="67D85EAD"/>
    <w:rsid w:val="67DA328C"/>
    <w:rsid w:val="67DB165B"/>
    <w:rsid w:val="67DB4D96"/>
    <w:rsid w:val="67DD2D7C"/>
    <w:rsid w:val="67DF78F2"/>
    <w:rsid w:val="67E10ABE"/>
    <w:rsid w:val="67E629B7"/>
    <w:rsid w:val="67E6347C"/>
    <w:rsid w:val="67EB4657"/>
    <w:rsid w:val="67EB7247"/>
    <w:rsid w:val="67EC296B"/>
    <w:rsid w:val="67ED7463"/>
    <w:rsid w:val="67EE6B37"/>
    <w:rsid w:val="67EE6D37"/>
    <w:rsid w:val="67EF4A5E"/>
    <w:rsid w:val="67F26828"/>
    <w:rsid w:val="67F3434E"/>
    <w:rsid w:val="67F5021A"/>
    <w:rsid w:val="67F56318"/>
    <w:rsid w:val="67FC1454"/>
    <w:rsid w:val="67FD6F7B"/>
    <w:rsid w:val="67FF2CF3"/>
    <w:rsid w:val="68053859"/>
    <w:rsid w:val="6805701C"/>
    <w:rsid w:val="68063D2A"/>
    <w:rsid w:val="68077DF9"/>
    <w:rsid w:val="68093B71"/>
    <w:rsid w:val="680A6220"/>
    <w:rsid w:val="680C46FC"/>
    <w:rsid w:val="680E1188"/>
    <w:rsid w:val="68113AF2"/>
    <w:rsid w:val="681444AD"/>
    <w:rsid w:val="681F15E7"/>
    <w:rsid w:val="681F15ED"/>
    <w:rsid w:val="681F3395"/>
    <w:rsid w:val="68204E99"/>
    <w:rsid w:val="68211F50"/>
    <w:rsid w:val="68235B79"/>
    <w:rsid w:val="68240369"/>
    <w:rsid w:val="682409AB"/>
    <w:rsid w:val="68253F2A"/>
    <w:rsid w:val="68262975"/>
    <w:rsid w:val="6828049B"/>
    <w:rsid w:val="68295FC1"/>
    <w:rsid w:val="682A08AC"/>
    <w:rsid w:val="682B1D3A"/>
    <w:rsid w:val="682D3D04"/>
    <w:rsid w:val="682D508B"/>
    <w:rsid w:val="682E4CC6"/>
    <w:rsid w:val="683C3F47"/>
    <w:rsid w:val="683C70E7"/>
    <w:rsid w:val="68407A25"/>
    <w:rsid w:val="6841155D"/>
    <w:rsid w:val="68420E31"/>
    <w:rsid w:val="68497F13"/>
    <w:rsid w:val="684A6664"/>
    <w:rsid w:val="684B418A"/>
    <w:rsid w:val="684D75AC"/>
    <w:rsid w:val="6850059F"/>
    <w:rsid w:val="68510BB2"/>
    <w:rsid w:val="68524327"/>
    <w:rsid w:val="685272C6"/>
    <w:rsid w:val="68573DCC"/>
    <w:rsid w:val="685748DD"/>
    <w:rsid w:val="685A261F"/>
    <w:rsid w:val="685A7C67"/>
    <w:rsid w:val="685C3B5A"/>
    <w:rsid w:val="685C4CCC"/>
    <w:rsid w:val="685C6397"/>
    <w:rsid w:val="685D40FB"/>
    <w:rsid w:val="685E210F"/>
    <w:rsid w:val="685E406A"/>
    <w:rsid w:val="685E6DD1"/>
    <w:rsid w:val="68627974"/>
    <w:rsid w:val="68670F9B"/>
    <w:rsid w:val="68684436"/>
    <w:rsid w:val="68686BBC"/>
    <w:rsid w:val="686A0AB4"/>
    <w:rsid w:val="686B660F"/>
    <w:rsid w:val="686D2352"/>
    <w:rsid w:val="68706AAF"/>
    <w:rsid w:val="687164AA"/>
    <w:rsid w:val="687234C5"/>
    <w:rsid w:val="68725BBA"/>
    <w:rsid w:val="68757459"/>
    <w:rsid w:val="68761FE1"/>
    <w:rsid w:val="68776D2D"/>
    <w:rsid w:val="6878373F"/>
    <w:rsid w:val="687C2595"/>
    <w:rsid w:val="687E455F"/>
    <w:rsid w:val="687F10DD"/>
    <w:rsid w:val="687F623A"/>
    <w:rsid w:val="68802085"/>
    <w:rsid w:val="68817BAC"/>
    <w:rsid w:val="68822D13"/>
    <w:rsid w:val="68833924"/>
    <w:rsid w:val="68863414"/>
    <w:rsid w:val="688651C2"/>
    <w:rsid w:val="68866F70"/>
    <w:rsid w:val="68882CE8"/>
    <w:rsid w:val="688900A7"/>
    <w:rsid w:val="688A2F04"/>
    <w:rsid w:val="688D02FE"/>
    <w:rsid w:val="688D6550"/>
    <w:rsid w:val="688F22C8"/>
    <w:rsid w:val="68902020"/>
    <w:rsid w:val="68907DEF"/>
    <w:rsid w:val="6891426F"/>
    <w:rsid w:val="68916726"/>
    <w:rsid w:val="689225A1"/>
    <w:rsid w:val="68922C4A"/>
    <w:rsid w:val="689232BD"/>
    <w:rsid w:val="68923B67"/>
    <w:rsid w:val="68953657"/>
    <w:rsid w:val="68973629"/>
    <w:rsid w:val="689773CF"/>
    <w:rsid w:val="689934D5"/>
    <w:rsid w:val="689F3DBE"/>
    <w:rsid w:val="68A422DD"/>
    <w:rsid w:val="68A67612"/>
    <w:rsid w:val="68AF64C7"/>
    <w:rsid w:val="68B17D3F"/>
    <w:rsid w:val="68B24209"/>
    <w:rsid w:val="68B34305"/>
    <w:rsid w:val="68B358F3"/>
    <w:rsid w:val="68B4049D"/>
    <w:rsid w:val="68B735CD"/>
    <w:rsid w:val="68B77CE0"/>
    <w:rsid w:val="68BA09C6"/>
    <w:rsid w:val="68BA4E6C"/>
    <w:rsid w:val="68BA7285"/>
    <w:rsid w:val="68BA7AA0"/>
    <w:rsid w:val="68BB130F"/>
    <w:rsid w:val="68BC5088"/>
    <w:rsid w:val="68BD6421"/>
    <w:rsid w:val="68C006D4"/>
    <w:rsid w:val="68C22BD8"/>
    <w:rsid w:val="68C33D20"/>
    <w:rsid w:val="68C55CEA"/>
    <w:rsid w:val="68C728F9"/>
    <w:rsid w:val="68CA3301"/>
    <w:rsid w:val="68CB37EC"/>
    <w:rsid w:val="68CC2DDB"/>
    <w:rsid w:val="68CF6D05"/>
    <w:rsid w:val="68D0643D"/>
    <w:rsid w:val="68D20407"/>
    <w:rsid w:val="68D218ED"/>
    <w:rsid w:val="68D70CB5"/>
    <w:rsid w:val="68D73C6F"/>
    <w:rsid w:val="68D75A1D"/>
    <w:rsid w:val="68D8310B"/>
    <w:rsid w:val="68D859B0"/>
    <w:rsid w:val="68DB032D"/>
    <w:rsid w:val="68DE4FFE"/>
    <w:rsid w:val="68DE6DAC"/>
    <w:rsid w:val="68DF1C8B"/>
    <w:rsid w:val="68E125BA"/>
    <w:rsid w:val="68E31F3D"/>
    <w:rsid w:val="68E516ED"/>
    <w:rsid w:val="68E54AE2"/>
    <w:rsid w:val="68E5638C"/>
    <w:rsid w:val="68E64360"/>
    <w:rsid w:val="68E72A35"/>
    <w:rsid w:val="68E81589"/>
    <w:rsid w:val="68E819D9"/>
    <w:rsid w:val="68E908E2"/>
    <w:rsid w:val="68E914D3"/>
    <w:rsid w:val="68E94ED4"/>
    <w:rsid w:val="68E95500"/>
    <w:rsid w:val="68EA5751"/>
    <w:rsid w:val="68EB6230"/>
    <w:rsid w:val="68ED2046"/>
    <w:rsid w:val="68ED5241"/>
    <w:rsid w:val="68F71C1C"/>
    <w:rsid w:val="68FB31DD"/>
    <w:rsid w:val="68FE744E"/>
    <w:rsid w:val="690118B6"/>
    <w:rsid w:val="69012A10"/>
    <w:rsid w:val="69057AF9"/>
    <w:rsid w:val="69092A23"/>
    <w:rsid w:val="690A70D9"/>
    <w:rsid w:val="690C1B6B"/>
    <w:rsid w:val="690E177A"/>
    <w:rsid w:val="69110F2F"/>
    <w:rsid w:val="69132EFA"/>
    <w:rsid w:val="6914700F"/>
    <w:rsid w:val="69172F7A"/>
    <w:rsid w:val="69173609"/>
    <w:rsid w:val="691A7AD8"/>
    <w:rsid w:val="691A7F94"/>
    <w:rsid w:val="691C5414"/>
    <w:rsid w:val="691D640F"/>
    <w:rsid w:val="69222322"/>
    <w:rsid w:val="6922313D"/>
    <w:rsid w:val="6926423B"/>
    <w:rsid w:val="69280EC0"/>
    <w:rsid w:val="69284022"/>
    <w:rsid w:val="69286279"/>
    <w:rsid w:val="692A0243"/>
    <w:rsid w:val="692B6F8C"/>
    <w:rsid w:val="692C5D69"/>
    <w:rsid w:val="692D181F"/>
    <w:rsid w:val="692F585A"/>
    <w:rsid w:val="693115D2"/>
    <w:rsid w:val="69336C29"/>
    <w:rsid w:val="693370F8"/>
    <w:rsid w:val="693410C2"/>
    <w:rsid w:val="6934718B"/>
    <w:rsid w:val="69362744"/>
    <w:rsid w:val="69365825"/>
    <w:rsid w:val="69390E7E"/>
    <w:rsid w:val="69392234"/>
    <w:rsid w:val="693C3AD3"/>
    <w:rsid w:val="693D6EC8"/>
    <w:rsid w:val="693F5D45"/>
    <w:rsid w:val="694015B6"/>
    <w:rsid w:val="6945118B"/>
    <w:rsid w:val="69492530"/>
    <w:rsid w:val="694A738F"/>
    <w:rsid w:val="694E199B"/>
    <w:rsid w:val="694F1A58"/>
    <w:rsid w:val="69513A22"/>
    <w:rsid w:val="69567E48"/>
    <w:rsid w:val="695717AB"/>
    <w:rsid w:val="695E1C9B"/>
    <w:rsid w:val="695E31BD"/>
    <w:rsid w:val="696036AD"/>
    <w:rsid w:val="69611E61"/>
    <w:rsid w:val="69616496"/>
    <w:rsid w:val="69670B4F"/>
    <w:rsid w:val="696977F9"/>
    <w:rsid w:val="696A4D66"/>
    <w:rsid w:val="696B68FD"/>
    <w:rsid w:val="696B71DF"/>
    <w:rsid w:val="696C03D9"/>
    <w:rsid w:val="696E178E"/>
    <w:rsid w:val="696E6382"/>
    <w:rsid w:val="696E6DDB"/>
    <w:rsid w:val="696F20FA"/>
    <w:rsid w:val="69702ECB"/>
    <w:rsid w:val="697069E5"/>
    <w:rsid w:val="697351A8"/>
    <w:rsid w:val="697638C4"/>
    <w:rsid w:val="69767BBF"/>
    <w:rsid w:val="69771871"/>
    <w:rsid w:val="69790883"/>
    <w:rsid w:val="69794D27"/>
    <w:rsid w:val="697A47E0"/>
    <w:rsid w:val="697B2002"/>
    <w:rsid w:val="697B45FB"/>
    <w:rsid w:val="697B5C3E"/>
    <w:rsid w:val="69805AF1"/>
    <w:rsid w:val="69842FE4"/>
    <w:rsid w:val="6984404D"/>
    <w:rsid w:val="69884B3C"/>
    <w:rsid w:val="69886D18"/>
    <w:rsid w:val="698A2A90"/>
    <w:rsid w:val="698C05B6"/>
    <w:rsid w:val="698E07D2"/>
    <w:rsid w:val="698E5958"/>
    <w:rsid w:val="698F668C"/>
    <w:rsid w:val="69906E99"/>
    <w:rsid w:val="699364AD"/>
    <w:rsid w:val="69994585"/>
    <w:rsid w:val="699D0A15"/>
    <w:rsid w:val="699D2360"/>
    <w:rsid w:val="699F1F9F"/>
    <w:rsid w:val="699F3563"/>
    <w:rsid w:val="69A62BA0"/>
    <w:rsid w:val="69A7779B"/>
    <w:rsid w:val="69A84119"/>
    <w:rsid w:val="69A94CB8"/>
    <w:rsid w:val="69AC0C58"/>
    <w:rsid w:val="69B018C1"/>
    <w:rsid w:val="69B0699A"/>
    <w:rsid w:val="69B144C0"/>
    <w:rsid w:val="69B533F6"/>
    <w:rsid w:val="69B574AE"/>
    <w:rsid w:val="69B63885"/>
    <w:rsid w:val="69B664CA"/>
    <w:rsid w:val="69BA15C7"/>
    <w:rsid w:val="69BA2CF3"/>
    <w:rsid w:val="69BB0E9B"/>
    <w:rsid w:val="69BD2E65"/>
    <w:rsid w:val="69BD4C13"/>
    <w:rsid w:val="69BE2739"/>
    <w:rsid w:val="69BF7745"/>
    <w:rsid w:val="69BF7C5E"/>
    <w:rsid w:val="69C047A9"/>
    <w:rsid w:val="69C05D8A"/>
    <w:rsid w:val="69C42446"/>
    <w:rsid w:val="69C51D1A"/>
    <w:rsid w:val="69C67F6C"/>
    <w:rsid w:val="69C73CE4"/>
    <w:rsid w:val="69C75A92"/>
    <w:rsid w:val="69C935B8"/>
    <w:rsid w:val="69CC227F"/>
    <w:rsid w:val="69CF4947"/>
    <w:rsid w:val="69D048B4"/>
    <w:rsid w:val="69D361E5"/>
    <w:rsid w:val="69D97BBF"/>
    <w:rsid w:val="69DE3DEE"/>
    <w:rsid w:val="69DE7AB7"/>
    <w:rsid w:val="69E41C1F"/>
    <w:rsid w:val="69E5416A"/>
    <w:rsid w:val="69E91EAC"/>
    <w:rsid w:val="69EB7C4A"/>
    <w:rsid w:val="69EC058D"/>
    <w:rsid w:val="69EC54F9"/>
    <w:rsid w:val="69EF2A96"/>
    <w:rsid w:val="69F04FE9"/>
    <w:rsid w:val="69F61166"/>
    <w:rsid w:val="69F61ED3"/>
    <w:rsid w:val="69F83E9D"/>
    <w:rsid w:val="69F85C3D"/>
    <w:rsid w:val="69F86FD8"/>
    <w:rsid w:val="69F91549"/>
    <w:rsid w:val="69FC0BF3"/>
    <w:rsid w:val="69FD14B4"/>
    <w:rsid w:val="69FF522C"/>
    <w:rsid w:val="6A002D52"/>
    <w:rsid w:val="6A0171F6"/>
    <w:rsid w:val="6A02664A"/>
    <w:rsid w:val="6A042842"/>
    <w:rsid w:val="6A0454FD"/>
    <w:rsid w:val="6A046D28"/>
    <w:rsid w:val="6A05084C"/>
    <w:rsid w:val="6A066A76"/>
    <w:rsid w:val="6A0960AB"/>
    <w:rsid w:val="6A0C7949"/>
    <w:rsid w:val="6A0F2C87"/>
    <w:rsid w:val="6A1113CA"/>
    <w:rsid w:val="6A16109D"/>
    <w:rsid w:val="6A1A3E14"/>
    <w:rsid w:val="6A1B3961"/>
    <w:rsid w:val="6A1C5859"/>
    <w:rsid w:val="6A1D3904"/>
    <w:rsid w:val="6A1D643E"/>
    <w:rsid w:val="6A1F3F5B"/>
    <w:rsid w:val="6A1F767C"/>
    <w:rsid w:val="6A2151A2"/>
    <w:rsid w:val="6A242EE4"/>
    <w:rsid w:val="6A2435F4"/>
    <w:rsid w:val="6A274783"/>
    <w:rsid w:val="6A2904FB"/>
    <w:rsid w:val="6A2949E1"/>
    <w:rsid w:val="6A2E5B11"/>
    <w:rsid w:val="6A31115D"/>
    <w:rsid w:val="6A364414"/>
    <w:rsid w:val="6A3B2011"/>
    <w:rsid w:val="6A3D6259"/>
    <w:rsid w:val="6A3F333A"/>
    <w:rsid w:val="6A3F4434"/>
    <w:rsid w:val="6A415844"/>
    <w:rsid w:val="6A42336B"/>
    <w:rsid w:val="6A465378"/>
    <w:rsid w:val="6A4A3798"/>
    <w:rsid w:val="6A4B1A9F"/>
    <w:rsid w:val="6A4B221F"/>
    <w:rsid w:val="6A5029FF"/>
    <w:rsid w:val="6A535578"/>
    <w:rsid w:val="6A56001F"/>
    <w:rsid w:val="6A5D01A4"/>
    <w:rsid w:val="6A5E63F6"/>
    <w:rsid w:val="6A5F3F1C"/>
    <w:rsid w:val="6A5F4DAD"/>
    <w:rsid w:val="6A612101"/>
    <w:rsid w:val="6A6637E6"/>
    <w:rsid w:val="6A6D03E7"/>
    <w:rsid w:val="6A6E6CFE"/>
    <w:rsid w:val="6A7431D0"/>
    <w:rsid w:val="6A75729C"/>
    <w:rsid w:val="6A766A07"/>
    <w:rsid w:val="6A792507"/>
    <w:rsid w:val="6A7A16B8"/>
    <w:rsid w:val="6A7B7921"/>
    <w:rsid w:val="6A7D5194"/>
    <w:rsid w:val="6A7D73D1"/>
    <w:rsid w:val="6A7E5EDE"/>
    <w:rsid w:val="6A7F011B"/>
    <w:rsid w:val="6A807794"/>
    <w:rsid w:val="6A815C41"/>
    <w:rsid w:val="6A84067F"/>
    <w:rsid w:val="6A842AF3"/>
    <w:rsid w:val="6A845731"/>
    <w:rsid w:val="6A860B92"/>
    <w:rsid w:val="6A8614A9"/>
    <w:rsid w:val="6A8631A0"/>
    <w:rsid w:val="6A86594D"/>
    <w:rsid w:val="6A880711"/>
    <w:rsid w:val="6A880C15"/>
    <w:rsid w:val="6A8D2604"/>
    <w:rsid w:val="6A8F3A58"/>
    <w:rsid w:val="6A8F3CBF"/>
    <w:rsid w:val="6A8F3DD9"/>
    <w:rsid w:val="6A90569A"/>
    <w:rsid w:val="6A92793F"/>
    <w:rsid w:val="6A93238C"/>
    <w:rsid w:val="6A954F80"/>
    <w:rsid w:val="6A95610E"/>
    <w:rsid w:val="6A9562C0"/>
    <w:rsid w:val="6A971908"/>
    <w:rsid w:val="6A9C2A7B"/>
    <w:rsid w:val="6A9E2245"/>
    <w:rsid w:val="6AA2373D"/>
    <w:rsid w:val="6AA302AD"/>
    <w:rsid w:val="6AA45DD3"/>
    <w:rsid w:val="6AA47EF5"/>
    <w:rsid w:val="6AA56EAB"/>
    <w:rsid w:val="6AA95198"/>
    <w:rsid w:val="6AA979A5"/>
    <w:rsid w:val="6AAA163C"/>
    <w:rsid w:val="6AAA65C5"/>
    <w:rsid w:val="6AAD4C88"/>
    <w:rsid w:val="6AB2549F"/>
    <w:rsid w:val="6AB37DC4"/>
    <w:rsid w:val="6AB46016"/>
    <w:rsid w:val="6AB8620D"/>
    <w:rsid w:val="6AB93957"/>
    <w:rsid w:val="6AB976EA"/>
    <w:rsid w:val="6AB97AD1"/>
    <w:rsid w:val="6ABA55F7"/>
    <w:rsid w:val="6ABA5BC7"/>
    <w:rsid w:val="6ABC4ECB"/>
    <w:rsid w:val="6ABC6847"/>
    <w:rsid w:val="6AC16985"/>
    <w:rsid w:val="6AC36259"/>
    <w:rsid w:val="6AC55B76"/>
    <w:rsid w:val="6AC63758"/>
    <w:rsid w:val="6AC91289"/>
    <w:rsid w:val="6ACA384B"/>
    <w:rsid w:val="6ACA3A8C"/>
    <w:rsid w:val="6ACB1211"/>
    <w:rsid w:val="6ACC6CC5"/>
    <w:rsid w:val="6ACD70D8"/>
    <w:rsid w:val="6AD00235"/>
    <w:rsid w:val="6AD06BC8"/>
    <w:rsid w:val="6AD20B92"/>
    <w:rsid w:val="6AD6528C"/>
    <w:rsid w:val="6AD9782B"/>
    <w:rsid w:val="6ADB0EA6"/>
    <w:rsid w:val="6ADB2B79"/>
    <w:rsid w:val="6ADE3093"/>
    <w:rsid w:val="6ADF081F"/>
    <w:rsid w:val="6AE12B83"/>
    <w:rsid w:val="6AE34B4E"/>
    <w:rsid w:val="6AE461D0"/>
    <w:rsid w:val="6AE508C6"/>
    <w:rsid w:val="6AE6019A"/>
    <w:rsid w:val="6AE61F48"/>
    <w:rsid w:val="6AE93058"/>
    <w:rsid w:val="6AEA2018"/>
    <w:rsid w:val="6AEB755E"/>
    <w:rsid w:val="6AED32D6"/>
    <w:rsid w:val="6AEE123A"/>
    <w:rsid w:val="6AF00EE6"/>
    <w:rsid w:val="6AF06F23"/>
    <w:rsid w:val="6AF130A0"/>
    <w:rsid w:val="6AF24D91"/>
    <w:rsid w:val="6AF503DD"/>
    <w:rsid w:val="6AF51A88"/>
    <w:rsid w:val="6AF6662F"/>
    <w:rsid w:val="6AF9360B"/>
    <w:rsid w:val="6AF97ECD"/>
    <w:rsid w:val="6AFA59F3"/>
    <w:rsid w:val="6AFC4319"/>
    <w:rsid w:val="6AFE65C3"/>
    <w:rsid w:val="6B00125C"/>
    <w:rsid w:val="6B014FD4"/>
    <w:rsid w:val="6B036F9E"/>
    <w:rsid w:val="6B056872"/>
    <w:rsid w:val="6B080110"/>
    <w:rsid w:val="6B1445D8"/>
    <w:rsid w:val="6B174727"/>
    <w:rsid w:val="6B1747F7"/>
    <w:rsid w:val="6B18420B"/>
    <w:rsid w:val="6B1B7E43"/>
    <w:rsid w:val="6B1C1E0E"/>
    <w:rsid w:val="6B1F76F3"/>
    <w:rsid w:val="6B2036AC"/>
    <w:rsid w:val="6B204D94"/>
    <w:rsid w:val="6B23319C"/>
    <w:rsid w:val="6B234F4A"/>
    <w:rsid w:val="6B236C4F"/>
    <w:rsid w:val="6B240D70"/>
    <w:rsid w:val="6B2417A8"/>
    <w:rsid w:val="6B2C26F9"/>
    <w:rsid w:val="6B2D5880"/>
    <w:rsid w:val="6B2F3925"/>
    <w:rsid w:val="6B321631"/>
    <w:rsid w:val="6B376C47"/>
    <w:rsid w:val="6B3809FD"/>
    <w:rsid w:val="6B3A4851"/>
    <w:rsid w:val="6B3B04E6"/>
    <w:rsid w:val="6B3B4B64"/>
    <w:rsid w:val="6B3B6738"/>
    <w:rsid w:val="6B3D24B0"/>
    <w:rsid w:val="6B42528B"/>
    <w:rsid w:val="6B43326F"/>
    <w:rsid w:val="6B4355EC"/>
    <w:rsid w:val="6B4750DC"/>
    <w:rsid w:val="6B480E55"/>
    <w:rsid w:val="6B483A74"/>
    <w:rsid w:val="6B4C5BD7"/>
    <w:rsid w:val="6B4D2604"/>
    <w:rsid w:val="6B4E646B"/>
    <w:rsid w:val="6B4F2752"/>
    <w:rsid w:val="6B502DBF"/>
    <w:rsid w:val="6B513865"/>
    <w:rsid w:val="6B564DC0"/>
    <w:rsid w:val="6B5670CE"/>
    <w:rsid w:val="6B573788"/>
    <w:rsid w:val="6B5A1A48"/>
    <w:rsid w:val="6B5B0B88"/>
    <w:rsid w:val="6B5C337A"/>
    <w:rsid w:val="6B5D480A"/>
    <w:rsid w:val="6B5E0188"/>
    <w:rsid w:val="6B610173"/>
    <w:rsid w:val="6B612600"/>
    <w:rsid w:val="6B6537B4"/>
    <w:rsid w:val="6B65663B"/>
    <w:rsid w:val="6B6A5F08"/>
    <w:rsid w:val="6B6E2568"/>
    <w:rsid w:val="6B6F1F3D"/>
    <w:rsid w:val="6B6F63E1"/>
    <w:rsid w:val="6B721E05"/>
    <w:rsid w:val="6B75079A"/>
    <w:rsid w:val="6B7534D3"/>
    <w:rsid w:val="6B761E0E"/>
    <w:rsid w:val="6B777044"/>
    <w:rsid w:val="6B796319"/>
    <w:rsid w:val="6B7C465A"/>
    <w:rsid w:val="6B7E06E8"/>
    <w:rsid w:val="6B813E81"/>
    <w:rsid w:val="6B8208FC"/>
    <w:rsid w:val="6B827EC3"/>
    <w:rsid w:val="6B864C8E"/>
    <w:rsid w:val="6B8754D9"/>
    <w:rsid w:val="6B8A321B"/>
    <w:rsid w:val="6B8A6D77"/>
    <w:rsid w:val="6B8D443C"/>
    <w:rsid w:val="6B916358"/>
    <w:rsid w:val="6B961BC0"/>
    <w:rsid w:val="6B9D77F3"/>
    <w:rsid w:val="6B9E0A74"/>
    <w:rsid w:val="6B9E2823"/>
    <w:rsid w:val="6BA83168"/>
    <w:rsid w:val="6BA8544F"/>
    <w:rsid w:val="6BAE0CB8"/>
    <w:rsid w:val="6BB107A8"/>
    <w:rsid w:val="6BB17228"/>
    <w:rsid w:val="6BB234A4"/>
    <w:rsid w:val="6BB362CE"/>
    <w:rsid w:val="6BB41759"/>
    <w:rsid w:val="6BB64010"/>
    <w:rsid w:val="6BB65DBE"/>
    <w:rsid w:val="6BB868A5"/>
    <w:rsid w:val="6BBB1626"/>
    <w:rsid w:val="6BBB3D89"/>
    <w:rsid w:val="6BBB5183"/>
    <w:rsid w:val="6BBE4C73"/>
    <w:rsid w:val="6BC0254A"/>
    <w:rsid w:val="6BC140B0"/>
    <w:rsid w:val="6BC24763"/>
    <w:rsid w:val="6BC27968"/>
    <w:rsid w:val="6BC31018"/>
    <w:rsid w:val="6BC32289"/>
    <w:rsid w:val="6BC7335C"/>
    <w:rsid w:val="6BC77FCB"/>
    <w:rsid w:val="6BCB7ABB"/>
    <w:rsid w:val="6BCE1C03"/>
    <w:rsid w:val="6BCE3108"/>
    <w:rsid w:val="6BCE74C6"/>
    <w:rsid w:val="6BD050D2"/>
    <w:rsid w:val="6BD21C93"/>
    <w:rsid w:val="6BD34FDC"/>
    <w:rsid w:val="6BD36AAB"/>
    <w:rsid w:val="6BD373D3"/>
    <w:rsid w:val="6BD44496"/>
    <w:rsid w:val="6BD46244"/>
    <w:rsid w:val="6BD504B0"/>
    <w:rsid w:val="6BD91AAD"/>
    <w:rsid w:val="6BDD1004"/>
    <w:rsid w:val="6BDE05C0"/>
    <w:rsid w:val="6BE04BDA"/>
    <w:rsid w:val="6BE04BE9"/>
    <w:rsid w:val="6BE91CF0"/>
    <w:rsid w:val="6BEA1715"/>
    <w:rsid w:val="6BEA498B"/>
    <w:rsid w:val="6BEB2A60"/>
    <w:rsid w:val="6BEE5558"/>
    <w:rsid w:val="6BEE7306"/>
    <w:rsid w:val="6BF13192"/>
    <w:rsid w:val="6BF2198C"/>
    <w:rsid w:val="6BF30DC0"/>
    <w:rsid w:val="6BF46AF8"/>
    <w:rsid w:val="6BF55A4E"/>
    <w:rsid w:val="6BF87119"/>
    <w:rsid w:val="6BF9055E"/>
    <w:rsid w:val="6BFB1A23"/>
    <w:rsid w:val="6BFB7C75"/>
    <w:rsid w:val="6BFD31F6"/>
    <w:rsid w:val="6BFE1D18"/>
    <w:rsid w:val="6BFE7CC9"/>
    <w:rsid w:val="6BFF23F3"/>
    <w:rsid w:val="6C00528B"/>
    <w:rsid w:val="6C0422DB"/>
    <w:rsid w:val="6C094CBD"/>
    <w:rsid w:val="6C0D5CBF"/>
    <w:rsid w:val="6C0F1FBF"/>
    <w:rsid w:val="6C1005B9"/>
    <w:rsid w:val="6C111246"/>
    <w:rsid w:val="6C132AF4"/>
    <w:rsid w:val="6C16685D"/>
    <w:rsid w:val="6C172D01"/>
    <w:rsid w:val="6C1A634D"/>
    <w:rsid w:val="6C1B20C5"/>
    <w:rsid w:val="6C1D408F"/>
    <w:rsid w:val="6C1D7CC2"/>
    <w:rsid w:val="6C2157F2"/>
    <w:rsid w:val="6C21592D"/>
    <w:rsid w:val="6C223454"/>
    <w:rsid w:val="6C240F7A"/>
    <w:rsid w:val="6C254748"/>
    <w:rsid w:val="6C285F90"/>
    <w:rsid w:val="6C292B66"/>
    <w:rsid w:val="6C2A2D98"/>
    <w:rsid w:val="6C2E1DF8"/>
    <w:rsid w:val="6C30496C"/>
    <w:rsid w:val="6C313697"/>
    <w:rsid w:val="6C326E57"/>
    <w:rsid w:val="6C33740F"/>
    <w:rsid w:val="6C3413BA"/>
    <w:rsid w:val="6C353187"/>
    <w:rsid w:val="6C354F35"/>
    <w:rsid w:val="6C363DC6"/>
    <w:rsid w:val="6C382176"/>
    <w:rsid w:val="6C382C77"/>
    <w:rsid w:val="6C3A04AE"/>
    <w:rsid w:val="6C3B62C3"/>
    <w:rsid w:val="6C3D028D"/>
    <w:rsid w:val="6C3E3329"/>
    <w:rsid w:val="6C3F5DB4"/>
    <w:rsid w:val="6C427652"/>
    <w:rsid w:val="6C433B47"/>
    <w:rsid w:val="6C4355FB"/>
    <w:rsid w:val="6C44786E"/>
    <w:rsid w:val="6C496C32"/>
    <w:rsid w:val="6C4C227F"/>
    <w:rsid w:val="6C4C29AD"/>
    <w:rsid w:val="6C4E5FF7"/>
    <w:rsid w:val="6C501D6F"/>
    <w:rsid w:val="6C505FB6"/>
    <w:rsid w:val="6C523D39"/>
    <w:rsid w:val="6C55253B"/>
    <w:rsid w:val="6C557E95"/>
    <w:rsid w:val="6C5816C4"/>
    <w:rsid w:val="6C59119B"/>
    <w:rsid w:val="6C5C4BB7"/>
    <w:rsid w:val="6C5D448C"/>
    <w:rsid w:val="6C5E0752"/>
    <w:rsid w:val="6C5F1FB2"/>
    <w:rsid w:val="6C627CF4"/>
    <w:rsid w:val="6C64581A"/>
    <w:rsid w:val="6C691739"/>
    <w:rsid w:val="6C69716A"/>
    <w:rsid w:val="6C6B4DFB"/>
    <w:rsid w:val="6C6B7D14"/>
    <w:rsid w:val="6C6D2921"/>
    <w:rsid w:val="6C6E48EB"/>
    <w:rsid w:val="6C711CE5"/>
    <w:rsid w:val="6C725C7A"/>
    <w:rsid w:val="6C732E5F"/>
    <w:rsid w:val="6C755C79"/>
    <w:rsid w:val="6C770E7C"/>
    <w:rsid w:val="6C787517"/>
    <w:rsid w:val="6C7B73A8"/>
    <w:rsid w:val="6C81017A"/>
    <w:rsid w:val="6C830396"/>
    <w:rsid w:val="6C835C5D"/>
    <w:rsid w:val="6C835F4E"/>
    <w:rsid w:val="6C845EBC"/>
    <w:rsid w:val="6C865790"/>
    <w:rsid w:val="6C88775B"/>
    <w:rsid w:val="6C8934D3"/>
    <w:rsid w:val="6C8B1E87"/>
    <w:rsid w:val="6C8E0AE9"/>
    <w:rsid w:val="6C9360FF"/>
    <w:rsid w:val="6C952FB6"/>
    <w:rsid w:val="6C953C26"/>
    <w:rsid w:val="6C9A56E0"/>
    <w:rsid w:val="6C9B6CC0"/>
    <w:rsid w:val="6CA43E69"/>
    <w:rsid w:val="6CA45C17"/>
    <w:rsid w:val="6CA9548B"/>
    <w:rsid w:val="6CAA294A"/>
    <w:rsid w:val="6CAB197C"/>
    <w:rsid w:val="6CAB6D2E"/>
    <w:rsid w:val="6CAD447B"/>
    <w:rsid w:val="6CAD71C1"/>
    <w:rsid w:val="6CAE0F7A"/>
    <w:rsid w:val="6CB26586"/>
    <w:rsid w:val="6CB30550"/>
    <w:rsid w:val="6CB5251A"/>
    <w:rsid w:val="6CB56076"/>
    <w:rsid w:val="6CB565B3"/>
    <w:rsid w:val="6CB65B3C"/>
    <w:rsid w:val="6CB85085"/>
    <w:rsid w:val="6CB90ABC"/>
    <w:rsid w:val="6CB95B66"/>
    <w:rsid w:val="6CBF5536"/>
    <w:rsid w:val="6CC12C6C"/>
    <w:rsid w:val="6CC60283"/>
    <w:rsid w:val="6CC664D5"/>
    <w:rsid w:val="6CCD1611"/>
    <w:rsid w:val="6CCE17B1"/>
    <w:rsid w:val="6CD01102"/>
    <w:rsid w:val="6CD02EB0"/>
    <w:rsid w:val="6CD72490"/>
    <w:rsid w:val="6CD81D64"/>
    <w:rsid w:val="6CD830DA"/>
    <w:rsid w:val="6CDA5ADC"/>
    <w:rsid w:val="6CDD0847"/>
    <w:rsid w:val="6CE07597"/>
    <w:rsid w:val="6CE1330F"/>
    <w:rsid w:val="6CE1682B"/>
    <w:rsid w:val="6CE30E35"/>
    <w:rsid w:val="6CE801F9"/>
    <w:rsid w:val="6CEB74F1"/>
    <w:rsid w:val="6CEC2F2C"/>
    <w:rsid w:val="6CF058E3"/>
    <w:rsid w:val="6CF070AE"/>
    <w:rsid w:val="6CF44DF0"/>
    <w:rsid w:val="6CF546C4"/>
    <w:rsid w:val="6CF66F76"/>
    <w:rsid w:val="6CF941B4"/>
    <w:rsid w:val="6CFA7C73"/>
    <w:rsid w:val="6CFB410E"/>
    <w:rsid w:val="6CFC3CA5"/>
    <w:rsid w:val="6CFE7A1D"/>
    <w:rsid w:val="6D001DC1"/>
    <w:rsid w:val="6D0249F4"/>
    <w:rsid w:val="6D064B23"/>
    <w:rsid w:val="6D06656D"/>
    <w:rsid w:val="6D0843F7"/>
    <w:rsid w:val="6D085F70"/>
    <w:rsid w:val="6D0E4C81"/>
    <w:rsid w:val="6D0F2C6C"/>
    <w:rsid w:val="6D1A412B"/>
    <w:rsid w:val="6D1B6512"/>
    <w:rsid w:val="6D1C4347"/>
    <w:rsid w:val="6D1C7149"/>
    <w:rsid w:val="6D1E1E6D"/>
    <w:rsid w:val="6D1E3C1B"/>
    <w:rsid w:val="6D2531FB"/>
    <w:rsid w:val="6D282CEC"/>
    <w:rsid w:val="6D2A28B2"/>
    <w:rsid w:val="6D2B7858"/>
    <w:rsid w:val="6D2C1659"/>
    <w:rsid w:val="6D2C2012"/>
    <w:rsid w:val="6D312BC3"/>
    <w:rsid w:val="6D345881"/>
    <w:rsid w:val="6D39667B"/>
    <w:rsid w:val="6D396CA7"/>
    <w:rsid w:val="6D3C22F3"/>
    <w:rsid w:val="6D3E4D23"/>
    <w:rsid w:val="6D3E606B"/>
    <w:rsid w:val="6D3F4BDC"/>
    <w:rsid w:val="6D4C69DA"/>
    <w:rsid w:val="6D4D2752"/>
    <w:rsid w:val="6D4E2B96"/>
    <w:rsid w:val="6D4E3707"/>
    <w:rsid w:val="6D4E5965"/>
    <w:rsid w:val="6D505D9E"/>
    <w:rsid w:val="6D521372"/>
    <w:rsid w:val="6D583155"/>
    <w:rsid w:val="6D594A87"/>
    <w:rsid w:val="6D5C2C40"/>
    <w:rsid w:val="6D5D0BE7"/>
    <w:rsid w:val="6D5E2269"/>
    <w:rsid w:val="6D61130D"/>
    <w:rsid w:val="6D655CEE"/>
    <w:rsid w:val="6D6802E3"/>
    <w:rsid w:val="6D69041D"/>
    <w:rsid w:val="6D6F45E7"/>
    <w:rsid w:val="6D70658E"/>
    <w:rsid w:val="6D73286E"/>
    <w:rsid w:val="6D74000E"/>
    <w:rsid w:val="6D761CA9"/>
    <w:rsid w:val="6D7A6383"/>
    <w:rsid w:val="6D7B6987"/>
    <w:rsid w:val="6D7B74E4"/>
    <w:rsid w:val="6D7D60AA"/>
    <w:rsid w:val="6D8223FC"/>
    <w:rsid w:val="6D853CE7"/>
    <w:rsid w:val="6D897383"/>
    <w:rsid w:val="6D8A305E"/>
    <w:rsid w:val="6D8B4FC7"/>
    <w:rsid w:val="6D9003EF"/>
    <w:rsid w:val="6D9143ED"/>
    <w:rsid w:val="6D9450D2"/>
    <w:rsid w:val="6D970FD9"/>
    <w:rsid w:val="6D981752"/>
    <w:rsid w:val="6D9A2F35"/>
    <w:rsid w:val="6D9A4072"/>
    <w:rsid w:val="6DA11374"/>
    <w:rsid w:val="6DA32372"/>
    <w:rsid w:val="6DA4525C"/>
    <w:rsid w:val="6DA73C10"/>
    <w:rsid w:val="6DA83391"/>
    <w:rsid w:val="6DA87988"/>
    <w:rsid w:val="6DAA3701"/>
    <w:rsid w:val="6DAA54AF"/>
    <w:rsid w:val="6DAE5376"/>
    <w:rsid w:val="6DB079D9"/>
    <w:rsid w:val="6DB12CE1"/>
    <w:rsid w:val="6DB176C3"/>
    <w:rsid w:val="6DB42229"/>
    <w:rsid w:val="6DB66549"/>
    <w:rsid w:val="6DB85598"/>
    <w:rsid w:val="6DB868EA"/>
    <w:rsid w:val="6DB9657F"/>
    <w:rsid w:val="6DB97DE8"/>
    <w:rsid w:val="6DBB316F"/>
    <w:rsid w:val="6DBB76BC"/>
    <w:rsid w:val="6DBC51E2"/>
    <w:rsid w:val="6DBD1686"/>
    <w:rsid w:val="6DBD3434"/>
    <w:rsid w:val="6DC02F24"/>
    <w:rsid w:val="6DC41DD2"/>
    <w:rsid w:val="6DC76061"/>
    <w:rsid w:val="6DC7794B"/>
    <w:rsid w:val="6DC80CEB"/>
    <w:rsid w:val="6DCA2A9C"/>
    <w:rsid w:val="6DCA5B51"/>
    <w:rsid w:val="6DCA78FF"/>
    <w:rsid w:val="6DCE5641"/>
    <w:rsid w:val="6DCF56F2"/>
    <w:rsid w:val="6DD15131"/>
    <w:rsid w:val="6DD16EDF"/>
    <w:rsid w:val="6DD211D8"/>
    <w:rsid w:val="6DD37288"/>
    <w:rsid w:val="6DDC3DE9"/>
    <w:rsid w:val="6DDD3AD6"/>
    <w:rsid w:val="6DDD45E2"/>
    <w:rsid w:val="6DDE15FC"/>
    <w:rsid w:val="6DDE5180"/>
    <w:rsid w:val="6DE17501"/>
    <w:rsid w:val="6DE2733E"/>
    <w:rsid w:val="6DE41DDE"/>
    <w:rsid w:val="6DE75B54"/>
    <w:rsid w:val="6DE9247B"/>
    <w:rsid w:val="6DE94229"/>
    <w:rsid w:val="6DEA61F3"/>
    <w:rsid w:val="6DEE183F"/>
    <w:rsid w:val="6DEF16A6"/>
    <w:rsid w:val="6DF410F1"/>
    <w:rsid w:val="6DF572B5"/>
    <w:rsid w:val="6DF57528"/>
    <w:rsid w:val="6E005AB1"/>
    <w:rsid w:val="6E024D4F"/>
    <w:rsid w:val="6E030604"/>
    <w:rsid w:val="6E0472B5"/>
    <w:rsid w:val="6E072334"/>
    <w:rsid w:val="6E072901"/>
    <w:rsid w:val="6E105C5A"/>
    <w:rsid w:val="6E161378"/>
    <w:rsid w:val="6E162B44"/>
    <w:rsid w:val="6E197DA1"/>
    <w:rsid w:val="6E1A6AD8"/>
    <w:rsid w:val="6E1C2FD8"/>
    <w:rsid w:val="6E1D3E88"/>
    <w:rsid w:val="6E21168C"/>
    <w:rsid w:val="6E220756"/>
    <w:rsid w:val="6E22598D"/>
    <w:rsid w:val="6E2434B3"/>
    <w:rsid w:val="6E251EBD"/>
    <w:rsid w:val="6E263F6E"/>
    <w:rsid w:val="6E267554"/>
    <w:rsid w:val="6E2B2A93"/>
    <w:rsid w:val="6E2C6902"/>
    <w:rsid w:val="6E2D223C"/>
    <w:rsid w:val="6E2E4332"/>
    <w:rsid w:val="6E2F3C06"/>
    <w:rsid w:val="6E314013"/>
    <w:rsid w:val="6E324D0D"/>
    <w:rsid w:val="6E330C7F"/>
    <w:rsid w:val="6E3336F6"/>
    <w:rsid w:val="6E380A90"/>
    <w:rsid w:val="6E383D57"/>
    <w:rsid w:val="6E3938C7"/>
    <w:rsid w:val="6E3B07FD"/>
    <w:rsid w:val="6E3B4B9B"/>
    <w:rsid w:val="6E3C7C0A"/>
    <w:rsid w:val="6E3F4030"/>
    <w:rsid w:val="6E427DDD"/>
    <w:rsid w:val="6E46167B"/>
    <w:rsid w:val="6E46304B"/>
    <w:rsid w:val="6E4905AE"/>
    <w:rsid w:val="6E4B0D2E"/>
    <w:rsid w:val="6E4C58C4"/>
    <w:rsid w:val="6E4F6056"/>
    <w:rsid w:val="6E5024FA"/>
    <w:rsid w:val="6E5042A8"/>
    <w:rsid w:val="6E526272"/>
    <w:rsid w:val="6E5378F4"/>
    <w:rsid w:val="6E547FB8"/>
    <w:rsid w:val="6E56387A"/>
    <w:rsid w:val="6E5754A9"/>
    <w:rsid w:val="6E57633D"/>
    <w:rsid w:val="6E5A6ED5"/>
    <w:rsid w:val="6E5F098F"/>
    <w:rsid w:val="6E5F44EB"/>
    <w:rsid w:val="6E625D89"/>
    <w:rsid w:val="6E646606"/>
    <w:rsid w:val="6E646C78"/>
    <w:rsid w:val="6E663ACB"/>
    <w:rsid w:val="6E663B62"/>
    <w:rsid w:val="6E677844"/>
    <w:rsid w:val="6E6947AD"/>
    <w:rsid w:val="6E6B222A"/>
    <w:rsid w:val="6E6B699A"/>
    <w:rsid w:val="6E6C09B6"/>
    <w:rsid w:val="6E6C2FD0"/>
    <w:rsid w:val="6E706D53"/>
    <w:rsid w:val="6E71421E"/>
    <w:rsid w:val="6E731D44"/>
    <w:rsid w:val="6E77591A"/>
    <w:rsid w:val="6E777A87"/>
    <w:rsid w:val="6E7A7577"/>
    <w:rsid w:val="6E7D0E15"/>
    <w:rsid w:val="6E7F4B8D"/>
    <w:rsid w:val="6E82642B"/>
    <w:rsid w:val="6E827A5B"/>
    <w:rsid w:val="6E833036"/>
    <w:rsid w:val="6E867CCA"/>
    <w:rsid w:val="6E881C94"/>
    <w:rsid w:val="6E893BC2"/>
    <w:rsid w:val="6E8B1784"/>
    <w:rsid w:val="6E8C2E06"/>
    <w:rsid w:val="6E8C37E8"/>
    <w:rsid w:val="6E8E3022"/>
    <w:rsid w:val="6E8E6BB1"/>
    <w:rsid w:val="6E9248C1"/>
    <w:rsid w:val="6E9833FF"/>
    <w:rsid w:val="6E9879FD"/>
    <w:rsid w:val="6E99525C"/>
    <w:rsid w:val="6E9B31E9"/>
    <w:rsid w:val="6E9C331C"/>
    <w:rsid w:val="6E9C573F"/>
    <w:rsid w:val="6E9C74ED"/>
    <w:rsid w:val="6EA13DB5"/>
    <w:rsid w:val="6EA14B04"/>
    <w:rsid w:val="6EA2087C"/>
    <w:rsid w:val="6EA36415"/>
    <w:rsid w:val="6EA36ACE"/>
    <w:rsid w:val="6EA36E24"/>
    <w:rsid w:val="6EA463A2"/>
    <w:rsid w:val="6EA71853"/>
    <w:rsid w:val="6EA75E92"/>
    <w:rsid w:val="6EA85370"/>
    <w:rsid w:val="6EA91C0A"/>
    <w:rsid w:val="6EAF02E6"/>
    <w:rsid w:val="6EB057E5"/>
    <w:rsid w:val="6EB5235D"/>
    <w:rsid w:val="6EB67355"/>
    <w:rsid w:val="6EB760D5"/>
    <w:rsid w:val="6EBA27FC"/>
    <w:rsid w:val="6EBA3E17"/>
    <w:rsid w:val="6EBB05F6"/>
    <w:rsid w:val="6EBC5114"/>
    <w:rsid w:val="6EBE0965"/>
    <w:rsid w:val="6EBE0A04"/>
    <w:rsid w:val="6EBE56B6"/>
    <w:rsid w:val="6EC16F54"/>
    <w:rsid w:val="6EC30C4F"/>
    <w:rsid w:val="6EC423FA"/>
    <w:rsid w:val="6EC46A44"/>
    <w:rsid w:val="6EC66318"/>
    <w:rsid w:val="6EC735DA"/>
    <w:rsid w:val="6EC91D9F"/>
    <w:rsid w:val="6ECC6094"/>
    <w:rsid w:val="6ECD3D67"/>
    <w:rsid w:val="6ECD7034"/>
    <w:rsid w:val="6ED0518A"/>
    <w:rsid w:val="6ED10099"/>
    <w:rsid w:val="6ED21161"/>
    <w:rsid w:val="6ED337F4"/>
    <w:rsid w:val="6ED54F96"/>
    <w:rsid w:val="6ED67B15"/>
    <w:rsid w:val="6ED72B2B"/>
    <w:rsid w:val="6ED82907"/>
    <w:rsid w:val="6ED8429D"/>
    <w:rsid w:val="6EDC6D25"/>
    <w:rsid w:val="6EDD18B4"/>
    <w:rsid w:val="6EDF6B99"/>
    <w:rsid w:val="6EDF73DA"/>
    <w:rsid w:val="6EE13152"/>
    <w:rsid w:val="6EE15EDA"/>
    <w:rsid w:val="6EE32DA6"/>
    <w:rsid w:val="6EE40E94"/>
    <w:rsid w:val="6EE92007"/>
    <w:rsid w:val="6EEA6245"/>
    <w:rsid w:val="6EEB2223"/>
    <w:rsid w:val="6EEB6121"/>
    <w:rsid w:val="6EED5F9B"/>
    <w:rsid w:val="6EF16B26"/>
    <w:rsid w:val="6EF32C1A"/>
    <w:rsid w:val="6EF45B51"/>
    <w:rsid w:val="6EF55B4D"/>
    <w:rsid w:val="6EF70BC7"/>
    <w:rsid w:val="6EF72976"/>
    <w:rsid w:val="6EF72978"/>
    <w:rsid w:val="6EF87108"/>
    <w:rsid w:val="6EF871E5"/>
    <w:rsid w:val="6EF9030F"/>
    <w:rsid w:val="6EFD33BB"/>
    <w:rsid w:val="6EFD46DE"/>
    <w:rsid w:val="6EFF2AC9"/>
    <w:rsid w:val="6F000082"/>
    <w:rsid w:val="6F0137F4"/>
    <w:rsid w:val="6F01443B"/>
    <w:rsid w:val="6F015B9D"/>
    <w:rsid w:val="6F03131A"/>
    <w:rsid w:val="6F0357BE"/>
    <w:rsid w:val="6F050828"/>
    <w:rsid w:val="6F084B83"/>
    <w:rsid w:val="6F086931"/>
    <w:rsid w:val="6F0926A9"/>
    <w:rsid w:val="6F0A08FB"/>
    <w:rsid w:val="6F0D3F47"/>
    <w:rsid w:val="6F10538F"/>
    <w:rsid w:val="6F157902"/>
    <w:rsid w:val="6F184A7E"/>
    <w:rsid w:val="6F1C418A"/>
    <w:rsid w:val="6F1E6154"/>
    <w:rsid w:val="6F257D2A"/>
    <w:rsid w:val="6F265009"/>
    <w:rsid w:val="6F2968A7"/>
    <w:rsid w:val="6F2B0871"/>
    <w:rsid w:val="6F2B261F"/>
    <w:rsid w:val="6F2F0206"/>
    <w:rsid w:val="6F3332FA"/>
    <w:rsid w:val="6F343BCA"/>
    <w:rsid w:val="6F347726"/>
    <w:rsid w:val="6F3A592B"/>
    <w:rsid w:val="6F3B4F58"/>
    <w:rsid w:val="6F3B53E9"/>
    <w:rsid w:val="6F3C482C"/>
    <w:rsid w:val="6F3D1CDC"/>
    <w:rsid w:val="6F3E2352"/>
    <w:rsid w:val="6F3F60CB"/>
    <w:rsid w:val="6F40256E"/>
    <w:rsid w:val="6F402A64"/>
    <w:rsid w:val="6F410095"/>
    <w:rsid w:val="6F415580"/>
    <w:rsid w:val="6F433C72"/>
    <w:rsid w:val="6F451933"/>
    <w:rsid w:val="6F4575BC"/>
    <w:rsid w:val="6F4619AA"/>
    <w:rsid w:val="6F467459"/>
    <w:rsid w:val="6F477302"/>
    <w:rsid w:val="6F481423"/>
    <w:rsid w:val="6F4B0F13"/>
    <w:rsid w:val="6F4D6A39"/>
    <w:rsid w:val="6F547DC8"/>
    <w:rsid w:val="6F5558EE"/>
    <w:rsid w:val="6F55769C"/>
    <w:rsid w:val="6F566A26"/>
    <w:rsid w:val="6F5971A6"/>
    <w:rsid w:val="6F5A429F"/>
    <w:rsid w:val="6F5B6D24"/>
    <w:rsid w:val="6F5C4ECE"/>
    <w:rsid w:val="6F5E0C47"/>
    <w:rsid w:val="6F5E252A"/>
    <w:rsid w:val="6F6124E5"/>
    <w:rsid w:val="6F631DB9"/>
    <w:rsid w:val="6F64494B"/>
    <w:rsid w:val="6F655522"/>
    <w:rsid w:val="6F6618A9"/>
    <w:rsid w:val="6F684F41"/>
    <w:rsid w:val="6F6A0146"/>
    <w:rsid w:val="6F6B5112"/>
    <w:rsid w:val="6F6E4788"/>
    <w:rsid w:val="6F71097A"/>
    <w:rsid w:val="6F737718"/>
    <w:rsid w:val="6F7A7103"/>
    <w:rsid w:val="6F7A7850"/>
    <w:rsid w:val="6F7C10CD"/>
    <w:rsid w:val="6F7E6BF3"/>
    <w:rsid w:val="6F8306AD"/>
    <w:rsid w:val="6F83245B"/>
    <w:rsid w:val="6F840DBC"/>
    <w:rsid w:val="6F885CC3"/>
    <w:rsid w:val="6F887A72"/>
    <w:rsid w:val="6F8A7925"/>
    <w:rsid w:val="6F8A7CAA"/>
    <w:rsid w:val="6F8D32DA"/>
    <w:rsid w:val="6F8F7052"/>
    <w:rsid w:val="6F906926"/>
    <w:rsid w:val="6F9127AF"/>
    <w:rsid w:val="6F945ADC"/>
    <w:rsid w:val="6F946416"/>
    <w:rsid w:val="6F96218E"/>
    <w:rsid w:val="6F992945"/>
    <w:rsid w:val="6F992AFB"/>
    <w:rsid w:val="6F993C57"/>
    <w:rsid w:val="6F9A3937"/>
    <w:rsid w:val="6FA0300D"/>
    <w:rsid w:val="6FA3345B"/>
    <w:rsid w:val="6FAA3E8C"/>
    <w:rsid w:val="6FAA79E8"/>
    <w:rsid w:val="6FAC3760"/>
    <w:rsid w:val="6FAD572A"/>
    <w:rsid w:val="6FAF14A2"/>
    <w:rsid w:val="6FB42615"/>
    <w:rsid w:val="6FB44CB7"/>
    <w:rsid w:val="6FB62831"/>
    <w:rsid w:val="6FB82179"/>
    <w:rsid w:val="6FB851CB"/>
    <w:rsid w:val="6FBC5F2C"/>
    <w:rsid w:val="6FBE16E5"/>
    <w:rsid w:val="6FC22F83"/>
    <w:rsid w:val="6FC34184"/>
    <w:rsid w:val="6FC64C41"/>
    <w:rsid w:val="6FC75AD6"/>
    <w:rsid w:val="6FC869B5"/>
    <w:rsid w:val="6FCA1E38"/>
    <w:rsid w:val="6FCB7D7F"/>
    <w:rsid w:val="6FCD630C"/>
    <w:rsid w:val="6FD1766A"/>
    <w:rsid w:val="6FD252FB"/>
    <w:rsid w:val="6FD44A65"/>
    <w:rsid w:val="6FD46FF1"/>
    <w:rsid w:val="6FD5763E"/>
    <w:rsid w:val="6FD57B29"/>
    <w:rsid w:val="6FD96F22"/>
    <w:rsid w:val="6FDB2297"/>
    <w:rsid w:val="6FDB2AFF"/>
    <w:rsid w:val="6FDB4045"/>
    <w:rsid w:val="6FDB7EE0"/>
    <w:rsid w:val="6FE0165C"/>
    <w:rsid w:val="6FE078AE"/>
    <w:rsid w:val="6FE23626"/>
    <w:rsid w:val="6FE37D9E"/>
    <w:rsid w:val="6FE54EC4"/>
    <w:rsid w:val="6FE60753"/>
    <w:rsid w:val="6FE80510"/>
    <w:rsid w:val="6FE94A15"/>
    <w:rsid w:val="6FEA072C"/>
    <w:rsid w:val="6FEB735C"/>
    <w:rsid w:val="6FEC62B9"/>
    <w:rsid w:val="6FEF189F"/>
    <w:rsid w:val="6FF24CDC"/>
    <w:rsid w:val="6FF33B8E"/>
    <w:rsid w:val="6FF9271D"/>
    <w:rsid w:val="6FFD4206"/>
    <w:rsid w:val="6FFF64DB"/>
    <w:rsid w:val="70027824"/>
    <w:rsid w:val="7003534A"/>
    <w:rsid w:val="700510C2"/>
    <w:rsid w:val="70057314"/>
    <w:rsid w:val="70062DF0"/>
    <w:rsid w:val="700C06A3"/>
    <w:rsid w:val="700C2451"/>
    <w:rsid w:val="700E441B"/>
    <w:rsid w:val="70101D70"/>
    <w:rsid w:val="70131A31"/>
    <w:rsid w:val="701620E9"/>
    <w:rsid w:val="701670E2"/>
    <w:rsid w:val="701B23DF"/>
    <w:rsid w:val="701D68BA"/>
    <w:rsid w:val="701E3F32"/>
    <w:rsid w:val="7020414E"/>
    <w:rsid w:val="70204563"/>
    <w:rsid w:val="70230A50"/>
    <w:rsid w:val="702561AD"/>
    <w:rsid w:val="702608B7"/>
    <w:rsid w:val="70271AA8"/>
    <w:rsid w:val="702760DD"/>
    <w:rsid w:val="7027728A"/>
    <w:rsid w:val="70293003"/>
    <w:rsid w:val="702A6D7B"/>
    <w:rsid w:val="702F6FF3"/>
    <w:rsid w:val="703244E4"/>
    <w:rsid w:val="703700DD"/>
    <w:rsid w:val="703A2811"/>
    <w:rsid w:val="703B3B29"/>
    <w:rsid w:val="703B63A5"/>
    <w:rsid w:val="703C2604"/>
    <w:rsid w:val="70410C93"/>
    <w:rsid w:val="70447E3C"/>
    <w:rsid w:val="7046187D"/>
    <w:rsid w:val="704A6949"/>
    <w:rsid w:val="704C0A9F"/>
    <w:rsid w:val="704E1F84"/>
    <w:rsid w:val="704F233D"/>
    <w:rsid w:val="705051E3"/>
    <w:rsid w:val="705110C2"/>
    <w:rsid w:val="705636CC"/>
    <w:rsid w:val="70570158"/>
    <w:rsid w:val="70582D5F"/>
    <w:rsid w:val="705861FF"/>
    <w:rsid w:val="705B5951"/>
    <w:rsid w:val="705E3501"/>
    <w:rsid w:val="7060279C"/>
    <w:rsid w:val="70610D4E"/>
    <w:rsid w:val="70615791"/>
    <w:rsid w:val="7062138C"/>
    <w:rsid w:val="70622071"/>
    <w:rsid w:val="70681AAB"/>
    <w:rsid w:val="70685FF4"/>
    <w:rsid w:val="706A0789"/>
    <w:rsid w:val="706C15DB"/>
    <w:rsid w:val="706C5411"/>
    <w:rsid w:val="706E310B"/>
    <w:rsid w:val="707029DF"/>
    <w:rsid w:val="70747CFB"/>
    <w:rsid w:val="70755580"/>
    <w:rsid w:val="70763D6E"/>
    <w:rsid w:val="70781894"/>
    <w:rsid w:val="707A385E"/>
    <w:rsid w:val="707B3132"/>
    <w:rsid w:val="707C326C"/>
    <w:rsid w:val="707C5453"/>
    <w:rsid w:val="70812E3F"/>
    <w:rsid w:val="7084648B"/>
    <w:rsid w:val="708924C9"/>
    <w:rsid w:val="708B3C5F"/>
    <w:rsid w:val="708B5A6B"/>
    <w:rsid w:val="708F0BB5"/>
    <w:rsid w:val="708F339A"/>
    <w:rsid w:val="709020CD"/>
    <w:rsid w:val="70904F00"/>
    <w:rsid w:val="70910BA8"/>
    <w:rsid w:val="709268DE"/>
    <w:rsid w:val="70930D7D"/>
    <w:rsid w:val="70952446"/>
    <w:rsid w:val="70967631"/>
    <w:rsid w:val="70981F36"/>
    <w:rsid w:val="709D12FB"/>
    <w:rsid w:val="709D754D"/>
    <w:rsid w:val="709F5073"/>
    <w:rsid w:val="70A1703D"/>
    <w:rsid w:val="70A408DB"/>
    <w:rsid w:val="70A628A5"/>
    <w:rsid w:val="70A84568"/>
    <w:rsid w:val="70A91CF0"/>
    <w:rsid w:val="70AB19F0"/>
    <w:rsid w:val="70B14DA6"/>
    <w:rsid w:val="70B30B1E"/>
    <w:rsid w:val="70B32E6B"/>
    <w:rsid w:val="70B45215"/>
    <w:rsid w:val="70B56644"/>
    <w:rsid w:val="70B77E27"/>
    <w:rsid w:val="70B87D46"/>
    <w:rsid w:val="70BC3E77"/>
    <w:rsid w:val="70BC5E4B"/>
    <w:rsid w:val="70BF7CCC"/>
    <w:rsid w:val="70C00187"/>
    <w:rsid w:val="70C1123E"/>
    <w:rsid w:val="70C25205"/>
    <w:rsid w:val="70C53B3E"/>
    <w:rsid w:val="70C66AA3"/>
    <w:rsid w:val="70C745CA"/>
    <w:rsid w:val="70C90342"/>
    <w:rsid w:val="70CA3376"/>
    <w:rsid w:val="70CD7E32"/>
    <w:rsid w:val="70CE3BAA"/>
    <w:rsid w:val="70D00C36"/>
    <w:rsid w:val="70D02A25"/>
    <w:rsid w:val="70D34D1C"/>
    <w:rsid w:val="70D53553"/>
    <w:rsid w:val="70D56CE6"/>
    <w:rsid w:val="70D64AC3"/>
    <w:rsid w:val="70D94A29"/>
    <w:rsid w:val="70DA60AB"/>
    <w:rsid w:val="70DD3DED"/>
    <w:rsid w:val="70DE3D3C"/>
    <w:rsid w:val="70DF36C1"/>
    <w:rsid w:val="70E04AD1"/>
    <w:rsid w:val="70E246F2"/>
    <w:rsid w:val="70E37655"/>
    <w:rsid w:val="70E70670"/>
    <w:rsid w:val="70EB650A"/>
    <w:rsid w:val="70ED2282"/>
    <w:rsid w:val="70EE799E"/>
    <w:rsid w:val="70EE7DA8"/>
    <w:rsid w:val="70EF41DA"/>
    <w:rsid w:val="70F25AEA"/>
    <w:rsid w:val="70F52EE5"/>
    <w:rsid w:val="70F61B24"/>
    <w:rsid w:val="70F74EAF"/>
    <w:rsid w:val="70F80C27"/>
    <w:rsid w:val="70FA4272"/>
    <w:rsid w:val="70FD7FEB"/>
    <w:rsid w:val="70FE1F36"/>
    <w:rsid w:val="70FF3CED"/>
    <w:rsid w:val="71032E1B"/>
    <w:rsid w:val="7104418B"/>
    <w:rsid w:val="710475CC"/>
    <w:rsid w:val="7105409D"/>
    <w:rsid w:val="71092E34"/>
    <w:rsid w:val="710C1140"/>
    <w:rsid w:val="710D66A7"/>
    <w:rsid w:val="710E21F8"/>
    <w:rsid w:val="710E3FA6"/>
    <w:rsid w:val="71147636"/>
    <w:rsid w:val="711A294B"/>
    <w:rsid w:val="711B76F1"/>
    <w:rsid w:val="711E068D"/>
    <w:rsid w:val="7121017E"/>
    <w:rsid w:val="7121287C"/>
    <w:rsid w:val="7121355D"/>
    <w:rsid w:val="71213CDA"/>
    <w:rsid w:val="712464D8"/>
    <w:rsid w:val="7125111C"/>
    <w:rsid w:val="71285068"/>
    <w:rsid w:val="71290DE0"/>
    <w:rsid w:val="712D267F"/>
    <w:rsid w:val="712E5597"/>
    <w:rsid w:val="713067B0"/>
    <w:rsid w:val="71341C5F"/>
    <w:rsid w:val="71357785"/>
    <w:rsid w:val="7137174F"/>
    <w:rsid w:val="713752AB"/>
    <w:rsid w:val="713779A1"/>
    <w:rsid w:val="713B78F4"/>
    <w:rsid w:val="713E2ADE"/>
    <w:rsid w:val="713E488C"/>
    <w:rsid w:val="71402155"/>
    <w:rsid w:val="714125CE"/>
    <w:rsid w:val="71412EFE"/>
    <w:rsid w:val="7141612A"/>
    <w:rsid w:val="714300F4"/>
    <w:rsid w:val="71437B7D"/>
    <w:rsid w:val="714527D8"/>
    <w:rsid w:val="71453E6C"/>
    <w:rsid w:val="71461992"/>
    <w:rsid w:val="71463740"/>
    <w:rsid w:val="7146579D"/>
    <w:rsid w:val="714A76D4"/>
    <w:rsid w:val="714D6CCB"/>
    <w:rsid w:val="71526589"/>
    <w:rsid w:val="71532318"/>
    <w:rsid w:val="71533AF6"/>
    <w:rsid w:val="71542056"/>
    <w:rsid w:val="71542301"/>
    <w:rsid w:val="715440AF"/>
    <w:rsid w:val="715673E9"/>
    <w:rsid w:val="715776FB"/>
    <w:rsid w:val="7158028D"/>
    <w:rsid w:val="715A27D0"/>
    <w:rsid w:val="715A7895"/>
    <w:rsid w:val="715C7408"/>
    <w:rsid w:val="715E0A8A"/>
    <w:rsid w:val="715E4F2E"/>
    <w:rsid w:val="71600CA6"/>
    <w:rsid w:val="71602537"/>
    <w:rsid w:val="71623A54"/>
    <w:rsid w:val="7166125F"/>
    <w:rsid w:val="716647BC"/>
    <w:rsid w:val="71665D03"/>
    <w:rsid w:val="71687B5B"/>
    <w:rsid w:val="716A5681"/>
    <w:rsid w:val="716B1D9A"/>
    <w:rsid w:val="716D33C3"/>
    <w:rsid w:val="716F0EE9"/>
    <w:rsid w:val="716F713B"/>
    <w:rsid w:val="7173030C"/>
    <w:rsid w:val="71737F1D"/>
    <w:rsid w:val="717527F4"/>
    <w:rsid w:val="71783B49"/>
    <w:rsid w:val="717A3E1D"/>
    <w:rsid w:val="717B788E"/>
    <w:rsid w:val="717C6C3D"/>
    <w:rsid w:val="717E112C"/>
    <w:rsid w:val="71816E6E"/>
    <w:rsid w:val="71836742"/>
    <w:rsid w:val="71866233"/>
    <w:rsid w:val="71883D59"/>
    <w:rsid w:val="718B55F7"/>
    <w:rsid w:val="718D0A62"/>
    <w:rsid w:val="718F3339"/>
    <w:rsid w:val="71923D36"/>
    <w:rsid w:val="719817F9"/>
    <w:rsid w:val="71983564"/>
    <w:rsid w:val="719941B8"/>
    <w:rsid w:val="719B7D21"/>
    <w:rsid w:val="719C15B2"/>
    <w:rsid w:val="719C7804"/>
    <w:rsid w:val="71A072F4"/>
    <w:rsid w:val="71A12256"/>
    <w:rsid w:val="71A232B6"/>
    <w:rsid w:val="71A30B93"/>
    <w:rsid w:val="71A477D7"/>
    <w:rsid w:val="71A71401"/>
    <w:rsid w:val="71A843FB"/>
    <w:rsid w:val="71A856C9"/>
    <w:rsid w:val="71A861A9"/>
    <w:rsid w:val="71A95492"/>
    <w:rsid w:val="71B52674"/>
    <w:rsid w:val="71B763EC"/>
    <w:rsid w:val="71B92164"/>
    <w:rsid w:val="71BB19CF"/>
    <w:rsid w:val="71BE5855"/>
    <w:rsid w:val="71BE59CD"/>
    <w:rsid w:val="71C07997"/>
    <w:rsid w:val="71C1726B"/>
    <w:rsid w:val="71C254BD"/>
    <w:rsid w:val="71C4646A"/>
    <w:rsid w:val="71C64881"/>
    <w:rsid w:val="71C81F67"/>
    <w:rsid w:val="71CA7D6E"/>
    <w:rsid w:val="71CB1E97"/>
    <w:rsid w:val="71D04807"/>
    <w:rsid w:val="71D4630A"/>
    <w:rsid w:val="71D47926"/>
    <w:rsid w:val="71D84CE0"/>
    <w:rsid w:val="71D90A58"/>
    <w:rsid w:val="71DB657E"/>
    <w:rsid w:val="71DC40A5"/>
    <w:rsid w:val="71DC4DC5"/>
    <w:rsid w:val="71DE1884"/>
    <w:rsid w:val="71DE1BCB"/>
    <w:rsid w:val="71DF07BB"/>
    <w:rsid w:val="71E13469"/>
    <w:rsid w:val="71E73175"/>
    <w:rsid w:val="71EA4A14"/>
    <w:rsid w:val="71EC253A"/>
    <w:rsid w:val="71ED1E0E"/>
    <w:rsid w:val="71EF5B86"/>
    <w:rsid w:val="71F15DA2"/>
    <w:rsid w:val="71F17B50"/>
    <w:rsid w:val="71F50E74"/>
    <w:rsid w:val="71F6082D"/>
    <w:rsid w:val="71F633B8"/>
    <w:rsid w:val="71F86137"/>
    <w:rsid w:val="71F948D9"/>
    <w:rsid w:val="71F96A05"/>
    <w:rsid w:val="71FA304E"/>
    <w:rsid w:val="71FB09CF"/>
    <w:rsid w:val="71FB54C2"/>
    <w:rsid w:val="720023AB"/>
    <w:rsid w:val="72002EAB"/>
    <w:rsid w:val="72033390"/>
    <w:rsid w:val="72037883"/>
    <w:rsid w:val="720553A9"/>
    <w:rsid w:val="72057257"/>
    <w:rsid w:val="72081FCD"/>
    <w:rsid w:val="720B7920"/>
    <w:rsid w:val="720C2AB9"/>
    <w:rsid w:val="720D24B0"/>
    <w:rsid w:val="720F6228"/>
    <w:rsid w:val="72146D0A"/>
    <w:rsid w:val="72150D86"/>
    <w:rsid w:val="72160ED5"/>
    <w:rsid w:val="72166CEA"/>
    <w:rsid w:val="72184BFF"/>
    <w:rsid w:val="721D5926"/>
    <w:rsid w:val="721F2127"/>
    <w:rsid w:val="72247F25"/>
    <w:rsid w:val="7227512A"/>
    <w:rsid w:val="72275320"/>
    <w:rsid w:val="72281098"/>
    <w:rsid w:val="72295B7C"/>
    <w:rsid w:val="72347E36"/>
    <w:rsid w:val="7238752D"/>
    <w:rsid w:val="723A1A49"/>
    <w:rsid w:val="723B77DC"/>
    <w:rsid w:val="7242215A"/>
    <w:rsid w:val="724273A5"/>
    <w:rsid w:val="72431602"/>
    <w:rsid w:val="7249798C"/>
    <w:rsid w:val="724A3704"/>
    <w:rsid w:val="724D2BFE"/>
    <w:rsid w:val="724E1F1F"/>
    <w:rsid w:val="724E4FA2"/>
    <w:rsid w:val="724F27E6"/>
    <w:rsid w:val="72507C26"/>
    <w:rsid w:val="725325B9"/>
    <w:rsid w:val="72536115"/>
    <w:rsid w:val="72565C05"/>
    <w:rsid w:val="72587BCF"/>
    <w:rsid w:val="725917E7"/>
    <w:rsid w:val="725956F5"/>
    <w:rsid w:val="725C38FE"/>
    <w:rsid w:val="725D51E5"/>
    <w:rsid w:val="725D59E1"/>
    <w:rsid w:val="725E119F"/>
    <w:rsid w:val="72606A84"/>
    <w:rsid w:val="72611747"/>
    <w:rsid w:val="726245AA"/>
    <w:rsid w:val="72677A37"/>
    <w:rsid w:val="72693B8A"/>
    <w:rsid w:val="726B27F9"/>
    <w:rsid w:val="726B7022"/>
    <w:rsid w:val="726D79F0"/>
    <w:rsid w:val="726F7761"/>
    <w:rsid w:val="72707DAC"/>
    <w:rsid w:val="72721C2E"/>
    <w:rsid w:val="72730565"/>
    <w:rsid w:val="72745656"/>
    <w:rsid w:val="7274672D"/>
    <w:rsid w:val="72776E15"/>
    <w:rsid w:val="727B1B10"/>
    <w:rsid w:val="727D3192"/>
    <w:rsid w:val="727E137C"/>
    <w:rsid w:val="727F0FDB"/>
    <w:rsid w:val="727F33AE"/>
    <w:rsid w:val="72815E6B"/>
    <w:rsid w:val="72822C0A"/>
    <w:rsid w:val="72834520"/>
    <w:rsid w:val="728536B8"/>
    <w:rsid w:val="7285473C"/>
    <w:rsid w:val="7285536D"/>
    <w:rsid w:val="7289422C"/>
    <w:rsid w:val="728D3298"/>
    <w:rsid w:val="728F1117"/>
    <w:rsid w:val="72934DA5"/>
    <w:rsid w:val="729606F7"/>
    <w:rsid w:val="729624A5"/>
    <w:rsid w:val="729A1F96"/>
    <w:rsid w:val="729A711F"/>
    <w:rsid w:val="729D0467"/>
    <w:rsid w:val="72A050D2"/>
    <w:rsid w:val="72A20D98"/>
    <w:rsid w:val="72A35ED8"/>
    <w:rsid w:val="72A60542"/>
    <w:rsid w:val="72A61BB4"/>
    <w:rsid w:val="72A83B07"/>
    <w:rsid w:val="72A90315"/>
    <w:rsid w:val="72AA6B28"/>
    <w:rsid w:val="72AB41A3"/>
    <w:rsid w:val="72AE3C93"/>
    <w:rsid w:val="72B03567"/>
    <w:rsid w:val="72B13AFE"/>
    <w:rsid w:val="72B5521A"/>
    <w:rsid w:val="72B561BF"/>
    <w:rsid w:val="72B57676"/>
    <w:rsid w:val="72B654DE"/>
    <w:rsid w:val="72B73CFC"/>
    <w:rsid w:val="72BA0D33"/>
    <w:rsid w:val="72BB3CBA"/>
    <w:rsid w:val="72BB7781"/>
    <w:rsid w:val="72BD6D8D"/>
    <w:rsid w:val="72BD7393"/>
    <w:rsid w:val="72C15774"/>
    <w:rsid w:val="72C2329A"/>
    <w:rsid w:val="72C26EAB"/>
    <w:rsid w:val="72C60FDD"/>
    <w:rsid w:val="72C8637D"/>
    <w:rsid w:val="72CD734A"/>
    <w:rsid w:val="72CE7E91"/>
    <w:rsid w:val="72D27149"/>
    <w:rsid w:val="72D27981"/>
    <w:rsid w:val="72D330EF"/>
    <w:rsid w:val="72D66D46"/>
    <w:rsid w:val="72D82ABE"/>
    <w:rsid w:val="72D90EF8"/>
    <w:rsid w:val="72D95D4E"/>
    <w:rsid w:val="72DA4DD1"/>
    <w:rsid w:val="72DA6836"/>
    <w:rsid w:val="72DE4C6B"/>
    <w:rsid w:val="72E40939"/>
    <w:rsid w:val="72E66064"/>
    <w:rsid w:val="72E66F89"/>
    <w:rsid w:val="72EB1733"/>
    <w:rsid w:val="72ED3A79"/>
    <w:rsid w:val="72F01BB6"/>
    <w:rsid w:val="72F25EDA"/>
    <w:rsid w:val="72F6551C"/>
    <w:rsid w:val="72F773E8"/>
    <w:rsid w:val="72F96B8A"/>
    <w:rsid w:val="72FD643C"/>
    <w:rsid w:val="72FE3E2F"/>
    <w:rsid w:val="72FE5C80"/>
    <w:rsid w:val="72FF004B"/>
    <w:rsid w:val="730074EB"/>
    <w:rsid w:val="73050897"/>
    <w:rsid w:val="73063468"/>
    <w:rsid w:val="730731B7"/>
    <w:rsid w:val="73076EFF"/>
    <w:rsid w:val="730B69EF"/>
    <w:rsid w:val="730C5AD9"/>
    <w:rsid w:val="731062B7"/>
    <w:rsid w:val="73125FD0"/>
    <w:rsid w:val="731458CA"/>
    <w:rsid w:val="73155AC0"/>
    <w:rsid w:val="73163E8B"/>
    <w:rsid w:val="731811FE"/>
    <w:rsid w:val="731B453E"/>
    <w:rsid w:val="731C0BFD"/>
    <w:rsid w:val="731F553E"/>
    <w:rsid w:val="7320549F"/>
    <w:rsid w:val="732E03E7"/>
    <w:rsid w:val="733046A8"/>
    <w:rsid w:val="733278B4"/>
    <w:rsid w:val="73333915"/>
    <w:rsid w:val="73335F46"/>
    <w:rsid w:val="73337CF4"/>
    <w:rsid w:val="73373F40"/>
    <w:rsid w:val="733A1083"/>
    <w:rsid w:val="733A72D5"/>
    <w:rsid w:val="733B3F7E"/>
    <w:rsid w:val="733D0B73"/>
    <w:rsid w:val="733E5017"/>
    <w:rsid w:val="733E65B6"/>
    <w:rsid w:val="73417C3D"/>
    <w:rsid w:val="7343262D"/>
    <w:rsid w:val="73440153"/>
    <w:rsid w:val="734463A5"/>
    <w:rsid w:val="73460802"/>
    <w:rsid w:val="734C3E6C"/>
    <w:rsid w:val="735012B9"/>
    <w:rsid w:val="73525B09"/>
    <w:rsid w:val="73532357"/>
    <w:rsid w:val="735465E8"/>
    <w:rsid w:val="73557C1F"/>
    <w:rsid w:val="73572D10"/>
    <w:rsid w:val="73577E87"/>
    <w:rsid w:val="735C36EF"/>
    <w:rsid w:val="735D3191"/>
    <w:rsid w:val="735D4BE7"/>
    <w:rsid w:val="7361387E"/>
    <w:rsid w:val="73634A7D"/>
    <w:rsid w:val="73647D21"/>
    <w:rsid w:val="73650CB4"/>
    <w:rsid w:val="736C3AB2"/>
    <w:rsid w:val="736C56E3"/>
    <w:rsid w:val="736C5BA8"/>
    <w:rsid w:val="736D3206"/>
    <w:rsid w:val="73700A17"/>
    <w:rsid w:val="737065F3"/>
    <w:rsid w:val="73740A39"/>
    <w:rsid w:val="737427E7"/>
    <w:rsid w:val="7375030D"/>
    <w:rsid w:val="737722D7"/>
    <w:rsid w:val="737A1DC7"/>
    <w:rsid w:val="737D2659"/>
    <w:rsid w:val="737E5413"/>
    <w:rsid w:val="737E672C"/>
    <w:rsid w:val="737F73DD"/>
    <w:rsid w:val="73814F04"/>
    <w:rsid w:val="73816CB2"/>
    <w:rsid w:val="73852A1F"/>
    <w:rsid w:val="73857ACC"/>
    <w:rsid w:val="738642C8"/>
    <w:rsid w:val="738A025C"/>
    <w:rsid w:val="738A200A"/>
    <w:rsid w:val="738A27F1"/>
    <w:rsid w:val="738B5D82"/>
    <w:rsid w:val="738D66D7"/>
    <w:rsid w:val="73903399"/>
    <w:rsid w:val="73920EBF"/>
    <w:rsid w:val="73970283"/>
    <w:rsid w:val="73972979"/>
    <w:rsid w:val="73984857"/>
    <w:rsid w:val="73994ACC"/>
    <w:rsid w:val="739B4366"/>
    <w:rsid w:val="739C7F8F"/>
    <w:rsid w:val="73A0182E"/>
    <w:rsid w:val="73A3131E"/>
    <w:rsid w:val="73A40BF2"/>
    <w:rsid w:val="73A806E2"/>
    <w:rsid w:val="73A86934"/>
    <w:rsid w:val="73AA445A"/>
    <w:rsid w:val="73AB01D2"/>
    <w:rsid w:val="73AB29D6"/>
    <w:rsid w:val="73AE23C8"/>
    <w:rsid w:val="73AF3484"/>
    <w:rsid w:val="73AF381F"/>
    <w:rsid w:val="73AF7CC3"/>
    <w:rsid w:val="73B00889"/>
    <w:rsid w:val="73B07597"/>
    <w:rsid w:val="73B11A25"/>
    <w:rsid w:val="73B147FC"/>
    <w:rsid w:val="73B452D9"/>
    <w:rsid w:val="73B726D3"/>
    <w:rsid w:val="73B76B77"/>
    <w:rsid w:val="73B928EF"/>
    <w:rsid w:val="73BA21C4"/>
    <w:rsid w:val="73BC418E"/>
    <w:rsid w:val="73BC445D"/>
    <w:rsid w:val="73BF2448"/>
    <w:rsid w:val="73C3376E"/>
    <w:rsid w:val="73C4785B"/>
    <w:rsid w:val="73C53042"/>
    <w:rsid w:val="73C60B68"/>
    <w:rsid w:val="73C62D6B"/>
    <w:rsid w:val="73C74E9A"/>
    <w:rsid w:val="73CB5E2F"/>
    <w:rsid w:val="73CC2623"/>
    <w:rsid w:val="73CD6DE1"/>
    <w:rsid w:val="73CF2113"/>
    <w:rsid w:val="73D019E7"/>
    <w:rsid w:val="73D03795"/>
    <w:rsid w:val="73D11C07"/>
    <w:rsid w:val="73D4663A"/>
    <w:rsid w:val="73D46A5E"/>
    <w:rsid w:val="73D55325"/>
    <w:rsid w:val="73D64778"/>
    <w:rsid w:val="73D64ECE"/>
    <w:rsid w:val="73DA0CAB"/>
    <w:rsid w:val="73DB738C"/>
    <w:rsid w:val="73E01C2A"/>
    <w:rsid w:val="73E1244C"/>
    <w:rsid w:val="73E26041"/>
    <w:rsid w:val="73E35A57"/>
    <w:rsid w:val="73E45068"/>
    <w:rsid w:val="73E5356E"/>
    <w:rsid w:val="73E55492"/>
    <w:rsid w:val="73E62FB9"/>
    <w:rsid w:val="73E66E93"/>
    <w:rsid w:val="73E949B6"/>
    <w:rsid w:val="73EF00BF"/>
    <w:rsid w:val="73F13E37"/>
    <w:rsid w:val="73F6144E"/>
    <w:rsid w:val="73F676A0"/>
    <w:rsid w:val="73F90F3E"/>
    <w:rsid w:val="73F97190"/>
    <w:rsid w:val="73FC27DC"/>
    <w:rsid w:val="73FC458A"/>
    <w:rsid w:val="73FE6554"/>
    <w:rsid w:val="73FF4747"/>
    <w:rsid w:val="740067CC"/>
    <w:rsid w:val="740357B2"/>
    <w:rsid w:val="74037B38"/>
    <w:rsid w:val="74050362"/>
    <w:rsid w:val="74081181"/>
    <w:rsid w:val="740873D3"/>
    <w:rsid w:val="740B2A1F"/>
    <w:rsid w:val="740C6EC3"/>
    <w:rsid w:val="740D08DA"/>
    <w:rsid w:val="740F42BD"/>
    <w:rsid w:val="74100036"/>
    <w:rsid w:val="741254CB"/>
    <w:rsid w:val="7416389E"/>
    <w:rsid w:val="741915E0"/>
    <w:rsid w:val="7419338E"/>
    <w:rsid w:val="741B05EF"/>
    <w:rsid w:val="741B7106"/>
    <w:rsid w:val="741C6CA0"/>
    <w:rsid w:val="741E2752"/>
    <w:rsid w:val="74202A96"/>
    <w:rsid w:val="7421016F"/>
    <w:rsid w:val="7421624C"/>
    <w:rsid w:val="742571A1"/>
    <w:rsid w:val="74275AAB"/>
    <w:rsid w:val="742859A7"/>
    <w:rsid w:val="74297E02"/>
    <w:rsid w:val="742A10F7"/>
    <w:rsid w:val="742A559B"/>
    <w:rsid w:val="742A5692"/>
    <w:rsid w:val="742D6E39"/>
    <w:rsid w:val="742F3313"/>
    <w:rsid w:val="742F79B6"/>
    <w:rsid w:val="743106D8"/>
    <w:rsid w:val="74312486"/>
    <w:rsid w:val="74343D24"/>
    <w:rsid w:val="7434641A"/>
    <w:rsid w:val="74355651"/>
    <w:rsid w:val="743A3291"/>
    <w:rsid w:val="743E5E20"/>
    <w:rsid w:val="743F4532"/>
    <w:rsid w:val="743F7C7A"/>
    <w:rsid w:val="744245F4"/>
    <w:rsid w:val="7443040B"/>
    <w:rsid w:val="7447614D"/>
    <w:rsid w:val="744856E9"/>
    <w:rsid w:val="744877CF"/>
    <w:rsid w:val="744B10E8"/>
    <w:rsid w:val="744B2400"/>
    <w:rsid w:val="744C3764"/>
    <w:rsid w:val="744C5512"/>
    <w:rsid w:val="744C6187"/>
    <w:rsid w:val="744D266D"/>
    <w:rsid w:val="744D46CA"/>
    <w:rsid w:val="744F5002"/>
    <w:rsid w:val="74535FB7"/>
    <w:rsid w:val="74542618"/>
    <w:rsid w:val="74546174"/>
    <w:rsid w:val="74561EEC"/>
    <w:rsid w:val="7459071E"/>
    <w:rsid w:val="745949A2"/>
    <w:rsid w:val="7459794C"/>
    <w:rsid w:val="745B5608"/>
    <w:rsid w:val="745B5BFF"/>
    <w:rsid w:val="745C1886"/>
    <w:rsid w:val="745E5DE3"/>
    <w:rsid w:val="7460673E"/>
    <w:rsid w:val="74626AE3"/>
    <w:rsid w:val="74627647"/>
    <w:rsid w:val="7463285B"/>
    <w:rsid w:val="74672C06"/>
    <w:rsid w:val="74674561"/>
    <w:rsid w:val="746817A1"/>
    <w:rsid w:val="74682B15"/>
    <w:rsid w:val="746C5BB4"/>
    <w:rsid w:val="746E24FB"/>
    <w:rsid w:val="7470772C"/>
    <w:rsid w:val="74721221"/>
    <w:rsid w:val="74760A67"/>
    <w:rsid w:val="74786307"/>
    <w:rsid w:val="747C5C15"/>
    <w:rsid w:val="74836A59"/>
    <w:rsid w:val="74844CAB"/>
    <w:rsid w:val="7486325A"/>
    <w:rsid w:val="748922C2"/>
    <w:rsid w:val="748969AA"/>
    <w:rsid w:val="748A0219"/>
    <w:rsid w:val="748C570A"/>
    <w:rsid w:val="748E36F3"/>
    <w:rsid w:val="749022BA"/>
    <w:rsid w:val="74911176"/>
    <w:rsid w:val="74925676"/>
    <w:rsid w:val="74942A15"/>
    <w:rsid w:val="749668CA"/>
    <w:rsid w:val="74977C4C"/>
    <w:rsid w:val="74977E43"/>
    <w:rsid w:val="74983CAD"/>
    <w:rsid w:val="749D17D0"/>
    <w:rsid w:val="749D4F4E"/>
    <w:rsid w:val="74A5733D"/>
    <w:rsid w:val="74A73AF6"/>
    <w:rsid w:val="74A90BC7"/>
    <w:rsid w:val="74AA04C3"/>
    <w:rsid w:val="74AC4202"/>
    <w:rsid w:val="74AF784E"/>
    <w:rsid w:val="74B133C4"/>
    <w:rsid w:val="74B45D1E"/>
    <w:rsid w:val="74B547F1"/>
    <w:rsid w:val="74B60BDD"/>
    <w:rsid w:val="74BA7A6B"/>
    <w:rsid w:val="74BC0CB5"/>
    <w:rsid w:val="74BF5CE3"/>
    <w:rsid w:val="74C3041D"/>
    <w:rsid w:val="74C61A11"/>
    <w:rsid w:val="74CC09BA"/>
    <w:rsid w:val="74CC0A31"/>
    <w:rsid w:val="74CE7E85"/>
    <w:rsid w:val="74CF2514"/>
    <w:rsid w:val="74D177C5"/>
    <w:rsid w:val="74D3353D"/>
    <w:rsid w:val="74D55507"/>
    <w:rsid w:val="74D774D1"/>
    <w:rsid w:val="74D925D0"/>
    <w:rsid w:val="74DB5055"/>
    <w:rsid w:val="74DD0860"/>
    <w:rsid w:val="74DF6386"/>
    <w:rsid w:val="74E0413E"/>
    <w:rsid w:val="74E219D2"/>
    <w:rsid w:val="74E41BEE"/>
    <w:rsid w:val="74E4399C"/>
    <w:rsid w:val="74E52DB9"/>
    <w:rsid w:val="74E53270"/>
    <w:rsid w:val="74E67714"/>
    <w:rsid w:val="74E7348C"/>
    <w:rsid w:val="74EC0AA3"/>
    <w:rsid w:val="74EE481B"/>
    <w:rsid w:val="74F05C52"/>
    <w:rsid w:val="74F265E2"/>
    <w:rsid w:val="74F31E31"/>
    <w:rsid w:val="74F636CF"/>
    <w:rsid w:val="74F6547D"/>
    <w:rsid w:val="74F657AE"/>
    <w:rsid w:val="74FA1750"/>
    <w:rsid w:val="74FA4F6E"/>
    <w:rsid w:val="74FB0829"/>
    <w:rsid w:val="74FB755E"/>
    <w:rsid w:val="74FD680C"/>
    <w:rsid w:val="74FF4332"/>
    <w:rsid w:val="750000AA"/>
    <w:rsid w:val="75023E22"/>
    <w:rsid w:val="7502430A"/>
    <w:rsid w:val="75041948"/>
    <w:rsid w:val="75047B9A"/>
    <w:rsid w:val="7505169D"/>
    <w:rsid w:val="75060EE0"/>
    <w:rsid w:val="75063912"/>
    <w:rsid w:val="750872DC"/>
    <w:rsid w:val="750951B1"/>
    <w:rsid w:val="750B0F29"/>
    <w:rsid w:val="750B3FCF"/>
    <w:rsid w:val="750B5979"/>
    <w:rsid w:val="750C4CA1"/>
    <w:rsid w:val="750D14C0"/>
    <w:rsid w:val="7516167C"/>
    <w:rsid w:val="751776D9"/>
    <w:rsid w:val="751A1B96"/>
    <w:rsid w:val="751A73BE"/>
    <w:rsid w:val="751D0C5C"/>
    <w:rsid w:val="751D2A0A"/>
    <w:rsid w:val="751D3A30"/>
    <w:rsid w:val="751F2C26"/>
    <w:rsid w:val="75202459"/>
    <w:rsid w:val="7521074C"/>
    <w:rsid w:val="75243D99"/>
    <w:rsid w:val="75254978"/>
    <w:rsid w:val="752706D2"/>
    <w:rsid w:val="75297256"/>
    <w:rsid w:val="752A5F3F"/>
    <w:rsid w:val="752C0E9F"/>
    <w:rsid w:val="752C751D"/>
    <w:rsid w:val="752E2E69"/>
    <w:rsid w:val="752E5417"/>
    <w:rsid w:val="752F7442"/>
    <w:rsid w:val="753022AE"/>
    <w:rsid w:val="75303118"/>
    <w:rsid w:val="75306BE1"/>
    <w:rsid w:val="75315DC3"/>
    <w:rsid w:val="753164B5"/>
    <w:rsid w:val="75320367"/>
    <w:rsid w:val="75322959"/>
    <w:rsid w:val="75324707"/>
    <w:rsid w:val="7533222E"/>
    <w:rsid w:val="75353E32"/>
    <w:rsid w:val="75366B7C"/>
    <w:rsid w:val="75384DE4"/>
    <w:rsid w:val="753B7C04"/>
    <w:rsid w:val="753C4AE2"/>
    <w:rsid w:val="753D12FE"/>
    <w:rsid w:val="75414E2E"/>
    <w:rsid w:val="7544443B"/>
    <w:rsid w:val="7548217D"/>
    <w:rsid w:val="75493FEF"/>
    <w:rsid w:val="754D1541"/>
    <w:rsid w:val="754F201D"/>
    <w:rsid w:val="755267DD"/>
    <w:rsid w:val="7553467E"/>
    <w:rsid w:val="755424DD"/>
    <w:rsid w:val="75542627"/>
    <w:rsid w:val="7557416E"/>
    <w:rsid w:val="75580612"/>
    <w:rsid w:val="75581C94"/>
    <w:rsid w:val="75596138"/>
    <w:rsid w:val="755C1784"/>
    <w:rsid w:val="755D72AA"/>
    <w:rsid w:val="755E1F6B"/>
    <w:rsid w:val="755E374E"/>
    <w:rsid w:val="755F7626"/>
    <w:rsid w:val="75630BE3"/>
    <w:rsid w:val="7563382A"/>
    <w:rsid w:val="75644ADD"/>
    <w:rsid w:val="75680129"/>
    <w:rsid w:val="7568355A"/>
    <w:rsid w:val="756A0CF5"/>
    <w:rsid w:val="756B19C7"/>
    <w:rsid w:val="756B5E6B"/>
    <w:rsid w:val="756B7C19"/>
    <w:rsid w:val="75727563"/>
    <w:rsid w:val="7577036C"/>
    <w:rsid w:val="757753B7"/>
    <w:rsid w:val="757A13A8"/>
    <w:rsid w:val="757A4300"/>
    <w:rsid w:val="757B4870"/>
    <w:rsid w:val="757C028F"/>
    <w:rsid w:val="75834E52"/>
    <w:rsid w:val="758962F1"/>
    <w:rsid w:val="758A4B0E"/>
    <w:rsid w:val="758A5CF7"/>
    <w:rsid w:val="758B3E18"/>
    <w:rsid w:val="758C657E"/>
    <w:rsid w:val="758D5DE2"/>
    <w:rsid w:val="75907680"/>
    <w:rsid w:val="75926CCC"/>
    <w:rsid w:val="75957371"/>
    <w:rsid w:val="7596337E"/>
    <w:rsid w:val="759727BC"/>
    <w:rsid w:val="75976C60"/>
    <w:rsid w:val="759A04FF"/>
    <w:rsid w:val="759C5643"/>
    <w:rsid w:val="759D0B26"/>
    <w:rsid w:val="759D2548"/>
    <w:rsid w:val="759E3B4B"/>
    <w:rsid w:val="75A24E2C"/>
    <w:rsid w:val="75A373B3"/>
    <w:rsid w:val="75A5367F"/>
    <w:rsid w:val="75A60C51"/>
    <w:rsid w:val="75A629FF"/>
    <w:rsid w:val="75A82C1C"/>
    <w:rsid w:val="75A849CA"/>
    <w:rsid w:val="75AA7005"/>
    <w:rsid w:val="75AB2007"/>
    <w:rsid w:val="75AB4D25"/>
    <w:rsid w:val="75B01AD0"/>
    <w:rsid w:val="75B275F6"/>
    <w:rsid w:val="75B3511C"/>
    <w:rsid w:val="75B52599"/>
    <w:rsid w:val="75B8276F"/>
    <w:rsid w:val="75BE268B"/>
    <w:rsid w:val="75C07EAA"/>
    <w:rsid w:val="75C5557C"/>
    <w:rsid w:val="75C6420B"/>
    <w:rsid w:val="75C845CC"/>
    <w:rsid w:val="75C97BE6"/>
    <w:rsid w:val="75CA2B92"/>
    <w:rsid w:val="75CA7E1A"/>
    <w:rsid w:val="75CB22DA"/>
    <w:rsid w:val="75CB2646"/>
    <w:rsid w:val="75CB4B5C"/>
    <w:rsid w:val="75D11745"/>
    <w:rsid w:val="75D27C98"/>
    <w:rsid w:val="75D457BF"/>
    <w:rsid w:val="75D53553"/>
    <w:rsid w:val="75D734B1"/>
    <w:rsid w:val="75D854F7"/>
    <w:rsid w:val="75DA6B4D"/>
    <w:rsid w:val="75E25010"/>
    <w:rsid w:val="75E4492E"/>
    <w:rsid w:val="75E579CC"/>
    <w:rsid w:val="75E76FA0"/>
    <w:rsid w:val="75E85738"/>
    <w:rsid w:val="75EB48B6"/>
    <w:rsid w:val="75F251E4"/>
    <w:rsid w:val="75F47C0F"/>
    <w:rsid w:val="75F558B3"/>
    <w:rsid w:val="75F642BE"/>
    <w:rsid w:val="75F66C2B"/>
    <w:rsid w:val="75F67D87"/>
    <w:rsid w:val="75F96FD3"/>
    <w:rsid w:val="760065B4"/>
    <w:rsid w:val="76013E56"/>
    <w:rsid w:val="76021C25"/>
    <w:rsid w:val="76051E1C"/>
    <w:rsid w:val="76053BCA"/>
    <w:rsid w:val="76082E34"/>
    <w:rsid w:val="76085468"/>
    <w:rsid w:val="760A11E0"/>
    <w:rsid w:val="760C0F69"/>
    <w:rsid w:val="760F67F7"/>
    <w:rsid w:val="761024BB"/>
    <w:rsid w:val="7610256F"/>
    <w:rsid w:val="761107C1"/>
    <w:rsid w:val="76120095"/>
    <w:rsid w:val="761207E9"/>
    <w:rsid w:val="7612546E"/>
    <w:rsid w:val="76125CED"/>
    <w:rsid w:val="761402B1"/>
    <w:rsid w:val="76143E0D"/>
    <w:rsid w:val="76147D8F"/>
    <w:rsid w:val="76172A46"/>
    <w:rsid w:val="761756AB"/>
    <w:rsid w:val="761A3181"/>
    <w:rsid w:val="761A75F9"/>
    <w:rsid w:val="761B33ED"/>
    <w:rsid w:val="761C0C34"/>
    <w:rsid w:val="761C0F14"/>
    <w:rsid w:val="761F73DF"/>
    <w:rsid w:val="76200403"/>
    <w:rsid w:val="762027B2"/>
    <w:rsid w:val="7620613A"/>
    <w:rsid w:val="76215C31"/>
    <w:rsid w:val="76216307"/>
    <w:rsid w:val="76216A2D"/>
    <w:rsid w:val="762229CE"/>
    <w:rsid w:val="762322A2"/>
    <w:rsid w:val="76267D9B"/>
    <w:rsid w:val="76282A55"/>
    <w:rsid w:val="76284096"/>
    <w:rsid w:val="762878B8"/>
    <w:rsid w:val="762A64FF"/>
    <w:rsid w:val="762B13A0"/>
    <w:rsid w:val="762D1373"/>
    <w:rsid w:val="762E3D9B"/>
    <w:rsid w:val="763243C5"/>
    <w:rsid w:val="76325C2F"/>
    <w:rsid w:val="76360227"/>
    <w:rsid w:val="76397D18"/>
    <w:rsid w:val="763B41A3"/>
    <w:rsid w:val="763B4B90"/>
    <w:rsid w:val="763B75EC"/>
    <w:rsid w:val="763C1D76"/>
    <w:rsid w:val="763E532E"/>
    <w:rsid w:val="763F65E2"/>
    <w:rsid w:val="7641097A"/>
    <w:rsid w:val="764263FD"/>
    <w:rsid w:val="76431A4C"/>
    <w:rsid w:val="76432944"/>
    <w:rsid w:val="764346F2"/>
    <w:rsid w:val="76436AB4"/>
    <w:rsid w:val="76487F5B"/>
    <w:rsid w:val="76494741"/>
    <w:rsid w:val="764A4AD7"/>
    <w:rsid w:val="764A5A81"/>
    <w:rsid w:val="764C17F9"/>
    <w:rsid w:val="764D731F"/>
    <w:rsid w:val="764F3097"/>
    <w:rsid w:val="764F3C94"/>
    <w:rsid w:val="76505BD1"/>
    <w:rsid w:val="765115BF"/>
    <w:rsid w:val="765435FA"/>
    <w:rsid w:val="76545617"/>
    <w:rsid w:val="765468FF"/>
    <w:rsid w:val="765608C9"/>
    <w:rsid w:val="76571F4C"/>
    <w:rsid w:val="765A0431"/>
    <w:rsid w:val="765A338F"/>
    <w:rsid w:val="765A5250"/>
    <w:rsid w:val="765A7DE9"/>
    <w:rsid w:val="765B1A3C"/>
    <w:rsid w:val="765B7C8E"/>
    <w:rsid w:val="765C4E73"/>
    <w:rsid w:val="766147E0"/>
    <w:rsid w:val="76634D94"/>
    <w:rsid w:val="76665502"/>
    <w:rsid w:val="766703E1"/>
    <w:rsid w:val="766723EC"/>
    <w:rsid w:val="76674885"/>
    <w:rsid w:val="7669238E"/>
    <w:rsid w:val="766A4BBD"/>
    <w:rsid w:val="766A6123"/>
    <w:rsid w:val="766B09DE"/>
    <w:rsid w:val="766B3B27"/>
    <w:rsid w:val="766F2471"/>
    <w:rsid w:val="7671125F"/>
    <w:rsid w:val="76726D86"/>
    <w:rsid w:val="76740D50"/>
    <w:rsid w:val="76742AFE"/>
    <w:rsid w:val="76764AC8"/>
    <w:rsid w:val="7677027B"/>
    <w:rsid w:val="76792E50"/>
    <w:rsid w:val="76794C71"/>
    <w:rsid w:val="76797FEA"/>
    <w:rsid w:val="767B0330"/>
    <w:rsid w:val="767C5E84"/>
    <w:rsid w:val="767D545E"/>
    <w:rsid w:val="768014A2"/>
    <w:rsid w:val="7682346D"/>
    <w:rsid w:val="76826884"/>
    <w:rsid w:val="76830F93"/>
    <w:rsid w:val="76880357"/>
    <w:rsid w:val="768A639E"/>
    <w:rsid w:val="768A6BD8"/>
    <w:rsid w:val="768E0063"/>
    <w:rsid w:val="768F5B89"/>
    <w:rsid w:val="769036A0"/>
    <w:rsid w:val="769209A1"/>
    <w:rsid w:val="76951887"/>
    <w:rsid w:val="76980543"/>
    <w:rsid w:val="769A7CE9"/>
    <w:rsid w:val="769D02A6"/>
    <w:rsid w:val="769D2054"/>
    <w:rsid w:val="769F2CF0"/>
    <w:rsid w:val="76A00AA8"/>
    <w:rsid w:val="76A038F3"/>
    <w:rsid w:val="76A333E3"/>
    <w:rsid w:val="76A41635"/>
    <w:rsid w:val="76AA651F"/>
    <w:rsid w:val="76AC2297"/>
    <w:rsid w:val="76B33626"/>
    <w:rsid w:val="76B34C0F"/>
    <w:rsid w:val="76B64EC4"/>
    <w:rsid w:val="76BA0E58"/>
    <w:rsid w:val="76BA43CA"/>
    <w:rsid w:val="76BB697E"/>
    <w:rsid w:val="76BC532F"/>
    <w:rsid w:val="76BD6253"/>
    <w:rsid w:val="76BE139E"/>
    <w:rsid w:val="76C00BDA"/>
    <w:rsid w:val="76C113A3"/>
    <w:rsid w:val="76C11C54"/>
    <w:rsid w:val="76C20247"/>
    <w:rsid w:val="76C22DB0"/>
    <w:rsid w:val="76C31EDD"/>
    <w:rsid w:val="76C479BE"/>
    <w:rsid w:val="76C56CE8"/>
    <w:rsid w:val="76C77A80"/>
    <w:rsid w:val="76C80F10"/>
    <w:rsid w:val="76C84BF7"/>
    <w:rsid w:val="76CA59FC"/>
    <w:rsid w:val="76CB247B"/>
    <w:rsid w:val="76CC46E8"/>
    <w:rsid w:val="76CD2B7B"/>
    <w:rsid w:val="76CE66B2"/>
    <w:rsid w:val="76CE7F17"/>
    <w:rsid w:val="76D17F50"/>
    <w:rsid w:val="76D33CC8"/>
    <w:rsid w:val="76D35A76"/>
    <w:rsid w:val="76D37A56"/>
    <w:rsid w:val="76D74131"/>
    <w:rsid w:val="76D80A05"/>
    <w:rsid w:val="76D812DE"/>
    <w:rsid w:val="76D90BB3"/>
    <w:rsid w:val="76D96B0A"/>
    <w:rsid w:val="76DD06A3"/>
    <w:rsid w:val="76E00193"/>
    <w:rsid w:val="76E102EE"/>
    <w:rsid w:val="76E24688"/>
    <w:rsid w:val="76E250C4"/>
    <w:rsid w:val="76E33B09"/>
    <w:rsid w:val="76E97048"/>
    <w:rsid w:val="76EA11A0"/>
    <w:rsid w:val="76EB40DE"/>
    <w:rsid w:val="76EF40BB"/>
    <w:rsid w:val="76F1414E"/>
    <w:rsid w:val="76F37EC6"/>
    <w:rsid w:val="76F43DA1"/>
    <w:rsid w:val="76F51E90"/>
    <w:rsid w:val="76FA68EB"/>
    <w:rsid w:val="76FB321F"/>
    <w:rsid w:val="76FB76A4"/>
    <w:rsid w:val="76FC3F33"/>
    <w:rsid w:val="76FD0D45"/>
    <w:rsid w:val="76FD23E8"/>
    <w:rsid w:val="76FF2D0F"/>
    <w:rsid w:val="76FF4B26"/>
    <w:rsid w:val="76FF4B33"/>
    <w:rsid w:val="76FF4D0C"/>
    <w:rsid w:val="77043E82"/>
    <w:rsid w:val="7706452C"/>
    <w:rsid w:val="77065E4C"/>
    <w:rsid w:val="77073972"/>
    <w:rsid w:val="77090B09"/>
    <w:rsid w:val="770A5210"/>
    <w:rsid w:val="770B31AF"/>
    <w:rsid w:val="770B3462"/>
    <w:rsid w:val="770C0F88"/>
    <w:rsid w:val="77100A78"/>
    <w:rsid w:val="77122878"/>
    <w:rsid w:val="771413AA"/>
    <w:rsid w:val="771816DB"/>
    <w:rsid w:val="77185E98"/>
    <w:rsid w:val="7718792D"/>
    <w:rsid w:val="771A36A5"/>
    <w:rsid w:val="771D4F43"/>
    <w:rsid w:val="771F2A69"/>
    <w:rsid w:val="77204A34"/>
    <w:rsid w:val="77242FBF"/>
    <w:rsid w:val="7726029C"/>
    <w:rsid w:val="77276954"/>
    <w:rsid w:val="77282F07"/>
    <w:rsid w:val="77291B3A"/>
    <w:rsid w:val="772938E8"/>
    <w:rsid w:val="772B3B04"/>
    <w:rsid w:val="772C5186"/>
    <w:rsid w:val="772F0F11"/>
    <w:rsid w:val="773225B0"/>
    <w:rsid w:val="773357EC"/>
    <w:rsid w:val="7734031B"/>
    <w:rsid w:val="77344AA0"/>
    <w:rsid w:val="77354DAD"/>
    <w:rsid w:val="77364257"/>
    <w:rsid w:val="77367FC0"/>
    <w:rsid w:val="77383B2B"/>
    <w:rsid w:val="773A78A3"/>
    <w:rsid w:val="773B0E9D"/>
    <w:rsid w:val="773E017D"/>
    <w:rsid w:val="773F6DAD"/>
    <w:rsid w:val="77422BFC"/>
    <w:rsid w:val="774320BA"/>
    <w:rsid w:val="77444479"/>
    <w:rsid w:val="77466EC3"/>
    <w:rsid w:val="77495D38"/>
    <w:rsid w:val="774A385E"/>
    <w:rsid w:val="774B1AB0"/>
    <w:rsid w:val="774C0100"/>
    <w:rsid w:val="774C0D34"/>
    <w:rsid w:val="774D0CD2"/>
    <w:rsid w:val="774D5DBD"/>
    <w:rsid w:val="774F0B38"/>
    <w:rsid w:val="7750356B"/>
    <w:rsid w:val="7757491D"/>
    <w:rsid w:val="77585F7B"/>
    <w:rsid w:val="775B5A6C"/>
    <w:rsid w:val="775D3D57"/>
    <w:rsid w:val="775E25BD"/>
    <w:rsid w:val="775E69F4"/>
    <w:rsid w:val="7762504C"/>
    <w:rsid w:val="7763687C"/>
    <w:rsid w:val="77654D69"/>
    <w:rsid w:val="77691FCD"/>
    <w:rsid w:val="776A36F3"/>
    <w:rsid w:val="776B0084"/>
    <w:rsid w:val="776B3886"/>
    <w:rsid w:val="776C14F0"/>
    <w:rsid w:val="776E1C43"/>
    <w:rsid w:val="776E39F1"/>
    <w:rsid w:val="77701517"/>
    <w:rsid w:val="7771703D"/>
    <w:rsid w:val="77731007"/>
    <w:rsid w:val="77737259"/>
    <w:rsid w:val="77745AA4"/>
    <w:rsid w:val="77771809"/>
    <w:rsid w:val="77774963"/>
    <w:rsid w:val="777B13C8"/>
    <w:rsid w:val="777D3C34"/>
    <w:rsid w:val="777E1E6A"/>
    <w:rsid w:val="7781291A"/>
    <w:rsid w:val="77815487"/>
    <w:rsid w:val="77844FC2"/>
    <w:rsid w:val="77846D70"/>
    <w:rsid w:val="778538F9"/>
    <w:rsid w:val="77873E12"/>
    <w:rsid w:val="778D20C9"/>
    <w:rsid w:val="778E4093"/>
    <w:rsid w:val="77905BDB"/>
    <w:rsid w:val="77921091"/>
    <w:rsid w:val="77925931"/>
    <w:rsid w:val="779623B9"/>
    <w:rsid w:val="779652A5"/>
    <w:rsid w:val="77974CF6"/>
    <w:rsid w:val="7798546D"/>
    <w:rsid w:val="779A0BA9"/>
    <w:rsid w:val="779C0B07"/>
    <w:rsid w:val="779C230C"/>
    <w:rsid w:val="779C25A0"/>
    <w:rsid w:val="779D2EFE"/>
    <w:rsid w:val="779D654F"/>
    <w:rsid w:val="77A0580F"/>
    <w:rsid w:val="77A06F50"/>
    <w:rsid w:val="77A367FA"/>
    <w:rsid w:val="77A443EA"/>
    <w:rsid w:val="77A64F39"/>
    <w:rsid w:val="77A80CB1"/>
    <w:rsid w:val="77AA0BF2"/>
    <w:rsid w:val="77AD2238"/>
    <w:rsid w:val="77AD4E19"/>
    <w:rsid w:val="77B07B65"/>
    <w:rsid w:val="77B230C1"/>
    <w:rsid w:val="77B43AFA"/>
    <w:rsid w:val="77B525C4"/>
    <w:rsid w:val="77B533CE"/>
    <w:rsid w:val="77B70362"/>
    <w:rsid w:val="77B70EF4"/>
    <w:rsid w:val="77B84FEC"/>
    <w:rsid w:val="77BE2745"/>
    <w:rsid w:val="77BE6726"/>
    <w:rsid w:val="77BF447C"/>
    <w:rsid w:val="77C11D73"/>
    <w:rsid w:val="77C30BA9"/>
    <w:rsid w:val="77C34F71"/>
    <w:rsid w:val="77C6382D"/>
    <w:rsid w:val="77C75372"/>
    <w:rsid w:val="77C84B54"/>
    <w:rsid w:val="77CA11BC"/>
    <w:rsid w:val="77CD6139"/>
    <w:rsid w:val="77CE1CDF"/>
    <w:rsid w:val="77CE4490"/>
    <w:rsid w:val="77CF337B"/>
    <w:rsid w:val="77D00208"/>
    <w:rsid w:val="77D25D2E"/>
    <w:rsid w:val="77D32616"/>
    <w:rsid w:val="77D575CC"/>
    <w:rsid w:val="77D637C2"/>
    <w:rsid w:val="77D71596"/>
    <w:rsid w:val="77D8290A"/>
    <w:rsid w:val="77D870BC"/>
    <w:rsid w:val="77D93560"/>
    <w:rsid w:val="77D965E5"/>
    <w:rsid w:val="77DA0221"/>
    <w:rsid w:val="77DA7763"/>
    <w:rsid w:val="77DB1C71"/>
    <w:rsid w:val="77DB6549"/>
    <w:rsid w:val="77DB7820"/>
    <w:rsid w:val="77E111FF"/>
    <w:rsid w:val="77E45A61"/>
    <w:rsid w:val="77E51F05"/>
    <w:rsid w:val="77E72252"/>
    <w:rsid w:val="77E84422"/>
    <w:rsid w:val="77EB5041"/>
    <w:rsid w:val="77EB6DF0"/>
    <w:rsid w:val="77ED0336"/>
    <w:rsid w:val="77EE068E"/>
    <w:rsid w:val="77EF4B32"/>
    <w:rsid w:val="77F019A9"/>
    <w:rsid w:val="77F02658"/>
    <w:rsid w:val="77F04406"/>
    <w:rsid w:val="77F34DF1"/>
    <w:rsid w:val="77F523FC"/>
    <w:rsid w:val="77F55EC0"/>
    <w:rsid w:val="77F71288"/>
    <w:rsid w:val="77F71C38"/>
    <w:rsid w:val="77F7266A"/>
    <w:rsid w:val="77F83684"/>
    <w:rsid w:val="77FA34D6"/>
    <w:rsid w:val="77FA51E5"/>
    <w:rsid w:val="77FB022A"/>
    <w:rsid w:val="77FC0FFD"/>
    <w:rsid w:val="77FD4D9B"/>
    <w:rsid w:val="78001FB4"/>
    <w:rsid w:val="7800347A"/>
    <w:rsid w:val="780068AB"/>
    <w:rsid w:val="780249C4"/>
    <w:rsid w:val="780305DD"/>
    <w:rsid w:val="78042AAA"/>
    <w:rsid w:val="78054355"/>
    <w:rsid w:val="78056103"/>
    <w:rsid w:val="780879A1"/>
    <w:rsid w:val="780A196C"/>
    <w:rsid w:val="780B22EB"/>
    <w:rsid w:val="780B4CF5"/>
    <w:rsid w:val="780B7492"/>
    <w:rsid w:val="78101D81"/>
    <w:rsid w:val="78106856"/>
    <w:rsid w:val="781070F3"/>
    <w:rsid w:val="7813731B"/>
    <w:rsid w:val="781375E0"/>
    <w:rsid w:val="78160310"/>
    <w:rsid w:val="78175E36"/>
    <w:rsid w:val="78177D9D"/>
    <w:rsid w:val="78183398"/>
    <w:rsid w:val="78194988"/>
    <w:rsid w:val="781A76D5"/>
    <w:rsid w:val="781C060E"/>
    <w:rsid w:val="781F291F"/>
    <w:rsid w:val="7821608D"/>
    <w:rsid w:val="78230258"/>
    <w:rsid w:val="782342A2"/>
    <w:rsid w:val="78236589"/>
    <w:rsid w:val="78252B16"/>
    <w:rsid w:val="782549E8"/>
    <w:rsid w:val="782567A5"/>
    <w:rsid w:val="78281DF2"/>
    <w:rsid w:val="782B18E2"/>
    <w:rsid w:val="78315696"/>
    <w:rsid w:val="783211A1"/>
    <w:rsid w:val="783412EA"/>
    <w:rsid w:val="78342545"/>
    <w:rsid w:val="783805E5"/>
    <w:rsid w:val="78393FFF"/>
    <w:rsid w:val="78397B5B"/>
    <w:rsid w:val="783A5FA7"/>
    <w:rsid w:val="7840713B"/>
    <w:rsid w:val="784132ED"/>
    <w:rsid w:val="78420CFF"/>
    <w:rsid w:val="78447D87"/>
    <w:rsid w:val="784604CA"/>
    <w:rsid w:val="78462278"/>
    <w:rsid w:val="7848391C"/>
    <w:rsid w:val="78496FD5"/>
    <w:rsid w:val="784A2AFA"/>
    <w:rsid w:val="784B17E2"/>
    <w:rsid w:val="784C3D32"/>
    <w:rsid w:val="78503DA7"/>
    <w:rsid w:val="7854032A"/>
    <w:rsid w:val="78550CB9"/>
    <w:rsid w:val="78552B83"/>
    <w:rsid w:val="785600C9"/>
    <w:rsid w:val="785700BE"/>
    <w:rsid w:val="78591FAB"/>
    <w:rsid w:val="785B6C5B"/>
    <w:rsid w:val="785C1A9B"/>
    <w:rsid w:val="785C7CED"/>
    <w:rsid w:val="785E1CB7"/>
    <w:rsid w:val="785F6899"/>
    <w:rsid w:val="786028D0"/>
    <w:rsid w:val="786170B2"/>
    <w:rsid w:val="78627EE8"/>
    <w:rsid w:val="78656BA2"/>
    <w:rsid w:val="7867549A"/>
    <w:rsid w:val="78680440"/>
    <w:rsid w:val="786A706B"/>
    <w:rsid w:val="786D0227"/>
    <w:rsid w:val="787328DD"/>
    <w:rsid w:val="78744735"/>
    <w:rsid w:val="78744D57"/>
    <w:rsid w:val="78767001"/>
    <w:rsid w:val="78774B27"/>
    <w:rsid w:val="787C365F"/>
    <w:rsid w:val="787F7564"/>
    <w:rsid w:val="788039DC"/>
    <w:rsid w:val="78827754"/>
    <w:rsid w:val="78827EEA"/>
    <w:rsid w:val="78885B9E"/>
    <w:rsid w:val="788860C0"/>
    <w:rsid w:val="788D434B"/>
    <w:rsid w:val="788D7EA7"/>
    <w:rsid w:val="788F10C6"/>
    <w:rsid w:val="78931D82"/>
    <w:rsid w:val="78977B00"/>
    <w:rsid w:val="78986F77"/>
    <w:rsid w:val="78994A9D"/>
    <w:rsid w:val="789B0816"/>
    <w:rsid w:val="789B6A68"/>
    <w:rsid w:val="789C2D6F"/>
    <w:rsid w:val="789D5404"/>
    <w:rsid w:val="789D5448"/>
    <w:rsid w:val="789F2E8C"/>
    <w:rsid w:val="78A3742A"/>
    <w:rsid w:val="78A5543C"/>
    <w:rsid w:val="78A579D7"/>
    <w:rsid w:val="78AB7B6D"/>
    <w:rsid w:val="78AC47D1"/>
    <w:rsid w:val="78AD0549"/>
    <w:rsid w:val="78AD188B"/>
    <w:rsid w:val="78AF2513"/>
    <w:rsid w:val="78B0330E"/>
    <w:rsid w:val="78B10039"/>
    <w:rsid w:val="78B114FC"/>
    <w:rsid w:val="78B26840"/>
    <w:rsid w:val="78B33DB1"/>
    <w:rsid w:val="78B4299C"/>
    <w:rsid w:val="78B712A4"/>
    <w:rsid w:val="78B76A2D"/>
    <w:rsid w:val="78BF4801"/>
    <w:rsid w:val="78BF7750"/>
    <w:rsid w:val="78C23FF4"/>
    <w:rsid w:val="78C53AE4"/>
    <w:rsid w:val="78C87131"/>
    <w:rsid w:val="78CA7FF1"/>
    <w:rsid w:val="78CC523C"/>
    <w:rsid w:val="78CD0794"/>
    <w:rsid w:val="78D355E6"/>
    <w:rsid w:val="78D36201"/>
    <w:rsid w:val="78DD0E2E"/>
    <w:rsid w:val="78DD2BDC"/>
    <w:rsid w:val="78DD498A"/>
    <w:rsid w:val="78DD6E96"/>
    <w:rsid w:val="78DF4BA6"/>
    <w:rsid w:val="78E201F2"/>
    <w:rsid w:val="78E24306"/>
    <w:rsid w:val="78E24696"/>
    <w:rsid w:val="78E52CDF"/>
    <w:rsid w:val="78E57CE3"/>
    <w:rsid w:val="78E8101C"/>
    <w:rsid w:val="78E90790"/>
    <w:rsid w:val="78EA009A"/>
    <w:rsid w:val="78EA52F9"/>
    <w:rsid w:val="78EA70A7"/>
    <w:rsid w:val="78EC72C3"/>
    <w:rsid w:val="78EE54F0"/>
    <w:rsid w:val="78EE7458"/>
    <w:rsid w:val="78EF0B61"/>
    <w:rsid w:val="78EF290F"/>
    <w:rsid w:val="78EF3981"/>
    <w:rsid w:val="78F40671"/>
    <w:rsid w:val="78F5584D"/>
    <w:rsid w:val="78F65A4C"/>
    <w:rsid w:val="78F87A16"/>
    <w:rsid w:val="78F9372E"/>
    <w:rsid w:val="79020895"/>
    <w:rsid w:val="790243F1"/>
    <w:rsid w:val="79024792"/>
    <w:rsid w:val="7902799B"/>
    <w:rsid w:val="79030169"/>
    <w:rsid w:val="7904460D"/>
    <w:rsid w:val="79091C23"/>
    <w:rsid w:val="790A7749"/>
    <w:rsid w:val="790A7F7D"/>
    <w:rsid w:val="790D0896"/>
    <w:rsid w:val="79110AD8"/>
    <w:rsid w:val="79134850"/>
    <w:rsid w:val="79140C06"/>
    <w:rsid w:val="79143567"/>
    <w:rsid w:val="79181E66"/>
    <w:rsid w:val="791922F0"/>
    <w:rsid w:val="7919798C"/>
    <w:rsid w:val="791A3E30"/>
    <w:rsid w:val="791B1956"/>
    <w:rsid w:val="79227CA0"/>
    <w:rsid w:val="79230CF0"/>
    <w:rsid w:val="7924080B"/>
    <w:rsid w:val="79255191"/>
    <w:rsid w:val="792809A8"/>
    <w:rsid w:val="79294073"/>
    <w:rsid w:val="79305402"/>
    <w:rsid w:val="79312F28"/>
    <w:rsid w:val="79344474"/>
    <w:rsid w:val="7936053E"/>
    <w:rsid w:val="793A1DDD"/>
    <w:rsid w:val="793A7608"/>
    <w:rsid w:val="793B1CEC"/>
    <w:rsid w:val="793B5EB2"/>
    <w:rsid w:val="793B7903"/>
    <w:rsid w:val="793C3418"/>
    <w:rsid w:val="794133A0"/>
    <w:rsid w:val="79490272"/>
    <w:rsid w:val="7949294B"/>
    <w:rsid w:val="79496EFF"/>
    <w:rsid w:val="794A2C01"/>
    <w:rsid w:val="794A77F7"/>
    <w:rsid w:val="794C1B10"/>
    <w:rsid w:val="794C38BE"/>
    <w:rsid w:val="794C5FB4"/>
    <w:rsid w:val="794D51F4"/>
    <w:rsid w:val="79531FF8"/>
    <w:rsid w:val="79532E9E"/>
    <w:rsid w:val="795608F6"/>
    <w:rsid w:val="7956428E"/>
    <w:rsid w:val="7956439C"/>
    <w:rsid w:val="79567329"/>
    <w:rsid w:val="795A264F"/>
    <w:rsid w:val="795B1D53"/>
    <w:rsid w:val="795B529B"/>
    <w:rsid w:val="795B7FA5"/>
    <w:rsid w:val="795C6B0F"/>
    <w:rsid w:val="795D3D1D"/>
    <w:rsid w:val="795E2293"/>
    <w:rsid w:val="795E27B4"/>
    <w:rsid w:val="795F1D84"/>
    <w:rsid w:val="79607050"/>
    <w:rsid w:val="796222C7"/>
    <w:rsid w:val="796230E1"/>
    <w:rsid w:val="79631FF1"/>
    <w:rsid w:val="796363C3"/>
    <w:rsid w:val="79646E59"/>
    <w:rsid w:val="79660E24"/>
    <w:rsid w:val="796627DC"/>
    <w:rsid w:val="796B1D07"/>
    <w:rsid w:val="796B57AB"/>
    <w:rsid w:val="796B625E"/>
    <w:rsid w:val="796F0913"/>
    <w:rsid w:val="797057FE"/>
    <w:rsid w:val="79723B9C"/>
    <w:rsid w:val="79754594"/>
    <w:rsid w:val="79762F01"/>
    <w:rsid w:val="79782905"/>
    <w:rsid w:val="79786DA9"/>
    <w:rsid w:val="797936F1"/>
    <w:rsid w:val="797A667D"/>
    <w:rsid w:val="797D616D"/>
    <w:rsid w:val="797E57D7"/>
    <w:rsid w:val="797F5A41"/>
    <w:rsid w:val="798219D5"/>
    <w:rsid w:val="79823784"/>
    <w:rsid w:val="798360CE"/>
    <w:rsid w:val="79842AEE"/>
    <w:rsid w:val="79846B32"/>
    <w:rsid w:val="79856DD0"/>
    <w:rsid w:val="798A53C1"/>
    <w:rsid w:val="798A7BD4"/>
    <w:rsid w:val="798B0BA3"/>
    <w:rsid w:val="798B4889"/>
    <w:rsid w:val="798C63B0"/>
    <w:rsid w:val="798D4602"/>
    <w:rsid w:val="798E3ED6"/>
    <w:rsid w:val="79907C4E"/>
    <w:rsid w:val="799139C7"/>
    <w:rsid w:val="79915775"/>
    <w:rsid w:val="79927E6B"/>
    <w:rsid w:val="79932A97"/>
    <w:rsid w:val="79952B92"/>
    <w:rsid w:val="79976622"/>
    <w:rsid w:val="79996609"/>
    <w:rsid w:val="799D4DCF"/>
    <w:rsid w:val="79A11E5C"/>
    <w:rsid w:val="79A36450"/>
    <w:rsid w:val="79A951B4"/>
    <w:rsid w:val="79AC0800"/>
    <w:rsid w:val="79AE6381"/>
    <w:rsid w:val="79AF13F0"/>
    <w:rsid w:val="79B002F1"/>
    <w:rsid w:val="79B21A11"/>
    <w:rsid w:val="79B274E9"/>
    <w:rsid w:val="79B323EB"/>
    <w:rsid w:val="79B33A6D"/>
    <w:rsid w:val="79B46B64"/>
    <w:rsid w:val="79B50AEB"/>
    <w:rsid w:val="79BD2A0E"/>
    <w:rsid w:val="79BE0C60"/>
    <w:rsid w:val="79BF22E2"/>
    <w:rsid w:val="79C0255E"/>
    <w:rsid w:val="79C02F7D"/>
    <w:rsid w:val="79C03F87"/>
    <w:rsid w:val="79C155C0"/>
    <w:rsid w:val="79C21DD2"/>
    <w:rsid w:val="79C55D59"/>
    <w:rsid w:val="79C63670"/>
    <w:rsid w:val="79C97604"/>
    <w:rsid w:val="79CA08CA"/>
    <w:rsid w:val="79CC49FF"/>
    <w:rsid w:val="79CE0C1F"/>
    <w:rsid w:val="79CE3BB8"/>
    <w:rsid w:val="79D044C3"/>
    <w:rsid w:val="79D10450"/>
    <w:rsid w:val="79D12015"/>
    <w:rsid w:val="79D42891"/>
    <w:rsid w:val="79D51B05"/>
    <w:rsid w:val="79D52F41"/>
    <w:rsid w:val="79D54CCA"/>
    <w:rsid w:val="79D81987"/>
    <w:rsid w:val="79DA536E"/>
    <w:rsid w:val="79DC10E6"/>
    <w:rsid w:val="79DD2FC7"/>
    <w:rsid w:val="79DD6C0C"/>
    <w:rsid w:val="79DE4E5E"/>
    <w:rsid w:val="79E306C6"/>
    <w:rsid w:val="79E60422"/>
    <w:rsid w:val="79E81F89"/>
    <w:rsid w:val="79E870C8"/>
    <w:rsid w:val="79ED32F3"/>
    <w:rsid w:val="79EF15A4"/>
    <w:rsid w:val="79F04B91"/>
    <w:rsid w:val="79F1554B"/>
    <w:rsid w:val="79F20407"/>
    <w:rsid w:val="79F53F55"/>
    <w:rsid w:val="79F61829"/>
    <w:rsid w:val="79F75F20"/>
    <w:rsid w:val="79F97252"/>
    <w:rsid w:val="79FA156C"/>
    <w:rsid w:val="79FD05DF"/>
    <w:rsid w:val="79FF2CA1"/>
    <w:rsid w:val="7A0348C4"/>
    <w:rsid w:val="7A064BBD"/>
    <w:rsid w:val="7A0917AF"/>
    <w:rsid w:val="7A0A1B00"/>
    <w:rsid w:val="7A0B19CB"/>
    <w:rsid w:val="7A0D6076"/>
    <w:rsid w:val="7A0E0120"/>
    <w:rsid w:val="7A140D08"/>
    <w:rsid w:val="7A141AFC"/>
    <w:rsid w:val="7A18795D"/>
    <w:rsid w:val="7A1940E8"/>
    <w:rsid w:val="7A1A39BC"/>
    <w:rsid w:val="7A1C5986"/>
    <w:rsid w:val="7A1C5A79"/>
    <w:rsid w:val="7A1C7734"/>
    <w:rsid w:val="7A1E34AC"/>
    <w:rsid w:val="7A215A55"/>
    <w:rsid w:val="7A236D15"/>
    <w:rsid w:val="7A2465E9"/>
    <w:rsid w:val="7A252A8D"/>
    <w:rsid w:val="7A262361"/>
    <w:rsid w:val="7A280968"/>
    <w:rsid w:val="7A2D742D"/>
    <w:rsid w:val="7A3031E0"/>
    <w:rsid w:val="7A350BB3"/>
    <w:rsid w:val="7A37631C"/>
    <w:rsid w:val="7A3902E6"/>
    <w:rsid w:val="7A393071"/>
    <w:rsid w:val="7A396538"/>
    <w:rsid w:val="7A3B6881"/>
    <w:rsid w:val="7A3C0ECA"/>
    <w:rsid w:val="7A3D1AF3"/>
    <w:rsid w:val="7A3E76AA"/>
    <w:rsid w:val="7A430FF8"/>
    <w:rsid w:val="7A431165"/>
    <w:rsid w:val="7A434029"/>
    <w:rsid w:val="7A440A39"/>
    <w:rsid w:val="7A446AAE"/>
    <w:rsid w:val="7A451892"/>
    <w:rsid w:val="7A480529"/>
    <w:rsid w:val="7A48546E"/>
    <w:rsid w:val="7A4A42A1"/>
    <w:rsid w:val="7A4B67B4"/>
    <w:rsid w:val="7A4C0E74"/>
    <w:rsid w:val="7A4E1FC1"/>
    <w:rsid w:val="7A505630"/>
    <w:rsid w:val="7A5549F4"/>
    <w:rsid w:val="7A572C0A"/>
    <w:rsid w:val="7A574C10"/>
    <w:rsid w:val="7A5944E4"/>
    <w:rsid w:val="7A5A025C"/>
    <w:rsid w:val="7A5A0A5C"/>
    <w:rsid w:val="7A5B184E"/>
    <w:rsid w:val="7A5C43E8"/>
    <w:rsid w:val="7A5D7361"/>
    <w:rsid w:val="7A601D17"/>
    <w:rsid w:val="7A61783D"/>
    <w:rsid w:val="7A631134"/>
    <w:rsid w:val="7A637111"/>
    <w:rsid w:val="7A6429EA"/>
    <w:rsid w:val="7A6509CE"/>
    <w:rsid w:val="7A671027"/>
    <w:rsid w:val="7A6742F1"/>
    <w:rsid w:val="7A6A4943"/>
    <w:rsid w:val="7A6B15AB"/>
    <w:rsid w:val="7A6B1788"/>
    <w:rsid w:val="7A6D63C6"/>
    <w:rsid w:val="7A6D7F90"/>
    <w:rsid w:val="7A6E6077"/>
    <w:rsid w:val="7A735A72"/>
    <w:rsid w:val="7A753DB0"/>
    <w:rsid w:val="7A760344"/>
    <w:rsid w:val="7A773C99"/>
    <w:rsid w:val="7A7B73B4"/>
    <w:rsid w:val="7A7D7DED"/>
    <w:rsid w:val="7A831561"/>
    <w:rsid w:val="7A833776"/>
    <w:rsid w:val="7A835199"/>
    <w:rsid w:val="7A837BE3"/>
    <w:rsid w:val="7A85177D"/>
    <w:rsid w:val="7A866C34"/>
    <w:rsid w:val="7A88301C"/>
    <w:rsid w:val="7A887326"/>
    <w:rsid w:val="7A8A6D94"/>
    <w:rsid w:val="7A8C3C78"/>
    <w:rsid w:val="7A8E6677"/>
    <w:rsid w:val="7A917080"/>
    <w:rsid w:val="7A937E45"/>
    <w:rsid w:val="7A9667B8"/>
    <w:rsid w:val="7A972953"/>
    <w:rsid w:val="7A990D85"/>
    <w:rsid w:val="7A993B48"/>
    <w:rsid w:val="7A9B4AFD"/>
    <w:rsid w:val="7AA02113"/>
    <w:rsid w:val="7AA02320"/>
    <w:rsid w:val="7AA17C39"/>
    <w:rsid w:val="7AA32EC0"/>
    <w:rsid w:val="7AA37E55"/>
    <w:rsid w:val="7AA5257E"/>
    <w:rsid w:val="7AA53E7A"/>
    <w:rsid w:val="7AA60740"/>
    <w:rsid w:val="7AA64A51"/>
    <w:rsid w:val="7AA75CF9"/>
    <w:rsid w:val="7AA80FC8"/>
    <w:rsid w:val="7AA8546C"/>
    <w:rsid w:val="7AA932BF"/>
    <w:rsid w:val="7AA94B13"/>
    <w:rsid w:val="7AAA1FD2"/>
    <w:rsid w:val="7AAA545B"/>
    <w:rsid w:val="7AAA6BA4"/>
    <w:rsid w:val="7AAC0428"/>
    <w:rsid w:val="7AAD4830"/>
    <w:rsid w:val="7AB12562"/>
    <w:rsid w:val="7AB1268F"/>
    <w:rsid w:val="7AB23BF5"/>
    <w:rsid w:val="7AB3043C"/>
    <w:rsid w:val="7ABB1DEA"/>
    <w:rsid w:val="7ABB7F90"/>
    <w:rsid w:val="7ABD2CC5"/>
    <w:rsid w:val="7ABF6589"/>
    <w:rsid w:val="7AC027B5"/>
    <w:rsid w:val="7AC06311"/>
    <w:rsid w:val="7AC10A3B"/>
    <w:rsid w:val="7AC322A6"/>
    <w:rsid w:val="7AC5146A"/>
    <w:rsid w:val="7AC62466"/>
    <w:rsid w:val="7AC76EE3"/>
    <w:rsid w:val="7AC81860"/>
    <w:rsid w:val="7AC829AF"/>
    <w:rsid w:val="7ACA5621"/>
    <w:rsid w:val="7ACA775B"/>
    <w:rsid w:val="7ACD0A2E"/>
    <w:rsid w:val="7ACE539E"/>
    <w:rsid w:val="7ACF47A6"/>
    <w:rsid w:val="7AD16771"/>
    <w:rsid w:val="7AD24D3F"/>
    <w:rsid w:val="7AD33A6E"/>
    <w:rsid w:val="7AD34988"/>
    <w:rsid w:val="7AD35629"/>
    <w:rsid w:val="7AD3647C"/>
    <w:rsid w:val="7AD4000F"/>
    <w:rsid w:val="7AD50F5F"/>
    <w:rsid w:val="7ADA26E8"/>
    <w:rsid w:val="7ADE0147"/>
    <w:rsid w:val="7AE0643C"/>
    <w:rsid w:val="7AE5221C"/>
    <w:rsid w:val="7AE81AED"/>
    <w:rsid w:val="7AEA012E"/>
    <w:rsid w:val="7AEB754E"/>
    <w:rsid w:val="7AED1261"/>
    <w:rsid w:val="7AF035F7"/>
    <w:rsid w:val="7AF05002"/>
    <w:rsid w:val="7AF10BC1"/>
    <w:rsid w:val="7AF366E7"/>
    <w:rsid w:val="7AF406B1"/>
    <w:rsid w:val="7AF53541"/>
    <w:rsid w:val="7AF661D7"/>
    <w:rsid w:val="7AF67F85"/>
    <w:rsid w:val="7AFB26BA"/>
    <w:rsid w:val="7AFD18AC"/>
    <w:rsid w:val="7AFD7566"/>
    <w:rsid w:val="7AFF3258"/>
    <w:rsid w:val="7B002BB2"/>
    <w:rsid w:val="7B0349F5"/>
    <w:rsid w:val="7B0501C8"/>
    <w:rsid w:val="7B070B09"/>
    <w:rsid w:val="7B076C2B"/>
    <w:rsid w:val="7B087CB8"/>
    <w:rsid w:val="7B0C1557"/>
    <w:rsid w:val="7B0C77A9"/>
    <w:rsid w:val="7B0D16A6"/>
    <w:rsid w:val="7B0E1773"/>
    <w:rsid w:val="7B136D89"/>
    <w:rsid w:val="7B160C07"/>
    <w:rsid w:val="7B1623D5"/>
    <w:rsid w:val="7B164183"/>
    <w:rsid w:val="7B1A0586"/>
    <w:rsid w:val="7B1B3E90"/>
    <w:rsid w:val="7B1D0D49"/>
    <w:rsid w:val="7B1F14A2"/>
    <w:rsid w:val="7B20266B"/>
    <w:rsid w:val="7B224318"/>
    <w:rsid w:val="7B2538B3"/>
    <w:rsid w:val="7B256ABC"/>
    <w:rsid w:val="7B2670C2"/>
    <w:rsid w:val="7B2745E3"/>
    <w:rsid w:val="7B283804"/>
    <w:rsid w:val="7B2849CC"/>
    <w:rsid w:val="7B292109"/>
    <w:rsid w:val="7B2A7C2F"/>
    <w:rsid w:val="7B2C1BF9"/>
    <w:rsid w:val="7B2C39A7"/>
    <w:rsid w:val="7B2C7682"/>
    <w:rsid w:val="7B2C7E4B"/>
    <w:rsid w:val="7B2E3BC3"/>
    <w:rsid w:val="7B2E5971"/>
    <w:rsid w:val="7B302AC0"/>
    <w:rsid w:val="7B3311D9"/>
    <w:rsid w:val="7B344D74"/>
    <w:rsid w:val="7B355E49"/>
    <w:rsid w:val="7B364826"/>
    <w:rsid w:val="7B382ECC"/>
    <w:rsid w:val="7B3B3562"/>
    <w:rsid w:val="7B3D7962"/>
    <w:rsid w:val="7B430AFA"/>
    <w:rsid w:val="7B4363EC"/>
    <w:rsid w:val="7B445194"/>
    <w:rsid w:val="7B452CBB"/>
    <w:rsid w:val="7B454A69"/>
    <w:rsid w:val="7B476A33"/>
    <w:rsid w:val="7B477D39"/>
    <w:rsid w:val="7B483F8C"/>
    <w:rsid w:val="7B4934DB"/>
    <w:rsid w:val="7B4950C9"/>
    <w:rsid w:val="7B4A02D1"/>
    <w:rsid w:val="7B4C18E2"/>
    <w:rsid w:val="7B4D2AA9"/>
    <w:rsid w:val="7B4F6B7B"/>
    <w:rsid w:val="7B560A24"/>
    <w:rsid w:val="7B5778E5"/>
    <w:rsid w:val="7B5911D5"/>
    <w:rsid w:val="7B5D1DB2"/>
    <w:rsid w:val="7B5F1FCE"/>
    <w:rsid w:val="7B6018A2"/>
    <w:rsid w:val="7B610F6B"/>
    <w:rsid w:val="7B612D26"/>
    <w:rsid w:val="7B6249F8"/>
    <w:rsid w:val="7B694BFB"/>
    <w:rsid w:val="7B6A26D2"/>
    <w:rsid w:val="7B6A44CF"/>
    <w:rsid w:val="7B6A5D55"/>
    <w:rsid w:val="7B707D38"/>
    <w:rsid w:val="7B71585E"/>
    <w:rsid w:val="7B7470FC"/>
    <w:rsid w:val="7B750E31"/>
    <w:rsid w:val="7B7517F2"/>
    <w:rsid w:val="7B7B492E"/>
    <w:rsid w:val="7B7D2454"/>
    <w:rsid w:val="7B7D28D1"/>
    <w:rsid w:val="7B7D2A94"/>
    <w:rsid w:val="7B7D4202"/>
    <w:rsid w:val="7B803CF3"/>
    <w:rsid w:val="7B823AA9"/>
    <w:rsid w:val="7B825CBD"/>
    <w:rsid w:val="7B827A6B"/>
    <w:rsid w:val="7B841A35"/>
    <w:rsid w:val="7B851309"/>
    <w:rsid w:val="7B8657AD"/>
    <w:rsid w:val="7B86755B"/>
    <w:rsid w:val="7B8872CB"/>
    <w:rsid w:val="7B917113"/>
    <w:rsid w:val="7B936F84"/>
    <w:rsid w:val="7B963516"/>
    <w:rsid w:val="7B966AD3"/>
    <w:rsid w:val="7B9A0B28"/>
    <w:rsid w:val="7BA7127F"/>
    <w:rsid w:val="7BA75A42"/>
    <w:rsid w:val="7BA94FF8"/>
    <w:rsid w:val="7BAD4D49"/>
    <w:rsid w:val="7BAF02C3"/>
    <w:rsid w:val="7BB06386"/>
    <w:rsid w:val="7BB10292"/>
    <w:rsid w:val="7BB120FE"/>
    <w:rsid w:val="7BB21D9A"/>
    <w:rsid w:val="7BB3231A"/>
    <w:rsid w:val="7BB340C8"/>
    <w:rsid w:val="7BB34F44"/>
    <w:rsid w:val="7BB54449"/>
    <w:rsid w:val="7BB816DF"/>
    <w:rsid w:val="7BB82769"/>
    <w:rsid w:val="7BBA5457"/>
    <w:rsid w:val="7BBB1B1E"/>
    <w:rsid w:val="7BBB3132"/>
    <w:rsid w:val="7BBC519D"/>
    <w:rsid w:val="7BBF0CBF"/>
    <w:rsid w:val="7BBF1429"/>
    <w:rsid w:val="7BC10935"/>
    <w:rsid w:val="7BC13F36"/>
    <w:rsid w:val="7BC27AA9"/>
    <w:rsid w:val="7BC84A63"/>
    <w:rsid w:val="7BC9706A"/>
    <w:rsid w:val="7BCA0E53"/>
    <w:rsid w:val="7BCB2527"/>
    <w:rsid w:val="7BCC0CE6"/>
    <w:rsid w:val="7BCD518A"/>
    <w:rsid w:val="7BCE4A5E"/>
    <w:rsid w:val="7BD04F09"/>
    <w:rsid w:val="7BD07250"/>
    <w:rsid w:val="7BD227A0"/>
    <w:rsid w:val="7BD302C6"/>
    <w:rsid w:val="7BD77DB7"/>
    <w:rsid w:val="7BD83B2F"/>
    <w:rsid w:val="7BDA2517"/>
    <w:rsid w:val="7BDC53CD"/>
    <w:rsid w:val="7BE2055F"/>
    <w:rsid w:val="7BE26839"/>
    <w:rsid w:val="7BE349AD"/>
    <w:rsid w:val="7BE557BE"/>
    <w:rsid w:val="7BE66031"/>
    <w:rsid w:val="7BE854F3"/>
    <w:rsid w:val="7BEA093F"/>
    <w:rsid w:val="7BEE5100"/>
    <w:rsid w:val="7BF02C26"/>
    <w:rsid w:val="7BF03B43"/>
    <w:rsid w:val="7BF2699E"/>
    <w:rsid w:val="7BF32717"/>
    <w:rsid w:val="7BF379EC"/>
    <w:rsid w:val="7BF5648F"/>
    <w:rsid w:val="7BF700B4"/>
    <w:rsid w:val="7C013085"/>
    <w:rsid w:val="7C02378C"/>
    <w:rsid w:val="7C027CEC"/>
    <w:rsid w:val="7C036DFE"/>
    <w:rsid w:val="7C042B76"/>
    <w:rsid w:val="7C084414"/>
    <w:rsid w:val="7C0B5CB2"/>
    <w:rsid w:val="7C0E7550"/>
    <w:rsid w:val="7C0F5F1A"/>
    <w:rsid w:val="7C1078C2"/>
    <w:rsid w:val="7C112CBA"/>
    <w:rsid w:val="7C120DEF"/>
    <w:rsid w:val="7C124CBC"/>
    <w:rsid w:val="7C134B67"/>
    <w:rsid w:val="7C154915"/>
    <w:rsid w:val="7C164CC1"/>
    <w:rsid w:val="7C1A7CA3"/>
    <w:rsid w:val="7C1C0AD5"/>
    <w:rsid w:val="7C1C7EBF"/>
    <w:rsid w:val="7C1E59E5"/>
    <w:rsid w:val="7C1F175E"/>
    <w:rsid w:val="7C1F350C"/>
    <w:rsid w:val="7C23124E"/>
    <w:rsid w:val="7C2D4B10"/>
    <w:rsid w:val="7C2E19A1"/>
    <w:rsid w:val="7C2F3780"/>
    <w:rsid w:val="7C30396B"/>
    <w:rsid w:val="7C305719"/>
    <w:rsid w:val="7C310209"/>
    <w:rsid w:val="7C324FED"/>
    <w:rsid w:val="7C374CF9"/>
    <w:rsid w:val="7C3B2186"/>
    <w:rsid w:val="7C3F0477"/>
    <w:rsid w:val="7C4116D4"/>
    <w:rsid w:val="7C460A98"/>
    <w:rsid w:val="7C4D5A0A"/>
    <w:rsid w:val="7C501917"/>
    <w:rsid w:val="7C5238E1"/>
    <w:rsid w:val="7C541A59"/>
    <w:rsid w:val="7C5533D1"/>
    <w:rsid w:val="7C574A54"/>
    <w:rsid w:val="7C577B43"/>
    <w:rsid w:val="7C58442E"/>
    <w:rsid w:val="7C585FC1"/>
    <w:rsid w:val="7C586828"/>
    <w:rsid w:val="7C5B60AA"/>
    <w:rsid w:val="7C5C650E"/>
    <w:rsid w:val="7C5D6647"/>
    <w:rsid w:val="7C62373C"/>
    <w:rsid w:val="7C63164A"/>
    <w:rsid w:val="7C6424A8"/>
    <w:rsid w:val="7C657392"/>
    <w:rsid w:val="7C661BC2"/>
    <w:rsid w:val="7C691270"/>
    <w:rsid w:val="7C6929D9"/>
    <w:rsid w:val="7C6B04FF"/>
    <w:rsid w:val="7C6E0182"/>
    <w:rsid w:val="7C6E5ECD"/>
    <w:rsid w:val="7C6E7DDD"/>
    <w:rsid w:val="7C705B15"/>
    <w:rsid w:val="7C713F97"/>
    <w:rsid w:val="7C720396"/>
    <w:rsid w:val="7C7575D0"/>
    <w:rsid w:val="7C7D5DB7"/>
    <w:rsid w:val="7C7E361A"/>
    <w:rsid w:val="7C7E46D6"/>
    <w:rsid w:val="7C7F3FAA"/>
    <w:rsid w:val="7C857813"/>
    <w:rsid w:val="7C885555"/>
    <w:rsid w:val="7C890CC2"/>
    <w:rsid w:val="7C8B0BA1"/>
    <w:rsid w:val="7C8B75D7"/>
    <w:rsid w:val="7C8D2B6B"/>
    <w:rsid w:val="7C8D4919"/>
    <w:rsid w:val="7C8D66C7"/>
    <w:rsid w:val="7C8E750C"/>
    <w:rsid w:val="7C920181"/>
    <w:rsid w:val="7C93416E"/>
    <w:rsid w:val="7C991510"/>
    <w:rsid w:val="7C9944BA"/>
    <w:rsid w:val="7C9B7036"/>
    <w:rsid w:val="7C9E08D4"/>
    <w:rsid w:val="7CA06EA3"/>
    <w:rsid w:val="7CA35EEB"/>
    <w:rsid w:val="7CA81753"/>
    <w:rsid w:val="7CA82D93"/>
    <w:rsid w:val="7CA943D8"/>
    <w:rsid w:val="7CA94958"/>
    <w:rsid w:val="7CAB4D9F"/>
    <w:rsid w:val="7CAC0368"/>
    <w:rsid w:val="7CAF4C5E"/>
    <w:rsid w:val="7CB24380"/>
    <w:rsid w:val="7CB35F23"/>
    <w:rsid w:val="7CB40242"/>
    <w:rsid w:val="7CB50753"/>
    <w:rsid w:val="7CB579CC"/>
    <w:rsid w:val="7CBB76D8"/>
    <w:rsid w:val="7CBD0742"/>
    <w:rsid w:val="7CBD5436"/>
    <w:rsid w:val="7CBE4AD3"/>
    <w:rsid w:val="7CBF57FB"/>
    <w:rsid w:val="7CC04823"/>
    <w:rsid w:val="7CC441D4"/>
    <w:rsid w:val="7CC77E2B"/>
    <w:rsid w:val="7CC84C09"/>
    <w:rsid w:val="7CC85951"/>
    <w:rsid w:val="7CCA791B"/>
    <w:rsid w:val="7CCD4D16"/>
    <w:rsid w:val="7CCD740C"/>
    <w:rsid w:val="7CCF018B"/>
    <w:rsid w:val="7CD40F68"/>
    <w:rsid w:val="7CDA6C39"/>
    <w:rsid w:val="7CE32CC0"/>
    <w:rsid w:val="7CE343B4"/>
    <w:rsid w:val="7CE363E1"/>
    <w:rsid w:val="7CE54755"/>
    <w:rsid w:val="7CE736A6"/>
    <w:rsid w:val="7CE7399F"/>
    <w:rsid w:val="7CEA5772"/>
    <w:rsid w:val="7CEB2A4A"/>
    <w:rsid w:val="7CED39F7"/>
    <w:rsid w:val="7CEE4349"/>
    <w:rsid w:val="7CF130FA"/>
    <w:rsid w:val="7CF14EA8"/>
    <w:rsid w:val="7CF15BC7"/>
    <w:rsid w:val="7CF404F4"/>
    <w:rsid w:val="7CF44116"/>
    <w:rsid w:val="7CF4697E"/>
    <w:rsid w:val="7CF77FE5"/>
    <w:rsid w:val="7CF84488"/>
    <w:rsid w:val="7CFC6AAB"/>
    <w:rsid w:val="7D052701"/>
    <w:rsid w:val="7D0F17D2"/>
    <w:rsid w:val="7D0F4608"/>
    <w:rsid w:val="7D0F7227"/>
    <w:rsid w:val="7D1072A5"/>
    <w:rsid w:val="7D11008D"/>
    <w:rsid w:val="7D131435"/>
    <w:rsid w:val="7D142945"/>
    <w:rsid w:val="7D180687"/>
    <w:rsid w:val="7D1B0177"/>
    <w:rsid w:val="7D1C7A4B"/>
    <w:rsid w:val="7D1D3EEF"/>
    <w:rsid w:val="7D1D50FB"/>
    <w:rsid w:val="7D1F1BED"/>
    <w:rsid w:val="7D225061"/>
    <w:rsid w:val="7D293AA0"/>
    <w:rsid w:val="7D2A65E2"/>
    <w:rsid w:val="7D2C5EE0"/>
    <w:rsid w:val="7D2E7EAA"/>
    <w:rsid w:val="7D311748"/>
    <w:rsid w:val="7D3157BA"/>
    <w:rsid w:val="7D3235CD"/>
    <w:rsid w:val="7D32497B"/>
    <w:rsid w:val="7D331AB1"/>
    <w:rsid w:val="7D33726F"/>
    <w:rsid w:val="7D3461CD"/>
    <w:rsid w:val="7D350373"/>
    <w:rsid w:val="7D390F55"/>
    <w:rsid w:val="7D3B25C7"/>
    <w:rsid w:val="7D3B4B44"/>
    <w:rsid w:val="7D3B5470"/>
    <w:rsid w:val="7D3D1E9B"/>
    <w:rsid w:val="7D3E132E"/>
    <w:rsid w:val="7D3F2650"/>
    <w:rsid w:val="7D44147C"/>
    <w:rsid w:val="7D4551F4"/>
    <w:rsid w:val="7D4A6BBE"/>
    <w:rsid w:val="7D4B752C"/>
    <w:rsid w:val="7D4D5E56"/>
    <w:rsid w:val="7D50587C"/>
    <w:rsid w:val="7D511DEB"/>
    <w:rsid w:val="7D515947"/>
    <w:rsid w:val="7D5214C6"/>
    <w:rsid w:val="7D52346D"/>
    <w:rsid w:val="7D533B34"/>
    <w:rsid w:val="7D536B7B"/>
    <w:rsid w:val="7D546F22"/>
    <w:rsid w:val="7D556349"/>
    <w:rsid w:val="7D5660E6"/>
    <w:rsid w:val="7D567401"/>
    <w:rsid w:val="7D586EFA"/>
    <w:rsid w:val="7D5B241E"/>
    <w:rsid w:val="7D5B4A17"/>
    <w:rsid w:val="7D5B67C5"/>
    <w:rsid w:val="7D5D0BCB"/>
    <w:rsid w:val="7D5E1E12"/>
    <w:rsid w:val="7D5F040E"/>
    <w:rsid w:val="7D60202E"/>
    <w:rsid w:val="7D603DDC"/>
    <w:rsid w:val="7D605B8A"/>
    <w:rsid w:val="7D626CDB"/>
    <w:rsid w:val="7D67516A"/>
    <w:rsid w:val="7D67555F"/>
    <w:rsid w:val="7D697134"/>
    <w:rsid w:val="7D6A6A08"/>
    <w:rsid w:val="7D6C09D3"/>
    <w:rsid w:val="7D6D5CD0"/>
    <w:rsid w:val="7D6F401F"/>
    <w:rsid w:val="7D711B45"/>
    <w:rsid w:val="7D715FE9"/>
    <w:rsid w:val="7D72493E"/>
    <w:rsid w:val="7D742C1C"/>
    <w:rsid w:val="7D747BAC"/>
    <w:rsid w:val="7D7635FF"/>
    <w:rsid w:val="7D77678C"/>
    <w:rsid w:val="7D781125"/>
    <w:rsid w:val="7D787377"/>
    <w:rsid w:val="7D797974"/>
    <w:rsid w:val="7D7A4E9D"/>
    <w:rsid w:val="7D80622C"/>
    <w:rsid w:val="7D813877"/>
    <w:rsid w:val="7D821FA4"/>
    <w:rsid w:val="7D850991"/>
    <w:rsid w:val="7D873408"/>
    <w:rsid w:val="7D8949B4"/>
    <w:rsid w:val="7D897469"/>
    <w:rsid w:val="7D8C3171"/>
    <w:rsid w:val="7D8C4C99"/>
    <w:rsid w:val="7D8D7597"/>
    <w:rsid w:val="7D8F021D"/>
    <w:rsid w:val="7D8F646F"/>
    <w:rsid w:val="7D9046C1"/>
    <w:rsid w:val="7D9107CC"/>
    <w:rsid w:val="7D917619"/>
    <w:rsid w:val="7D921BFB"/>
    <w:rsid w:val="7D937A0E"/>
    <w:rsid w:val="7D957F29"/>
    <w:rsid w:val="7D992EE2"/>
    <w:rsid w:val="7D994D5D"/>
    <w:rsid w:val="7D9D0B8C"/>
    <w:rsid w:val="7D9E7F75"/>
    <w:rsid w:val="7D9F2B56"/>
    <w:rsid w:val="7D9F333B"/>
    <w:rsid w:val="7DA0242A"/>
    <w:rsid w:val="7DA10A0F"/>
    <w:rsid w:val="7DA168CE"/>
    <w:rsid w:val="7DA43CC8"/>
    <w:rsid w:val="7DA61562"/>
    <w:rsid w:val="7DA752ED"/>
    <w:rsid w:val="7DA939D5"/>
    <w:rsid w:val="7DAC0DCF"/>
    <w:rsid w:val="7DB02572"/>
    <w:rsid w:val="7DB16675"/>
    <w:rsid w:val="7DB21B6D"/>
    <w:rsid w:val="7DB242A7"/>
    <w:rsid w:val="7DB36601"/>
    <w:rsid w:val="7DB87774"/>
    <w:rsid w:val="7DB92A9C"/>
    <w:rsid w:val="7DBA4260"/>
    <w:rsid w:val="7DBB7264"/>
    <w:rsid w:val="7DC02D56"/>
    <w:rsid w:val="7DC223A1"/>
    <w:rsid w:val="7DC45C1B"/>
    <w:rsid w:val="7DC720AD"/>
    <w:rsid w:val="7DC7444F"/>
    <w:rsid w:val="7DC97BD3"/>
    <w:rsid w:val="7DCB3ACD"/>
    <w:rsid w:val="7DCC0512"/>
    <w:rsid w:val="7DCE6497"/>
    <w:rsid w:val="7DD047CF"/>
    <w:rsid w:val="7DD3057F"/>
    <w:rsid w:val="7DD32800"/>
    <w:rsid w:val="7DD54E72"/>
    <w:rsid w:val="7DD56578"/>
    <w:rsid w:val="7DD7257A"/>
    <w:rsid w:val="7DDA2EA4"/>
    <w:rsid w:val="7DDB01A1"/>
    <w:rsid w:val="7DDC406E"/>
    <w:rsid w:val="7DE06CCB"/>
    <w:rsid w:val="7DE22B24"/>
    <w:rsid w:val="7DE247F1"/>
    <w:rsid w:val="7DE844FD"/>
    <w:rsid w:val="7DEB18F7"/>
    <w:rsid w:val="7DEB7B49"/>
    <w:rsid w:val="7DEC2867"/>
    <w:rsid w:val="7DEC49A5"/>
    <w:rsid w:val="7DED5311"/>
    <w:rsid w:val="7DEE13E8"/>
    <w:rsid w:val="7DEE3982"/>
    <w:rsid w:val="7DEF50F8"/>
    <w:rsid w:val="7DF221CE"/>
    <w:rsid w:val="7DF46519"/>
    <w:rsid w:val="7DF5428B"/>
    <w:rsid w:val="7DF6029C"/>
    <w:rsid w:val="7DFC1D56"/>
    <w:rsid w:val="7DFC3B04"/>
    <w:rsid w:val="7E0108BE"/>
    <w:rsid w:val="7E01736D"/>
    <w:rsid w:val="7E021454"/>
    <w:rsid w:val="7E024E93"/>
    <w:rsid w:val="7E06489D"/>
    <w:rsid w:val="7E0C7AC0"/>
    <w:rsid w:val="7E105802"/>
    <w:rsid w:val="7E1140F2"/>
    <w:rsid w:val="7E15400C"/>
    <w:rsid w:val="7E154BC6"/>
    <w:rsid w:val="7E17093E"/>
    <w:rsid w:val="7E1846B6"/>
    <w:rsid w:val="7E1907B6"/>
    <w:rsid w:val="7E1D1AB6"/>
    <w:rsid w:val="7E1F3C97"/>
    <w:rsid w:val="7E2038A1"/>
    <w:rsid w:val="7E2412AD"/>
    <w:rsid w:val="7E2748F9"/>
    <w:rsid w:val="7E2867A7"/>
    <w:rsid w:val="7E2C12BE"/>
    <w:rsid w:val="7E2E3EDA"/>
    <w:rsid w:val="7E2F41F3"/>
    <w:rsid w:val="7E311391"/>
    <w:rsid w:val="7E324B4C"/>
    <w:rsid w:val="7E341D9C"/>
    <w:rsid w:val="7E350DC4"/>
    <w:rsid w:val="7E375D5E"/>
    <w:rsid w:val="7E386B07"/>
    <w:rsid w:val="7E3A462D"/>
    <w:rsid w:val="7E3C2C6E"/>
    <w:rsid w:val="7E3C7FA1"/>
    <w:rsid w:val="7E3D5ECB"/>
    <w:rsid w:val="7E417769"/>
    <w:rsid w:val="7E4234E1"/>
    <w:rsid w:val="7E4259E5"/>
    <w:rsid w:val="7E4333AF"/>
    <w:rsid w:val="7E436536"/>
    <w:rsid w:val="7E440A1B"/>
    <w:rsid w:val="7E4436FD"/>
    <w:rsid w:val="7E4609A7"/>
    <w:rsid w:val="7E460EDE"/>
    <w:rsid w:val="7E487E69"/>
    <w:rsid w:val="7E491FC4"/>
    <w:rsid w:val="7E4C610E"/>
    <w:rsid w:val="7E4D25B2"/>
    <w:rsid w:val="7E4D4360"/>
    <w:rsid w:val="7E5020A2"/>
    <w:rsid w:val="7E527161"/>
    <w:rsid w:val="7E544334"/>
    <w:rsid w:val="7E551467"/>
    <w:rsid w:val="7E553215"/>
    <w:rsid w:val="7E555702"/>
    <w:rsid w:val="7E583E4B"/>
    <w:rsid w:val="7E5A082B"/>
    <w:rsid w:val="7E5A57E9"/>
    <w:rsid w:val="7E5B2AC6"/>
    <w:rsid w:val="7E5C0A47"/>
    <w:rsid w:val="7E5D5579"/>
    <w:rsid w:val="7E5F26BC"/>
    <w:rsid w:val="7E5F5D01"/>
    <w:rsid w:val="7E651E7C"/>
    <w:rsid w:val="7E684D49"/>
    <w:rsid w:val="7E6A06BC"/>
    <w:rsid w:val="7E6B47E6"/>
    <w:rsid w:val="7E6C33D7"/>
    <w:rsid w:val="7E6D055E"/>
    <w:rsid w:val="7E6F077A"/>
    <w:rsid w:val="7E7044F2"/>
    <w:rsid w:val="7E71385C"/>
    <w:rsid w:val="7E717724"/>
    <w:rsid w:val="7E725B75"/>
    <w:rsid w:val="7E74391E"/>
    <w:rsid w:val="7E7933A7"/>
    <w:rsid w:val="7E7958A6"/>
    <w:rsid w:val="7E7A0ECD"/>
    <w:rsid w:val="7E7C03B0"/>
    <w:rsid w:val="7E7C25E5"/>
    <w:rsid w:val="7E7E09BD"/>
    <w:rsid w:val="7E802236"/>
    <w:rsid w:val="7E810B60"/>
    <w:rsid w:val="7E81400A"/>
    <w:rsid w:val="7E815B71"/>
    <w:rsid w:val="7E816B7F"/>
    <w:rsid w:val="7E835FD4"/>
    <w:rsid w:val="7E8666DE"/>
    <w:rsid w:val="7E870653"/>
    <w:rsid w:val="7E8745C3"/>
    <w:rsid w:val="7E876A62"/>
    <w:rsid w:val="7E8E6219"/>
    <w:rsid w:val="7E8F2BCB"/>
    <w:rsid w:val="7E8F4979"/>
    <w:rsid w:val="7E906938"/>
    <w:rsid w:val="7E933E58"/>
    <w:rsid w:val="7E96187E"/>
    <w:rsid w:val="7E9755DB"/>
    <w:rsid w:val="7E98251D"/>
    <w:rsid w:val="7E9941A9"/>
    <w:rsid w:val="7E9A331D"/>
    <w:rsid w:val="7E9B7CBA"/>
    <w:rsid w:val="7E9E16C4"/>
    <w:rsid w:val="7E9E696A"/>
    <w:rsid w:val="7E9E7F46"/>
    <w:rsid w:val="7E9F038B"/>
    <w:rsid w:val="7E9F1065"/>
    <w:rsid w:val="7E9F4467"/>
    <w:rsid w:val="7EA11834"/>
    <w:rsid w:val="7EA45F4A"/>
    <w:rsid w:val="7EA47CF8"/>
    <w:rsid w:val="7EA51103"/>
    <w:rsid w:val="7EAA17B2"/>
    <w:rsid w:val="7EAB4931"/>
    <w:rsid w:val="7EAE1E1F"/>
    <w:rsid w:val="7EAF501B"/>
    <w:rsid w:val="7EB0669D"/>
    <w:rsid w:val="7EB1275E"/>
    <w:rsid w:val="7EB268B9"/>
    <w:rsid w:val="7EB4439D"/>
    <w:rsid w:val="7EB4618D"/>
    <w:rsid w:val="7EB62BE1"/>
    <w:rsid w:val="7EB663A9"/>
    <w:rsid w:val="7EB94193"/>
    <w:rsid w:val="7EBA742C"/>
    <w:rsid w:val="7EBC14E6"/>
    <w:rsid w:val="7EBC7738"/>
    <w:rsid w:val="7EBE525E"/>
    <w:rsid w:val="7EC1131E"/>
    <w:rsid w:val="7EC23181"/>
    <w:rsid w:val="7EC5039A"/>
    <w:rsid w:val="7EC539DC"/>
    <w:rsid w:val="7EC62364"/>
    <w:rsid w:val="7EC637CE"/>
    <w:rsid w:val="7EC64112"/>
    <w:rsid w:val="7EC860DC"/>
    <w:rsid w:val="7ED4682F"/>
    <w:rsid w:val="7ED607F9"/>
    <w:rsid w:val="7ED77983"/>
    <w:rsid w:val="7EDB7BBE"/>
    <w:rsid w:val="7EDC687C"/>
    <w:rsid w:val="7EDE145C"/>
    <w:rsid w:val="7EDE7B0C"/>
    <w:rsid w:val="7EE017F2"/>
    <w:rsid w:val="7EE06F82"/>
    <w:rsid w:val="7EE10DD5"/>
    <w:rsid w:val="7EE22502"/>
    <w:rsid w:val="7EE622C1"/>
    <w:rsid w:val="7EE747B5"/>
    <w:rsid w:val="7EE84089"/>
    <w:rsid w:val="7EEA7E01"/>
    <w:rsid w:val="7EED64DB"/>
    <w:rsid w:val="7EEE3597"/>
    <w:rsid w:val="7EEF21C0"/>
    <w:rsid w:val="7EF05721"/>
    <w:rsid w:val="7EF143DB"/>
    <w:rsid w:val="7EF2575C"/>
    <w:rsid w:val="7EF7251E"/>
    <w:rsid w:val="7EF944E8"/>
    <w:rsid w:val="7F005678"/>
    <w:rsid w:val="7F005876"/>
    <w:rsid w:val="7F054C3B"/>
    <w:rsid w:val="7F076C05"/>
    <w:rsid w:val="7F0A2251"/>
    <w:rsid w:val="7F0A7314"/>
    <w:rsid w:val="7F0F1190"/>
    <w:rsid w:val="7F0F3B6B"/>
    <w:rsid w:val="7F0F5AB9"/>
    <w:rsid w:val="7F10538E"/>
    <w:rsid w:val="7F1135E0"/>
    <w:rsid w:val="7F11402B"/>
    <w:rsid w:val="7F121106"/>
    <w:rsid w:val="7F135B7D"/>
    <w:rsid w:val="7F141322"/>
    <w:rsid w:val="7F1430D0"/>
    <w:rsid w:val="7F1629A4"/>
    <w:rsid w:val="7F1A5C7E"/>
    <w:rsid w:val="7F1B445E"/>
    <w:rsid w:val="7F216493"/>
    <w:rsid w:val="7F2350C1"/>
    <w:rsid w:val="7F24733D"/>
    <w:rsid w:val="7F26177B"/>
    <w:rsid w:val="7F2826D7"/>
    <w:rsid w:val="7F286B7B"/>
    <w:rsid w:val="7F2A46A1"/>
    <w:rsid w:val="7F2F290D"/>
    <w:rsid w:val="7F2F7F0A"/>
    <w:rsid w:val="7F32561D"/>
    <w:rsid w:val="7F354B67"/>
    <w:rsid w:val="7F3661AD"/>
    <w:rsid w:val="7F370B6C"/>
    <w:rsid w:val="7F39023D"/>
    <w:rsid w:val="7F39083A"/>
    <w:rsid w:val="7F392F8A"/>
    <w:rsid w:val="7F394978"/>
    <w:rsid w:val="7F403EC5"/>
    <w:rsid w:val="7F424061"/>
    <w:rsid w:val="7F432868"/>
    <w:rsid w:val="7F453289"/>
    <w:rsid w:val="7F4736ED"/>
    <w:rsid w:val="7F482D79"/>
    <w:rsid w:val="7F4831CC"/>
    <w:rsid w:val="7F496EC0"/>
    <w:rsid w:val="7F4A035F"/>
    <w:rsid w:val="7F4B01CB"/>
    <w:rsid w:val="7F4F346A"/>
    <w:rsid w:val="7F5034BD"/>
    <w:rsid w:val="7F5160D2"/>
    <w:rsid w:val="7F524368"/>
    <w:rsid w:val="7F5259A6"/>
    <w:rsid w:val="7F5300F0"/>
    <w:rsid w:val="7F531E4A"/>
    <w:rsid w:val="7F547970"/>
    <w:rsid w:val="7F5867C0"/>
    <w:rsid w:val="7F596D35"/>
    <w:rsid w:val="7F59789B"/>
    <w:rsid w:val="7F5B2AAD"/>
    <w:rsid w:val="7F5C05D3"/>
    <w:rsid w:val="7F5D74B8"/>
    <w:rsid w:val="7F647061"/>
    <w:rsid w:val="7F64763D"/>
    <w:rsid w:val="7F671451"/>
    <w:rsid w:val="7F674E25"/>
    <w:rsid w:val="7F6A020C"/>
    <w:rsid w:val="7F6E3015"/>
    <w:rsid w:val="7F6F0306"/>
    <w:rsid w:val="7F6F3F14"/>
    <w:rsid w:val="7F6F6558"/>
    <w:rsid w:val="7F70059C"/>
    <w:rsid w:val="7F71407E"/>
    <w:rsid w:val="7F73429A"/>
    <w:rsid w:val="7F735751"/>
    <w:rsid w:val="7F787239"/>
    <w:rsid w:val="7F7A00AD"/>
    <w:rsid w:val="7F7C5D6E"/>
    <w:rsid w:val="7F7E59EA"/>
    <w:rsid w:val="7F815817"/>
    <w:rsid w:val="7F85115D"/>
    <w:rsid w:val="7F8518D8"/>
    <w:rsid w:val="7F8525C6"/>
    <w:rsid w:val="7F8527B8"/>
    <w:rsid w:val="7F8F1EB3"/>
    <w:rsid w:val="7F8F2756"/>
    <w:rsid w:val="7F912972"/>
    <w:rsid w:val="7F914720"/>
    <w:rsid w:val="7F923FF5"/>
    <w:rsid w:val="7F934E42"/>
    <w:rsid w:val="7F954211"/>
    <w:rsid w:val="7F9658C9"/>
    <w:rsid w:val="7F9B3D14"/>
    <w:rsid w:val="7F9B734D"/>
    <w:rsid w:val="7F9C24D8"/>
    <w:rsid w:val="7F9C4E17"/>
    <w:rsid w:val="7F9D4E73"/>
    <w:rsid w:val="7FA206DC"/>
    <w:rsid w:val="7FA53980"/>
    <w:rsid w:val="7FA53D28"/>
    <w:rsid w:val="7FA91A6A"/>
    <w:rsid w:val="7FA97CBC"/>
    <w:rsid w:val="7FAA2B99"/>
    <w:rsid w:val="7FAA7590"/>
    <w:rsid w:val="7FAC3308"/>
    <w:rsid w:val="7FAC50B6"/>
    <w:rsid w:val="7FAE52D2"/>
    <w:rsid w:val="7FAF4BA7"/>
    <w:rsid w:val="7FB15138"/>
    <w:rsid w:val="7FB24B49"/>
    <w:rsid w:val="7FB458AF"/>
    <w:rsid w:val="7FB55E56"/>
    <w:rsid w:val="7FB633A9"/>
    <w:rsid w:val="7FB64187"/>
    <w:rsid w:val="7FB65F35"/>
    <w:rsid w:val="7FBB79EF"/>
    <w:rsid w:val="7FBC6E5C"/>
    <w:rsid w:val="7FBD5515"/>
    <w:rsid w:val="7FC05006"/>
    <w:rsid w:val="7FC24F37"/>
    <w:rsid w:val="7FC40652"/>
    <w:rsid w:val="7FC44AF6"/>
    <w:rsid w:val="7FC9210C"/>
    <w:rsid w:val="7FC95651"/>
    <w:rsid w:val="7FCB5E84"/>
    <w:rsid w:val="7FCD26CB"/>
    <w:rsid w:val="7FCE327F"/>
    <w:rsid w:val="7FD03DB0"/>
    <w:rsid w:val="7FD14B1D"/>
    <w:rsid w:val="7FD215DB"/>
    <w:rsid w:val="7FD36AE7"/>
    <w:rsid w:val="7FD91C23"/>
    <w:rsid w:val="7FDE4398"/>
    <w:rsid w:val="7FE01204"/>
    <w:rsid w:val="7FE645DF"/>
    <w:rsid w:val="7FE74340"/>
    <w:rsid w:val="7FEA6917"/>
    <w:rsid w:val="7FEE56CF"/>
    <w:rsid w:val="7FF13411"/>
    <w:rsid w:val="7FF25EEA"/>
    <w:rsid w:val="7FF30F37"/>
    <w:rsid w:val="7FF32CE5"/>
    <w:rsid w:val="7FF37ED2"/>
    <w:rsid w:val="7FF531DE"/>
    <w:rsid w:val="7FF7237F"/>
    <w:rsid w:val="7FF76C79"/>
    <w:rsid w:val="7FF806CF"/>
    <w:rsid w:val="7FFA22C6"/>
    <w:rsid w:val="7FFB7DEC"/>
    <w:rsid w:val="7FFD69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semiHidden="0" w:name="heading 2" w:locked="1"/>
    <w:lsdException w:qFormat="1" w:uiPriority="0" w:semiHidden="0" w:name="heading 3" w:locked="1"/>
    <w:lsdException w:qFormat="1" w:unhideWhenUsed="0" w:uiPriority="0" w:semiHidden="0" w:name="heading 4" w:locked="1"/>
    <w:lsdException w:qFormat="1" w:unhideWhenUsed="0" w:uiPriority="0" w:semiHidden="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sdException w:unhideWhenUsed="0" w:uiPriority="0" w:semiHidden="0" w:name="index 9" w:locked="1"/>
    <w:lsdException w:qFormat="1" w:unhideWhenUsed="0" w:uiPriority="39" w:semiHidden="0" w:name="toc 1" w:locked="1"/>
    <w:lsdException w:unhideWhenUsed="0" w:uiPriority="0" w:semiHidden="0" w:name="toc 2"/>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sdException w:unhideWhenUsed="0" w:uiPriority="0" w:semiHidden="0" w:name="footnote text" w:locked="1"/>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ocked="1"/>
    <w:lsdException w:qFormat="1" w:unhideWhenUsed="0" w:uiPriority="0" w:semiHidden="0" w:name="caption" w:locked="1"/>
    <w:lsdException w:unhideWhenUsed="0" w:uiPriority="0" w:semiHidden="0" w:name="table of figures"/>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ocked="1"/>
    <w:lsdException w:unhideWhenUsed="0" w:uiPriority="0" w:semiHidden="0" w:name="endnote text"/>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sdException w:unhideWhenUsed="0" w:uiPriority="0" w:semiHidden="0" w:name="List Bullet" w:locked="1"/>
    <w:lsdException w:unhideWhenUsed="0" w:uiPriority="0" w:semiHidden="0" w:name="List Number" w:locked="1"/>
    <w:lsdException w:unhideWhenUsed="0" w:uiPriority="0" w:semiHidden="0" w:name="List 2"/>
    <w:lsdException w:unhideWhenUsed="0" w:uiPriority="0" w:semiHidden="0" w:name="List 3"/>
    <w:lsdException w:unhideWhenUsed="0" w:uiPriority="0" w:semiHidden="0" w:name="List 4" w:locked="1"/>
    <w:lsdException w:unhideWhenUsed="0" w:uiPriority="0" w:semiHidden="0" w:name="List 5" w:locked="1"/>
    <w:lsdException w:unhideWhenUsed="0" w:uiPriority="0" w:semiHidden="0" w:name="List Bullet 2"/>
    <w:lsdException w:unhideWhenUsed="0" w:uiPriority="0" w:semiHidden="0" w:name="List Bullet 3" w:locked="1"/>
    <w:lsdException w:unhideWhenUsed="0" w:uiPriority="0" w:semiHidden="0" w:name="List Bullet 4" w:locked="1"/>
    <w:lsdException w:qFormat="1" w:unhideWhenUsed="0" w:uiPriority="0" w:semiHidden="0" w:name="List Bullet 5"/>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ocked="1"/>
    <w:lsdException w:unhideWhenUsed="0" w:uiPriority="0" w:semiHidden="0" w:name="Body Text 2" w:locked="1"/>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ocked="1"/>
    <w:lsdException w:unhideWhenUsed="0" w:uiPriority="0" w:semiHidden="0" w:name="Hyperlink"/>
    <w:lsdException w:unhideWhenUsed="0" w:uiPriority="0" w:semiHidden="0" w:name="FollowedHyperlink" w:locked="1"/>
    <w:lsdException w:qFormat="1" w:unhideWhenUsed="0" w:uiPriority="0" w:semiHidden="0" w:name="Strong"/>
    <w:lsdException w:qFormat="1" w:unhideWhenUsed="0" w:uiPriority="0" w:semiHidden="0" w:name="Emphasis"/>
    <w:lsdException w:unhideWhenUsed="0" w:uiPriority="0" w:semiHidden="0" w:name="Document Map" w:locked="1"/>
    <w:lsdException w:unhideWhenUsed="0" w:uiPriority="0" w:semiHidden="0" w:name="Plain Text"/>
    <w:lsdException w:unhideWhenUsed="0" w:uiPriority="0" w:semiHidden="0" w:name="E-mail Signature" w:locked="1"/>
    <w:lsdException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qFormat="1" w:unhideWhenUsed="0" w:uiPriority="0" w:semiHidden="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0" w:semiHidden="0" w:name="Balloon Text"/>
    <w:lsdException w:qFormat="1" w:unhideWhenUsed="0" w:uiPriority="0" w:semiHidden="0" w:name="Table Grid"/>
    <w:lsdException w:qFormat="1"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autoSpaceDE w:val="0"/>
      <w:autoSpaceDN w:val="0"/>
      <w:adjustRightInd w:val="0"/>
      <w:snapToGrid w:val="0"/>
      <w:spacing w:line="320" w:lineRule="exact"/>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24"/>
    <w:autoRedefine/>
    <w:qFormat/>
    <w:locked/>
    <w:uiPriority w:val="0"/>
    <w:pPr>
      <w:keepNext/>
      <w:overflowPunct w:val="0"/>
      <w:jc w:val="center"/>
      <w:outlineLvl w:val="0"/>
    </w:pPr>
    <w:rPr>
      <w:rFonts w:eastAsia="黑体"/>
      <w:bCs/>
      <w:color w:val="000000"/>
      <w:kern w:val="44"/>
      <w:sz w:val="30"/>
      <w:szCs w:val="30"/>
    </w:rPr>
  </w:style>
  <w:style w:type="paragraph" w:styleId="3">
    <w:name w:val="heading 2"/>
    <w:basedOn w:val="1"/>
    <w:next w:val="1"/>
    <w:link w:val="25"/>
    <w:autoRedefine/>
    <w:unhideWhenUsed/>
    <w:qFormat/>
    <w:locked/>
    <w:uiPriority w:val="0"/>
    <w:pPr>
      <w:keepNext/>
      <w:keepLines/>
      <w:spacing w:before="260" w:after="260" w:line="416" w:lineRule="atLeast"/>
      <w:outlineLvl w:val="1"/>
    </w:pPr>
    <w:rPr>
      <w:rFonts w:ascii="Calibri Light" w:hAnsi="Calibri Light"/>
      <w:b/>
      <w:bCs/>
      <w:sz w:val="32"/>
      <w:szCs w:val="32"/>
    </w:rPr>
  </w:style>
  <w:style w:type="paragraph" w:styleId="4">
    <w:name w:val="heading 3"/>
    <w:basedOn w:val="1"/>
    <w:next w:val="1"/>
    <w:link w:val="26"/>
    <w:autoRedefine/>
    <w:unhideWhenUsed/>
    <w:qFormat/>
    <w:locked/>
    <w:uiPriority w:val="0"/>
    <w:pPr>
      <w:keepNext/>
      <w:keepLines/>
      <w:spacing w:before="260" w:after="260" w:line="416" w:lineRule="auto"/>
      <w:outlineLvl w:val="2"/>
    </w:pPr>
    <w:rPr>
      <w:b/>
      <w:bCs/>
      <w:sz w:val="32"/>
      <w:szCs w:val="32"/>
    </w:rPr>
  </w:style>
  <w:style w:type="paragraph" w:styleId="5">
    <w:name w:val="heading 4"/>
    <w:basedOn w:val="1"/>
    <w:next w:val="1"/>
    <w:link w:val="27"/>
    <w:autoRedefine/>
    <w:qFormat/>
    <w:locked/>
    <w:uiPriority w:val="0"/>
    <w:pPr>
      <w:keepNext/>
      <w:keepLines/>
      <w:spacing w:before="50" w:beforeLines="50" w:after="120" w:line="440" w:lineRule="exact"/>
      <w:outlineLvl w:val="3"/>
    </w:pPr>
    <w:rPr>
      <w:rFonts w:cs="Calibri"/>
      <w:bCs/>
      <w:szCs w:val="28"/>
    </w:rPr>
  </w:style>
  <w:style w:type="paragraph" w:styleId="6">
    <w:name w:val="heading 5"/>
    <w:basedOn w:val="1"/>
    <w:next w:val="1"/>
    <w:link w:val="28"/>
    <w:autoRedefine/>
    <w:qFormat/>
    <w:locked/>
    <w:uiPriority w:val="0"/>
    <w:pPr>
      <w:keepNext/>
      <w:keepLines/>
      <w:spacing w:before="280" w:after="290" w:line="376" w:lineRule="auto"/>
      <w:outlineLvl w:val="4"/>
    </w:pPr>
    <w:rPr>
      <w:b/>
      <w:bCs/>
      <w:sz w:val="28"/>
      <w:szCs w:val="28"/>
    </w:rPr>
  </w:style>
  <w:style w:type="character" w:default="1" w:styleId="20">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7">
    <w:name w:val="caption"/>
    <w:basedOn w:val="1"/>
    <w:next w:val="1"/>
    <w:link w:val="29"/>
    <w:autoRedefine/>
    <w:qFormat/>
    <w:locked/>
    <w:uiPriority w:val="0"/>
    <w:pPr>
      <w:spacing w:line="240" w:lineRule="auto"/>
      <w:jc w:val="center"/>
    </w:pPr>
    <w:rPr>
      <w:b/>
      <w:bCs/>
      <w:szCs w:val="20"/>
    </w:rPr>
  </w:style>
  <w:style w:type="paragraph" w:styleId="8">
    <w:name w:val="annotation text"/>
    <w:basedOn w:val="1"/>
    <w:link w:val="58"/>
    <w:qFormat/>
    <w:uiPriority w:val="0"/>
    <w:pPr>
      <w:jc w:val="left"/>
    </w:pPr>
  </w:style>
  <w:style w:type="paragraph" w:styleId="9">
    <w:name w:val="Body Text"/>
    <w:basedOn w:val="1"/>
    <w:link w:val="53"/>
    <w:autoRedefine/>
    <w:qFormat/>
    <w:uiPriority w:val="0"/>
    <w:pPr>
      <w:widowControl/>
      <w:spacing w:before="60" w:after="160" w:line="259" w:lineRule="auto"/>
      <w:ind w:right="113"/>
    </w:pPr>
    <w:rPr>
      <w:kern w:val="0"/>
      <w:szCs w:val="20"/>
    </w:rPr>
  </w:style>
  <w:style w:type="paragraph" w:styleId="10">
    <w:name w:val="List Bullet 5"/>
    <w:basedOn w:val="1"/>
    <w:qFormat/>
    <w:uiPriority w:val="0"/>
    <w:pPr>
      <w:numPr>
        <w:ilvl w:val="0"/>
        <w:numId w:val="1"/>
      </w:numPr>
    </w:pPr>
  </w:style>
  <w:style w:type="paragraph" w:styleId="11">
    <w:name w:val="Balloon Text"/>
    <w:basedOn w:val="1"/>
    <w:link w:val="59"/>
    <w:qFormat/>
    <w:uiPriority w:val="0"/>
    <w:pPr>
      <w:spacing w:line="240" w:lineRule="auto"/>
    </w:pPr>
    <w:rPr>
      <w:sz w:val="18"/>
      <w:szCs w:val="18"/>
    </w:rPr>
  </w:style>
  <w:style w:type="paragraph" w:styleId="12">
    <w:name w:val="footer"/>
    <w:basedOn w:val="1"/>
    <w:qFormat/>
    <w:uiPriority w:val="0"/>
    <w:pPr>
      <w:tabs>
        <w:tab w:val="center" w:pos="4153"/>
        <w:tab w:val="right" w:pos="8306"/>
      </w:tabs>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pacing w:line="240" w:lineRule="auto"/>
    </w:pPr>
    <w:rPr>
      <w:sz w:val="18"/>
    </w:rPr>
  </w:style>
  <w:style w:type="paragraph" w:styleId="14">
    <w:name w:val="toc 1"/>
    <w:basedOn w:val="1"/>
    <w:next w:val="1"/>
    <w:autoRedefine/>
    <w:qFormat/>
    <w:locked/>
    <w:uiPriority w:val="39"/>
    <w:pPr>
      <w:spacing w:line="360" w:lineRule="auto"/>
    </w:pPr>
    <w:rPr>
      <w:b/>
      <w:sz w:val="28"/>
    </w:rPr>
  </w:style>
  <w:style w:type="paragraph" w:styleId="15">
    <w:name w:val="Subtitle"/>
    <w:basedOn w:val="1"/>
    <w:next w:val="1"/>
    <w:link w:val="30"/>
    <w:autoRedefine/>
    <w:qFormat/>
    <w:locked/>
    <w:uiPriority w:val="0"/>
    <w:pPr>
      <w:spacing w:before="50" w:beforeLines="50" w:line="360" w:lineRule="auto"/>
      <w:ind w:firstLine="100" w:firstLineChars="100"/>
      <w:jc w:val="left"/>
      <w:outlineLvl w:val="1"/>
    </w:pPr>
    <w:rPr>
      <w:b/>
      <w:bCs/>
      <w:kern w:val="28"/>
      <w:sz w:val="28"/>
      <w:szCs w:val="32"/>
    </w:rPr>
  </w:style>
  <w:style w:type="paragraph" w:styleId="16">
    <w:name w:val="annotation subject"/>
    <w:basedOn w:val="8"/>
    <w:next w:val="8"/>
    <w:link w:val="60"/>
    <w:qFormat/>
    <w:uiPriority w:val="0"/>
    <w:rPr>
      <w:b/>
      <w:bCs/>
    </w:rPr>
  </w:style>
  <w:style w:type="table" w:styleId="18">
    <w:name w:val="Table Grid"/>
    <w:basedOn w:val="17"/>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19">
    <w:name w:val="Table Theme"/>
    <w:basedOn w:val="17"/>
    <w:autoRedefine/>
    <w:qFormat/>
    <w:locked/>
    <w:uiPriority w:val="0"/>
    <w:pPr>
      <w:widowControl w:val="0"/>
      <w:jc w:val="both"/>
    </w:pPr>
    <w:rPr>
      <w:rFonts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annotation reference"/>
    <w:basedOn w:val="20"/>
    <w:qFormat/>
    <w:uiPriority w:val="0"/>
    <w:rPr>
      <w:sz w:val="21"/>
      <w:szCs w:val="21"/>
    </w:rPr>
  </w:style>
  <w:style w:type="paragraph" w:customStyle="1" w:styleId="22">
    <w:name w:val="表格正文"/>
    <w:basedOn w:val="1"/>
    <w:qFormat/>
    <w:uiPriority w:val="0"/>
    <w:pPr>
      <w:spacing w:line="240" w:lineRule="auto"/>
      <w:jc w:val="center"/>
    </w:pPr>
    <w:rPr>
      <w:szCs w:val="22"/>
    </w:rPr>
  </w:style>
  <w:style w:type="paragraph" w:customStyle="1" w:styleId="23">
    <w:name w:val="标题2"/>
    <w:basedOn w:val="1"/>
    <w:next w:val="1"/>
    <w:autoRedefine/>
    <w:qFormat/>
    <w:uiPriority w:val="0"/>
    <w:pPr>
      <w:spacing w:before="50" w:beforeLines="50" w:after="50" w:afterLines="50" w:line="440" w:lineRule="exact"/>
      <w:ind w:right="50" w:rightChars="50" w:firstLine="50" w:firstLineChars="50"/>
    </w:pPr>
    <w:rPr>
      <w:b/>
      <w:sz w:val="28"/>
      <w:szCs w:val="28"/>
    </w:rPr>
  </w:style>
  <w:style w:type="character" w:customStyle="1" w:styleId="24">
    <w:name w:val="标题 1 Char"/>
    <w:link w:val="2"/>
    <w:autoRedefine/>
    <w:qFormat/>
    <w:uiPriority w:val="0"/>
    <w:rPr>
      <w:rFonts w:ascii="Times New Roman" w:hAnsi="Times New Roman" w:eastAsia="黑体"/>
      <w:bCs/>
      <w:color w:val="000000"/>
      <w:kern w:val="44"/>
      <w:sz w:val="30"/>
      <w:szCs w:val="30"/>
    </w:rPr>
  </w:style>
  <w:style w:type="character" w:customStyle="1" w:styleId="25">
    <w:name w:val="标题 2 Char"/>
    <w:link w:val="3"/>
    <w:autoRedefine/>
    <w:semiHidden/>
    <w:qFormat/>
    <w:uiPriority w:val="0"/>
    <w:rPr>
      <w:rFonts w:ascii="Calibri Light" w:hAnsi="Calibri Light"/>
      <w:b/>
      <w:bCs/>
      <w:kern w:val="2"/>
      <w:sz w:val="32"/>
      <w:szCs w:val="32"/>
    </w:rPr>
  </w:style>
  <w:style w:type="character" w:customStyle="1" w:styleId="26">
    <w:name w:val="标题 3 Char"/>
    <w:link w:val="4"/>
    <w:autoRedefine/>
    <w:qFormat/>
    <w:uiPriority w:val="0"/>
    <w:rPr>
      <w:b/>
      <w:bCs/>
      <w:kern w:val="2"/>
      <w:sz w:val="32"/>
      <w:szCs w:val="32"/>
    </w:rPr>
  </w:style>
  <w:style w:type="character" w:customStyle="1" w:styleId="27">
    <w:name w:val="标题 4 Char"/>
    <w:link w:val="5"/>
    <w:autoRedefine/>
    <w:qFormat/>
    <w:uiPriority w:val="0"/>
    <w:rPr>
      <w:rFonts w:cs="Calibri"/>
      <w:bCs/>
      <w:kern w:val="2"/>
      <w:sz w:val="24"/>
      <w:szCs w:val="28"/>
    </w:rPr>
  </w:style>
  <w:style w:type="character" w:customStyle="1" w:styleId="28">
    <w:name w:val="标题 5 Char"/>
    <w:link w:val="6"/>
    <w:autoRedefine/>
    <w:qFormat/>
    <w:uiPriority w:val="0"/>
    <w:rPr>
      <w:b/>
      <w:bCs/>
      <w:kern w:val="2"/>
      <w:sz w:val="28"/>
      <w:szCs w:val="28"/>
    </w:rPr>
  </w:style>
  <w:style w:type="character" w:customStyle="1" w:styleId="29">
    <w:name w:val="题注 Char"/>
    <w:link w:val="7"/>
    <w:autoRedefine/>
    <w:qFormat/>
    <w:uiPriority w:val="0"/>
    <w:rPr>
      <w:rFonts w:ascii="Times New Roman" w:hAnsi="Times New Roman" w:eastAsia="宋体" w:cs="Times New Roman"/>
      <w:b/>
      <w:bCs/>
      <w:kern w:val="2"/>
      <w:sz w:val="21"/>
      <w:szCs w:val="20"/>
      <w:lang w:val="en-US" w:eastAsia="zh-CN" w:bidi="ar-SA"/>
    </w:rPr>
  </w:style>
  <w:style w:type="character" w:customStyle="1" w:styleId="30">
    <w:name w:val="副标题 Char"/>
    <w:link w:val="15"/>
    <w:autoRedefine/>
    <w:qFormat/>
    <w:uiPriority w:val="0"/>
    <w:rPr>
      <w:rFonts w:cs="Times New Roman"/>
      <w:b/>
      <w:bCs/>
      <w:kern w:val="28"/>
      <w:sz w:val="28"/>
      <w:szCs w:val="32"/>
    </w:rPr>
  </w:style>
  <w:style w:type="table" w:customStyle="1" w:styleId="31">
    <w:name w:val="表格主题1"/>
    <w:basedOn w:val="17"/>
    <w:autoRedefine/>
    <w:qFormat/>
    <w:uiPriority w:val="0"/>
    <w:pPr>
      <w:widowControl w:val="0"/>
      <w:jc w:val="both"/>
    </w:pPr>
    <w:rPr>
      <w:rFonts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
    <w:name w:val="网格型3"/>
    <w:basedOn w:val="17"/>
    <w:autoRedefine/>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3">
    <w:name w:val="网格型172"/>
    <w:basedOn w:val="17"/>
    <w:autoRedefine/>
    <w:qFormat/>
    <w:uiPriority w:val="0"/>
    <w:pPr>
      <w:widowControl w:val="0"/>
      <w:adjustRightInd w:val="0"/>
      <w:snapToGrid w:val="0"/>
      <w:jc w:val="center"/>
    </w:pPr>
    <w:rPr>
      <w:rFonts w:eastAsia="方正仿宋_GB2312"/>
    </w:rPr>
    <w:tblPr>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
    <w:trPr>
      <w:jc w:val="center"/>
    </w:trPr>
    <w:tcPr>
      <w:vAlign w:val="center"/>
    </w:tcPr>
    <w:tblStylePr w:type="firstRow">
      <w:pPr>
        <w:jc w:val="center"/>
      </w:pPr>
      <w:rPr>
        <w:rFonts w:ascii="Times New Roman" w:hAnsi="Times New Roman"/>
        <w:b/>
        <w:sz w:val="21"/>
      </w:rPr>
      <w:tcPr>
        <w:tcBorders>
          <w:top w:val="nil"/>
          <w:left w:val="nil"/>
          <w:bottom w:val="nil"/>
          <w:right w:val="nil"/>
          <w:insideH w:val="nil"/>
          <w:insideV w:val="nil"/>
          <w:tl2br w:val="nil"/>
          <w:tr2bl w:val="nil"/>
        </w:tcBorders>
      </w:tcPr>
    </w:tblStylePr>
  </w:style>
  <w:style w:type="table" w:customStyle="1" w:styleId="34">
    <w:name w:val="网格型17"/>
    <w:basedOn w:val="17"/>
    <w:autoRedefine/>
    <w:qFormat/>
    <w:uiPriority w:val="0"/>
    <w:pPr>
      <w:widowControl w:val="0"/>
      <w:adjustRightInd w:val="0"/>
      <w:snapToGrid w:val="0"/>
      <w:jc w:val="center"/>
    </w:pPr>
    <w:rPr>
      <w:rFonts w:eastAsia="方正仿宋_GB2312"/>
    </w:rPr>
    <w:tblPr>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
    <w:trPr>
      <w:jc w:val="center"/>
    </w:trPr>
    <w:tcPr>
      <w:vAlign w:val="center"/>
    </w:tcPr>
    <w:tblStylePr w:type="firstRow">
      <w:pPr>
        <w:jc w:val="center"/>
      </w:pPr>
      <w:rPr>
        <w:rFonts w:ascii="Times New Roman" w:hAnsi="Times New Roman"/>
        <w:b/>
        <w:sz w:val="21"/>
      </w:rPr>
      <w:tcPr>
        <w:tcBorders>
          <w:top w:val="nil"/>
          <w:left w:val="nil"/>
          <w:bottom w:val="nil"/>
          <w:right w:val="nil"/>
          <w:insideH w:val="nil"/>
          <w:insideV w:val="nil"/>
          <w:tl2br w:val="nil"/>
          <w:tr2bl w:val="nil"/>
        </w:tcBorders>
      </w:tcPr>
    </w:tblStylePr>
  </w:style>
  <w:style w:type="table" w:customStyle="1" w:styleId="35">
    <w:name w:val="网格型173"/>
    <w:basedOn w:val="17"/>
    <w:autoRedefine/>
    <w:qFormat/>
    <w:uiPriority w:val="0"/>
    <w:pPr>
      <w:widowControl w:val="0"/>
      <w:adjustRightInd w:val="0"/>
      <w:snapToGrid w:val="0"/>
      <w:jc w:val="center"/>
    </w:pPr>
    <w:rPr>
      <w:rFonts w:eastAsia="方正仿宋_GB2312"/>
    </w:rPr>
    <w:tblPr>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
    <w:trPr>
      <w:jc w:val="center"/>
    </w:trPr>
    <w:tcPr>
      <w:vAlign w:val="center"/>
    </w:tcPr>
    <w:tblStylePr w:type="firstRow">
      <w:pPr>
        <w:jc w:val="center"/>
      </w:pPr>
      <w:rPr>
        <w:rFonts w:ascii="Times New Roman" w:hAnsi="Times New Roman"/>
        <w:b/>
        <w:sz w:val="21"/>
      </w:rPr>
      <w:tcPr>
        <w:tcBorders>
          <w:top w:val="nil"/>
          <w:left w:val="nil"/>
          <w:bottom w:val="nil"/>
          <w:right w:val="nil"/>
          <w:insideH w:val="nil"/>
          <w:insideV w:val="nil"/>
          <w:tl2br w:val="nil"/>
          <w:tr2bl w:val="nil"/>
        </w:tcBorders>
      </w:tcPr>
    </w:tblStylePr>
  </w:style>
  <w:style w:type="table" w:customStyle="1" w:styleId="36">
    <w:name w:val="网格型22"/>
    <w:basedOn w:val="17"/>
    <w:autoRedefine/>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7">
    <w:name w:val="表格类型1"/>
    <w:basedOn w:val="17"/>
    <w:autoRedefine/>
    <w:qFormat/>
    <w:uiPriority w:val="39"/>
    <w:pPr>
      <w:widowControl w:val="0"/>
      <w:jc w:val="both"/>
    </w:pPr>
    <w:rPr>
      <w:rFonts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8">
    <w:name w:val="网格型171"/>
    <w:basedOn w:val="17"/>
    <w:autoRedefine/>
    <w:qFormat/>
    <w:uiPriority w:val="0"/>
    <w:pPr>
      <w:widowControl w:val="0"/>
      <w:adjustRightInd w:val="0"/>
      <w:snapToGrid w:val="0"/>
      <w:jc w:val="center"/>
    </w:pPr>
    <w:rPr>
      <w:rFonts w:eastAsia="方正仿宋_GB2312"/>
    </w:rPr>
    <w:tblPr>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
    <w:trPr>
      <w:jc w:val="center"/>
    </w:trPr>
    <w:tcPr>
      <w:vAlign w:val="center"/>
    </w:tcPr>
    <w:tblStylePr w:type="firstRow">
      <w:pPr>
        <w:jc w:val="center"/>
      </w:pPr>
      <w:rPr>
        <w:rFonts w:ascii="Times New Roman" w:hAnsi="Times New Roman"/>
        <w:b/>
        <w:sz w:val="21"/>
      </w:rPr>
      <w:tcPr>
        <w:tcBorders>
          <w:top w:val="nil"/>
          <w:left w:val="nil"/>
          <w:bottom w:val="nil"/>
          <w:right w:val="nil"/>
          <w:insideH w:val="nil"/>
          <w:insideV w:val="nil"/>
          <w:tl2br w:val="nil"/>
          <w:tr2bl w:val="nil"/>
        </w:tcBorders>
      </w:tcPr>
    </w:tblStylePr>
  </w:style>
  <w:style w:type="table" w:customStyle="1" w:styleId="39">
    <w:name w:val="网格型2"/>
    <w:basedOn w:val="17"/>
    <w:autoRedefine/>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0">
    <w:name w:val="表格类型11"/>
    <w:basedOn w:val="17"/>
    <w:autoRedefine/>
    <w:qFormat/>
    <w:uiPriority w:val="39"/>
    <w:pPr>
      <w:widowControl w:val="0"/>
      <w:jc w:val="both"/>
    </w:pPr>
    <w:rPr>
      <w:rFonts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1">
    <w:name w:val="网格型4"/>
    <w:basedOn w:val="17"/>
    <w:autoRedefine/>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2">
    <w:name w:val="网格型23"/>
    <w:basedOn w:val="17"/>
    <w:autoRedefine/>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3">
    <w:name w:val="表格主题3"/>
    <w:basedOn w:val="17"/>
    <w:autoRedefine/>
    <w:qFormat/>
    <w:uiPriority w:val="0"/>
    <w:pPr>
      <w:widowControl w:val="0"/>
      <w:jc w:val="both"/>
    </w:pPr>
    <w:rPr>
      <w:rFonts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4">
    <w:name w:val="表格类型12"/>
    <w:basedOn w:val="17"/>
    <w:autoRedefine/>
    <w:qFormat/>
    <w:uiPriority w:val="39"/>
    <w:pPr>
      <w:widowControl w:val="0"/>
      <w:jc w:val="both"/>
    </w:pPr>
    <w:rPr>
      <w:rFonts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5">
    <w:name w:val="网格型5"/>
    <w:basedOn w:val="17"/>
    <w:autoRedefine/>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6">
    <w:name w:val="表格主题2"/>
    <w:basedOn w:val="17"/>
    <w:autoRedefine/>
    <w:qFormat/>
    <w:uiPriority w:val="0"/>
    <w:pPr>
      <w:widowControl w:val="0"/>
      <w:jc w:val="both"/>
    </w:pPr>
    <w:rPr>
      <w:rFonts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7">
    <w:name w:val="网格型21"/>
    <w:basedOn w:val="17"/>
    <w:autoRedefine/>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8">
    <w:name w:val="Table Normal"/>
    <w:basedOn w:val="17"/>
    <w:autoRedefine/>
    <w:unhideWhenUsed/>
    <w:qFormat/>
    <w:uiPriority w:val="2"/>
    <w:tblPr>
      <w:tblCellMar>
        <w:top w:w="0" w:type="dxa"/>
        <w:left w:w="0" w:type="dxa"/>
        <w:bottom w:w="0" w:type="dxa"/>
        <w:right w:w="0" w:type="dxa"/>
      </w:tblCellMar>
    </w:tblPr>
  </w:style>
  <w:style w:type="paragraph" w:customStyle="1" w:styleId="49">
    <w:name w:val="修订1"/>
    <w:autoRedefine/>
    <w:hidden/>
    <w:semiHidden/>
    <w:qFormat/>
    <w:uiPriority w:val="99"/>
    <w:rPr>
      <w:rFonts w:ascii="Times New Roman" w:hAnsi="Times New Roman" w:eastAsia="宋体" w:cs="Times New Roman"/>
      <w:kern w:val="2"/>
      <w:sz w:val="21"/>
      <w:szCs w:val="21"/>
      <w:lang w:val="en-US" w:eastAsia="zh-CN" w:bidi="ar-SA"/>
    </w:rPr>
  </w:style>
  <w:style w:type="paragraph" w:customStyle="1" w:styleId="50">
    <w:name w:val="正文张"/>
    <w:basedOn w:val="1"/>
    <w:link w:val="51"/>
    <w:autoRedefine/>
    <w:qFormat/>
    <w:uiPriority w:val="0"/>
    <w:pPr>
      <w:spacing w:line="360" w:lineRule="auto"/>
      <w:ind w:firstLine="1440" w:firstLineChars="200"/>
    </w:pPr>
    <w:rPr>
      <w:sz w:val="24"/>
    </w:rPr>
  </w:style>
  <w:style w:type="character" w:customStyle="1" w:styleId="51">
    <w:name w:val="正文张 Char"/>
    <w:link w:val="50"/>
    <w:autoRedefine/>
    <w:qFormat/>
    <w:uiPriority w:val="0"/>
    <w:rPr>
      <w:rFonts w:ascii="Times New Roman" w:hAnsi="Times New Roman" w:eastAsia="宋体"/>
      <w:color w:val="auto"/>
      <w:sz w:val="24"/>
    </w:rPr>
  </w:style>
  <w:style w:type="paragraph" w:customStyle="1" w:styleId="52">
    <w:name w:val="表头加粗"/>
    <w:basedOn w:val="1"/>
    <w:link w:val="55"/>
    <w:qFormat/>
    <w:uiPriority w:val="0"/>
    <w:pPr>
      <w:spacing w:line="240" w:lineRule="auto"/>
      <w:jc w:val="center"/>
    </w:pPr>
    <w:rPr>
      <w:b/>
      <w:bCs/>
    </w:rPr>
  </w:style>
  <w:style w:type="character" w:customStyle="1" w:styleId="53">
    <w:name w:val="正文文本 Char"/>
    <w:basedOn w:val="20"/>
    <w:link w:val="9"/>
    <w:qFormat/>
    <w:uiPriority w:val="0"/>
    <w:rPr>
      <w:rFonts w:ascii="Times New Roman" w:hAnsi="Times New Roman" w:eastAsia="宋体" w:cs="Times New Roman"/>
      <w:sz w:val="24"/>
      <w:szCs w:val="20"/>
    </w:rPr>
  </w:style>
  <w:style w:type="paragraph" w:customStyle="1" w:styleId="54">
    <w:name w:val="表格正文张"/>
    <w:basedOn w:val="1"/>
    <w:link w:val="56"/>
    <w:autoRedefine/>
    <w:qFormat/>
    <w:uiPriority w:val="0"/>
    <w:pPr>
      <w:spacing w:line="240" w:lineRule="auto"/>
      <w:jc w:val="center"/>
    </w:pPr>
  </w:style>
  <w:style w:type="character" w:customStyle="1" w:styleId="55">
    <w:name w:val="表头加粗 Char"/>
    <w:link w:val="52"/>
    <w:qFormat/>
    <w:uiPriority w:val="0"/>
    <w:rPr>
      <w:b/>
      <w:bCs/>
    </w:rPr>
  </w:style>
  <w:style w:type="character" w:customStyle="1" w:styleId="56">
    <w:name w:val="表格正文张 Char"/>
    <w:link w:val="54"/>
    <w:qFormat/>
    <w:uiPriority w:val="0"/>
  </w:style>
  <w:style w:type="table" w:customStyle="1" w:styleId="57">
    <w:name w:val="环评表格"/>
    <w:basedOn w:val="19"/>
    <w:qFormat/>
    <w:uiPriority w:val="0"/>
    <w:pPr>
      <w:jc w:val="center"/>
    </w:pPr>
    <w:tblPr>
      <w:tblBorders>
        <w:top w:val="single" w:color="auto" w:sz="12" w:space="0"/>
        <w:bottom w:val="single" w:color="auto" w:sz="12" w:space="0"/>
        <w:insideH w:val="single" w:color="auto" w:sz="4" w:space="0"/>
        <w:insideV w:val="single" w:color="auto" w:sz="4" w:space="0"/>
      </w:tblBorders>
      <w:tblCellMar>
        <w:top w:w="0" w:type="dxa"/>
        <w:left w:w="108" w:type="dxa"/>
        <w:bottom w:w="0" w:type="dxa"/>
        <w:right w:w="108" w:type="dxa"/>
      </w:tblCellMar>
    </w:tblPr>
    <w:tcPr>
      <w:vAlign w:val="center"/>
    </w:tcPr>
  </w:style>
  <w:style w:type="character" w:customStyle="1" w:styleId="58">
    <w:name w:val="批注文字 Char"/>
    <w:basedOn w:val="20"/>
    <w:link w:val="8"/>
    <w:qFormat/>
    <w:uiPriority w:val="0"/>
    <w:rPr>
      <w:kern w:val="2"/>
      <w:sz w:val="21"/>
      <w:szCs w:val="21"/>
    </w:rPr>
  </w:style>
  <w:style w:type="character" w:customStyle="1" w:styleId="59">
    <w:name w:val="批注框文本 Char"/>
    <w:basedOn w:val="20"/>
    <w:link w:val="11"/>
    <w:qFormat/>
    <w:uiPriority w:val="0"/>
    <w:rPr>
      <w:kern w:val="2"/>
      <w:sz w:val="18"/>
      <w:szCs w:val="18"/>
    </w:rPr>
  </w:style>
  <w:style w:type="character" w:customStyle="1" w:styleId="60">
    <w:name w:val="批注主题 Char"/>
    <w:basedOn w:val="58"/>
    <w:link w:val="16"/>
    <w:qFormat/>
    <w:uiPriority w:val="0"/>
    <w:rPr>
      <w:b/>
      <w:bCs/>
      <w:kern w:val="2"/>
      <w:sz w:val="21"/>
      <w:szCs w:val="21"/>
    </w:rPr>
  </w:style>
  <w:style w:type="character" w:customStyle="1" w:styleId="61">
    <w:name w:val="font21"/>
    <w:basedOn w:val="20"/>
    <w:qFormat/>
    <w:uiPriority w:val="0"/>
    <w:rPr>
      <w:rFonts w:hint="eastAsia" w:ascii="宋体" w:hAnsi="宋体" w:eastAsia="宋体" w:cs="宋体"/>
      <w:color w:val="0000FF"/>
      <w:sz w:val="21"/>
      <w:szCs w:val="21"/>
      <w:u w:val="none"/>
    </w:rPr>
  </w:style>
  <w:style w:type="character" w:customStyle="1" w:styleId="62">
    <w:name w:val="font11"/>
    <w:basedOn w:val="20"/>
    <w:qFormat/>
    <w:uiPriority w:val="0"/>
    <w:rPr>
      <w:rFonts w:hint="default" w:ascii="Times New Roman" w:hAnsi="Times New Roman" w:cs="Times New Roman"/>
      <w:color w:val="0000FF"/>
      <w:sz w:val="21"/>
      <w:szCs w:val="21"/>
      <w:u w:val="none"/>
    </w:rPr>
  </w:style>
  <w:style w:type="character" w:customStyle="1" w:styleId="63">
    <w:name w:val="font31"/>
    <w:basedOn w:val="20"/>
    <w:qFormat/>
    <w:uiPriority w:val="0"/>
    <w:rPr>
      <w:rFonts w:hint="default" w:ascii="Times New Roman" w:hAnsi="Times New Roman" w:cs="Times New Roman"/>
      <w:color w:val="0000FF"/>
      <w:sz w:val="21"/>
      <w:szCs w:val="21"/>
      <w:u w:val="none"/>
      <w:vertAlign w:val="superscript"/>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4" Type="http://schemas.openxmlformats.org/officeDocument/2006/relationships/fontTable" Target="fontTable.xml"/><Relationship Id="rId33" Type="http://schemas.openxmlformats.org/officeDocument/2006/relationships/numbering" Target="numbering.xml"/><Relationship Id="rId32" Type="http://schemas.openxmlformats.org/officeDocument/2006/relationships/customXml" Target="../customXml/item1.xml"/><Relationship Id="rId31" Type="http://schemas.openxmlformats.org/officeDocument/2006/relationships/image" Target="media/image13.wmf"/><Relationship Id="rId30" Type="http://schemas.openxmlformats.org/officeDocument/2006/relationships/oleObject" Target="embeddings/oleObject9.bin"/><Relationship Id="rId3" Type="http://schemas.openxmlformats.org/officeDocument/2006/relationships/footnotes" Target="footnotes.xml"/><Relationship Id="rId29" Type="http://schemas.openxmlformats.org/officeDocument/2006/relationships/image" Target="media/image12.wmf"/><Relationship Id="rId28" Type="http://schemas.openxmlformats.org/officeDocument/2006/relationships/oleObject" Target="embeddings/oleObject8.bin"/><Relationship Id="rId27" Type="http://schemas.openxmlformats.org/officeDocument/2006/relationships/image" Target="media/image11.wmf"/><Relationship Id="rId26" Type="http://schemas.openxmlformats.org/officeDocument/2006/relationships/oleObject" Target="embeddings/oleObject7.bin"/><Relationship Id="rId25" Type="http://schemas.openxmlformats.org/officeDocument/2006/relationships/image" Target="media/image10.wmf"/><Relationship Id="rId24" Type="http://schemas.openxmlformats.org/officeDocument/2006/relationships/oleObject" Target="embeddings/oleObject6.bin"/><Relationship Id="rId23" Type="http://schemas.openxmlformats.org/officeDocument/2006/relationships/image" Target="media/image9.wmf"/><Relationship Id="rId22" Type="http://schemas.openxmlformats.org/officeDocument/2006/relationships/oleObject" Target="embeddings/oleObject5.bin"/><Relationship Id="rId21" Type="http://schemas.openxmlformats.org/officeDocument/2006/relationships/image" Target="media/image8.wmf"/><Relationship Id="rId20" Type="http://schemas.openxmlformats.org/officeDocument/2006/relationships/oleObject" Target="embeddings/oleObject4.bin"/><Relationship Id="rId2" Type="http://schemas.openxmlformats.org/officeDocument/2006/relationships/settings" Target="settings.xml"/><Relationship Id="rId19" Type="http://schemas.openxmlformats.org/officeDocument/2006/relationships/image" Target="media/image7.wmf"/><Relationship Id="rId18" Type="http://schemas.openxmlformats.org/officeDocument/2006/relationships/oleObject" Target="embeddings/oleObject3.bin"/><Relationship Id="rId17" Type="http://schemas.openxmlformats.org/officeDocument/2006/relationships/image" Target="media/image6.wmf"/><Relationship Id="rId16" Type="http://schemas.openxmlformats.org/officeDocument/2006/relationships/oleObject" Target="embeddings/oleObject2.bin"/><Relationship Id="rId15" Type="http://schemas.openxmlformats.org/officeDocument/2006/relationships/image" Target="media/image5.wmf"/><Relationship Id="rId14" Type="http://schemas.openxmlformats.org/officeDocument/2006/relationships/oleObject" Target="embeddings/oleObject1.bin"/><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71</Pages>
  <Words>21025</Words>
  <Characters>23151</Characters>
  <Lines>491</Lines>
  <Paragraphs>138</Paragraphs>
  <TotalTime>0</TotalTime>
  <ScaleCrop>false</ScaleCrop>
  <LinksUpToDate>false</LinksUpToDate>
  <CharactersWithSpaces>23388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2025-09-25T03:31:00Z</dcterms:created>
  <dc:creator>lg</dc:creator>
  <cp:lastModifiedBy>门一海</cp:lastModifiedBy>
  <cp:lastPrinted>2023-09-22T06:57:00Z</cp:lastPrinted>
  <dcterms:modified xsi:type="dcterms:W3CDTF">2025-11-24T01:48:58Z</dcterms:modified>
  <dc:title>建设项目环境影响报告表（污染影响类）</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58F8A6CF7B5E444481E37FAAC11A2877_13</vt:lpwstr>
  </property>
  <property fmtid="{D5CDD505-2E9C-101B-9397-08002B2CF9AE}" pid="4" name="KSOTemplateDocerSaveRecord">
    <vt:lpwstr>eyJoZGlkIjoiYTg0YzY5YzEyNTE1MTZmNzAwOWZhZWRmN2Y0YmEzYWYiLCJ1c2VySWQiOiI4ODE2OTY1MzMifQ==</vt:lpwstr>
  </property>
</Properties>
</file>