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E87C6">
      <w:pPr>
        <w:adjustRightInd w:val="0"/>
        <w:snapToGrid w:val="0"/>
        <w:spacing w:line="288" w:lineRule="auto"/>
        <w:ind w:firstLine="0" w:firstLineChars="0"/>
        <w:rPr>
          <w:color w:val="auto"/>
          <w:sz w:val="72"/>
          <w:szCs w:val="72"/>
        </w:rPr>
      </w:pPr>
    </w:p>
    <w:p w14:paraId="0BC34565">
      <w:pPr>
        <w:adjustRightInd w:val="0"/>
        <w:snapToGrid w:val="0"/>
        <w:spacing w:line="288" w:lineRule="auto"/>
        <w:ind w:firstLine="0" w:firstLineChars="0"/>
        <w:jc w:val="center"/>
        <w:rPr>
          <w:color w:val="auto"/>
          <w:sz w:val="72"/>
          <w:szCs w:val="72"/>
        </w:rPr>
      </w:pPr>
    </w:p>
    <w:p w14:paraId="7AB552F8">
      <w:pPr>
        <w:adjustRightInd w:val="0"/>
        <w:snapToGrid w:val="0"/>
        <w:spacing w:line="288" w:lineRule="auto"/>
        <w:ind w:firstLine="0" w:firstLineChars="0"/>
        <w:jc w:val="center"/>
        <w:rPr>
          <w:b/>
          <w:color w:val="auto"/>
          <w:sz w:val="72"/>
          <w:szCs w:val="72"/>
        </w:rPr>
      </w:pPr>
      <w:r>
        <w:rPr>
          <w:b/>
          <w:color w:val="auto"/>
          <w:sz w:val="72"/>
          <w:szCs w:val="72"/>
        </w:rPr>
        <w:t>建设项目环境影响报告表</w:t>
      </w:r>
    </w:p>
    <w:p w14:paraId="3DE75772">
      <w:pPr>
        <w:adjustRightInd w:val="0"/>
        <w:snapToGrid w:val="0"/>
        <w:spacing w:line="288" w:lineRule="auto"/>
        <w:ind w:firstLine="0" w:firstLineChars="0"/>
        <w:jc w:val="center"/>
        <w:rPr>
          <w:b/>
          <w:color w:val="auto"/>
          <w:sz w:val="72"/>
          <w:szCs w:val="72"/>
        </w:rPr>
      </w:pPr>
      <w:r>
        <w:rPr>
          <w:b/>
          <w:color w:val="auto"/>
          <w:sz w:val="72"/>
          <w:szCs w:val="72"/>
        </w:rPr>
        <w:t>（污染影响类）</w:t>
      </w:r>
    </w:p>
    <w:p w14:paraId="6C2647AD">
      <w:pPr>
        <w:adjustRightInd w:val="0"/>
        <w:snapToGrid w:val="0"/>
        <w:spacing w:line="288" w:lineRule="auto"/>
        <w:ind w:firstLine="720"/>
        <w:rPr>
          <w:color w:val="auto"/>
          <w:sz w:val="36"/>
          <w:szCs w:val="36"/>
        </w:rPr>
      </w:pPr>
    </w:p>
    <w:p w14:paraId="11F0821E">
      <w:pPr>
        <w:adjustRightInd w:val="0"/>
        <w:snapToGrid w:val="0"/>
        <w:spacing w:line="288" w:lineRule="auto"/>
        <w:ind w:firstLine="720"/>
        <w:rPr>
          <w:color w:val="auto"/>
          <w:sz w:val="36"/>
          <w:szCs w:val="36"/>
        </w:rPr>
      </w:pPr>
    </w:p>
    <w:p w14:paraId="0B59C215">
      <w:pPr>
        <w:adjustRightInd w:val="0"/>
        <w:snapToGrid w:val="0"/>
        <w:spacing w:line="288" w:lineRule="auto"/>
        <w:ind w:firstLine="720"/>
        <w:rPr>
          <w:color w:val="auto"/>
          <w:sz w:val="36"/>
          <w:szCs w:val="36"/>
        </w:rPr>
      </w:pPr>
    </w:p>
    <w:p w14:paraId="46918F2D">
      <w:pPr>
        <w:adjustRightInd w:val="0"/>
        <w:snapToGrid w:val="0"/>
        <w:spacing w:line="288" w:lineRule="auto"/>
        <w:ind w:firstLine="720"/>
        <w:rPr>
          <w:color w:val="auto"/>
          <w:sz w:val="36"/>
          <w:szCs w:val="36"/>
        </w:rPr>
      </w:pPr>
    </w:p>
    <w:p w14:paraId="119179A7">
      <w:pPr>
        <w:pStyle w:val="14"/>
        <w:ind w:firstLine="360"/>
        <w:rPr>
          <w:color w:val="auto"/>
        </w:rPr>
      </w:pPr>
    </w:p>
    <w:p w14:paraId="623230D1">
      <w:pPr>
        <w:pStyle w:val="15"/>
        <w:numPr>
          <w:ilvl w:val="0"/>
          <w:numId w:val="0"/>
        </w:numPr>
        <w:ind w:left="2520"/>
        <w:rPr>
          <w:color w:val="auto"/>
        </w:rPr>
      </w:pPr>
    </w:p>
    <w:p w14:paraId="2C1DD22B">
      <w:pPr>
        <w:adjustRightInd w:val="0"/>
        <w:snapToGrid w:val="0"/>
        <w:spacing w:line="700" w:lineRule="exact"/>
        <w:ind w:firstLine="1280" w:firstLineChars="400"/>
        <w:rPr>
          <w:rFonts w:hint="default" w:eastAsia="宋体"/>
          <w:b w:val="0"/>
          <w:bCs/>
          <w:color w:val="auto"/>
          <w:sz w:val="32"/>
          <w:szCs w:val="36"/>
          <w:lang w:val="en-US" w:eastAsia="zh-CN"/>
        </w:rPr>
      </w:pPr>
      <w:r>
        <w:rPr>
          <w:b w:val="0"/>
          <w:bCs/>
          <w:color w:val="auto"/>
          <w:sz w:val="32"/>
          <w:szCs w:val="36"/>
        </w:rPr>
        <w:t>项目名称：</w:t>
      </w:r>
      <w:r>
        <w:rPr>
          <w:rFonts w:hint="eastAsia"/>
          <w:b w:val="0"/>
          <w:bCs/>
          <w:color w:val="auto"/>
          <w:sz w:val="32"/>
          <w:szCs w:val="36"/>
          <w:u w:val="single"/>
          <w:lang w:val="en-US" w:eastAsia="zh-CN"/>
        </w:rPr>
        <w:t xml:space="preserve">     </w:t>
      </w:r>
      <w:r>
        <w:rPr>
          <w:rFonts w:hint="eastAsia"/>
          <w:b w:val="0"/>
          <w:bCs/>
          <w:color w:val="auto"/>
          <w:sz w:val="32"/>
          <w:szCs w:val="36"/>
          <w:u w:val="single"/>
          <w:lang w:eastAsia="zh-CN"/>
        </w:rPr>
        <w:t>年产3000万米化纤面料项目</w:t>
      </w:r>
      <w:r>
        <w:rPr>
          <w:rFonts w:hint="eastAsia"/>
          <w:b w:val="0"/>
          <w:bCs/>
          <w:color w:val="auto"/>
          <w:sz w:val="32"/>
          <w:szCs w:val="36"/>
          <w:u w:val="single"/>
          <w:lang w:val="en-US" w:eastAsia="zh-CN"/>
        </w:rPr>
        <w:t xml:space="preserve">    </w:t>
      </w:r>
    </w:p>
    <w:p w14:paraId="7FABBF8A">
      <w:pPr>
        <w:adjustRightInd w:val="0"/>
        <w:snapToGrid w:val="0"/>
        <w:spacing w:line="700" w:lineRule="exact"/>
        <w:ind w:firstLine="1280" w:firstLineChars="400"/>
        <w:rPr>
          <w:rFonts w:hint="default" w:eastAsia="宋体"/>
          <w:b w:val="0"/>
          <w:bCs/>
          <w:color w:val="auto"/>
          <w:sz w:val="32"/>
          <w:szCs w:val="36"/>
          <w:u w:val="single"/>
          <w:lang w:val="en-US" w:eastAsia="zh-CN"/>
        </w:rPr>
      </w:pPr>
      <w:r>
        <w:rPr>
          <w:b w:val="0"/>
          <w:bCs/>
          <w:color w:val="auto"/>
          <w:sz w:val="32"/>
          <w:szCs w:val="36"/>
        </w:rPr>
        <w:t>建设单位（盖章）</w:t>
      </w:r>
      <w:r>
        <w:rPr>
          <w:rFonts w:hint="eastAsia"/>
          <w:b w:val="0"/>
          <w:bCs/>
          <w:color w:val="auto"/>
          <w:sz w:val="32"/>
          <w:szCs w:val="36"/>
        </w:rPr>
        <w:t>：</w:t>
      </w:r>
      <w:r>
        <w:rPr>
          <w:rFonts w:hint="eastAsia"/>
          <w:b w:val="0"/>
          <w:bCs/>
          <w:color w:val="auto"/>
          <w:sz w:val="32"/>
          <w:szCs w:val="36"/>
          <w:u w:val="single"/>
          <w:lang w:val="en-US" w:eastAsia="zh-CN"/>
        </w:rPr>
        <w:t xml:space="preserve">   </w:t>
      </w:r>
      <w:r>
        <w:rPr>
          <w:rFonts w:hint="eastAsia"/>
          <w:b w:val="0"/>
          <w:bCs/>
          <w:color w:val="auto"/>
          <w:sz w:val="32"/>
          <w:szCs w:val="36"/>
          <w:u w:val="single"/>
          <w:lang w:eastAsia="zh-CN"/>
        </w:rPr>
        <w:t>江苏青煊纺织有限公司</w:t>
      </w:r>
      <w:r>
        <w:rPr>
          <w:rFonts w:hint="eastAsia"/>
          <w:b w:val="0"/>
          <w:bCs/>
          <w:color w:val="auto"/>
          <w:sz w:val="32"/>
          <w:szCs w:val="36"/>
          <w:u w:val="single"/>
          <w:lang w:val="en-US" w:eastAsia="zh-CN"/>
        </w:rPr>
        <w:t xml:space="preserve">   </w:t>
      </w:r>
    </w:p>
    <w:p w14:paraId="33A14404">
      <w:pPr>
        <w:adjustRightInd w:val="0"/>
        <w:snapToGrid w:val="0"/>
        <w:spacing w:line="700" w:lineRule="exact"/>
        <w:ind w:firstLine="1280" w:firstLineChars="400"/>
        <w:rPr>
          <w:rFonts w:hint="default" w:eastAsia="宋体"/>
          <w:b w:val="0"/>
          <w:bCs/>
          <w:color w:val="auto"/>
          <w:sz w:val="36"/>
          <w:szCs w:val="36"/>
          <w:lang w:val="en-US" w:eastAsia="zh-CN"/>
        </w:rPr>
      </w:pPr>
      <w:r>
        <w:rPr>
          <w:b w:val="0"/>
          <w:bCs/>
          <w:color w:val="auto"/>
          <w:sz w:val="32"/>
          <w:szCs w:val="36"/>
        </w:rPr>
        <w:t>编制日期：</w:t>
      </w:r>
      <w:r>
        <w:rPr>
          <w:rFonts w:hint="eastAsia"/>
          <w:b w:val="0"/>
          <w:bCs/>
          <w:color w:val="auto"/>
          <w:sz w:val="32"/>
          <w:szCs w:val="36"/>
          <w:u w:val="single"/>
          <w:lang w:val="en-US" w:eastAsia="zh-CN"/>
        </w:rPr>
        <w:t xml:space="preserve">            </w:t>
      </w:r>
      <w:r>
        <w:rPr>
          <w:b w:val="0"/>
          <w:bCs/>
          <w:color w:val="auto"/>
          <w:sz w:val="32"/>
          <w:szCs w:val="36"/>
          <w:u w:val="single"/>
        </w:rPr>
        <w:t>202</w:t>
      </w:r>
      <w:r>
        <w:rPr>
          <w:rFonts w:hint="eastAsia"/>
          <w:b w:val="0"/>
          <w:bCs/>
          <w:color w:val="auto"/>
          <w:sz w:val="32"/>
          <w:szCs w:val="36"/>
          <w:u w:val="single"/>
          <w:lang w:val="en-US" w:eastAsia="zh-CN"/>
        </w:rPr>
        <w:t>5</w:t>
      </w:r>
      <w:r>
        <w:rPr>
          <w:b w:val="0"/>
          <w:bCs/>
          <w:color w:val="auto"/>
          <w:sz w:val="32"/>
          <w:szCs w:val="36"/>
          <w:u w:val="single"/>
        </w:rPr>
        <w:t>年</w:t>
      </w:r>
      <w:r>
        <w:rPr>
          <w:rFonts w:hint="eastAsia"/>
          <w:b w:val="0"/>
          <w:bCs/>
          <w:color w:val="auto"/>
          <w:sz w:val="32"/>
          <w:szCs w:val="36"/>
          <w:u w:val="single"/>
          <w:lang w:val="en-US" w:eastAsia="zh-CN"/>
        </w:rPr>
        <w:t>11</w:t>
      </w:r>
      <w:r>
        <w:rPr>
          <w:b w:val="0"/>
          <w:bCs/>
          <w:color w:val="auto"/>
          <w:sz w:val="32"/>
          <w:szCs w:val="36"/>
          <w:u w:val="single"/>
        </w:rPr>
        <w:t>月</w:t>
      </w:r>
      <w:r>
        <w:rPr>
          <w:rFonts w:hint="eastAsia"/>
          <w:b w:val="0"/>
          <w:bCs/>
          <w:color w:val="auto"/>
          <w:sz w:val="32"/>
          <w:szCs w:val="36"/>
          <w:u w:val="single"/>
          <w:lang w:val="en-US" w:eastAsia="zh-CN"/>
        </w:rPr>
        <w:t xml:space="preserve">           </w:t>
      </w:r>
    </w:p>
    <w:p w14:paraId="0724FA8B">
      <w:pPr>
        <w:adjustRightInd w:val="0"/>
        <w:snapToGrid w:val="0"/>
        <w:spacing w:line="288" w:lineRule="auto"/>
        <w:rPr>
          <w:color w:val="auto"/>
          <w:sz w:val="36"/>
          <w:szCs w:val="36"/>
        </w:rPr>
      </w:pPr>
    </w:p>
    <w:p w14:paraId="7594C0A9">
      <w:pPr>
        <w:adjustRightInd w:val="0"/>
        <w:snapToGrid w:val="0"/>
        <w:spacing w:line="288" w:lineRule="auto"/>
        <w:ind w:firstLine="720"/>
        <w:rPr>
          <w:color w:val="auto"/>
          <w:sz w:val="36"/>
          <w:szCs w:val="36"/>
        </w:rPr>
      </w:pPr>
    </w:p>
    <w:p w14:paraId="7156EC73">
      <w:pPr>
        <w:pStyle w:val="14"/>
        <w:ind w:firstLine="360"/>
        <w:rPr>
          <w:color w:val="auto"/>
        </w:rPr>
      </w:pPr>
    </w:p>
    <w:p w14:paraId="71D2FD30">
      <w:pPr>
        <w:pStyle w:val="15"/>
        <w:numPr>
          <w:ilvl w:val="0"/>
          <w:numId w:val="0"/>
        </w:numPr>
        <w:ind w:left="2040" w:hanging="360"/>
        <w:rPr>
          <w:color w:val="auto"/>
        </w:rPr>
      </w:pPr>
    </w:p>
    <w:p w14:paraId="4A358A1C">
      <w:pPr>
        <w:pStyle w:val="15"/>
        <w:numPr>
          <w:ilvl w:val="0"/>
          <w:numId w:val="0"/>
        </w:numPr>
        <w:ind w:left="2040" w:hanging="360"/>
        <w:rPr>
          <w:color w:val="auto"/>
        </w:rPr>
      </w:pPr>
    </w:p>
    <w:p w14:paraId="031FEEB8">
      <w:pPr>
        <w:pStyle w:val="15"/>
        <w:numPr>
          <w:ilvl w:val="0"/>
          <w:numId w:val="0"/>
        </w:numPr>
        <w:ind w:left="2040" w:hanging="360"/>
        <w:rPr>
          <w:color w:val="auto"/>
        </w:rPr>
      </w:pPr>
    </w:p>
    <w:p w14:paraId="7424FC09">
      <w:pPr>
        <w:adjustRightInd w:val="0"/>
        <w:snapToGrid w:val="0"/>
        <w:spacing w:line="288" w:lineRule="auto"/>
        <w:ind w:firstLine="0" w:firstLineChars="0"/>
        <w:jc w:val="center"/>
        <w:rPr>
          <w:b/>
          <w:color w:val="auto"/>
          <w:sz w:val="36"/>
          <w:szCs w:val="36"/>
        </w:rPr>
      </w:pPr>
      <w:r>
        <w:rPr>
          <w:b/>
          <w:color w:val="auto"/>
          <w:sz w:val="36"/>
          <w:szCs w:val="36"/>
        </w:rPr>
        <w:t>中华人民共和国生态环境部制</w:t>
      </w:r>
    </w:p>
    <w:p w14:paraId="1877C4DB">
      <w:pPr>
        <w:pStyle w:val="14"/>
        <w:ind w:firstLine="360"/>
        <w:rPr>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304" w:right="1304" w:bottom="1304" w:left="1304" w:header="851" w:footer="1077" w:gutter="0"/>
          <w:pgBorders>
            <w:top w:val="none" w:sz="0" w:space="0"/>
            <w:left w:val="none" w:sz="0" w:space="0"/>
            <w:bottom w:val="none" w:sz="0" w:space="0"/>
            <w:right w:val="none" w:sz="0" w:space="0"/>
          </w:pgBorders>
          <w:pgNumType w:start="1"/>
          <w:cols w:space="720" w:num="1"/>
          <w:docGrid w:linePitch="312" w:charSpace="0"/>
        </w:sectPr>
      </w:pPr>
      <w:r>
        <w:rPr>
          <w:color w:val="auto"/>
        </w:rPr>
        <w:br w:type="page"/>
      </w:r>
    </w:p>
    <w:p w14:paraId="0EF542C8">
      <w:pPr>
        <w:spacing w:line="240" w:lineRule="auto"/>
        <w:ind w:firstLine="0" w:firstLineChars="0"/>
        <w:jc w:val="center"/>
        <w:rPr>
          <w:b/>
          <w:bCs/>
          <w:color w:val="auto"/>
          <w:sz w:val="30"/>
          <w:szCs w:val="30"/>
        </w:rPr>
      </w:pPr>
      <w:r>
        <w:rPr>
          <w:b/>
          <w:bCs/>
          <w:color w:val="auto"/>
          <w:sz w:val="30"/>
          <w:szCs w:val="30"/>
        </w:rPr>
        <w:t>目录</w:t>
      </w:r>
    </w:p>
    <w:p w14:paraId="614EF213">
      <w:pPr>
        <w:pStyle w:val="14"/>
        <w:ind w:firstLine="360"/>
        <w:rPr>
          <w:color w:val="auto"/>
        </w:rPr>
      </w:pPr>
    </w:p>
    <w:p w14:paraId="22169D53">
      <w:pPr>
        <w:pStyle w:val="174"/>
        <w:tabs>
          <w:tab w:val="right" w:leader="dot" w:pos="8844"/>
        </w:tabs>
        <w:spacing w:line="360" w:lineRule="auto"/>
        <w:rPr>
          <w:color w:val="auto"/>
          <w:sz w:val="24"/>
          <w:szCs w:val="24"/>
        </w:rPr>
      </w:pPr>
      <w:r>
        <w:rPr>
          <w:color w:val="auto"/>
          <w:sz w:val="24"/>
          <w:szCs w:val="24"/>
        </w:rPr>
        <w:fldChar w:fldCharType="begin"/>
      </w:r>
      <w:r>
        <w:rPr>
          <w:color w:val="auto"/>
          <w:sz w:val="24"/>
          <w:szCs w:val="24"/>
        </w:rPr>
        <w:instrText xml:space="preserve">TOC \o "1-2" \h \u </w:instrText>
      </w:r>
      <w:r>
        <w:rPr>
          <w:color w:val="auto"/>
          <w:sz w:val="24"/>
          <w:szCs w:val="24"/>
        </w:rPr>
        <w:fldChar w:fldCharType="separate"/>
      </w:r>
      <w:r>
        <w:rPr>
          <w:color w:val="auto"/>
        </w:rPr>
        <w:fldChar w:fldCharType="begin"/>
      </w:r>
      <w:r>
        <w:rPr>
          <w:color w:val="auto"/>
        </w:rPr>
        <w:instrText xml:space="preserve"> HYPERLINK \l "_Toc14278" </w:instrText>
      </w:r>
      <w:r>
        <w:rPr>
          <w:color w:val="auto"/>
        </w:rPr>
        <w:fldChar w:fldCharType="separate"/>
      </w:r>
      <w:r>
        <w:rPr>
          <w:snapToGrid w:val="0"/>
          <w:color w:val="auto"/>
          <w:sz w:val="24"/>
          <w:szCs w:val="24"/>
        </w:rPr>
        <w:t>一、建设项目基本情况</w:t>
      </w:r>
      <w:r>
        <w:rPr>
          <w:color w:val="auto"/>
          <w:sz w:val="24"/>
          <w:szCs w:val="24"/>
        </w:rPr>
        <w:tab/>
      </w:r>
      <w:r>
        <w:rPr>
          <w:color w:val="auto"/>
          <w:sz w:val="24"/>
          <w:szCs w:val="24"/>
        </w:rPr>
        <w:fldChar w:fldCharType="begin"/>
      </w:r>
      <w:r>
        <w:rPr>
          <w:color w:val="auto"/>
          <w:sz w:val="24"/>
          <w:szCs w:val="24"/>
        </w:rPr>
        <w:instrText xml:space="preserve"> PAGEREF _Toc14278 </w:instrText>
      </w:r>
      <w:r>
        <w:rPr>
          <w:color w:val="auto"/>
          <w:sz w:val="24"/>
          <w:szCs w:val="24"/>
        </w:rPr>
        <w:fldChar w:fldCharType="separate"/>
      </w:r>
      <w:r>
        <w:rPr>
          <w:color w:val="auto"/>
          <w:sz w:val="24"/>
          <w:szCs w:val="24"/>
        </w:rPr>
        <w:t>1</w:t>
      </w:r>
      <w:r>
        <w:rPr>
          <w:color w:val="auto"/>
          <w:sz w:val="24"/>
          <w:szCs w:val="24"/>
        </w:rPr>
        <w:fldChar w:fldCharType="end"/>
      </w:r>
      <w:r>
        <w:rPr>
          <w:color w:val="auto"/>
          <w:sz w:val="24"/>
          <w:szCs w:val="24"/>
        </w:rPr>
        <w:fldChar w:fldCharType="end"/>
      </w:r>
    </w:p>
    <w:p w14:paraId="662F6ED3">
      <w:pPr>
        <w:pStyle w:val="174"/>
        <w:tabs>
          <w:tab w:val="right" w:leader="dot" w:pos="8844"/>
        </w:tabs>
        <w:spacing w:line="360" w:lineRule="auto"/>
        <w:rPr>
          <w:color w:val="auto"/>
          <w:sz w:val="24"/>
          <w:szCs w:val="24"/>
        </w:rPr>
      </w:pPr>
      <w:r>
        <w:rPr>
          <w:color w:val="auto"/>
        </w:rPr>
        <w:fldChar w:fldCharType="begin"/>
      </w:r>
      <w:r>
        <w:rPr>
          <w:color w:val="auto"/>
        </w:rPr>
        <w:instrText xml:space="preserve"> HYPERLINK \l "_Toc29845" </w:instrText>
      </w:r>
      <w:r>
        <w:rPr>
          <w:color w:val="auto"/>
        </w:rPr>
        <w:fldChar w:fldCharType="separate"/>
      </w:r>
      <w:r>
        <w:rPr>
          <w:snapToGrid w:val="0"/>
          <w:color w:val="auto"/>
          <w:sz w:val="24"/>
          <w:szCs w:val="24"/>
        </w:rPr>
        <w:t>二、建设项目工程分析</w:t>
      </w:r>
      <w:r>
        <w:rPr>
          <w:color w:val="auto"/>
          <w:sz w:val="24"/>
          <w:szCs w:val="24"/>
        </w:rPr>
        <w:tab/>
      </w:r>
      <w:r>
        <w:rPr>
          <w:color w:val="auto"/>
          <w:sz w:val="24"/>
          <w:szCs w:val="24"/>
        </w:rPr>
        <w:fldChar w:fldCharType="begin"/>
      </w:r>
      <w:r>
        <w:rPr>
          <w:color w:val="auto"/>
          <w:sz w:val="24"/>
          <w:szCs w:val="24"/>
        </w:rPr>
        <w:instrText xml:space="preserve"> PAGEREF _Toc29845 </w:instrText>
      </w:r>
      <w:r>
        <w:rPr>
          <w:color w:val="auto"/>
          <w:sz w:val="24"/>
          <w:szCs w:val="24"/>
        </w:rPr>
        <w:fldChar w:fldCharType="separate"/>
      </w:r>
      <w:r>
        <w:rPr>
          <w:color w:val="auto"/>
          <w:sz w:val="24"/>
          <w:szCs w:val="24"/>
        </w:rPr>
        <w:t>15</w:t>
      </w:r>
      <w:r>
        <w:rPr>
          <w:color w:val="auto"/>
          <w:sz w:val="24"/>
          <w:szCs w:val="24"/>
        </w:rPr>
        <w:fldChar w:fldCharType="end"/>
      </w:r>
      <w:r>
        <w:rPr>
          <w:color w:val="auto"/>
          <w:sz w:val="24"/>
          <w:szCs w:val="24"/>
        </w:rPr>
        <w:fldChar w:fldCharType="end"/>
      </w:r>
    </w:p>
    <w:p w14:paraId="4EB8EC42">
      <w:pPr>
        <w:pStyle w:val="174"/>
        <w:tabs>
          <w:tab w:val="right" w:leader="dot" w:pos="8844"/>
        </w:tabs>
        <w:spacing w:line="360" w:lineRule="auto"/>
        <w:rPr>
          <w:color w:val="auto"/>
          <w:sz w:val="24"/>
          <w:szCs w:val="24"/>
        </w:rPr>
      </w:pPr>
      <w:r>
        <w:rPr>
          <w:color w:val="auto"/>
        </w:rPr>
        <w:fldChar w:fldCharType="begin"/>
      </w:r>
      <w:r>
        <w:rPr>
          <w:color w:val="auto"/>
        </w:rPr>
        <w:instrText xml:space="preserve"> HYPERLINK \l "_Toc13380" </w:instrText>
      </w:r>
      <w:r>
        <w:rPr>
          <w:color w:val="auto"/>
        </w:rPr>
        <w:fldChar w:fldCharType="separate"/>
      </w:r>
      <w:r>
        <w:rPr>
          <w:snapToGrid w:val="0"/>
          <w:color w:val="auto"/>
          <w:sz w:val="24"/>
          <w:szCs w:val="24"/>
        </w:rPr>
        <w:t>三、区域环境质量现状、环境保护目标及评价标准</w:t>
      </w:r>
      <w:r>
        <w:rPr>
          <w:color w:val="auto"/>
          <w:sz w:val="24"/>
          <w:szCs w:val="24"/>
        </w:rPr>
        <w:tab/>
      </w:r>
      <w:r>
        <w:rPr>
          <w:color w:val="auto"/>
          <w:sz w:val="24"/>
          <w:szCs w:val="24"/>
        </w:rPr>
        <w:fldChar w:fldCharType="begin"/>
      </w:r>
      <w:r>
        <w:rPr>
          <w:color w:val="auto"/>
          <w:sz w:val="24"/>
          <w:szCs w:val="24"/>
        </w:rPr>
        <w:instrText xml:space="preserve"> PAGEREF _Toc13380 </w:instrText>
      </w:r>
      <w:r>
        <w:rPr>
          <w:color w:val="auto"/>
          <w:sz w:val="24"/>
          <w:szCs w:val="24"/>
        </w:rPr>
        <w:fldChar w:fldCharType="separate"/>
      </w:r>
      <w:r>
        <w:rPr>
          <w:color w:val="auto"/>
          <w:sz w:val="24"/>
          <w:szCs w:val="24"/>
        </w:rPr>
        <w:t>23</w:t>
      </w:r>
      <w:r>
        <w:rPr>
          <w:color w:val="auto"/>
          <w:sz w:val="24"/>
          <w:szCs w:val="24"/>
        </w:rPr>
        <w:fldChar w:fldCharType="end"/>
      </w:r>
      <w:r>
        <w:rPr>
          <w:color w:val="auto"/>
          <w:sz w:val="24"/>
          <w:szCs w:val="24"/>
        </w:rPr>
        <w:fldChar w:fldCharType="end"/>
      </w:r>
    </w:p>
    <w:p w14:paraId="667EFC1C">
      <w:pPr>
        <w:pStyle w:val="174"/>
        <w:tabs>
          <w:tab w:val="right" w:leader="dot" w:pos="8844"/>
        </w:tabs>
        <w:spacing w:line="360" w:lineRule="auto"/>
        <w:rPr>
          <w:color w:val="auto"/>
          <w:sz w:val="24"/>
          <w:szCs w:val="24"/>
        </w:rPr>
      </w:pPr>
      <w:r>
        <w:rPr>
          <w:color w:val="auto"/>
        </w:rPr>
        <w:fldChar w:fldCharType="begin"/>
      </w:r>
      <w:r>
        <w:rPr>
          <w:color w:val="auto"/>
        </w:rPr>
        <w:instrText xml:space="preserve"> HYPERLINK \l "_Toc3460" </w:instrText>
      </w:r>
      <w:r>
        <w:rPr>
          <w:color w:val="auto"/>
        </w:rPr>
        <w:fldChar w:fldCharType="separate"/>
      </w:r>
      <w:r>
        <w:rPr>
          <w:snapToGrid w:val="0"/>
          <w:color w:val="auto"/>
          <w:sz w:val="24"/>
          <w:szCs w:val="24"/>
        </w:rPr>
        <w:t>四、主要环境影响和保护措施</w:t>
      </w:r>
      <w:r>
        <w:rPr>
          <w:color w:val="auto"/>
          <w:sz w:val="24"/>
          <w:szCs w:val="24"/>
        </w:rPr>
        <w:tab/>
      </w:r>
      <w:r>
        <w:rPr>
          <w:color w:val="auto"/>
          <w:sz w:val="24"/>
          <w:szCs w:val="24"/>
        </w:rPr>
        <w:fldChar w:fldCharType="begin"/>
      </w:r>
      <w:r>
        <w:rPr>
          <w:color w:val="auto"/>
          <w:sz w:val="24"/>
          <w:szCs w:val="24"/>
        </w:rPr>
        <w:instrText xml:space="preserve"> PAGEREF _Toc3460 </w:instrText>
      </w:r>
      <w:r>
        <w:rPr>
          <w:color w:val="auto"/>
          <w:sz w:val="24"/>
          <w:szCs w:val="24"/>
        </w:rPr>
        <w:fldChar w:fldCharType="separate"/>
      </w:r>
      <w:r>
        <w:rPr>
          <w:color w:val="auto"/>
          <w:sz w:val="24"/>
          <w:szCs w:val="24"/>
        </w:rPr>
        <w:t>28</w:t>
      </w:r>
      <w:r>
        <w:rPr>
          <w:color w:val="auto"/>
          <w:sz w:val="24"/>
          <w:szCs w:val="24"/>
        </w:rPr>
        <w:fldChar w:fldCharType="end"/>
      </w:r>
      <w:r>
        <w:rPr>
          <w:color w:val="auto"/>
          <w:sz w:val="24"/>
          <w:szCs w:val="24"/>
        </w:rPr>
        <w:fldChar w:fldCharType="end"/>
      </w:r>
    </w:p>
    <w:p w14:paraId="12C53111">
      <w:pPr>
        <w:pStyle w:val="174"/>
        <w:tabs>
          <w:tab w:val="right" w:leader="dot" w:pos="8844"/>
        </w:tabs>
        <w:spacing w:line="360" w:lineRule="auto"/>
        <w:rPr>
          <w:color w:val="auto"/>
          <w:sz w:val="24"/>
          <w:szCs w:val="24"/>
        </w:rPr>
      </w:pPr>
      <w:r>
        <w:rPr>
          <w:color w:val="auto"/>
        </w:rPr>
        <w:fldChar w:fldCharType="begin"/>
      </w:r>
      <w:r>
        <w:rPr>
          <w:color w:val="auto"/>
        </w:rPr>
        <w:instrText xml:space="preserve"> HYPERLINK \l "_Toc7041" </w:instrText>
      </w:r>
      <w:r>
        <w:rPr>
          <w:color w:val="auto"/>
        </w:rPr>
        <w:fldChar w:fldCharType="separate"/>
      </w:r>
      <w:r>
        <w:rPr>
          <w:snapToGrid w:val="0"/>
          <w:color w:val="auto"/>
          <w:sz w:val="24"/>
          <w:szCs w:val="24"/>
        </w:rPr>
        <w:t>五、环境保护措施监督检查清单</w:t>
      </w:r>
      <w:r>
        <w:rPr>
          <w:color w:val="auto"/>
          <w:sz w:val="24"/>
          <w:szCs w:val="24"/>
        </w:rPr>
        <w:tab/>
      </w:r>
      <w:r>
        <w:rPr>
          <w:color w:val="auto"/>
          <w:sz w:val="24"/>
          <w:szCs w:val="24"/>
        </w:rPr>
        <w:fldChar w:fldCharType="begin"/>
      </w:r>
      <w:r>
        <w:rPr>
          <w:color w:val="auto"/>
          <w:sz w:val="24"/>
          <w:szCs w:val="24"/>
        </w:rPr>
        <w:instrText xml:space="preserve"> PAGEREF _Toc7041 </w:instrText>
      </w:r>
      <w:r>
        <w:rPr>
          <w:color w:val="auto"/>
          <w:sz w:val="24"/>
          <w:szCs w:val="24"/>
        </w:rPr>
        <w:fldChar w:fldCharType="separate"/>
      </w:r>
      <w:r>
        <w:rPr>
          <w:color w:val="auto"/>
          <w:sz w:val="24"/>
          <w:szCs w:val="24"/>
        </w:rPr>
        <w:t>68</w:t>
      </w:r>
      <w:r>
        <w:rPr>
          <w:color w:val="auto"/>
          <w:sz w:val="24"/>
          <w:szCs w:val="24"/>
        </w:rPr>
        <w:fldChar w:fldCharType="end"/>
      </w:r>
      <w:r>
        <w:rPr>
          <w:color w:val="auto"/>
          <w:sz w:val="24"/>
          <w:szCs w:val="24"/>
        </w:rPr>
        <w:fldChar w:fldCharType="end"/>
      </w:r>
    </w:p>
    <w:p w14:paraId="7C15903F">
      <w:pPr>
        <w:pStyle w:val="174"/>
        <w:tabs>
          <w:tab w:val="right" w:leader="dot" w:pos="8844"/>
        </w:tabs>
        <w:spacing w:line="360" w:lineRule="auto"/>
        <w:rPr>
          <w:color w:val="auto"/>
          <w:sz w:val="24"/>
          <w:szCs w:val="24"/>
        </w:rPr>
      </w:pPr>
      <w:r>
        <w:rPr>
          <w:color w:val="auto"/>
        </w:rPr>
        <w:fldChar w:fldCharType="begin"/>
      </w:r>
      <w:r>
        <w:rPr>
          <w:color w:val="auto"/>
        </w:rPr>
        <w:instrText xml:space="preserve"> HYPERLINK \l "_Toc10537" </w:instrText>
      </w:r>
      <w:r>
        <w:rPr>
          <w:color w:val="auto"/>
        </w:rPr>
        <w:fldChar w:fldCharType="separate"/>
      </w:r>
      <w:r>
        <w:rPr>
          <w:snapToGrid w:val="0"/>
          <w:color w:val="auto"/>
          <w:sz w:val="24"/>
          <w:szCs w:val="24"/>
        </w:rPr>
        <w:t>六、结论</w:t>
      </w:r>
      <w:r>
        <w:rPr>
          <w:color w:val="auto"/>
          <w:sz w:val="24"/>
          <w:szCs w:val="24"/>
        </w:rPr>
        <w:tab/>
      </w:r>
      <w:r>
        <w:rPr>
          <w:color w:val="auto"/>
          <w:sz w:val="24"/>
          <w:szCs w:val="24"/>
        </w:rPr>
        <w:fldChar w:fldCharType="begin"/>
      </w:r>
      <w:r>
        <w:rPr>
          <w:color w:val="auto"/>
          <w:sz w:val="24"/>
          <w:szCs w:val="24"/>
        </w:rPr>
        <w:instrText xml:space="preserve"> PAGEREF _Toc10537 </w:instrText>
      </w:r>
      <w:r>
        <w:rPr>
          <w:color w:val="auto"/>
          <w:sz w:val="24"/>
          <w:szCs w:val="24"/>
        </w:rPr>
        <w:fldChar w:fldCharType="separate"/>
      </w:r>
      <w:r>
        <w:rPr>
          <w:color w:val="auto"/>
          <w:sz w:val="24"/>
          <w:szCs w:val="24"/>
        </w:rPr>
        <w:t>70</w:t>
      </w:r>
      <w:r>
        <w:rPr>
          <w:color w:val="auto"/>
          <w:sz w:val="24"/>
          <w:szCs w:val="24"/>
        </w:rPr>
        <w:fldChar w:fldCharType="end"/>
      </w:r>
      <w:r>
        <w:rPr>
          <w:color w:val="auto"/>
          <w:sz w:val="24"/>
          <w:szCs w:val="24"/>
        </w:rPr>
        <w:fldChar w:fldCharType="end"/>
      </w:r>
    </w:p>
    <w:p w14:paraId="46CBE068">
      <w:pPr>
        <w:pStyle w:val="174"/>
        <w:tabs>
          <w:tab w:val="right" w:leader="dot" w:pos="8844"/>
        </w:tabs>
        <w:spacing w:line="360" w:lineRule="auto"/>
        <w:rPr>
          <w:color w:val="auto"/>
          <w:sz w:val="24"/>
          <w:szCs w:val="24"/>
        </w:rPr>
      </w:pPr>
      <w:r>
        <w:rPr>
          <w:color w:val="auto"/>
        </w:rPr>
        <w:fldChar w:fldCharType="begin"/>
      </w:r>
      <w:r>
        <w:rPr>
          <w:color w:val="auto"/>
        </w:rPr>
        <w:instrText xml:space="preserve"> HYPERLINK \l "_Toc4539" </w:instrText>
      </w:r>
      <w:r>
        <w:rPr>
          <w:color w:val="auto"/>
        </w:rPr>
        <w:fldChar w:fldCharType="separate"/>
      </w:r>
      <w:r>
        <w:rPr>
          <w:snapToGrid w:val="0"/>
          <w:color w:val="auto"/>
          <w:sz w:val="24"/>
          <w:szCs w:val="24"/>
        </w:rPr>
        <w:t>附表</w:t>
      </w:r>
      <w:r>
        <w:rPr>
          <w:color w:val="auto"/>
          <w:sz w:val="24"/>
          <w:szCs w:val="24"/>
        </w:rPr>
        <w:tab/>
      </w:r>
      <w:r>
        <w:rPr>
          <w:color w:val="auto"/>
          <w:sz w:val="24"/>
          <w:szCs w:val="24"/>
        </w:rPr>
        <w:fldChar w:fldCharType="begin"/>
      </w:r>
      <w:r>
        <w:rPr>
          <w:color w:val="auto"/>
          <w:sz w:val="24"/>
          <w:szCs w:val="24"/>
        </w:rPr>
        <w:instrText xml:space="preserve"> PAGEREF _Toc4539 </w:instrText>
      </w:r>
      <w:r>
        <w:rPr>
          <w:color w:val="auto"/>
          <w:sz w:val="24"/>
          <w:szCs w:val="24"/>
        </w:rPr>
        <w:fldChar w:fldCharType="separate"/>
      </w:r>
      <w:r>
        <w:rPr>
          <w:color w:val="auto"/>
          <w:sz w:val="24"/>
          <w:szCs w:val="24"/>
        </w:rPr>
        <w:t>71</w:t>
      </w:r>
      <w:r>
        <w:rPr>
          <w:color w:val="auto"/>
          <w:sz w:val="24"/>
          <w:szCs w:val="24"/>
        </w:rPr>
        <w:fldChar w:fldCharType="end"/>
      </w:r>
      <w:r>
        <w:rPr>
          <w:color w:val="auto"/>
          <w:sz w:val="24"/>
          <w:szCs w:val="24"/>
        </w:rPr>
        <w:fldChar w:fldCharType="end"/>
      </w:r>
    </w:p>
    <w:p w14:paraId="4A12C25D">
      <w:pPr>
        <w:pStyle w:val="14"/>
        <w:keepNext w:val="0"/>
        <w:keepLines w:val="0"/>
        <w:pageBreakBefore w:val="0"/>
        <w:widowControl/>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outlineLvl w:val="9"/>
        <w:rPr>
          <w:color w:val="auto"/>
          <w:sz w:val="24"/>
          <w:szCs w:val="24"/>
        </w:rPr>
      </w:pPr>
    </w:p>
    <w:p w14:paraId="3803CC65">
      <w:r>
        <w:br w:type="page"/>
      </w:r>
      <w:bookmarkStart w:id="40" w:name="_GoBack"/>
      <w:bookmarkEnd w:id="40"/>
    </w:p>
    <w:p w14:paraId="25BE1D4D">
      <w:r>
        <w:br w:type="page"/>
      </w:r>
    </w:p>
    <w:p w14:paraId="4F7ECE21">
      <w:pPr>
        <w:adjustRightInd w:val="0"/>
        <w:snapToGrid w:val="0"/>
        <w:spacing w:line="360" w:lineRule="auto"/>
        <w:ind w:firstLine="482" w:firstLineChars="200"/>
        <w:rPr>
          <w:b/>
          <w:color w:val="auto"/>
          <w:sz w:val="24"/>
        </w:rPr>
      </w:pPr>
      <w:r>
        <w:rPr>
          <w:b/>
          <w:color w:val="auto"/>
          <w:sz w:val="24"/>
        </w:rPr>
        <w:t>附件：</w:t>
      </w:r>
    </w:p>
    <w:p w14:paraId="169E7B7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color w:val="auto"/>
          <w:sz w:val="24"/>
        </w:rPr>
      </w:pPr>
      <w:r>
        <w:rPr>
          <w:color w:val="auto"/>
          <w:sz w:val="24"/>
        </w:rPr>
        <w:t>附件1</w:t>
      </w:r>
      <w:r>
        <w:rPr>
          <w:rFonts w:hint="eastAsia"/>
          <w:color w:val="auto"/>
          <w:sz w:val="24"/>
          <w:lang w:val="en-US" w:eastAsia="zh-CN"/>
        </w:rPr>
        <w:t xml:space="preserve"> </w:t>
      </w:r>
      <w:r>
        <w:rPr>
          <w:color w:val="auto"/>
          <w:sz w:val="24"/>
        </w:rPr>
        <w:t>备案证</w:t>
      </w:r>
    </w:p>
    <w:p w14:paraId="0EB98449">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eastAsia="宋体"/>
          <w:color w:val="auto"/>
          <w:sz w:val="24"/>
          <w:lang w:val="en-US" w:eastAsia="zh-CN"/>
        </w:rPr>
      </w:pPr>
      <w:r>
        <w:rPr>
          <w:color w:val="auto"/>
          <w:sz w:val="24"/>
        </w:rPr>
        <w:t>附件2</w:t>
      </w:r>
      <w:r>
        <w:rPr>
          <w:rFonts w:hint="eastAsia"/>
          <w:color w:val="auto"/>
          <w:sz w:val="24"/>
          <w:lang w:val="en-US" w:eastAsia="zh-CN"/>
        </w:rPr>
        <w:t xml:space="preserve"> 登记信息单</w:t>
      </w:r>
    </w:p>
    <w:p w14:paraId="0F74016F">
      <w:pPr>
        <w:pStyle w:val="34"/>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firstLine="480"/>
        <w:jc w:val="left"/>
        <w:textAlignment w:val="auto"/>
        <w:rPr>
          <w:rFonts w:hint="eastAsia" w:eastAsia="宋体"/>
          <w:color w:val="auto"/>
          <w:kern w:val="2"/>
          <w:sz w:val="24"/>
          <w:szCs w:val="24"/>
          <w:lang w:eastAsia="zh-CN"/>
        </w:rPr>
      </w:pPr>
      <w:r>
        <w:rPr>
          <w:color w:val="auto"/>
          <w:kern w:val="2"/>
          <w:sz w:val="24"/>
          <w:szCs w:val="24"/>
        </w:rPr>
        <w:t>附件3</w:t>
      </w:r>
      <w:r>
        <w:rPr>
          <w:rFonts w:hint="eastAsia"/>
          <w:color w:val="auto"/>
          <w:kern w:val="2"/>
          <w:sz w:val="24"/>
          <w:szCs w:val="24"/>
          <w:lang w:val="en-US" w:eastAsia="zh-CN"/>
        </w:rPr>
        <w:t xml:space="preserve"> 委托书</w:t>
      </w:r>
    </w:p>
    <w:p w14:paraId="732A596B">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color w:val="auto"/>
          <w:sz w:val="24"/>
          <w:szCs w:val="24"/>
          <w:lang w:val="en-US"/>
        </w:rPr>
      </w:pPr>
      <w:r>
        <w:rPr>
          <w:color w:val="auto"/>
          <w:sz w:val="24"/>
          <w:szCs w:val="24"/>
        </w:rPr>
        <w:t xml:space="preserve">附件4 </w:t>
      </w:r>
      <w:r>
        <w:rPr>
          <w:rFonts w:hint="eastAsia"/>
          <w:color w:val="auto"/>
          <w:sz w:val="24"/>
          <w:szCs w:val="24"/>
          <w:lang w:val="en-US" w:eastAsia="zh-CN"/>
        </w:rPr>
        <w:t>环评合同</w:t>
      </w:r>
    </w:p>
    <w:p w14:paraId="324DC2F3">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color w:val="auto"/>
        </w:rPr>
      </w:pPr>
      <w:r>
        <w:rPr>
          <w:rFonts w:hint="eastAsia" w:ascii="Times New Roman" w:hAnsi="Times New Roman" w:eastAsia="宋体" w:cs="Times New Roman"/>
          <w:color w:val="auto"/>
          <w:kern w:val="2"/>
          <w:sz w:val="24"/>
          <w:szCs w:val="24"/>
          <w:lang w:val="en-US" w:eastAsia="zh-CN" w:bidi="ar-SA"/>
        </w:rPr>
        <w:t>附件5 信用承诺书</w:t>
      </w:r>
    </w:p>
    <w:p w14:paraId="13B35BA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附件6 营业执照</w:t>
      </w:r>
    </w:p>
    <w:p w14:paraId="118DA32D">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附件7 法人身份证</w:t>
      </w:r>
    </w:p>
    <w:p w14:paraId="7159AA95">
      <w:pPr>
        <w:pStyle w:val="14"/>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附件8 入园证明</w:t>
      </w:r>
    </w:p>
    <w:p w14:paraId="3834274B">
      <w:pPr>
        <w:pStyle w:val="14"/>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附件</w:t>
      </w:r>
      <w:r>
        <w:rPr>
          <w:rFonts w:hint="eastAsia" w:cs="Times New Roman"/>
          <w:color w:val="auto"/>
          <w:kern w:val="2"/>
          <w:sz w:val="24"/>
          <w:szCs w:val="24"/>
          <w:lang w:val="en-US" w:eastAsia="zh-CN" w:bidi="ar-SA"/>
        </w:rPr>
        <w:t>9</w:t>
      </w:r>
      <w:r>
        <w:rPr>
          <w:rFonts w:hint="eastAsia" w:ascii="Times New Roman" w:hAnsi="Times New Roman" w:eastAsia="宋体" w:cs="Times New Roman"/>
          <w:color w:val="auto"/>
          <w:kern w:val="2"/>
          <w:sz w:val="24"/>
          <w:szCs w:val="24"/>
          <w:lang w:val="en-US" w:eastAsia="zh-CN" w:bidi="ar-SA"/>
        </w:rPr>
        <w:t xml:space="preserve"> 江苏省生态环境分区管控综合查询报告书</w:t>
      </w:r>
    </w:p>
    <w:p w14:paraId="128751A8">
      <w:pPr>
        <w:pStyle w:val="14"/>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color w:val="auto"/>
          <w:lang w:val="en-US" w:eastAsia="zh-CN"/>
        </w:rPr>
      </w:pPr>
      <w:r>
        <w:rPr>
          <w:rFonts w:hint="eastAsia" w:ascii="Times New Roman" w:hAnsi="Times New Roman" w:eastAsia="宋体" w:cs="Times New Roman"/>
          <w:color w:val="auto"/>
          <w:kern w:val="2"/>
          <w:sz w:val="24"/>
          <w:szCs w:val="24"/>
          <w:lang w:val="en-US" w:eastAsia="zh-CN" w:bidi="ar-SA"/>
        </w:rPr>
        <w:t>附件1</w:t>
      </w:r>
      <w:r>
        <w:rPr>
          <w:rFonts w:hint="eastAsia" w:cs="Times New Roman"/>
          <w:color w:val="auto"/>
          <w:kern w:val="2"/>
          <w:sz w:val="24"/>
          <w:szCs w:val="24"/>
          <w:lang w:val="en-US" w:eastAsia="zh-CN" w:bidi="ar-SA"/>
        </w:rPr>
        <w:t>0</w:t>
      </w:r>
      <w:r>
        <w:rPr>
          <w:rFonts w:hint="eastAsia" w:ascii="Times New Roman" w:hAnsi="Times New Roman" w:eastAsia="宋体" w:cs="Times New Roman"/>
          <w:color w:val="auto"/>
          <w:kern w:val="2"/>
          <w:sz w:val="24"/>
          <w:szCs w:val="24"/>
          <w:lang w:val="en-US" w:eastAsia="zh-CN" w:bidi="ar-SA"/>
        </w:rPr>
        <w:t xml:space="preserve"> 泗阳县新袁镇工业园区开发建设规划环境影响报告书审查意见</w:t>
      </w:r>
    </w:p>
    <w:p w14:paraId="0DB225C3">
      <w:pPr>
        <w:pStyle w:val="14"/>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textAlignment w:val="auto"/>
        <w:rPr>
          <w:rFonts w:hint="default"/>
          <w:color w:val="auto"/>
          <w:lang w:val="en-US" w:eastAsia="zh-CN"/>
        </w:rPr>
      </w:pPr>
      <w:r>
        <w:rPr>
          <w:rFonts w:hint="eastAsia" w:ascii="Times New Roman" w:hAnsi="Times New Roman" w:eastAsia="宋体" w:cs="Times New Roman"/>
          <w:color w:val="auto"/>
          <w:kern w:val="2"/>
          <w:sz w:val="24"/>
          <w:szCs w:val="24"/>
          <w:lang w:val="en-US" w:eastAsia="zh-CN" w:bidi="ar-SA"/>
        </w:rPr>
        <w:t>附件1</w:t>
      </w:r>
      <w:r>
        <w:rPr>
          <w:rFonts w:hint="eastAsia" w:cs="Times New Roman"/>
          <w:color w:val="auto"/>
          <w:kern w:val="2"/>
          <w:sz w:val="24"/>
          <w:szCs w:val="24"/>
          <w:lang w:val="en-US" w:eastAsia="zh-CN" w:bidi="ar-SA"/>
        </w:rPr>
        <w:t>1</w:t>
      </w:r>
      <w:r>
        <w:rPr>
          <w:rFonts w:hint="eastAsia" w:ascii="Times New Roman" w:hAnsi="Times New Roman" w:eastAsia="宋体" w:cs="Times New Roman"/>
          <w:color w:val="auto"/>
          <w:kern w:val="2"/>
          <w:sz w:val="24"/>
          <w:szCs w:val="24"/>
          <w:lang w:val="en-US" w:eastAsia="zh-CN" w:bidi="ar-SA"/>
        </w:rPr>
        <w:t xml:space="preserve"> 总量交易凭证</w:t>
      </w:r>
    </w:p>
    <w:p w14:paraId="7ED2C863">
      <w:pPr>
        <w:pStyle w:val="35"/>
        <w:keepNext w:val="0"/>
        <w:keepLines w:val="0"/>
        <w:pageBreakBefore w:val="0"/>
        <w:widowControl w:val="0"/>
        <w:kinsoku/>
        <w:wordWrap/>
        <w:overflowPunct/>
        <w:topLinePunct w:val="0"/>
        <w:autoSpaceDE w:val="0"/>
        <w:autoSpaceDN w:val="0"/>
        <w:bidi w:val="0"/>
        <w:adjustRightInd w:val="0"/>
        <w:snapToGrid w:val="0"/>
        <w:spacing w:line="360" w:lineRule="auto"/>
        <w:ind w:right="0"/>
        <w:textAlignment w:val="auto"/>
        <w:outlineLvl w:val="9"/>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附件1</w:t>
      </w:r>
      <w:r>
        <w:rPr>
          <w:rFonts w:hint="eastAsia" w:ascii="Times New Roman" w:hAnsi="Times New Roman" w:cs="Times New Roman"/>
          <w:b w:val="0"/>
          <w:bCs/>
          <w:color w:val="auto"/>
          <w:kern w:val="2"/>
          <w:sz w:val="24"/>
          <w:szCs w:val="24"/>
          <w:lang w:val="en-US" w:eastAsia="zh-CN" w:bidi="ar-SA"/>
        </w:rPr>
        <w:t>2</w:t>
      </w:r>
      <w:r>
        <w:rPr>
          <w:rFonts w:hint="eastAsia" w:ascii="Times New Roman" w:hAnsi="Times New Roman" w:eastAsia="宋体" w:cs="Times New Roman"/>
          <w:b w:val="0"/>
          <w:bCs/>
          <w:color w:val="auto"/>
          <w:kern w:val="2"/>
          <w:sz w:val="24"/>
          <w:szCs w:val="24"/>
          <w:lang w:val="en-US" w:eastAsia="zh-CN" w:bidi="ar-SA"/>
        </w:rPr>
        <w:t xml:space="preserve"> 建设项目环境影响评价现场勘查记录表</w:t>
      </w:r>
    </w:p>
    <w:p w14:paraId="63DE9EAC">
      <w:pPr>
        <w:adjustRightInd w:val="0"/>
        <w:snapToGrid w:val="0"/>
        <w:spacing w:line="360" w:lineRule="auto"/>
        <w:ind w:firstLine="482" w:firstLineChars="200"/>
        <w:rPr>
          <w:b/>
          <w:color w:val="auto"/>
          <w:sz w:val="24"/>
          <w:highlight w:val="none"/>
        </w:rPr>
      </w:pPr>
      <w:r>
        <w:rPr>
          <w:b/>
          <w:color w:val="auto"/>
          <w:sz w:val="24"/>
          <w:highlight w:val="none"/>
        </w:rPr>
        <w:t>附图：</w:t>
      </w:r>
    </w:p>
    <w:p w14:paraId="416339CB">
      <w:pPr>
        <w:pStyle w:val="35"/>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9"/>
        <w:rPr>
          <w:rFonts w:hint="eastAsia"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附图一 建设项目地理位置图</w:t>
      </w:r>
    </w:p>
    <w:p w14:paraId="4EB353BA">
      <w:pPr>
        <w:pStyle w:val="35"/>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9"/>
        <w:rPr>
          <w:rFonts w:hint="default"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附图二 建设项目周边500m范围内环境保护目标和环境现状图</w:t>
      </w:r>
    </w:p>
    <w:p w14:paraId="035371A7">
      <w:pPr>
        <w:pStyle w:val="35"/>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9"/>
        <w:rPr>
          <w:rFonts w:hint="default"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附图三 建设项目厂区平面布置图</w:t>
      </w:r>
    </w:p>
    <w:p w14:paraId="776C0AA0">
      <w:pPr>
        <w:pStyle w:val="35"/>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9"/>
        <w:rPr>
          <w:rFonts w:hint="default" w:ascii="Times New Roman" w:hAnsi="Times New Roman" w:eastAsia="宋体" w:cs="Times New Roman"/>
          <w:b w:val="0"/>
          <w:bCs/>
          <w:color w:val="auto"/>
          <w:kern w:val="2"/>
          <w:sz w:val="24"/>
          <w:szCs w:val="24"/>
          <w:highlight w:val="yellow"/>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附图四 建设项目与泗阳县新袁镇工业园区规划图关系图</w:t>
      </w:r>
    </w:p>
    <w:p w14:paraId="51984EC0">
      <w:pPr>
        <w:pStyle w:val="35"/>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9"/>
        <w:rPr>
          <w:rFonts w:hint="eastAsia"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附图五 建设项目与泗阳行政区域图关系图</w:t>
      </w:r>
    </w:p>
    <w:p w14:paraId="51882152">
      <w:pPr>
        <w:pStyle w:val="35"/>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9"/>
        <w:rPr>
          <w:rFonts w:hint="eastAsia" w:ascii="Times New Roman" w:hAnsi="Times New Roman" w:eastAsia="宋体" w:cs="Times New Roman"/>
          <w:b w:val="0"/>
          <w:bCs/>
          <w:color w:val="auto"/>
          <w:kern w:val="2"/>
          <w:sz w:val="24"/>
          <w:szCs w:val="24"/>
          <w:highlight w:val="none"/>
          <w:lang w:val="en-US" w:eastAsia="zh-CN" w:bidi="ar-SA"/>
        </w:rPr>
      </w:pPr>
      <w:r>
        <w:rPr>
          <w:rFonts w:hint="eastAsia" w:ascii="Times New Roman" w:hAnsi="Times New Roman" w:eastAsia="宋体" w:cs="Times New Roman"/>
          <w:b w:val="0"/>
          <w:bCs/>
          <w:color w:val="auto"/>
          <w:kern w:val="2"/>
          <w:sz w:val="24"/>
          <w:szCs w:val="24"/>
          <w:highlight w:val="none"/>
          <w:lang w:val="en-US" w:eastAsia="zh-CN" w:bidi="ar-SA"/>
        </w:rPr>
        <w:t>附图六 建设项目与泗阳水系图关系图</w:t>
      </w:r>
    </w:p>
    <w:p w14:paraId="2B31E081">
      <w:pPr>
        <w:pStyle w:val="35"/>
        <w:keepNext w:val="0"/>
        <w:keepLines w:val="0"/>
        <w:pageBreakBefore w:val="0"/>
        <w:widowControl w:val="0"/>
        <w:kinsoku/>
        <w:wordWrap/>
        <w:overflowPunct/>
        <w:topLinePunct w:val="0"/>
        <w:autoSpaceDE w:val="0"/>
        <w:autoSpaceDN w:val="0"/>
        <w:bidi w:val="0"/>
        <w:adjustRightInd w:val="0"/>
        <w:snapToGrid w:val="0"/>
        <w:spacing w:line="360" w:lineRule="auto"/>
        <w:textAlignment w:val="auto"/>
        <w:outlineLvl w:val="9"/>
        <w:rPr>
          <w:rFonts w:hint="default"/>
          <w:highlight w:val="none"/>
          <w:lang w:val="en-US" w:eastAsia="zh-CN"/>
        </w:rPr>
      </w:pPr>
      <w:r>
        <w:rPr>
          <w:rFonts w:hint="eastAsia" w:ascii="Times New Roman" w:hAnsi="Times New Roman" w:eastAsia="宋体" w:cs="Times New Roman"/>
          <w:b w:val="0"/>
          <w:bCs/>
          <w:color w:val="auto"/>
          <w:kern w:val="2"/>
          <w:sz w:val="24"/>
          <w:szCs w:val="24"/>
          <w:highlight w:val="none"/>
          <w:lang w:val="en-US" w:eastAsia="zh-CN" w:bidi="ar-SA"/>
        </w:rPr>
        <w:t>附图七 建设项目与江苏省生态空间保护区域位置关系图</w:t>
      </w:r>
    </w:p>
    <w:p w14:paraId="78CD309C">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附</w:t>
      </w:r>
      <w:r>
        <w:rPr>
          <w:rFonts w:hint="eastAsia" w:ascii="Times New Roman" w:hAnsi="Times New Roman" w:eastAsia="宋体" w:cs="Times New Roman"/>
          <w:color w:val="auto"/>
          <w:kern w:val="2"/>
          <w:sz w:val="24"/>
          <w:szCs w:val="24"/>
          <w:highlight w:val="none"/>
          <w:lang w:val="en-US" w:eastAsia="zh-CN" w:bidi="ar-SA"/>
        </w:rPr>
        <w:t xml:space="preserve">图八 </w:t>
      </w:r>
      <w:r>
        <w:rPr>
          <w:rFonts w:ascii="Times New Roman" w:hAnsi="Times New Roman" w:eastAsia="宋体" w:cs="Times New Roman"/>
          <w:color w:val="auto"/>
          <w:kern w:val="2"/>
          <w:sz w:val="24"/>
          <w:szCs w:val="24"/>
          <w:highlight w:val="none"/>
          <w:lang w:val="en-US" w:eastAsia="zh-CN" w:bidi="ar-SA"/>
        </w:rPr>
        <w:t>建设项目与江苏省</w:t>
      </w:r>
      <w:r>
        <w:rPr>
          <w:rFonts w:hint="eastAsia" w:ascii="Times New Roman" w:hAnsi="Times New Roman" w:eastAsia="宋体" w:cs="Times New Roman"/>
          <w:color w:val="auto"/>
          <w:kern w:val="2"/>
          <w:sz w:val="24"/>
          <w:szCs w:val="24"/>
          <w:highlight w:val="none"/>
          <w:lang w:val="en-US" w:eastAsia="zh-CN" w:bidi="ar-SA"/>
        </w:rPr>
        <w:t>国家级</w:t>
      </w:r>
      <w:r>
        <w:rPr>
          <w:rFonts w:ascii="Times New Roman" w:hAnsi="Times New Roman" w:eastAsia="宋体" w:cs="Times New Roman"/>
          <w:color w:val="auto"/>
          <w:kern w:val="2"/>
          <w:sz w:val="24"/>
          <w:szCs w:val="24"/>
          <w:highlight w:val="none"/>
          <w:lang w:val="en-US" w:eastAsia="zh-CN" w:bidi="ar-SA"/>
        </w:rPr>
        <w:t>生态</w:t>
      </w:r>
      <w:r>
        <w:rPr>
          <w:rFonts w:hint="eastAsia" w:ascii="Times New Roman" w:hAnsi="Times New Roman" w:eastAsia="宋体" w:cs="Times New Roman"/>
          <w:color w:val="auto"/>
          <w:kern w:val="2"/>
          <w:sz w:val="24"/>
          <w:szCs w:val="24"/>
          <w:highlight w:val="none"/>
          <w:lang w:val="en-US" w:eastAsia="zh-CN" w:bidi="ar-SA"/>
        </w:rPr>
        <w:t>保护</w:t>
      </w:r>
      <w:r>
        <w:rPr>
          <w:rFonts w:ascii="Times New Roman" w:hAnsi="Times New Roman" w:eastAsia="宋体" w:cs="Times New Roman"/>
          <w:color w:val="auto"/>
          <w:kern w:val="2"/>
          <w:sz w:val="24"/>
          <w:szCs w:val="24"/>
          <w:highlight w:val="none"/>
          <w:lang w:val="en-US" w:eastAsia="zh-CN" w:bidi="ar-SA"/>
        </w:rPr>
        <w:t>红线位置关系图</w:t>
      </w:r>
    </w:p>
    <w:p w14:paraId="5CAAB2E5">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附图九 建设项目与宿迁市生态环境管控单元图（2023动态更新成果）关系图</w:t>
      </w:r>
    </w:p>
    <w:p w14:paraId="12448053">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eastAsia"/>
          <w:highlight w:val="none"/>
        </w:rPr>
        <w:sectPr>
          <w:headerReference r:id="rId11" w:type="default"/>
          <w:footerReference r:id="rId12" w:type="default"/>
          <w:pgSz w:w="11906" w:h="16838"/>
          <w:pgMar w:top="1701" w:right="1531" w:bottom="1701" w:left="1531" w:header="851" w:footer="454" w:gutter="0"/>
          <w:pgBorders>
            <w:top w:val="none" w:sz="0" w:space="0"/>
            <w:left w:val="none" w:sz="0" w:space="0"/>
            <w:bottom w:val="none" w:sz="0" w:space="0"/>
            <w:right w:val="none" w:sz="0" w:space="0"/>
          </w:pgBorders>
          <w:pgNumType w:fmt="decimal"/>
          <w:cols w:space="720" w:num="1"/>
          <w:docGrid w:linePitch="326" w:charSpace="0"/>
        </w:sectPr>
      </w:pPr>
      <w:r>
        <w:rPr>
          <w:rFonts w:hint="eastAsia" w:ascii="Times New Roman" w:hAnsi="Times New Roman" w:eastAsia="宋体" w:cs="Times New Roman"/>
          <w:color w:val="auto"/>
          <w:kern w:val="2"/>
          <w:sz w:val="24"/>
          <w:szCs w:val="24"/>
          <w:highlight w:val="none"/>
          <w:lang w:val="en-US" w:eastAsia="zh-CN" w:bidi="ar-SA"/>
        </w:rPr>
        <w:t>附图十 建设项目与江苏省生态环境管控单元图（2023动态更新成果）关系图</w:t>
      </w:r>
    </w:p>
    <w:p w14:paraId="689300A5">
      <w:pPr>
        <w:pStyle w:val="14"/>
        <w:keepNext w:val="0"/>
        <w:keepLines w:val="0"/>
        <w:pageBreakBefore w:val="0"/>
        <w:widowControl/>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outlineLvl w:val="0"/>
        <w:rPr>
          <w:rFonts w:ascii="Times New Roman" w:hAnsi="Times New Roman"/>
          <w:b/>
          <w:snapToGrid w:val="0"/>
          <w:color w:val="auto"/>
          <w:sz w:val="30"/>
          <w:szCs w:val="30"/>
        </w:rPr>
      </w:pPr>
      <w:r>
        <w:rPr>
          <w:color w:val="auto"/>
          <w:sz w:val="24"/>
          <w:szCs w:val="24"/>
        </w:rPr>
        <w:fldChar w:fldCharType="end"/>
      </w:r>
      <w:bookmarkStart w:id="0" w:name="_Toc14278"/>
      <w:r>
        <w:rPr>
          <w:rFonts w:ascii="Times New Roman" w:hAnsi="Times New Roman"/>
          <w:b/>
          <w:snapToGrid w:val="0"/>
          <w:color w:val="auto"/>
          <w:sz w:val="30"/>
          <w:szCs w:val="30"/>
        </w:rPr>
        <w:t>一、建设项目基本情况</w:t>
      </w:r>
      <w:bookmarkEnd w:id="0"/>
    </w:p>
    <w:tbl>
      <w:tblPr>
        <w:tblStyle w:val="38"/>
        <w:tblW w:w="526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56"/>
        <w:gridCol w:w="170"/>
        <w:gridCol w:w="1275"/>
        <w:gridCol w:w="2408"/>
        <w:gridCol w:w="1872"/>
        <w:gridCol w:w="3637"/>
      </w:tblGrid>
      <w:tr w14:paraId="25EA2E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80" w:hRule="atLeast"/>
          <w:jc w:val="center"/>
        </w:trPr>
        <w:tc>
          <w:tcPr>
            <w:tcW w:w="968" w:type="pct"/>
            <w:gridSpan w:val="3"/>
            <w:tcMar>
              <w:top w:w="16" w:type="dxa"/>
              <w:left w:w="16" w:type="dxa"/>
              <w:right w:w="16" w:type="dxa"/>
            </w:tcMar>
            <w:vAlign w:val="center"/>
          </w:tcPr>
          <w:p w14:paraId="1CE29BDC">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建设项目名称</w:t>
            </w:r>
          </w:p>
        </w:tc>
        <w:tc>
          <w:tcPr>
            <w:tcW w:w="4031" w:type="pct"/>
            <w:gridSpan w:val="3"/>
            <w:vAlign w:val="center"/>
          </w:tcPr>
          <w:p w14:paraId="2AE93412">
            <w:pPr>
              <w:adjustRightInd w:val="0"/>
              <w:snapToGrid w:val="0"/>
              <w:spacing w:line="300" w:lineRule="exact"/>
              <w:ind w:firstLine="0" w:firstLineChars="0"/>
              <w:jc w:val="center"/>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年产3000万米化纤面料项目</w:t>
            </w:r>
          </w:p>
        </w:tc>
      </w:tr>
      <w:tr w14:paraId="2DF660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21" w:hRule="atLeast"/>
          <w:jc w:val="center"/>
        </w:trPr>
        <w:tc>
          <w:tcPr>
            <w:tcW w:w="968" w:type="pct"/>
            <w:gridSpan w:val="3"/>
            <w:tcMar>
              <w:top w:w="16" w:type="dxa"/>
              <w:left w:w="16" w:type="dxa"/>
              <w:right w:w="16" w:type="dxa"/>
            </w:tcMar>
            <w:vAlign w:val="center"/>
          </w:tcPr>
          <w:p w14:paraId="3EB9950A">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项目代码</w:t>
            </w:r>
          </w:p>
        </w:tc>
        <w:tc>
          <w:tcPr>
            <w:tcW w:w="4031" w:type="pct"/>
            <w:gridSpan w:val="3"/>
            <w:vAlign w:val="center"/>
          </w:tcPr>
          <w:p w14:paraId="43ECAC9C">
            <w:pPr>
              <w:adjustRightInd w:val="0"/>
              <w:snapToGrid w:val="0"/>
              <w:spacing w:line="300" w:lineRule="exact"/>
              <w:ind w:firstLine="0" w:firstLineChars="0"/>
              <w:jc w:val="center"/>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2510-321323-89-01-516360</w:t>
            </w:r>
          </w:p>
        </w:tc>
      </w:tr>
      <w:tr w14:paraId="1E4629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968" w:type="pct"/>
            <w:gridSpan w:val="3"/>
            <w:tcMar>
              <w:top w:w="16" w:type="dxa"/>
              <w:left w:w="16" w:type="dxa"/>
              <w:right w:w="16" w:type="dxa"/>
            </w:tcMar>
            <w:vAlign w:val="center"/>
          </w:tcPr>
          <w:p w14:paraId="0BB8A257">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建设单位联系人</w:t>
            </w:r>
          </w:p>
        </w:tc>
        <w:tc>
          <w:tcPr>
            <w:tcW w:w="1226" w:type="pct"/>
            <w:vAlign w:val="center"/>
          </w:tcPr>
          <w:p w14:paraId="5D9A7A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张明丽</w:t>
            </w:r>
          </w:p>
        </w:tc>
        <w:tc>
          <w:tcPr>
            <w:tcW w:w="953" w:type="pct"/>
            <w:vAlign w:val="center"/>
          </w:tcPr>
          <w:p w14:paraId="2E28D0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联系方式</w:t>
            </w:r>
          </w:p>
        </w:tc>
        <w:tc>
          <w:tcPr>
            <w:tcW w:w="1851" w:type="pct"/>
            <w:vAlign w:val="center"/>
          </w:tcPr>
          <w:p w14:paraId="0007A5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13735133179</w:t>
            </w:r>
          </w:p>
        </w:tc>
      </w:tr>
      <w:tr w14:paraId="2BE6D7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2" w:hRule="atLeast"/>
          <w:jc w:val="center"/>
        </w:trPr>
        <w:tc>
          <w:tcPr>
            <w:tcW w:w="968" w:type="pct"/>
            <w:gridSpan w:val="3"/>
            <w:tcMar>
              <w:top w:w="16" w:type="dxa"/>
              <w:left w:w="16" w:type="dxa"/>
              <w:right w:w="16" w:type="dxa"/>
            </w:tcMar>
            <w:vAlign w:val="center"/>
          </w:tcPr>
          <w:p w14:paraId="080B4534">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建设地点</w:t>
            </w:r>
          </w:p>
        </w:tc>
        <w:tc>
          <w:tcPr>
            <w:tcW w:w="4031" w:type="pct"/>
            <w:gridSpan w:val="3"/>
            <w:vAlign w:val="center"/>
          </w:tcPr>
          <w:p w14:paraId="6DF36A70">
            <w:pPr>
              <w:adjustRightInd w:val="0"/>
              <w:snapToGrid w:val="0"/>
              <w:spacing w:line="300" w:lineRule="exact"/>
              <w:ind w:firstLine="0" w:firstLineChars="0"/>
              <w:jc w:val="center"/>
              <w:rPr>
                <w:rFonts w:hint="default" w:ascii="Times New Roman" w:hAnsi="Times New Roman" w:eastAsia="宋体" w:cs="Times New Roman"/>
                <w:color w:val="auto"/>
                <w:sz w:val="24"/>
                <w:szCs w:val="24"/>
                <w:lang w:val="en-US" w:eastAsia="zh-CN"/>
              </w:rPr>
            </w:pPr>
            <w:r>
              <w:rPr>
                <w:rFonts w:hint="eastAsia" w:cs="Times New Roman"/>
                <w:color w:val="auto"/>
                <w:kern w:val="0"/>
                <w:sz w:val="24"/>
                <w:szCs w:val="24"/>
                <w:lang w:val="en-US" w:eastAsia="zh-CN"/>
              </w:rPr>
              <w:t>宿迁市泗阳县新袁镇仁和路东侧、新河路南侧（3）2#厂房</w:t>
            </w:r>
          </w:p>
        </w:tc>
      </w:tr>
      <w:tr w14:paraId="0578E2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0" w:hRule="atLeast"/>
          <w:jc w:val="center"/>
        </w:trPr>
        <w:tc>
          <w:tcPr>
            <w:tcW w:w="968" w:type="pct"/>
            <w:gridSpan w:val="3"/>
            <w:tcMar>
              <w:top w:w="16" w:type="dxa"/>
              <w:left w:w="16" w:type="dxa"/>
              <w:right w:w="16" w:type="dxa"/>
            </w:tcMar>
            <w:vAlign w:val="center"/>
          </w:tcPr>
          <w:p w14:paraId="06289B7F">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地理坐标</w:t>
            </w:r>
          </w:p>
        </w:tc>
        <w:tc>
          <w:tcPr>
            <w:tcW w:w="4031" w:type="pct"/>
            <w:gridSpan w:val="3"/>
            <w:vAlign w:val="center"/>
          </w:tcPr>
          <w:p w14:paraId="3069A3DF">
            <w:pPr>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（东经</w:t>
            </w:r>
            <w:r>
              <w:rPr>
                <w:rFonts w:hint="default" w:ascii="Times New Roman" w:hAnsi="Times New Roman" w:eastAsia="宋体" w:cs="Times New Roman"/>
                <w:color w:val="auto"/>
                <w:sz w:val="24"/>
                <w:szCs w:val="24"/>
                <w:u w:val="single"/>
              </w:rPr>
              <w:t>118</w:t>
            </w:r>
            <w:r>
              <w:rPr>
                <w:rFonts w:hint="default" w:ascii="Times New Roman" w:hAnsi="Times New Roman" w:eastAsia="宋体" w:cs="Times New Roman"/>
                <w:color w:val="auto"/>
                <w:sz w:val="24"/>
                <w:szCs w:val="24"/>
              </w:rPr>
              <w:t>度</w:t>
            </w:r>
            <w:r>
              <w:rPr>
                <w:rFonts w:hint="default" w:ascii="Times New Roman" w:hAnsi="Times New Roman" w:eastAsia="宋体" w:cs="Times New Roman"/>
                <w:color w:val="auto"/>
                <w:sz w:val="24"/>
                <w:szCs w:val="24"/>
                <w:u w:val="single"/>
              </w:rPr>
              <w:t>45</w:t>
            </w:r>
            <w:r>
              <w:rPr>
                <w:rFonts w:hint="default" w:ascii="Times New Roman" w:hAnsi="Times New Roman" w:eastAsia="宋体" w:cs="Times New Roman"/>
                <w:color w:val="auto"/>
                <w:sz w:val="24"/>
                <w:szCs w:val="24"/>
              </w:rPr>
              <w:t>分</w:t>
            </w:r>
            <w:r>
              <w:rPr>
                <w:rFonts w:hint="eastAsia" w:cs="Times New Roman"/>
                <w:color w:val="auto"/>
                <w:sz w:val="24"/>
                <w:szCs w:val="24"/>
                <w:u w:val="single"/>
                <w:lang w:val="en-US" w:eastAsia="zh-CN"/>
              </w:rPr>
              <w:t>24.228</w:t>
            </w:r>
            <w:r>
              <w:rPr>
                <w:rFonts w:hint="default" w:ascii="Times New Roman" w:hAnsi="Times New Roman" w:eastAsia="宋体" w:cs="Times New Roman"/>
                <w:color w:val="auto"/>
                <w:sz w:val="24"/>
                <w:szCs w:val="24"/>
              </w:rPr>
              <w:t>秒，北纬</w:t>
            </w:r>
            <w:r>
              <w:rPr>
                <w:rFonts w:hint="default" w:ascii="Times New Roman" w:hAnsi="Times New Roman" w:eastAsia="宋体" w:cs="Times New Roman"/>
                <w:color w:val="auto"/>
                <w:sz w:val="24"/>
                <w:szCs w:val="24"/>
                <w:u w:val="single"/>
              </w:rPr>
              <w:t>33</w:t>
            </w:r>
            <w:r>
              <w:rPr>
                <w:rFonts w:hint="default" w:ascii="Times New Roman" w:hAnsi="Times New Roman" w:eastAsia="宋体" w:cs="Times New Roman"/>
                <w:color w:val="auto"/>
                <w:sz w:val="24"/>
                <w:szCs w:val="24"/>
              </w:rPr>
              <w:t>度</w:t>
            </w:r>
            <w:r>
              <w:rPr>
                <w:rFonts w:hint="default" w:ascii="Times New Roman" w:hAnsi="Times New Roman" w:eastAsia="宋体" w:cs="Times New Roman"/>
                <w:color w:val="auto"/>
                <w:sz w:val="24"/>
                <w:szCs w:val="24"/>
                <w:u w:val="single"/>
              </w:rPr>
              <w:t>33</w:t>
            </w:r>
            <w:r>
              <w:rPr>
                <w:rFonts w:hint="default" w:ascii="Times New Roman" w:hAnsi="Times New Roman" w:eastAsia="宋体" w:cs="Times New Roman"/>
                <w:color w:val="auto"/>
                <w:sz w:val="24"/>
                <w:szCs w:val="24"/>
              </w:rPr>
              <w:t>分</w:t>
            </w:r>
            <w:r>
              <w:rPr>
                <w:rFonts w:hint="eastAsia" w:cs="Times New Roman"/>
                <w:color w:val="auto"/>
                <w:sz w:val="24"/>
                <w:szCs w:val="24"/>
                <w:u w:val="single"/>
                <w:lang w:val="en-US" w:eastAsia="zh-CN"/>
              </w:rPr>
              <w:t>35.197</w:t>
            </w:r>
            <w:r>
              <w:rPr>
                <w:rFonts w:hint="default" w:ascii="Times New Roman" w:hAnsi="Times New Roman" w:eastAsia="宋体" w:cs="Times New Roman"/>
                <w:color w:val="auto"/>
                <w:sz w:val="24"/>
                <w:szCs w:val="24"/>
              </w:rPr>
              <w:t>秒）</w:t>
            </w:r>
          </w:p>
        </w:tc>
      </w:tr>
      <w:tr w14:paraId="6A28D1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96" w:hRule="atLeast"/>
          <w:jc w:val="center"/>
        </w:trPr>
        <w:tc>
          <w:tcPr>
            <w:tcW w:w="968" w:type="pct"/>
            <w:gridSpan w:val="3"/>
            <w:tcMar>
              <w:top w:w="16" w:type="dxa"/>
              <w:left w:w="16" w:type="dxa"/>
              <w:right w:w="16" w:type="dxa"/>
            </w:tcMar>
            <w:vAlign w:val="center"/>
          </w:tcPr>
          <w:p w14:paraId="6DB67505">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国民经济</w:t>
            </w:r>
          </w:p>
          <w:p w14:paraId="0AD9777D">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行业类别</w:t>
            </w:r>
          </w:p>
        </w:tc>
        <w:tc>
          <w:tcPr>
            <w:tcW w:w="1226" w:type="pct"/>
            <w:vAlign w:val="center"/>
          </w:tcPr>
          <w:p w14:paraId="7F693516">
            <w:pPr>
              <w:adjustRightInd w:val="0"/>
              <w:snapToGrid w:val="0"/>
              <w:spacing w:line="240" w:lineRule="auto"/>
              <w:ind w:firstLine="0" w:firstLineChars="0"/>
              <w:jc w:val="center"/>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C1751化纤织造加工</w:t>
            </w:r>
          </w:p>
        </w:tc>
        <w:tc>
          <w:tcPr>
            <w:tcW w:w="953" w:type="pct"/>
            <w:vAlign w:val="center"/>
          </w:tcPr>
          <w:p w14:paraId="74B538A3">
            <w:pPr>
              <w:snapToGrid w:val="0"/>
              <w:spacing w:line="300" w:lineRule="exact"/>
              <w:ind w:firstLine="0" w:firstLineChars="0"/>
              <w:jc w:val="center"/>
              <w:rPr>
                <w:rFonts w:hint="default" w:ascii="Times New Roman" w:hAnsi="Times New Roman" w:eastAsia="宋体" w:cs="Times New Roman"/>
                <w:color w:val="auto"/>
                <w:sz w:val="24"/>
                <w:szCs w:val="24"/>
              </w:rPr>
            </w:pPr>
            <w:bookmarkStart w:id="1" w:name="_Hlk49843745"/>
            <w:r>
              <w:rPr>
                <w:rFonts w:hint="default" w:ascii="Times New Roman" w:hAnsi="Times New Roman" w:eastAsia="宋体" w:cs="Times New Roman"/>
                <w:color w:val="auto"/>
                <w:sz w:val="24"/>
                <w:szCs w:val="24"/>
              </w:rPr>
              <w:t>建设项目</w:t>
            </w:r>
          </w:p>
          <w:p w14:paraId="53439B5A">
            <w:pPr>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行业类别</w:t>
            </w:r>
            <w:bookmarkEnd w:id="1"/>
          </w:p>
        </w:tc>
        <w:tc>
          <w:tcPr>
            <w:tcW w:w="1851" w:type="pct"/>
            <w:vAlign w:val="center"/>
          </w:tcPr>
          <w:p w14:paraId="6023D88B">
            <w:pPr>
              <w:pStyle w:val="14"/>
              <w:keepNext w:val="0"/>
              <w:keepLines w:val="0"/>
              <w:pageBreakBefore w:val="0"/>
              <w:kinsoku/>
              <w:wordWrap/>
              <w:overflowPunct/>
              <w:topLinePunct w:val="0"/>
              <w:autoSpaceDE/>
              <w:autoSpaceDN/>
              <w:bidi w:val="0"/>
              <w:adjustRightInd w:val="0"/>
              <w:snapToGrid w:val="0"/>
              <w:spacing w:before="0" w:after="0" w:line="240" w:lineRule="auto"/>
              <w:ind w:right="0" w:firstLine="0" w:firstLineChars="0"/>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十四、纺织业17:28、化纤织造及印染精加工175</w:t>
            </w:r>
          </w:p>
        </w:tc>
      </w:tr>
      <w:tr w14:paraId="43B54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533" w:hRule="atLeast"/>
          <w:jc w:val="center"/>
        </w:trPr>
        <w:tc>
          <w:tcPr>
            <w:tcW w:w="968" w:type="pct"/>
            <w:gridSpan w:val="3"/>
            <w:tcMar>
              <w:top w:w="16" w:type="dxa"/>
              <w:left w:w="16" w:type="dxa"/>
              <w:right w:w="16" w:type="dxa"/>
            </w:tcMar>
            <w:vAlign w:val="center"/>
          </w:tcPr>
          <w:p w14:paraId="757BC3F7">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建设性质</w:t>
            </w:r>
          </w:p>
        </w:tc>
        <w:tc>
          <w:tcPr>
            <w:tcW w:w="1226" w:type="pct"/>
            <w:vAlign w:val="center"/>
          </w:tcPr>
          <w:p w14:paraId="3B9D3086">
            <w:pPr>
              <w:snapToGrid w:val="0"/>
              <w:spacing w:line="300" w:lineRule="exact"/>
              <w:ind w:firstLine="0" w:firstLineChars="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☑新建（迁建）</w:t>
            </w:r>
          </w:p>
          <w:p w14:paraId="112CDB2E">
            <w:pPr>
              <w:snapToGrid w:val="0"/>
              <w:spacing w:line="300" w:lineRule="exact"/>
              <w:ind w:firstLine="0" w:firstLineChars="0"/>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w:t>
            </w:r>
            <w:r>
              <w:rPr>
                <w:rFonts w:hint="default" w:ascii="Times New Roman" w:hAnsi="Times New Roman" w:eastAsia="宋体" w:cs="Times New Roman"/>
                <w:color w:val="auto"/>
                <w:sz w:val="24"/>
                <w:szCs w:val="24"/>
              </w:rPr>
              <w:t>改建</w:t>
            </w:r>
          </w:p>
          <w:p w14:paraId="13308B53">
            <w:pPr>
              <w:snapToGrid w:val="0"/>
              <w:spacing w:line="300" w:lineRule="exact"/>
              <w:ind w:firstLine="0" w:firstLineChars="0"/>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w:t>
            </w:r>
            <w:r>
              <w:rPr>
                <w:rFonts w:hint="default" w:ascii="Times New Roman" w:hAnsi="Times New Roman" w:eastAsia="宋体" w:cs="Times New Roman"/>
                <w:color w:val="auto"/>
                <w:sz w:val="24"/>
                <w:szCs w:val="24"/>
              </w:rPr>
              <w:t>扩建</w:t>
            </w:r>
          </w:p>
          <w:p w14:paraId="68557B5B">
            <w:pPr>
              <w:snapToGrid w:val="0"/>
              <w:spacing w:line="300" w:lineRule="exact"/>
              <w:ind w:firstLine="0" w:firstLineChars="0"/>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w:t>
            </w:r>
            <w:r>
              <w:rPr>
                <w:rFonts w:hint="default" w:ascii="Times New Roman" w:hAnsi="Times New Roman" w:eastAsia="宋体" w:cs="Times New Roman"/>
                <w:color w:val="auto"/>
                <w:sz w:val="24"/>
                <w:szCs w:val="24"/>
              </w:rPr>
              <w:t>技术改造</w:t>
            </w:r>
          </w:p>
        </w:tc>
        <w:tc>
          <w:tcPr>
            <w:tcW w:w="953" w:type="pct"/>
            <w:vAlign w:val="center"/>
          </w:tcPr>
          <w:p w14:paraId="234B5AB6">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w:t>
            </w:r>
          </w:p>
          <w:p w14:paraId="7795D7CB">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申报情形</w:t>
            </w:r>
          </w:p>
        </w:tc>
        <w:tc>
          <w:tcPr>
            <w:tcW w:w="1851" w:type="pct"/>
            <w:vAlign w:val="center"/>
          </w:tcPr>
          <w:p w14:paraId="2FA0EE5E">
            <w:pPr>
              <w:snapToGrid w:val="0"/>
              <w:spacing w:line="300" w:lineRule="exact"/>
              <w:ind w:firstLine="0" w:firstLineChars="0"/>
              <w:jc w:val="left"/>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☑首次申报项目</w:t>
            </w:r>
          </w:p>
          <w:p w14:paraId="5C32B40A">
            <w:pPr>
              <w:snapToGrid w:val="0"/>
              <w:spacing w:line="300" w:lineRule="exact"/>
              <w:ind w:firstLine="0" w:firstLineChars="0"/>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w:t>
            </w:r>
            <w:r>
              <w:rPr>
                <w:rFonts w:hint="default" w:ascii="Times New Roman" w:hAnsi="Times New Roman" w:eastAsia="宋体" w:cs="Times New Roman"/>
                <w:color w:val="auto"/>
                <w:sz w:val="24"/>
                <w:szCs w:val="24"/>
              </w:rPr>
              <w:t>不予批准后再次申报项目</w:t>
            </w:r>
          </w:p>
          <w:p w14:paraId="601B21DE">
            <w:pPr>
              <w:snapToGrid w:val="0"/>
              <w:spacing w:line="300" w:lineRule="exact"/>
              <w:ind w:firstLine="0" w:firstLineChars="0"/>
              <w:jc w:val="left"/>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w:t>
            </w:r>
            <w:r>
              <w:rPr>
                <w:rFonts w:hint="default" w:ascii="Times New Roman" w:hAnsi="Times New Roman" w:eastAsia="宋体" w:cs="Times New Roman"/>
                <w:color w:val="auto"/>
                <w:sz w:val="24"/>
                <w:szCs w:val="24"/>
              </w:rPr>
              <w:t>超五年重新审核项目</w:t>
            </w:r>
          </w:p>
          <w:p w14:paraId="67C0D867">
            <w:pPr>
              <w:snapToGrid w:val="0"/>
              <w:spacing w:line="300" w:lineRule="exact"/>
              <w:ind w:firstLine="0" w:firstLineChars="0"/>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w:t>
            </w:r>
            <w:r>
              <w:rPr>
                <w:rFonts w:hint="default" w:ascii="Times New Roman" w:hAnsi="Times New Roman" w:eastAsia="宋体" w:cs="Times New Roman"/>
                <w:color w:val="auto"/>
                <w:sz w:val="24"/>
                <w:szCs w:val="24"/>
              </w:rPr>
              <w:t>重大变动重新报批项目</w:t>
            </w:r>
          </w:p>
        </w:tc>
      </w:tr>
      <w:tr w14:paraId="3C572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68" w:type="pct"/>
            <w:gridSpan w:val="3"/>
            <w:tcMar>
              <w:top w:w="16" w:type="dxa"/>
              <w:left w:w="16" w:type="dxa"/>
              <w:right w:w="16" w:type="dxa"/>
            </w:tcMar>
            <w:vAlign w:val="center"/>
          </w:tcPr>
          <w:p w14:paraId="1D134FC2">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项目审批（核准/备案）部门（选填）</w:t>
            </w:r>
          </w:p>
        </w:tc>
        <w:tc>
          <w:tcPr>
            <w:tcW w:w="1226" w:type="pct"/>
            <w:vAlign w:val="center"/>
          </w:tcPr>
          <w:p w14:paraId="08BF2A35">
            <w:pPr>
              <w:adjustRightInd w:val="0"/>
              <w:snapToGrid w:val="0"/>
              <w:spacing w:line="300" w:lineRule="exact"/>
              <w:ind w:firstLine="0" w:firstLineChars="0"/>
              <w:jc w:val="center"/>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宿迁泗阳县数据局</w:t>
            </w:r>
          </w:p>
        </w:tc>
        <w:tc>
          <w:tcPr>
            <w:tcW w:w="953" w:type="pct"/>
            <w:vAlign w:val="center"/>
          </w:tcPr>
          <w:p w14:paraId="7719FA69">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项目审批（核准/</w:t>
            </w:r>
          </w:p>
          <w:p w14:paraId="249FDA5A">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备案）文号（选填）</w:t>
            </w:r>
          </w:p>
        </w:tc>
        <w:tc>
          <w:tcPr>
            <w:tcW w:w="1851" w:type="pct"/>
            <w:vAlign w:val="center"/>
          </w:tcPr>
          <w:p w14:paraId="6AE43C61">
            <w:pPr>
              <w:adjustRightInd w:val="0"/>
              <w:snapToGrid w:val="0"/>
              <w:spacing w:line="300" w:lineRule="exact"/>
              <w:ind w:firstLine="0" w:firstLineChars="0"/>
              <w:jc w:val="center"/>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泗阳数据备〔2025〕1942号</w:t>
            </w:r>
          </w:p>
        </w:tc>
      </w:tr>
      <w:tr w14:paraId="446023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968" w:type="pct"/>
            <w:gridSpan w:val="3"/>
            <w:tcMar>
              <w:top w:w="16" w:type="dxa"/>
              <w:left w:w="16" w:type="dxa"/>
              <w:right w:w="16" w:type="dxa"/>
            </w:tcMar>
            <w:vAlign w:val="center"/>
          </w:tcPr>
          <w:p w14:paraId="76205FBD">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总投资（万元）</w:t>
            </w:r>
          </w:p>
        </w:tc>
        <w:tc>
          <w:tcPr>
            <w:tcW w:w="1226" w:type="pct"/>
            <w:vAlign w:val="center"/>
          </w:tcPr>
          <w:p w14:paraId="06023C48">
            <w:pPr>
              <w:adjustRightInd w:val="0"/>
              <w:snapToGrid w:val="0"/>
              <w:spacing w:line="300" w:lineRule="exact"/>
              <w:ind w:firstLine="0" w:firstLineChars="0"/>
              <w:jc w:val="center"/>
              <w:rPr>
                <w:rFonts w:hint="default" w:ascii="Times New Roman" w:hAnsi="Times New Roman" w:eastAsia="宋体" w:cs="Times New Roman"/>
                <w:color w:val="auto"/>
                <w:sz w:val="24"/>
                <w:szCs w:val="24"/>
                <w:lang w:val="en-US"/>
              </w:rPr>
            </w:pPr>
            <w:r>
              <w:rPr>
                <w:rFonts w:hint="eastAsia" w:cs="Times New Roman"/>
                <w:color w:val="auto"/>
                <w:sz w:val="24"/>
                <w:szCs w:val="24"/>
                <w:lang w:val="en-US" w:eastAsia="zh-CN"/>
              </w:rPr>
              <w:t>12000</w:t>
            </w:r>
          </w:p>
        </w:tc>
        <w:tc>
          <w:tcPr>
            <w:tcW w:w="953" w:type="pct"/>
            <w:tcMar>
              <w:top w:w="16" w:type="dxa"/>
              <w:left w:w="16" w:type="dxa"/>
              <w:right w:w="16" w:type="dxa"/>
            </w:tcMar>
            <w:vAlign w:val="center"/>
          </w:tcPr>
          <w:p w14:paraId="333CB785">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环保投资（万元）</w:t>
            </w:r>
          </w:p>
        </w:tc>
        <w:tc>
          <w:tcPr>
            <w:tcW w:w="1851" w:type="pct"/>
            <w:vAlign w:val="center"/>
          </w:tcPr>
          <w:p w14:paraId="60E562B3">
            <w:pPr>
              <w:adjustRightInd w:val="0"/>
              <w:snapToGrid w:val="0"/>
              <w:spacing w:line="300" w:lineRule="exact"/>
              <w:ind w:firstLine="0" w:firstLineChars="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200</w:t>
            </w:r>
          </w:p>
        </w:tc>
      </w:tr>
      <w:tr w14:paraId="0BE49D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3" w:hRule="atLeast"/>
          <w:jc w:val="center"/>
        </w:trPr>
        <w:tc>
          <w:tcPr>
            <w:tcW w:w="968" w:type="pct"/>
            <w:gridSpan w:val="3"/>
            <w:tcMar>
              <w:top w:w="16" w:type="dxa"/>
              <w:left w:w="16" w:type="dxa"/>
              <w:right w:w="16" w:type="dxa"/>
            </w:tcMar>
            <w:vAlign w:val="center"/>
          </w:tcPr>
          <w:p w14:paraId="650A261C">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环保投资占比（%）</w:t>
            </w:r>
          </w:p>
        </w:tc>
        <w:tc>
          <w:tcPr>
            <w:tcW w:w="1226" w:type="pct"/>
            <w:vAlign w:val="center"/>
          </w:tcPr>
          <w:p w14:paraId="186988EE">
            <w:pPr>
              <w:adjustRightInd w:val="0"/>
              <w:snapToGrid w:val="0"/>
              <w:spacing w:line="300" w:lineRule="exact"/>
              <w:ind w:firstLine="0" w:firstLineChars="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1.67</w:t>
            </w:r>
          </w:p>
        </w:tc>
        <w:tc>
          <w:tcPr>
            <w:tcW w:w="953" w:type="pct"/>
            <w:tcMar>
              <w:top w:w="16" w:type="dxa"/>
              <w:left w:w="16" w:type="dxa"/>
              <w:right w:w="16" w:type="dxa"/>
            </w:tcMar>
            <w:vAlign w:val="center"/>
          </w:tcPr>
          <w:p w14:paraId="754C9F97">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施工工期</w:t>
            </w:r>
          </w:p>
        </w:tc>
        <w:tc>
          <w:tcPr>
            <w:tcW w:w="1851" w:type="pct"/>
            <w:vAlign w:val="center"/>
          </w:tcPr>
          <w:p w14:paraId="59C02129">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w:t>
            </w:r>
          </w:p>
        </w:tc>
      </w:tr>
      <w:tr w14:paraId="11592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42" w:hRule="atLeast"/>
          <w:jc w:val="center"/>
        </w:trPr>
        <w:tc>
          <w:tcPr>
            <w:tcW w:w="968" w:type="pct"/>
            <w:gridSpan w:val="3"/>
            <w:tcMar>
              <w:top w:w="16" w:type="dxa"/>
              <w:left w:w="16" w:type="dxa"/>
              <w:right w:w="16" w:type="dxa"/>
            </w:tcMar>
            <w:vAlign w:val="center"/>
          </w:tcPr>
          <w:p w14:paraId="43A753FC">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是否开工建设</w:t>
            </w:r>
          </w:p>
        </w:tc>
        <w:tc>
          <w:tcPr>
            <w:tcW w:w="1226" w:type="pct"/>
            <w:vAlign w:val="center"/>
          </w:tcPr>
          <w:p w14:paraId="3AA6C6FA">
            <w:pPr>
              <w:adjustRightInd w:val="0"/>
              <w:snapToGrid w:val="0"/>
              <w:spacing w:line="300" w:lineRule="exact"/>
              <w:ind w:firstLine="0" w:firstLineChars="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sym w:font="Wingdings 2" w:char="0052"/>
            </w:r>
            <w:r>
              <w:rPr>
                <w:rFonts w:hint="default" w:ascii="Times New Roman" w:hAnsi="Times New Roman" w:eastAsia="宋体" w:cs="Times New Roman"/>
                <w:color w:val="auto"/>
                <w:sz w:val="24"/>
                <w:szCs w:val="24"/>
              </w:rPr>
              <w:t>否</w:t>
            </w:r>
          </w:p>
          <w:p w14:paraId="1DACA33D">
            <w:pPr>
              <w:adjustRightInd w:val="0"/>
              <w:snapToGrid w:val="0"/>
              <w:spacing w:line="300" w:lineRule="exact"/>
              <w:ind w:firstLine="0" w:firstLineChars="0"/>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□是：</w:t>
            </w:r>
          </w:p>
        </w:tc>
        <w:tc>
          <w:tcPr>
            <w:tcW w:w="953" w:type="pct"/>
            <w:tcMar>
              <w:top w:w="16" w:type="dxa"/>
              <w:left w:w="16" w:type="dxa"/>
              <w:right w:w="16" w:type="dxa"/>
            </w:tcMar>
            <w:vAlign w:val="center"/>
          </w:tcPr>
          <w:p w14:paraId="59588664">
            <w:pPr>
              <w:adjustRightInd w:val="0"/>
              <w:snapToGrid w:val="0"/>
              <w:spacing w:line="300" w:lineRule="exact"/>
              <w:ind w:firstLine="0" w:firstLineChars="0"/>
              <w:jc w:val="center"/>
              <w:rPr>
                <w:rFonts w:hint="default" w:ascii="Times New Roman" w:hAnsi="Times New Roman" w:eastAsia="宋体" w:cs="Times New Roman"/>
                <w:color w:val="auto"/>
                <w:spacing w:val="-6"/>
                <w:sz w:val="24"/>
                <w:szCs w:val="24"/>
              </w:rPr>
            </w:pPr>
            <w:r>
              <w:rPr>
                <w:rFonts w:hint="default" w:ascii="Times New Roman" w:hAnsi="Times New Roman" w:eastAsia="宋体" w:cs="Times New Roman"/>
                <w:color w:val="auto"/>
                <w:spacing w:val="-6"/>
                <w:sz w:val="24"/>
                <w:szCs w:val="24"/>
              </w:rPr>
              <w:t>用地（用海）</w:t>
            </w:r>
          </w:p>
          <w:p w14:paraId="75E713F9">
            <w:pPr>
              <w:adjustRightInd w:val="0"/>
              <w:snapToGrid w:val="0"/>
              <w:spacing w:line="300" w:lineRule="exact"/>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6"/>
                <w:sz w:val="24"/>
                <w:szCs w:val="24"/>
              </w:rPr>
              <w:t>面积（m</w:t>
            </w:r>
            <w:r>
              <w:rPr>
                <w:rFonts w:hint="default" w:ascii="Times New Roman" w:hAnsi="Times New Roman" w:eastAsia="宋体" w:cs="Times New Roman"/>
                <w:color w:val="auto"/>
                <w:spacing w:val="-6"/>
                <w:sz w:val="24"/>
                <w:szCs w:val="24"/>
                <w:vertAlign w:val="superscript"/>
              </w:rPr>
              <w:t>2</w:t>
            </w:r>
            <w:r>
              <w:rPr>
                <w:rFonts w:hint="default" w:ascii="Times New Roman" w:hAnsi="Times New Roman" w:eastAsia="宋体" w:cs="Times New Roman"/>
                <w:color w:val="auto"/>
                <w:spacing w:val="-6"/>
                <w:sz w:val="24"/>
                <w:szCs w:val="24"/>
              </w:rPr>
              <w:t>）</w:t>
            </w:r>
          </w:p>
        </w:tc>
        <w:tc>
          <w:tcPr>
            <w:tcW w:w="1851" w:type="pct"/>
            <w:vAlign w:val="center"/>
          </w:tcPr>
          <w:p w14:paraId="48FC6CD5">
            <w:pPr>
              <w:adjustRightInd w:val="0"/>
              <w:snapToGrid w:val="0"/>
              <w:spacing w:line="300" w:lineRule="exact"/>
              <w:ind w:firstLine="0" w:firstLineChars="0"/>
              <w:jc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10800</w:t>
            </w:r>
          </w:p>
        </w:tc>
      </w:tr>
      <w:tr w14:paraId="7E11D0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68" w:type="pct"/>
            <w:gridSpan w:val="3"/>
            <w:vAlign w:val="center"/>
          </w:tcPr>
          <w:p w14:paraId="17735E87">
            <w:pPr>
              <w:autoSpaceDE w:val="0"/>
              <w:autoSpaceDN w:val="0"/>
              <w:adjustRightInd w:val="0"/>
              <w:snapToGrid w:val="0"/>
              <w:spacing w:line="300" w:lineRule="exact"/>
              <w:ind w:firstLine="0" w:firstLineChars="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专项评价设置情况</w:t>
            </w:r>
          </w:p>
        </w:tc>
        <w:tc>
          <w:tcPr>
            <w:tcW w:w="4031" w:type="pct"/>
            <w:gridSpan w:val="3"/>
            <w:vAlign w:val="center"/>
          </w:tcPr>
          <w:p w14:paraId="36BDDB72">
            <w:pPr>
              <w:autoSpaceDE w:val="0"/>
              <w:autoSpaceDN w:val="0"/>
              <w:adjustRightInd w:val="0"/>
              <w:snapToGrid w:val="0"/>
              <w:spacing w:line="300" w:lineRule="exact"/>
              <w:ind w:firstLine="0" w:firstLineChars="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无</w:t>
            </w:r>
          </w:p>
        </w:tc>
      </w:tr>
      <w:tr w14:paraId="64780E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8" w:type="pct"/>
            <w:gridSpan w:val="3"/>
            <w:vAlign w:val="center"/>
          </w:tcPr>
          <w:p w14:paraId="78BB2140">
            <w:pPr>
              <w:autoSpaceDE w:val="0"/>
              <w:autoSpaceDN w:val="0"/>
              <w:adjustRightInd w:val="0"/>
              <w:snapToGrid w:val="0"/>
              <w:spacing w:line="360" w:lineRule="auto"/>
              <w:ind w:firstLine="0" w:firstLineChars="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规划情况</w:t>
            </w:r>
          </w:p>
        </w:tc>
        <w:tc>
          <w:tcPr>
            <w:tcW w:w="4031" w:type="pct"/>
            <w:gridSpan w:val="3"/>
            <w:vAlign w:val="center"/>
          </w:tcPr>
          <w:p w14:paraId="1929AF62">
            <w:pPr>
              <w:keepNext w:val="0"/>
              <w:keepLines w:val="0"/>
              <w:pageBreakBefore w:val="0"/>
              <w:kinsoku/>
              <w:wordWrap/>
              <w:overflowPunct/>
              <w:topLinePunct w:val="0"/>
              <w:autoSpaceDE w:val="0"/>
              <w:autoSpaceDN w:val="0"/>
              <w:bidi w:val="0"/>
              <w:adjustRightInd w:val="0"/>
              <w:snapToGrid w:val="0"/>
              <w:spacing w:line="360" w:lineRule="auto"/>
              <w:ind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规划名称：</w:t>
            </w:r>
            <w:r>
              <w:rPr>
                <w:rFonts w:hint="default" w:ascii="Times New Roman" w:hAnsi="Times New Roman" w:eastAsia="宋体" w:cs="Times New Roman"/>
                <w:color w:val="auto"/>
                <w:sz w:val="24"/>
                <w:szCs w:val="24"/>
                <w:lang w:eastAsia="zh-CN"/>
              </w:rPr>
              <w:t>《泗阳县新袁镇工业园区开发建设规划（2023-2035）》</w:t>
            </w:r>
          </w:p>
          <w:p w14:paraId="20881F7F">
            <w:pPr>
              <w:pStyle w:val="14"/>
              <w:keepNext w:val="0"/>
              <w:keepLines w:val="0"/>
              <w:pageBreakBefore w:val="0"/>
              <w:kinsoku/>
              <w:wordWrap/>
              <w:overflowPunct/>
              <w:topLinePunct w:val="0"/>
              <w:bidi w:val="0"/>
              <w:adjustRightInd w:val="0"/>
              <w:snapToGrid w:val="0"/>
              <w:spacing w:before="0" w:after="0" w:line="360" w:lineRule="auto"/>
              <w:ind w:right="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审查文件名称及文号：无</w:t>
            </w:r>
          </w:p>
        </w:tc>
      </w:tr>
      <w:tr w14:paraId="07C060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3" w:hRule="atLeast"/>
          <w:jc w:val="center"/>
        </w:trPr>
        <w:tc>
          <w:tcPr>
            <w:tcW w:w="968" w:type="pct"/>
            <w:gridSpan w:val="3"/>
            <w:vAlign w:val="center"/>
          </w:tcPr>
          <w:p w14:paraId="035760BB">
            <w:pPr>
              <w:adjustRightInd w:val="0"/>
              <w:snapToGrid w:val="0"/>
              <w:spacing w:line="360" w:lineRule="auto"/>
              <w:ind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规划环境影响</w:t>
            </w:r>
          </w:p>
          <w:p w14:paraId="6E7A2FD1">
            <w:pPr>
              <w:adjustRightInd w:val="0"/>
              <w:snapToGrid w:val="0"/>
              <w:spacing w:line="360" w:lineRule="auto"/>
              <w:ind w:firstLine="0" w:firstLineChars="0"/>
              <w:jc w:val="center"/>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评价情况</w:t>
            </w:r>
          </w:p>
        </w:tc>
        <w:tc>
          <w:tcPr>
            <w:tcW w:w="4031" w:type="pct"/>
            <w:gridSpan w:val="3"/>
            <w:vAlign w:val="center"/>
          </w:tcPr>
          <w:p w14:paraId="5D8F23AA">
            <w:pPr>
              <w:keepNext w:val="0"/>
              <w:keepLines w:val="0"/>
              <w:pageBreakBefore w:val="0"/>
              <w:kinsoku/>
              <w:wordWrap/>
              <w:overflowPunct/>
              <w:topLinePunct w:val="0"/>
              <w:autoSpaceDE w:val="0"/>
              <w:autoSpaceDN w:val="0"/>
              <w:bidi w:val="0"/>
              <w:adjustRightInd w:val="0"/>
              <w:snapToGrid w:val="0"/>
              <w:spacing w:line="360" w:lineRule="auto"/>
              <w:ind w:firstLine="0" w:firstLineChars="0"/>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规划环境影响评价文件名称：《泗阳县新袁镇工业园区开发建设规划环境影响报告书》；</w:t>
            </w:r>
          </w:p>
          <w:p w14:paraId="6CD0B19A">
            <w:pPr>
              <w:keepNext w:val="0"/>
              <w:keepLines w:val="0"/>
              <w:pageBreakBefore w:val="0"/>
              <w:kinsoku/>
              <w:wordWrap/>
              <w:overflowPunct/>
              <w:topLinePunct w:val="0"/>
              <w:autoSpaceDE w:val="0"/>
              <w:autoSpaceDN w:val="0"/>
              <w:bidi w:val="0"/>
              <w:adjustRightInd w:val="0"/>
              <w:snapToGrid w:val="0"/>
              <w:spacing w:line="360" w:lineRule="auto"/>
              <w:ind w:firstLine="0" w:firstLineChars="0"/>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审查机关：宿迁市泗阳生态环境局；</w:t>
            </w:r>
          </w:p>
          <w:p w14:paraId="26D0F1D3">
            <w:pPr>
              <w:keepNext w:val="0"/>
              <w:keepLines w:val="0"/>
              <w:pageBreakBefore w:val="0"/>
              <w:kinsoku/>
              <w:wordWrap/>
              <w:overflowPunct/>
              <w:topLinePunct w:val="0"/>
              <w:autoSpaceDE w:val="0"/>
              <w:autoSpaceDN w:val="0"/>
              <w:bidi w:val="0"/>
              <w:adjustRightInd w:val="0"/>
              <w:snapToGrid w:val="0"/>
              <w:spacing w:line="360" w:lineRule="auto"/>
              <w:ind w:firstLine="0" w:firstLineChars="0"/>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审查文件名称及文号：《关于对泗阳县新袁镇工业园区开发建设规划环境影响报告书的审查意见》（</w:t>
            </w:r>
            <w:r>
              <w:rPr>
                <w:rFonts w:hint="default" w:ascii="Times New Roman" w:hAnsi="Times New Roman" w:eastAsia="宋体" w:cs="Times New Roman"/>
                <w:color w:val="auto"/>
                <w:kern w:val="0"/>
                <w:sz w:val="24"/>
                <w:szCs w:val="24"/>
                <w:lang w:eastAsia="zh-CN"/>
              </w:rPr>
              <w:t>宿环建管</w:t>
            </w:r>
            <w:r>
              <w:rPr>
                <w:rFonts w:hint="eastAsia" w:cs="Times New Roman"/>
                <w:color w:val="auto"/>
                <w:kern w:val="0"/>
                <w:sz w:val="24"/>
                <w:szCs w:val="24"/>
                <w:lang w:eastAsia="zh-CN"/>
              </w:rPr>
              <w:t>〔2023〕2011号</w:t>
            </w:r>
            <w:r>
              <w:rPr>
                <w:rFonts w:hint="default" w:ascii="Times New Roman" w:hAnsi="Times New Roman" w:eastAsia="宋体" w:cs="Times New Roman"/>
                <w:color w:val="auto"/>
                <w:kern w:val="0"/>
                <w:sz w:val="24"/>
                <w:szCs w:val="24"/>
              </w:rPr>
              <w:t>）。</w:t>
            </w:r>
          </w:p>
        </w:tc>
      </w:tr>
      <w:tr w14:paraId="7A9E18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32" w:type="pct"/>
            <w:vAlign w:val="center"/>
          </w:tcPr>
          <w:p w14:paraId="203CECA1">
            <w:pPr>
              <w:autoSpaceDE w:val="0"/>
              <w:autoSpaceDN w:val="0"/>
              <w:adjustRightInd w:val="0"/>
              <w:snapToGrid w:val="0"/>
              <w:spacing w:line="360" w:lineRule="auto"/>
              <w:ind w:firstLine="0" w:firstLineChars="0"/>
              <w:jc w:val="center"/>
              <w:rPr>
                <w:color w:val="auto"/>
                <w:kern w:val="0"/>
                <w:szCs w:val="21"/>
              </w:rPr>
            </w:pPr>
            <w:r>
              <w:rPr>
                <w:color w:val="auto"/>
                <w:kern w:val="0"/>
                <w:szCs w:val="21"/>
              </w:rPr>
              <w:t>规划及规划环境影响评价符合性分析</w:t>
            </w:r>
          </w:p>
        </w:tc>
        <w:tc>
          <w:tcPr>
            <w:tcW w:w="4767" w:type="pct"/>
            <w:gridSpan w:val="5"/>
            <w:vAlign w:val="center"/>
          </w:tcPr>
          <w:p w14:paraId="5ACF189D">
            <w:pPr>
              <w:autoSpaceDE w:val="0"/>
              <w:autoSpaceDN w:val="0"/>
              <w:adjustRightInd w:val="0"/>
              <w:snapToGrid w:val="0"/>
              <w:spacing w:line="360" w:lineRule="auto"/>
              <w:ind w:firstLine="482" w:firstLineChars="200"/>
              <w:rPr>
                <w:b/>
                <w:bCs/>
                <w:color w:val="auto"/>
                <w:sz w:val="24"/>
              </w:rPr>
            </w:pPr>
            <w:r>
              <w:rPr>
                <w:rFonts w:hint="eastAsia"/>
                <w:b/>
                <w:bCs/>
                <w:color w:val="auto"/>
                <w:sz w:val="24"/>
                <w:lang w:eastAsia="zh-CN"/>
              </w:rPr>
              <w:t>1.</w:t>
            </w:r>
            <w:r>
              <w:rPr>
                <w:b/>
                <w:bCs/>
                <w:color w:val="auto"/>
                <w:sz w:val="24"/>
              </w:rPr>
              <w:t>项目与园区规划中的产业定位、用地规划等相符性分析</w:t>
            </w:r>
          </w:p>
          <w:p w14:paraId="463C0409">
            <w:pPr>
              <w:widowControl/>
              <w:adjustRightInd w:val="0"/>
              <w:snapToGrid w:val="0"/>
              <w:spacing w:line="360" w:lineRule="auto"/>
              <w:ind w:firstLine="480" w:firstLineChars="200"/>
              <w:rPr>
                <w:color w:val="auto"/>
                <w:sz w:val="24"/>
              </w:rPr>
            </w:pPr>
            <w:r>
              <w:rPr>
                <w:rFonts w:hint="eastAsia"/>
                <w:color w:val="auto"/>
                <w:sz w:val="24"/>
              </w:rPr>
              <w:t>本</w:t>
            </w:r>
            <w:r>
              <w:rPr>
                <w:color w:val="auto"/>
                <w:sz w:val="24"/>
              </w:rPr>
              <w:t>项目与园区规划中的产业定位相符性分析见表1-1。</w:t>
            </w:r>
          </w:p>
          <w:p w14:paraId="1BA9E087">
            <w:pPr>
              <w:autoSpaceDE w:val="0"/>
              <w:autoSpaceDN w:val="0"/>
              <w:adjustRightInd w:val="0"/>
              <w:snapToGrid w:val="0"/>
              <w:jc w:val="center"/>
              <w:rPr>
                <w:b/>
                <w:bCs/>
                <w:color w:val="auto"/>
              </w:rPr>
            </w:pPr>
            <w:r>
              <w:rPr>
                <w:b/>
                <w:bCs/>
                <w:color w:val="auto"/>
              </w:rPr>
              <w:t>表1-1项目与园区规划中</w:t>
            </w:r>
            <w:r>
              <w:rPr>
                <w:rFonts w:hint="eastAsia"/>
                <w:b/>
                <w:bCs/>
                <w:color w:val="auto"/>
              </w:rPr>
              <w:t>的</w:t>
            </w:r>
            <w:r>
              <w:rPr>
                <w:b/>
                <w:bCs/>
                <w:color w:val="auto"/>
              </w:rPr>
              <w:t>产业定位相符性分析表</w:t>
            </w:r>
          </w:p>
          <w:tbl>
            <w:tblPr>
              <w:tblStyle w:val="38"/>
              <w:tblW w:w="49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515"/>
              <w:gridCol w:w="3904"/>
              <w:gridCol w:w="2521"/>
              <w:gridCol w:w="1111"/>
            </w:tblGrid>
            <w:tr w14:paraId="070082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75" w:type="dxa"/>
                  <w:tcMar>
                    <w:top w:w="28" w:type="dxa"/>
                    <w:left w:w="28" w:type="dxa"/>
                    <w:bottom w:w="28" w:type="dxa"/>
                    <w:right w:w="28" w:type="dxa"/>
                  </w:tcMar>
                  <w:vAlign w:val="center"/>
                </w:tcPr>
                <w:p w14:paraId="74E8146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b/>
                      <w:bCs/>
                      <w:color w:val="auto"/>
                      <w:sz w:val="21"/>
                      <w:szCs w:val="21"/>
                    </w:rPr>
                    <w:t>文件名称</w:t>
                  </w:r>
                </w:p>
              </w:tc>
              <w:tc>
                <w:tcPr>
                  <w:tcW w:w="3799" w:type="dxa"/>
                  <w:tcMar>
                    <w:top w:w="28" w:type="dxa"/>
                    <w:left w:w="28" w:type="dxa"/>
                    <w:bottom w:w="28" w:type="dxa"/>
                    <w:right w:w="28" w:type="dxa"/>
                  </w:tcMar>
                  <w:vAlign w:val="center"/>
                </w:tcPr>
                <w:p w14:paraId="3CFB40F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b/>
                      <w:bCs/>
                      <w:color w:val="auto"/>
                      <w:sz w:val="21"/>
                      <w:szCs w:val="21"/>
                    </w:rPr>
                    <w:t>文件要求</w:t>
                  </w:r>
                </w:p>
              </w:tc>
              <w:tc>
                <w:tcPr>
                  <w:tcW w:w="2453" w:type="dxa"/>
                  <w:tcMar>
                    <w:top w:w="28" w:type="dxa"/>
                    <w:left w:w="28" w:type="dxa"/>
                    <w:bottom w:w="28" w:type="dxa"/>
                    <w:right w:w="28" w:type="dxa"/>
                  </w:tcMar>
                  <w:vAlign w:val="center"/>
                </w:tcPr>
                <w:p w14:paraId="753B681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b/>
                      <w:bCs/>
                      <w:color w:val="auto"/>
                      <w:sz w:val="21"/>
                      <w:szCs w:val="21"/>
                    </w:rPr>
                    <w:t>本项目情况</w:t>
                  </w:r>
                </w:p>
              </w:tc>
              <w:tc>
                <w:tcPr>
                  <w:tcW w:w="1081" w:type="dxa"/>
                  <w:tcMar>
                    <w:top w:w="28" w:type="dxa"/>
                    <w:left w:w="28" w:type="dxa"/>
                    <w:bottom w:w="28" w:type="dxa"/>
                    <w:right w:w="28" w:type="dxa"/>
                  </w:tcMar>
                  <w:vAlign w:val="center"/>
                </w:tcPr>
                <w:p w14:paraId="211AFA4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b/>
                      <w:bCs/>
                      <w:color w:val="auto"/>
                      <w:sz w:val="21"/>
                      <w:szCs w:val="21"/>
                    </w:rPr>
                    <w:t>相符性分析</w:t>
                  </w:r>
                </w:p>
              </w:tc>
            </w:tr>
            <w:tr w14:paraId="136307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475" w:type="dxa"/>
                  <w:tcMar>
                    <w:top w:w="28" w:type="dxa"/>
                    <w:left w:w="28" w:type="dxa"/>
                    <w:bottom w:w="28" w:type="dxa"/>
                    <w:right w:w="28" w:type="dxa"/>
                  </w:tcMar>
                  <w:vAlign w:val="center"/>
                </w:tcPr>
                <w:p w14:paraId="0BF4D83F">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kern w:val="0"/>
                      <w:sz w:val="21"/>
                      <w:szCs w:val="21"/>
                    </w:rPr>
                    <w:t>《泗阳县新袁镇工业园区开发建设规划（2021-2035）（2023修编）》</w:t>
                  </w:r>
                </w:p>
              </w:tc>
              <w:tc>
                <w:tcPr>
                  <w:tcW w:w="3799" w:type="dxa"/>
                  <w:tcMar>
                    <w:top w:w="28" w:type="dxa"/>
                    <w:left w:w="28" w:type="dxa"/>
                    <w:bottom w:w="28" w:type="dxa"/>
                    <w:right w:w="28" w:type="dxa"/>
                  </w:tcMar>
                  <w:vAlign w:val="center"/>
                </w:tcPr>
                <w:p w14:paraId="04F6EAE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园区主导产业定位：化纤织造、机械加工、食品饮料（不含发酵）及其他无污染和低污染项目</w:t>
                  </w:r>
                  <w:r>
                    <w:rPr>
                      <w:rFonts w:hint="default" w:eastAsia="宋体" w:cs="Times New Roman"/>
                      <w:color w:val="auto"/>
                      <w:sz w:val="21"/>
                      <w:szCs w:val="21"/>
                    </w:rPr>
                    <w:t>，严禁</w:t>
                  </w:r>
                  <w:r>
                    <w:rPr>
                      <w:rFonts w:hint="eastAsia" w:cs="Times New Roman"/>
                      <w:color w:val="auto"/>
                      <w:sz w:val="21"/>
                      <w:szCs w:val="21"/>
                      <w:lang w:eastAsia="zh-CN"/>
                    </w:rPr>
                    <w:t>“</w:t>
                  </w:r>
                  <w:r>
                    <w:rPr>
                      <w:rFonts w:hint="default" w:eastAsia="宋体" w:cs="Times New Roman"/>
                      <w:color w:val="auto"/>
                      <w:sz w:val="21"/>
                      <w:szCs w:val="21"/>
                    </w:rPr>
                    <w:t>两高</w:t>
                  </w:r>
                  <w:r>
                    <w:rPr>
                      <w:rFonts w:hint="eastAsia" w:cs="Times New Roman"/>
                      <w:color w:val="auto"/>
                      <w:sz w:val="21"/>
                      <w:szCs w:val="21"/>
                      <w:lang w:eastAsia="zh-CN"/>
                    </w:rPr>
                    <w:t>”</w:t>
                  </w:r>
                  <w:r>
                    <w:rPr>
                      <w:rFonts w:hint="default" w:eastAsia="宋体" w:cs="Times New Roman"/>
                      <w:color w:val="auto"/>
                      <w:sz w:val="21"/>
                      <w:szCs w:val="21"/>
                    </w:rPr>
                    <w:t>项目入园</w:t>
                  </w:r>
                  <w:r>
                    <w:rPr>
                      <w:rFonts w:hint="eastAsia" w:cs="Times New Roman"/>
                      <w:color w:val="auto"/>
                      <w:sz w:val="21"/>
                      <w:szCs w:val="21"/>
                      <w:lang w:eastAsia="zh-CN"/>
                    </w:rPr>
                    <w:t>，</w:t>
                  </w:r>
                  <w:r>
                    <w:rPr>
                      <w:rFonts w:hint="default" w:eastAsia="宋体" w:cs="Times New Roman"/>
                      <w:color w:val="auto"/>
                      <w:sz w:val="21"/>
                      <w:szCs w:val="21"/>
                    </w:rPr>
                    <w:t>禁止建设生产和使用高VOCs含量的涂料、油墨、胶黏剂等项目，</w:t>
                  </w:r>
                  <w:r>
                    <w:rPr>
                      <w:rFonts w:hint="default" w:eastAsia="宋体" w:cs="Times New Roman"/>
                      <w:bCs/>
                      <w:color w:val="auto"/>
                      <w:sz w:val="21"/>
                      <w:szCs w:val="21"/>
                    </w:rPr>
                    <w:t>加强VOCs末端控制</w:t>
                  </w:r>
                </w:p>
              </w:tc>
              <w:tc>
                <w:tcPr>
                  <w:tcW w:w="2453" w:type="dxa"/>
                  <w:tcMar>
                    <w:top w:w="28" w:type="dxa"/>
                    <w:left w:w="28" w:type="dxa"/>
                    <w:bottom w:w="28" w:type="dxa"/>
                    <w:right w:w="28" w:type="dxa"/>
                  </w:tcMar>
                  <w:vAlign w:val="center"/>
                </w:tcPr>
                <w:p w14:paraId="1F2A4DFC">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color w:val="auto"/>
                      <w:sz w:val="21"/>
                      <w:szCs w:val="21"/>
                    </w:rPr>
                    <w:t>本项目为</w:t>
                  </w:r>
                  <w:r>
                    <w:rPr>
                      <w:rFonts w:hint="eastAsia"/>
                      <w:color w:val="auto"/>
                      <w:sz w:val="21"/>
                      <w:szCs w:val="21"/>
                      <w:lang w:val="en-US" w:eastAsia="zh-CN"/>
                    </w:rPr>
                    <w:t>化纤织造项目</w:t>
                  </w:r>
                  <w:r>
                    <w:rPr>
                      <w:color w:val="auto"/>
                      <w:sz w:val="21"/>
                      <w:szCs w:val="21"/>
                    </w:rPr>
                    <w:t>，</w:t>
                  </w:r>
                  <w:r>
                    <w:rPr>
                      <w:rFonts w:hint="eastAsia"/>
                      <w:color w:val="auto"/>
                      <w:sz w:val="21"/>
                      <w:szCs w:val="21"/>
                      <w:lang w:val="en-US" w:eastAsia="zh-CN"/>
                    </w:rPr>
                    <w:t>属于园区主导产业定位，</w:t>
                  </w:r>
                  <w:r>
                    <w:rPr>
                      <w:rFonts w:hint="eastAsia"/>
                      <w:color w:val="auto"/>
                      <w:sz w:val="21"/>
                      <w:szCs w:val="21"/>
                    </w:rPr>
                    <w:t>符合园区的产业定位要求</w:t>
                  </w:r>
                  <w:r>
                    <w:rPr>
                      <w:color w:val="auto"/>
                      <w:sz w:val="21"/>
                      <w:szCs w:val="21"/>
                    </w:rPr>
                    <w:t>。</w:t>
                  </w:r>
                </w:p>
              </w:tc>
              <w:tc>
                <w:tcPr>
                  <w:tcW w:w="1081" w:type="dxa"/>
                  <w:tcMar>
                    <w:top w:w="28" w:type="dxa"/>
                    <w:left w:w="28" w:type="dxa"/>
                    <w:bottom w:w="28" w:type="dxa"/>
                    <w:right w:w="28" w:type="dxa"/>
                  </w:tcMar>
                  <w:vAlign w:val="center"/>
                </w:tcPr>
                <w:p w14:paraId="2B85ACB8">
                  <w:pPr>
                    <w:keepNext w:val="0"/>
                    <w:keepLines w:val="0"/>
                    <w:pageBreakBefore w:val="0"/>
                    <w:widowControl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color w:val="auto"/>
                      <w:sz w:val="21"/>
                      <w:szCs w:val="21"/>
                    </w:rPr>
                    <w:t>符合</w:t>
                  </w:r>
                </w:p>
              </w:tc>
            </w:tr>
          </w:tbl>
          <w:p w14:paraId="1A4D6273">
            <w:pPr>
              <w:autoSpaceDE w:val="0"/>
              <w:autoSpaceDN w:val="0"/>
              <w:adjustRightInd w:val="0"/>
              <w:snapToGrid w:val="0"/>
              <w:spacing w:before="120" w:beforeLines="50" w:line="360" w:lineRule="auto"/>
              <w:ind w:firstLine="480" w:firstLineChars="200"/>
              <w:rPr>
                <w:color w:val="auto"/>
                <w:sz w:val="24"/>
              </w:rPr>
            </w:pPr>
            <w:r>
              <w:rPr>
                <w:rFonts w:hint="eastAsia"/>
                <w:color w:val="auto"/>
                <w:sz w:val="24"/>
              </w:rPr>
              <w:t>本项目</w:t>
            </w:r>
            <w:r>
              <w:rPr>
                <w:color w:val="auto"/>
                <w:sz w:val="24"/>
              </w:rPr>
              <w:t>位于</w:t>
            </w:r>
            <w:r>
              <w:rPr>
                <w:rFonts w:hint="eastAsia"/>
                <w:color w:val="auto"/>
                <w:sz w:val="24"/>
                <w:lang w:eastAsia="zh-CN"/>
              </w:rPr>
              <w:t>宿迁市泗阳县新袁镇仁和路东侧、新河路南侧（3）2#厂房</w:t>
            </w:r>
            <w:r>
              <w:rPr>
                <w:color w:val="auto"/>
                <w:sz w:val="24"/>
              </w:rPr>
              <w:t>，</w:t>
            </w:r>
            <w:r>
              <w:rPr>
                <w:rFonts w:hint="eastAsia"/>
                <w:color w:val="auto"/>
                <w:sz w:val="24"/>
              </w:rPr>
              <w:t>对照泗阳县新袁镇工业园区土地利用规划图（详见附图</w:t>
            </w:r>
            <w:r>
              <w:rPr>
                <w:rFonts w:hint="eastAsia"/>
                <w:color w:val="auto"/>
                <w:sz w:val="24"/>
                <w:lang w:val="en-US" w:eastAsia="zh-CN"/>
              </w:rPr>
              <w:t>四</w:t>
            </w:r>
            <w:r>
              <w:rPr>
                <w:rFonts w:hint="eastAsia"/>
                <w:color w:val="auto"/>
                <w:sz w:val="24"/>
              </w:rPr>
              <w:t>），项目选址位于园区规划的工业用地范围内。本项目用地性质为工业用地，符合园区的用地规划要求</w:t>
            </w:r>
            <w:r>
              <w:rPr>
                <w:color w:val="auto"/>
                <w:sz w:val="24"/>
              </w:rPr>
              <w:t>。</w:t>
            </w:r>
          </w:p>
          <w:p w14:paraId="0AAF69CC">
            <w:pPr>
              <w:autoSpaceDE w:val="0"/>
              <w:autoSpaceDN w:val="0"/>
              <w:adjustRightInd w:val="0"/>
              <w:snapToGrid w:val="0"/>
              <w:spacing w:line="360" w:lineRule="auto"/>
              <w:ind w:firstLine="480" w:firstLineChars="200"/>
              <w:rPr>
                <w:color w:val="auto"/>
                <w:sz w:val="24"/>
              </w:rPr>
            </w:pPr>
            <w:r>
              <w:rPr>
                <w:color w:val="auto"/>
                <w:sz w:val="24"/>
              </w:rPr>
              <w:t>根据上述分析可知，本项目与</w:t>
            </w:r>
            <w:r>
              <w:rPr>
                <w:rFonts w:hint="eastAsia"/>
                <w:color w:val="auto"/>
                <w:sz w:val="24"/>
              </w:rPr>
              <w:t>泗阳县新袁镇工业园区</w:t>
            </w:r>
            <w:r>
              <w:rPr>
                <w:color w:val="auto"/>
                <w:sz w:val="24"/>
              </w:rPr>
              <w:t>规划中</w:t>
            </w:r>
            <w:r>
              <w:rPr>
                <w:rFonts w:hint="eastAsia"/>
                <w:color w:val="auto"/>
                <w:sz w:val="24"/>
              </w:rPr>
              <w:t>的</w:t>
            </w:r>
            <w:r>
              <w:rPr>
                <w:color w:val="auto"/>
                <w:sz w:val="24"/>
              </w:rPr>
              <w:t>产业定位、用地规划是相符的。</w:t>
            </w:r>
          </w:p>
          <w:p w14:paraId="10DE5A0C">
            <w:pPr>
              <w:autoSpaceDE w:val="0"/>
              <w:autoSpaceDN w:val="0"/>
              <w:adjustRightInd w:val="0"/>
              <w:snapToGrid w:val="0"/>
              <w:spacing w:line="360" w:lineRule="auto"/>
              <w:ind w:firstLine="482" w:firstLineChars="200"/>
              <w:rPr>
                <w:b/>
                <w:bCs/>
                <w:color w:val="auto"/>
                <w:sz w:val="24"/>
              </w:rPr>
            </w:pPr>
            <w:r>
              <w:rPr>
                <w:rFonts w:hint="eastAsia"/>
                <w:b/>
                <w:bCs/>
                <w:color w:val="auto"/>
                <w:sz w:val="24"/>
                <w:lang w:eastAsia="zh-CN"/>
              </w:rPr>
              <w:t>2.</w:t>
            </w:r>
            <w:r>
              <w:rPr>
                <w:b/>
                <w:bCs/>
                <w:color w:val="auto"/>
                <w:sz w:val="24"/>
              </w:rPr>
              <w:t>项目与园区规划环评审查意见的相符性分析</w:t>
            </w:r>
          </w:p>
          <w:p w14:paraId="2D89E0A2">
            <w:pPr>
              <w:keepNext w:val="0"/>
              <w:keepLines w:val="0"/>
              <w:pageBreakBefore w:val="0"/>
              <w:widowControl w:val="0"/>
              <w:kinsoku/>
              <w:wordWrap/>
              <w:overflowPunct/>
              <w:topLinePunct w:val="0"/>
              <w:autoSpaceDE w:val="0"/>
              <w:autoSpaceDN w:val="0"/>
              <w:bidi w:val="0"/>
              <w:adjustRightInd w:val="0"/>
              <w:snapToGrid w:val="0"/>
              <w:spacing w:line="240" w:lineRule="auto"/>
              <w:ind w:firstLine="480" w:firstLineChars="200"/>
              <w:textAlignment w:val="auto"/>
              <w:rPr>
                <w:color w:val="auto"/>
                <w:sz w:val="24"/>
              </w:rPr>
            </w:pPr>
            <w:r>
              <w:rPr>
                <w:color w:val="auto"/>
                <w:sz w:val="24"/>
              </w:rPr>
              <w:t>本项目与规划环评审查意见的相符性见表1-2。</w:t>
            </w:r>
          </w:p>
          <w:p w14:paraId="197D7852">
            <w:pPr>
              <w:autoSpaceDE w:val="0"/>
              <w:autoSpaceDN w:val="0"/>
              <w:adjustRightInd w:val="0"/>
              <w:snapToGrid w:val="0"/>
              <w:jc w:val="center"/>
              <w:rPr>
                <w:b/>
                <w:bCs/>
                <w:color w:val="auto"/>
              </w:rPr>
            </w:pPr>
            <w:r>
              <w:rPr>
                <w:b/>
                <w:bCs/>
                <w:color w:val="auto"/>
              </w:rPr>
              <w:t>表1-2项目与规划环评审查意见相符性分析表</w:t>
            </w:r>
          </w:p>
          <w:tbl>
            <w:tblPr>
              <w:tblStyle w:val="38"/>
              <w:tblW w:w="494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96"/>
              <w:gridCol w:w="4922"/>
              <w:gridCol w:w="3001"/>
              <w:gridCol w:w="830"/>
            </w:tblGrid>
            <w:tr w14:paraId="7045AF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277115D4">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b/>
                      <w:bCs/>
                      <w:color w:val="auto"/>
                      <w:sz w:val="21"/>
                      <w:szCs w:val="21"/>
                    </w:rPr>
                    <w:t>序号</w:t>
                  </w:r>
                </w:p>
              </w:tc>
              <w:tc>
                <w:tcPr>
                  <w:tcW w:w="4790" w:type="dxa"/>
                  <w:tcBorders>
                    <w:tl2br w:val="nil"/>
                    <w:tr2bl w:val="nil"/>
                  </w:tcBorders>
                  <w:tcMar>
                    <w:top w:w="28" w:type="dxa"/>
                    <w:left w:w="28" w:type="dxa"/>
                    <w:bottom w:w="28" w:type="dxa"/>
                    <w:right w:w="28" w:type="dxa"/>
                  </w:tcMar>
                  <w:vAlign w:val="center"/>
                </w:tcPr>
                <w:p w14:paraId="5B322052">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rFonts w:hint="eastAsia"/>
                      <w:b/>
                      <w:bCs/>
                      <w:color w:val="auto"/>
                      <w:sz w:val="21"/>
                      <w:szCs w:val="21"/>
                    </w:rPr>
                    <w:t>泗阳县新袁镇工业园区</w:t>
                  </w:r>
                </w:p>
                <w:p w14:paraId="5746EBE1">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rFonts w:hint="eastAsia"/>
                      <w:b/>
                      <w:bCs/>
                      <w:color w:val="auto"/>
                      <w:sz w:val="21"/>
                      <w:szCs w:val="21"/>
                    </w:rPr>
                    <w:t>规划环境影响报告书的审查意见</w:t>
                  </w:r>
                </w:p>
              </w:tc>
              <w:tc>
                <w:tcPr>
                  <w:tcW w:w="2920" w:type="dxa"/>
                  <w:tcBorders>
                    <w:tl2br w:val="nil"/>
                    <w:tr2bl w:val="nil"/>
                  </w:tcBorders>
                  <w:tcMar>
                    <w:top w:w="28" w:type="dxa"/>
                    <w:left w:w="28" w:type="dxa"/>
                    <w:bottom w:w="28" w:type="dxa"/>
                    <w:right w:w="28" w:type="dxa"/>
                  </w:tcMar>
                  <w:vAlign w:val="center"/>
                </w:tcPr>
                <w:p w14:paraId="5124687E">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b/>
                      <w:bCs/>
                      <w:color w:val="auto"/>
                      <w:sz w:val="21"/>
                      <w:szCs w:val="21"/>
                    </w:rPr>
                    <w:t>本项目情况</w:t>
                  </w:r>
                </w:p>
              </w:tc>
              <w:tc>
                <w:tcPr>
                  <w:tcW w:w="808" w:type="dxa"/>
                  <w:tcBorders>
                    <w:tl2br w:val="nil"/>
                    <w:tr2bl w:val="nil"/>
                  </w:tcBorders>
                  <w:tcMar>
                    <w:top w:w="28" w:type="dxa"/>
                    <w:left w:w="28" w:type="dxa"/>
                    <w:bottom w:w="28" w:type="dxa"/>
                    <w:right w:w="28" w:type="dxa"/>
                  </w:tcMar>
                  <w:vAlign w:val="center"/>
                </w:tcPr>
                <w:p w14:paraId="58F3B6E1">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b/>
                      <w:bCs/>
                      <w:color w:val="auto"/>
                      <w:sz w:val="21"/>
                      <w:szCs w:val="21"/>
                    </w:rPr>
                  </w:pPr>
                  <w:r>
                    <w:rPr>
                      <w:b/>
                      <w:bCs/>
                      <w:color w:val="auto"/>
                      <w:sz w:val="21"/>
                      <w:szCs w:val="21"/>
                    </w:rPr>
                    <w:t>相符性分析</w:t>
                  </w:r>
                </w:p>
              </w:tc>
            </w:tr>
            <w:tr w14:paraId="2BBEF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77" w:hRule="atLeast"/>
                <w:jc w:val="center"/>
              </w:trPr>
              <w:tc>
                <w:tcPr>
                  <w:tcW w:w="288" w:type="dxa"/>
                  <w:tcBorders>
                    <w:tl2br w:val="nil"/>
                    <w:tr2bl w:val="nil"/>
                  </w:tcBorders>
                  <w:tcMar>
                    <w:top w:w="28" w:type="dxa"/>
                    <w:left w:w="28" w:type="dxa"/>
                    <w:bottom w:w="28" w:type="dxa"/>
                    <w:right w:w="28" w:type="dxa"/>
                  </w:tcMar>
                  <w:vAlign w:val="center"/>
                </w:tcPr>
                <w:p w14:paraId="7F022501">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1</w:t>
                  </w:r>
                </w:p>
              </w:tc>
              <w:tc>
                <w:tcPr>
                  <w:tcW w:w="4790" w:type="dxa"/>
                  <w:tcBorders>
                    <w:tl2br w:val="nil"/>
                    <w:tr2bl w:val="nil"/>
                  </w:tcBorders>
                  <w:tcMar>
                    <w:top w:w="28" w:type="dxa"/>
                    <w:left w:w="28" w:type="dxa"/>
                    <w:bottom w:w="28" w:type="dxa"/>
                    <w:right w:w="28" w:type="dxa"/>
                  </w:tcMar>
                  <w:vAlign w:val="center"/>
                </w:tcPr>
                <w:p w14:paraId="0A23C834">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一、规划园区及四至范围：新袁镇工业园区占地面积约3.6245平方公里（约5437亩）。规划范围东至规划白三路，西至规划经一路，南至纬六路，北至众裴线北入口。</w:t>
                  </w:r>
                </w:p>
                <w:p w14:paraId="042C8E58">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园区主导产业定位：化纤织造、机械加工、食品饮料（不含发酵）及其他无污染和低污染项目。</w:t>
                  </w:r>
                </w:p>
              </w:tc>
              <w:tc>
                <w:tcPr>
                  <w:tcW w:w="2920" w:type="dxa"/>
                  <w:tcBorders>
                    <w:tl2br w:val="nil"/>
                    <w:tr2bl w:val="nil"/>
                  </w:tcBorders>
                  <w:tcMar>
                    <w:top w:w="28" w:type="dxa"/>
                    <w:left w:w="28" w:type="dxa"/>
                    <w:bottom w:w="28" w:type="dxa"/>
                    <w:right w:w="28" w:type="dxa"/>
                  </w:tcMar>
                  <w:vAlign w:val="center"/>
                </w:tcPr>
                <w:p w14:paraId="78999175">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本项目位于</w:t>
                  </w:r>
                  <w:r>
                    <w:rPr>
                      <w:rFonts w:hint="eastAsia"/>
                      <w:color w:val="auto"/>
                      <w:sz w:val="21"/>
                      <w:szCs w:val="21"/>
                      <w:lang w:eastAsia="zh-CN"/>
                    </w:rPr>
                    <w:t>宿迁市泗阳县新袁镇仁和路东侧、新河路南侧（3）2#厂房</w:t>
                  </w:r>
                  <w:r>
                    <w:rPr>
                      <w:rFonts w:hint="eastAsia"/>
                      <w:color w:val="auto"/>
                      <w:sz w:val="21"/>
                      <w:szCs w:val="21"/>
                    </w:rPr>
                    <w:t>，在新袁镇工业园区规划范围内。</w:t>
                  </w:r>
                  <w:r>
                    <w:rPr>
                      <w:color w:val="auto"/>
                      <w:sz w:val="21"/>
                      <w:szCs w:val="21"/>
                    </w:rPr>
                    <w:t>本项目为</w:t>
                  </w:r>
                  <w:r>
                    <w:rPr>
                      <w:rFonts w:hint="eastAsia"/>
                      <w:color w:val="auto"/>
                      <w:sz w:val="21"/>
                      <w:szCs w:val="21"/>
                      <w:lang w:val="en-US" w:eastAsia="zh-CN"/>
                    </w:rPr>
                    <w:t>化纤织造项目</w:t>
                  </w:r>
                  <w:r>
                    <w:rPr>
                      <w:color w:val="auto"/>
                      <w:sz w:val="21"/>
                      <w:szCs w:val="21"/>
                    </w:rPr>
                    <w:t>，</w:t>
                  </w:r>
                  <w:r>
                    <w:rPr>
                      <w:rFonts w:hint="eastAsia"/>
                      <w:color w:val="auto"/>
                      <w:sz w:val="21"/>
                      <w:szCs w:val="21"/>
                      <w:lang w:val="en-US" w:eastAsia="zh-CN"/>
                    </w:rPr>
                    <w:t>属于园区主导产业定位，</w:t>
                  </w:r>
                  <w:r>
                    <w:rPr>
                      <w:rFonts w:hint="eastAsia"/>
                      <w:color w:val="auto"/>
                      <w:sz w:val="21"/>
                      <w:szCs w:val="21"/>
                    </w:rPr>
                    <w:t>符合园区的产业定位要求</w:t>
                  </w:r>
                  <w:r>
                    <w:rPr>
                      <w:color w:val="auto"/>
                      <w:sz w:val="21"/>
                      <w:szCs w:val="21"/>
                    </w:rPr>
                    <w:t>。</w:t>
                  </w:r>
                </w:p>
              </w:tc>
              <w:tc>
                <w:tcPr>
                  <w:tcW w:w="808" w:type="dxa"/>
                  <w:tcBorders>
                    <w:tl2br w:val="nil"/>
                    <w:tr2bl w:val="nil"/>
                  </w:tcBorders>
                  <w:tcMar>
                    <w:top w:w="28" w:type="dxa"/>
                    <w:left w:w="28" w:type="dxa"/>
                    <w:bottom w:w="28" w:type="dxa"/>
                    <w:right w:w="28" w:type="dxa"/>
                  </w:tcMar>
                  <w:vAlign w:val="center"/>
                </w:tcPr>
                <w:p w14:paraId="456D39EA">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418BA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348F8896">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2</w:t>
                  </w:r>
                </w:p>
              </w:tc>
              <w:tc>
                <w:tcPr>
                  <w:tcW w:w="4790" w:type="dxa"/>
                  <w:tcBorders>
                    <w:tl2br w:val="nil"/>
                    <w:tr2bl w:val="nil"/>
                  </w:tcBorders>
                  <w:tcMar>
                    <w:top w:w="28" w:type="dxa"/>
                    <w:left w:w="28" w:type="dxa"/>
                    <w:bottom w:w="28" w:type="dxa"/>
                    <w:right w:w="28" w:type="dxa"/>
                  </w:tcMar>
                  <w:vAlign w:val="center"/>
                </w:tcPr>
                <w:p w14:paraId="4884E37B">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二、在园区开发建设和环境管理中，你单位须认真落实《报告书》及生态环境部门提出的环境保护要求和环境影响减缓措施，根据区域环境承载能力，实施污染物限值限量排放管理，落实园区总体发展目标和规划，着重做好以下工作。</w:t>
                  </w:r>
                </w:p>
                <w:p w14:paraId="29321A1D">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（一）提高园区的环境建</w:t>
                  </w:r>
                  <w:r>
                    <w:rPr>
                      <w:rFonts w:hint="eastAsia"/>
                      <w:color w:val="auto"/>
                      <w:sz w:val="21"/>
                      <w:szCs w:val="21"/>
                      <w:lang w:eastAsia="zh-CN"/>
                    </w:rPr>
                    <w:t>设和</w:t>
                  </w:r>
                  <w:r>
                    <w:rPr>
                      <w:rFonts w:hint="eastAsia"/>
                      <w:color w:val="auto"/>
                      <w:sz w:val="21"/>
                      <w:szCs w:val="21"/>
                    </w:rPr>
                    <w:t>发展水平。园区的建设和环境管</w:t>
                  </w:r>
                  <w:r>
                    <w:rPr>
                      <w:rFonts w:hint="eastAsia"/>
                      <w:color w:val="auto"/>
                      <w:sz w:val="21"/>
                      <w:szCs w:val="21"/>
                      <w:lang w:eastAsia="zh-CN"/>
                    </w:rPr>
                    <w:t>理必</w:t>
                  </w:r>
                  <w:r>
                    <w:rPr>
                      <w:rFonts w:hint="eastAsia"/>
                      <w:color w:val="auto"/>
                      <w:sz w:val="21"/>
                      <w:szCs w:val="21"/>
                    </w:rPr>
                    <w:t>须坚持环境效益、经济效益和社会效益相统一的原则，高起点规划、高标准建设、高水平管理，推行循环经济理念和清洁生产原则，鼓励与扶持企业选择清洁原辅材料和先进工艺，提倡与推行节水措施，高耗水行业用水定额应</w:t>
                  </w:r>
                  <w:r>
                    <w:rPr>
                      <w:rFonts w:hint="eastAsia"/>
                      <w:color w:val="auto"/>
                      <w:sz w:val="21"/>
                      <w:szCs w:val="21"/>
                      <w:lang w:eastAsia="zh-CN"/>
                    </w:rPr>
                    <w:t>达到</w:t>
                  </w:r>
                  <w:r>
                    <w:rPr>
                      <w:rFonts w:hint="eastAsia"/>
                      <w:color w:val="auto"/>
                      <w:sz w:val="21"/>
                      <w:szCs w:val="21"/>
                    </w:rPr>
                    <w:t>水利部《关于印发钢铁等十八项工业用水定额的通知》领跑值要求，开展废弃物减量化资源化、循环利用。</w:t>
                  </w:r>
                </w:p>
              </w:tc>
              <w:tc>
                <w:tcPr>
                  <w:tcW w:w="2920" w:type="dxa"/>
                  <w:tcBorders>
                    <w:tl2br w:val="nil"/>
                    <w:tr2bl w:val="nil"/>
                  </w:tcBorders>
                  <w:tcMar>
                    <w:top w:w="28" w:type="dxa"/>
                    <w:left w:w="28" w:type="dxa"/>
                    <w:bottom w:w="28" w:type="dxa"/>
                    <w:right w:w="28" w:type="dxa"/>
                  </w:tcMar>
                  <w:vAlign w:val="center"/>
                </w:tcPr>
                <w:p w14:paraId="6FB3E72D">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w:t>
                  </w:r>
                  <w:r>
                    <w:rPr>
                      <w:rFonts w:hint="eastAsia"/>
                      <w:color w:val="auto"/>
                      <w:sz w:val="21"/>
                      <w:szCs w:val="21"/>
                      <w:lang w:val="en-US" w:eastAsia="zh-CN"/>
                    </w:rPr>
                    <w:t>生产过程中生产废水经处理后全部回用，废气经收集处理后有组织排放</w:t>
                  </w:r>
                  <w:r>
                    <w:rPr>
                      <w:rFonts w:hint="eastAsia"/>
                      <w:color w:val="auto"/>
                      <w:sz w:val="21"/>
                      <w:szCs w:val="21"/>
                    </w:rPr>
                    <w:t>，符合循环经济理念和清洁生产原则；项目使用清洁能源电能，生产工艺注重密闭化、自动化、连续化，属于先进的生产工艺。</w:t>
                  </w:r>
                </w:p>
              </w:tc>
              <w:tc>
                <w:tcPr>
                  <w:tcW w:w="808" w:type="dxa"/>
                  <w:tcBorders>
                    <w:tl2br w:val="nil"/>
                    <w:tr2bl w:val="nil"/>
                  </w:tcBorders>
                  <w:tcMar>
                    <w:top w:w="28" w:type="dxa"/>
                    <w:left w:w="28" w:type="dxa"/>
                    <w:bottom w:w="28" w:type="dxa"/>
                    <w:right w:w="28" w:type="dxa"/>
                  </w:tcMar>
                  <w:vAlign w:val="center"/>
                </w:tcPr>
                <w:p w14:paraId="658F8C53">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color w:val="auto"/>
                      <w:sz w:val="21"/>
                      <w:szCs w:val="21"/>
                    </w:rPr>
                    <w:t>符合</w:t>
                  </w:r>
                </w:p>
              </w:tc>
            </w:tr>
            <w:tr w14:paraId="13255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21779550">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3</w:t>
                  </w:r>
                </w:p>
              </w:tc>
              <w:tc>
                <w:tcPr>
                  <w:tcW w:w="4790" w:type="dxa"/>
                  <w:tcBorders>
                    <w:tl2br w:val="nil"/>
                    <w:tr2bl w:val="nil"/>
                  </w:tcBorders>
                  <w:tcMar>
                    <w:top w:w="28" w:type="dxa"/>
                    <w:left w:w="28" w:type="dxa"/>
                    <w:bottom w:w="28" w:type="dxa"/>
                    <w:right w:w="28" w:type="dxa"/>
                  </w:tcMar>
                  <w:vAlign w:val="center"/>
                </w:tcPr>
                <w:p w14:paraId="122C27A0">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sz w:val="21"/>
                      <w:szCs w:val="21"/>
                    </w:rPr>
                  </w:pPr>
                  <w:r>
                    <w:rPr>
                      <w:rFonts w:hint="eastAsia"/>
                      <w:color w:val="auto"/>
                      <w:kern w:val="2"/>
                      <w:sz w:val="21"/>
                      <w:szCs w:val="21"/>
                    </w:rPr>
                    <w:t>（二）为更好</w:t>
                  </w:r>
                  <w:r>
                    <w:rPr>
                      <w:rFonts w:hint="eastAsia"/>
                      <w:color w:val="auto"/>
                      <w:kern w:val="2"/>
                      <w:sz w:val="21"/>
                      <w:szCs w:val="21"/>
                      <w:lang w:eastAsia="zh-CN"/>
                    </w:rPr>
                    <w:t>地</w:t>
                  </w:r>
                  <w:r>
                    <w:rPr>
                      <w:rFonts w:hint="eastAsia"/>
                      <w:color w:val="auto"/>
                      <w:kern w:val="2"/>
                      <w:sz w:val="21"/>
                      <w:szCs w:val="21"/>
                    </w:rPr>
                    <w:t>应对气候变化，聚焦绿色低碳发展，以二氧化碳排放达峰目标和中和愿景为导向，推动绿色低碳可持续发展，助力产业、能源、运输结构优化升级，加快淘汰过剩产能。加快集中供热的进程，减少能源浪费产生的碳排放情况。</w:t>
                  </w:r>
                  <w:r>
                    <w:rPr>
                      <w:rFonts w:hint="eastAsia"/>
                      <w:color w:val="auto"/>
                      <w:kern w:val="2"/>
                      <w:sz w:val="21"/>
                      <w:szCs w:val="21"/>
                      <w:lang w:eastAsia="zh-CN"/>
                    </w:rPr>
                    <w:t>提高</w:t>
                  </w:r>
                  <w:r>
                    <w:rPr>
                      <w:rFonts w:hint="eastAsia"/>
                      <w:color w:val="auto"/>
                      <w:kern w:val="2"/>
                      <w:sz w:val="21"/>
                      <w:szCs w:val="21"/>
                    </w:rPr>
                    <w:t>清洁能源普及率。区内企业优先选用高效的废气治理设施，减少温室气体的排放；因地制宜建设屋面光伏太阳能、风能项目以解决自身的能源问题；选用清洁原辅材料和先进工艺，降低能耗以及温室气体的产生；积极响应国家号召，落实碳排放相关政策。</w:t>
                  </w:r>
                </w:p>
              </w:tc>
              <w:tc>
                <w:tcPr>
                  <w:tcW w:w="2920" w:type="dxa"/>
                  <w:tcBorders>
                    <w:tl2br w:val="nil"/>
                    <w:tr2bl w:val="nil"/>
                  </w:tcBorders>
                  <w:tcMar>
                    <w:top w:w="28" w:type="dxa"/>
                    <w:left w:w="28" w:type="dxa"/>
                    <w:bottom w:w="28" w:type="dxa"/>
                    <w:right w:w="28" w:type="dxa"/>
                  </w:tcMar>
                  <w:vAlign w:val="center"/>
                </w:tcPr>
                <w:p w14:paraId="32124367">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本项目使用清洁能源电能，减少了温室气体的产生。</w:t>
                  </w:r>
                </w:p>
              </w:tc>
              <w:tc>
                <w:tcPr>
                  <w:tcW w:w="808" w:type="dxa"/>
                  <w:tcBorders>
                    <w:tl2br w:val="nil"/>
                    <w:tr2bl w:val="nil"/>
                  </w:tcBorders>
                  <w:tcMar>
                    <w:top w:w="28" w:type="dxa"/>
                    <w:left w:w="28" w:type="dxa"/>
                    <w:bottom w:w="28" w:type="dxa"/>
                    <w:right w:w="28" w:type="dxa"/>
                  </w:tcMar>
                  <w:vAlign w:val="center"/>
                </w:tcPr>
                <w:p w14:paraId="3854356C">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3447C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5284A2F5">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4</w:t>
                  </w:r>
                </w:p>
              </w:tc>
              <w:tc>
                <w:tcPr>
                  <w:tcW w:w="4790" w:type="dxa"/>
                  <w:tcBorders>
                    <w:tl2br w:val="nil"/>
                    <w:tr2bl w:val="nil"/>
                  </w:tcBorders>
                  <w:tcMar>
                    <w:top w:w="28" w:type="dxa"/>
                    <w:left w:w="28" w:type="dxa"/>
                    <w:bottom w:w="28" w:type="dxa"/>
                    <w:right w:w="28" w:type="dxa"/>
                  </w:tcMar>
                  <w:vAlign w:val="center"/>
                </w:tcPr>
                <w:p w14:paraId="52E62756">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三）优化产业结构，严格入区项目准入门槛。园区建设应严格按照规划环评审查意见和《报告书》提出的生态环境准入清单（见附件），稳妥、有序推进园区后续开发。新建项目要满足泗阳县新袁镇工业园区生态环境准入清单要求，严格</w:t>
                  </w:r>
                  <w:r>
                    <w:rPr>
                      <w:rFonts w:hint="eastAsia"/>
                      <w:color w:val="auto"/>
                      <w:sz w:val="21"/>
                      <w:szCs w:val="21"/>
                      <w:lang w:eastAsia="zh-CN"/>
                    </w:rPr>
                    <w:t>遵守</w:t>
                  </w:r>
                  <w:r>
                    <w:rPr>
                      <w:rFonts w:hint="eastAsia"/>
                      <w:color w:val="auto"/>
                      <w:sz w:val="21"/>
                      <w:szCs w:val="21"/>
                    </w:rPr>
                    <w:t>环境影响评价、“三同时”、排污许可证等相关制度</w:t>
                  </w:r>
                  <w:r>
                    <w:rPr>
                      <w:color w:val="auto"/>
                      <w:sz w:val="21"/>
                      <w:szCs w:val="21"/>
                    </w:rPr>
                    <w:t>。</w:t>
                  </w:r>
                </w:p>
              </w:tc>
              <w:tc>
                <w:tcPr>
                  <w:tcW w:w="2920" w:type="dxa"/>
                  <w:tcBorders>
                    <w:tl2br w:val="nil"/>
                    <w:tr2bl w:val="nil"/>
                  </w:tcBorders>
                  <w:tcMar>
                    <w:top w:w="28" w:type="dxa"/>
                    <w:left w:w="28" w:type="dxa"/>
                    <w:bottom w:w="28" w:type="dxa"/>
                    <w:right w:w="28" w:type="dxa"/>
                  </w:tcMar>
                  <w:vAlign w:val="center"/>
                </w:tcPr>
                <w:p w14:paraId="67E35861">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本项目满足园区生态环境准入清单要求，本项目将严格履行环境影响评价、项目竣工环境保护验收、排污许可证等相关制度。</w:t>
                  </w:r>
                </w:p>
              </w:tc>
              <w:tc>
                <w:tcPr>
                  <w:tcW w:w="808" w:type="dxa"/>
                  <w:tcBorders>
                    <w:tl2br w:val="nil"/>
                    <w:tr2bl w:val="nil"/>
                  </w:tcBorders>
                  <w:tcMar>
                    <w:top w:w="28" w:type="dxa"/>
                    <w:left w:w="28" w:type="dxa"/>
                    <w:bottom w:w="28" w:type="dxa"/>
                    <w:right w:w="28" w:type="dxa"/>
                  </w:tcMar>
                  <w:vAlign w:val="center"/>
                </w:tcPr>
                <w:p w14:paraId="4323ECD8">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18B06E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02EB4774">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5</w:t>
                  </w:r>
                </w:p>
              </w:tc>
              <w:tc>
                <w:tcPr>
                  <w:tcW w:w="4790" w:type="dxa"/>
                  <w:tcBorders>
                    <w:tl2br w:val="nil"/>
                    <w:tr2bl w:val="nil"/>
                  </w:tcBorders>
                  <w:tcMar>
                    <w:top w:w="28" w:type="dxa"/>
                    <w:left w:w="28" w:type="dxa"/>
                    <w:bottom w:w="28" w:type="dxa"/>
                    <w:right w:w="28" w:type="dxa"/>
                  </w:tcMar>
                  <w:vAlign w:val="center"/>
                </w:tcPr>
                <w:p w14:paraId="042603B6">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四）进一步优化园区空间布局。《规划》应坚持绿色发展、协调发展理念，进一步优化空间布局，强化园区空间管控，避免产业发展对生态环境保护、人居环境安全等造成不良影响。规划区域规划工业用地涉及少量农田，土地性质未调整前，不得随意开发建设。加快公共设施、绿地等建设进度。废气排放量较大或有恶臭、异味气体排放的项目另外设置空间防护距离并辅以绿化隔离带，空间防护距离范围内禁止规划新建居民点、学校、医院、疗养院等环境敏感保护目标</w:t>
                  </w:r>
                  <w:r>
                    <w:rPr>
                      <w:color w:val="auto"/>
                      <w:sz w:val="21"/>
                      <w:szCs w:val="21"/>
                    </w:rPr>
                    <w:t>。</w:t>
                  </w:r>
                </w:p>
              </w:tc>
              <w:tc>
                <w:tcPr>
                  <w:tcW w:w="2920" w:type="dxa"/>
                  <w:tcBorders>
                    <w:tl2br w:val="nil"/>
                    <w:tr2bl w:val="nil"/>
                  </w:tcBorders>
                  <w:tcMar>
                    <w:top w:w="28" w:type="dxa"/>
                    <w:left w:w="28" w:type="dxa"/>
                    <w:bottom w:w="28" w:type="dxa"/>
                    <w:right w:w="28" w:type="dxa"/>
                  </w:tcMar>
                  <w:vAlign w:val="center"/>
                </w:tcPr>
                <w:p w14:paraId="074DD10A">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本项目位于园区规划的工业用地范围内，不涉及侵占基本农田。</w:t>
                  </w:r>
                  <w:r>
                    <w:rPr>
                      <w:rFonts w:hint="eastAsia"/>
                      <w:color w:val="auto"/>
                      <w:sz w:val="21"/>
                      <w:szCs w:val="21"/>
                      <w:lang w:val="en-US" w:eastAsia="zh-CN"/>
                    </w:rPr>
                    <w:t>本项目设置100米卫生</w:t>
                  </w:r>
                  <w:r>
                    <w:rPr>
                      <w:rFonts w:hint="eastAsia"/>
                      <w:color w:val="auto"/>
                      <w:sz w:val="21"/>
                      <w:szCs w:val="21"/>
                    </w:rPr>
                    <w:t>防护距离</w:t>
                  </w:r>
                  <w:r>
                    <w:rPr>
                      <w:rFonts w:hint="eastAsia"/>
                      <w:color w:val="auto"/>
                      <w:sz w:val="21"/>
                      <w:szCs w:val="21"/>
                      <w:lang w:eastAsia="zh-CN"/>
                    </w:rPr>
                    <w:t>，</w:t>
                  </w:r>
                  <w:r>
                    <w:rPr>
                      <w:rFonts w:hint="eastAsia"/>
                      <w:color w:val="auto"/>
                      <w:sz w:val="21"/>
                      <w:szCs w:val="21"/>
                      <w:lang w:val="en-US" w:eastAsia="zh-CN"/>
                    </w:rPr>
                    <w:t>卫生防护距离</w:t>
                  </w:r>
                  <w:r>
                    <w:rPr>
                      <w:rFonts w:hint="eastAsia"/>
                      <w:color w:val="auto"/>
                      <w:sz w:val="21"/>
                      <w:szCs w:val="21"/>
                    </w:rPr>
                    <w:t>范围内目前无环境敏感目标，今后亦不得新建居民点、学校、医院、疗养院等环境敏感保护目标</w:t>
                  </w:r>
                  <w:r>
                    <w:rPr>
                      <w:color w:val="auto"/>
                      <w:sz w:val="21"/>
                      <w:szCs w:val="21"/>
                    </w:rPr>
                    <w:t>。</w:t>
                  </w:r>
                </w:p>
              </w:tc>
              <w:tc>
                <w:tcPr>
                  <w:tcW w:w="808" w:type="dxa"/>
                  <w:tcBorders>
                    <w:tl2br w:val="nil"/>
                    <w:tr2bl w:val="nil"/>
                  </w:tcBorders>
                  <w:tcMar>
                    <w:top w:w="28" w:type="dxa"/>
                    <w:left w:w="28" w:type="dxa"/>
                    <w:bottom w:w="28" w:type="dxa"/>
                    <w:right w:w="28" w:type="dxa"/>
                  </w:tcMar>
                  <w:vAlign w:val="center"/>
                </w:tcPr>
                <w:p w14:paraId="0C675004">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0166D7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592C04A8">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6</w:t>
                  </w:r>
                </w:p>
              </w:tc>
              <w:tc>
                <w:tcPr>
                  <w:tcW w:w="4790" w:type="dxa"/>
                  <w:tcBorders>
                    <w:tl2br w:val="nil"/>
                    <w:tr2bl w:val="nil"/>
                  </w:tcBorders>
                  <w:tcMar>
                    <w:top w:w="28" w:type="dxa"/>
                    <w:left w:w="28" w:type="dxa"/>
                    <w:bottom w:w="28" w:type="dxa"/>
                    <w:right w:w="28" w:type="dxa"/>
                  </w:tcMar>
                  <w:vAlign w:val="center"/>
                </w:tcPr>
                <w:p w14:paraId="0E1C371E">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w:t>
                  </w:r>
                  <w:r>
                    <w:rPr>
                      <w:rFonts w:hint="eastAsia"/>
                      <w:color w:val="auto"/>
                      <w:sz w:val="21"/>
                      <w:szCs w:val="21"/>
                    </w:rPr>
                    <w:t>六</w:t>
                  </w:r>
                  <w:r>
                    <w:rPr>
                      <w:rFonts w:hint="eastAsia"/>
                      <w:color w:val="auto"/>
                      <w:kern w:val="2"/>
                      <w:sz w:val="21"/>
                      <w:szCs w:val="21"/>
                    </w:rPr>
                    <w:t>）加快园区</w:t>
                  </w:r>
                  <w:r>
                    <w:rPr>
                      <w:rFonts w:hint="eastAsia"/>
                      <w:color w:val="auto"/>
                      <w:kern w:val="2"/>
                      <w:sz w:val="21"/>
                      <w:szCs w:val="21"/>
                      <w:lang w:eastAsia="zh-CN"/>
                    </w:rPr>
                    <w:t>环境基础设施建设</w:t>
                  </w:r>
                  <w:r>
                    <w:rPr>
                      <w:rFonts w:hint="eastAsia"/>
                      <w:color w:val="auto"/>
                      <w:kern w:val="2"/>
                      <w:sz w:val="21"/>
                      <w:szCs w:val="21"/>
                    </w:rPr>
                    <w:t>。按“雨污分流、清污分流、中水回用”的要求规划建设园区给排水系统，完善区域管网建设，确保园区生产、生活污水可全部接入污水处理厂处理；污水处理厂现状处理规模0.3万t/d，远期总规模0.5万t/d，收水范围包括泗阳县新袁镇工业园区全部区域。尾水达《城镇污水处理厂污染物排放标准》（GB18918-2002）表1一级A标准排入黄码河。</w:t>
                  </w:r>
                </w:p>
                <w:p w14:paraId="5D597E03">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园区内新、改、扩及迁建项目废水必须接管处理，污水管网未覆盖区域不予审批涉及生产生活废水排放项目。园区应制定管网铺设计划，完成时间根据开发时序推进，完成配套污水管网铺设，实现生产生活污水应收尽收</w:t>
                  </w:r>
                  <w:r>
                    <w:rPr>
                      <w:color w:val="auto"/>
                      <w:kern w:val="2"/>
                      <w:sz w:val="21"/>
                      <w:szCs w:val="21"/>
                    </w:rPr>
                    <w:t>。</w:t>
                  </w:r>
                </w:p>
              </w:tc>
              <w:tc>
                <w:tcPr>
                  <w:tcW w:w="2920" w:type="dxa"/>
                  <w:tcBorders>
                    <w:tl2br w:val="nil"/>
                    <w:tr2bl w:val="nil"/>
                  </w:tcBorders>
                  <w:tcMar>
                    <w:top w:w="28" w:type="dxa"/>
                    <w:left w:w="28" w:type="dxa"/>
                    <w:bottom w:w="28" w:type="dxa"/>
                    <w:right w:w="28" w:type="dxa"/>
                  </w:tcMar>
                  <w:vAlign w:val="center"/>
                </w:tcPr>
                <w:p w14:paraId="5D844A29">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本项目在新袁镇污水处理厂污水管网收水范围内，项目在营运期间</w:t>
                  </w:r>
                  <w:r>
                    <w:rPr>
                      <w:rFonts w:hint="eastAsia"/>
                      <w:color w:val="auto"/>
                      <w:sz w:val="21"/>
                      <w:szCs w:val="21"/>
                      <w:lang w:val="en-US" w:eastAsia="zh-CN"/>
                    </w:rPr>
                    <w:t>排放</w:t>
                  </w:r>
                  <w:r>
                    <w:rPr>
                      <w:rFonts w:hint="eastAsia"/>
                      <w:color w:val="auto"/>
                      <w:sz w:val="21"/>
                      <w:szCs w:val="21"/>
                    </w:rPr>
                    <w:t>的水污染物主要为员工生活污水。生活污水</w:t>
                  </w:r>
                  <w:r>
                    <w:rPr>
                      <w:rFonts w:hint="eastAsia"/>
                      <w:color w:val="auto"/>
                      <w:sz w:val="21"/>
                      <w:szCs w:val="21"/>
                      <w:lang w:val="en-US" w:eastAsia="zh-CN"/>
                    </w:rPr>
                    <w:t>经化粪池预处理达到</w:t>
                  </w:r>
                  <w:r>
                    <w:rPr>
                      <w:rFonts w:hint="eastAsia"/>
                      <w:color w:val="auto"/>
                      <w:sz w:val="21"/>
                      <w:szCs w:val="21"/>
                    </w:rPr>
                    <w:t>新袁镇污水处理厂接管标准后，排入新袁镇污水处理厂进行集中处理。由污水处理厂处理达</w:t>
                  </w:r>
                  <w:r>
                    <w:rPr>
                      <w:color w:val="auto"/>
                      <w:sz w:val="21"/>
                      <w:szCs w:val="21"/>
                    </w:rPr>
                    <w:t>《城镇污水处理厂污染物排放标准》（GB18918-2002）中表1一级A标准</w:t>
                  </w:r>
                  <w:r>
                    <w:rPr>
                      <w:rFonts w:hint="eastAsia"/>
                      <w:color w:val="auto"/>
                      <w:sz w:val="21"/>
                      <w:szCs w:val="21"/>
                      <w:lang w:eastAsia="zh-CN"/>
                    </w:rPr>
                    <w:t>（</w:t>
                  </w:r>
                  <w:r>
                    <w:rPr>
                      <w:rFonts w:hint="eastAsia"/>
                      <w:color w:val="auto"/>
                      <w:sz w:val="21"/>
                      <w:szCs w:val="21"/>
                      <w:lang w:val="en-US" w:eastAsia="zh-CN"/>
                    </w:rPr>
                    <w:t>新袁镇污水处理厂设计规模为5000t/d</w:t>
                  </w:r>
                  <w:r>
                    <w:rPr>
                      <w:rFonts w:hint="eastAsia"/>
                      <w:color w:val="auto"/>
                      <w:sz w:val="21"/>
                      <w:szCs w:val="21"/>
                      <w:lang w:eastAsia="zh-CN"/>
                    </w:rPr>
                    <w:t>，</w:t>
                  </w:r>
                  <w:r>
                    <w:rPr>
                      <w:rFonts w:hint="eastAsia"/>
                      <w:color w:val="auto"/>
                      <w:sz w:val="21"/>
                      <w:szCs w:val="21"/>
                      <w:lang w:val="en-US" w:eastAsia="zh-CN"/>
                    </w:rPr>
                    <w:t>2026年3月执行</w:t>
                  </w:r>
                  <w:r>
                    <w:rPr>
                      <w:rFonts w:hint="eastAsia"/>
                      <w:color w:val="auto"/>
                      <w:sz w:val="21"/>
                      <w:szCs w:val="21"/>
                    </w:rPr>
                    <w:t>《城镇污水处理厂污染物排放标准》（</w:t>
                  </w:r>
                  <w:r>
                    <w:rPr>
                      <w:rFonts w:hint="eastAsia"/>
                      <w:color w:val="auto"/>
                      <w:sz w:val="21"/>
                      <w:szCs w:val="21"/>
                      <w:lang w:val="en-US" w:eastAsia="zh-CN"/>
                    </w:rPr>
                    <w:t>D</w:t>
                  </w:r>
                  <w:r>
                    <w:rPr>
                      <w:rFonts w:hint="eastAsia"/>
                      <w:color w:val="auto"/>
                      <w:sz w:val="21"/>
                      <w:szCs w:val="21"/>
                    </w:rPr>
                    <w:t>B</w:t>
                  </w:r>
                  <w:r>
                    <w:rPr>
                      <w:rFonts w:hint="eastAsia"/>
                      <w:color w:val="auto"/>
                      <w:sz w:val="21"/>
                      <w:szCs w:val="21"/>
                      <w:lang w:val="en-US" w:eastAsia="zh-CN"/>
                    </w:rPr>
                    <w:t>32/4440</w:t>
                  </w:r>
                  <w:r>
                    <w:rPr>
                      <w:rFonts w:hint="eastAsia"/>
                      <w:color w:val="auto"/>
                      <w:sz w:val="21"/>
                      <w:szCs w:val="21"/>
                    </w:rPr>
                    <w:t>-20</w:t>
                  </w:r>
                  <w:r>
                    <w:rPr>
                      <w:rFonts w:hint="eastAsia"/>
                      <w:color w:val="auto"/>
                      <w:sz w:val="21"/>
                      <w:szCs w:val="21"/>
                      <w:lang w:val="en-US" w:eastAsia="zh-CN"/>
                    </w:rPr>
                    <w:t>2</w:t>
                  </w:r>
                  <w:r>
                    <w:rPr>
                      <w:rFonts w:hint="eastAsia"/>
                      <w:color w:val="auto"/>
                      <w:sz w:val="21"/>
                      <w:szCs w:val="21"/>
                    </w:rPr>
                    <w:t>2）中表1一级</w:t>
                  </w:r>
                  <w:r>
                    <w:rPr>
                      <w:rFonts w:hint="eastAsia"/>
                      <w:color w:val="auto"/>
                      <w:sz w:val="21"/>
                      <w:szCs w:val="21"/>
                      <w:lang w:val="en-US" w:eastAsia="zh-CN"/>
                    </w:rPr>
                    <w:t>C</w:t>
                  </w:r>
                  <w:r>
                    <w:rPr>
                      <w:rFonts w:hint="eastAsia"/>
                      <w:color w:val="auto"/>
                      <w:sz w:val="21"/>
                      <w:szCs w:val="21"/>
                    </w:rPr>
                    <w:t>标准</w:t>
                  </w:r>
                  <w:r>
                    <w:rPr>
                      <w:rFonts w:hint="eastAsia"/>
                      <w:color w:val="auto"/>
                      <w:sz w:val="21"/>
                      <w:szCs w:val="21"/>
                      <w:lang w:eastAsia="zh-CN"/>
                    </w:rPr>
                    <w:t>）</w:t>
                  </w:r>
                  <w:r>
                    <w:rPr>
                      <w:rFonts w:hint="eastAsia"/>
                      <w:color w:val="auto"/>
                      <w:sz w:val="21"/>
                      <w:szCs w:val="21"/>
                    </w:rPr>
                    <w:t>，尾水排入黄码河。</w:t>
                  </w:r>
                </w:p>
              </w:tc>
              <w:tc>
                <w:tcPr>
                  <w:tcW w:w="808" w:type="dxa"/>
                  <w:tcBorders>
                    <w:tl2br w:val="nil"/>
                    <w:tr2bl w:val="nil"/>
                  </w:tcBorders>
                  <w:tcMar>
                    <w:top w:w="28" w:type="dxa"/>
                    <w:left w:w="28" w:type="dxa"/>
                    <w:bottom w:w="28" w:type="dxa"/>
                    <w:right w:w="28" w:type="dxa"/>
                  </w:tcMar>
                  <w:vAlign w:val="center"/>
                </w:tcPr>
                <w:p w14:paraId="5BBAB6FF">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7679AD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62A6BE34">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7</w:t>
                  </w:r>
                </w:p>
              </w:tc>
              <w:tc>
                <w:tcPr>
                  <w:tcW w:w="4790" w:type="dxa"/>
                  <w:tcBorders>
                    <w:tl2br w:val="nil"/>
                    <w:tr2bl w:val="nil"/>
                  </w:tcBorders>
                  <w:tcMar>
                    <w:top w:w="28" w:type="dxa"/>
                    <w:left w:w="28" w:type="dxa"/>
                    <w:bottom w:w="28" w:type="dxa"/>
                    <w:right w:w="28" w:type="dxa"/>
                  </w:tcMar>
                  <w:vAlign w:val="center"/>
                </w:tcPr>
                <w:p w14:paraId="192FE58C">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园区目前尚未采用集中供热，远期集中供热主要依托泗阳热电联产供热。集中供热尚未实施期间，由各企业自行供热，采用天然气、电力等清洁燃</w:t>
                  </w:r>
                  <w:r>
                    <w:rPr>
                      <w:rFonts w:hint="eastAsia"/>
                      <w:color w:val="auto"/>
                      <w:kern w:val="2"/>
                      <w:sz w:val="21"/>
                      <w:szCs w:val="21"/>
                      <w:lang w:eastAsia="zh-CN"/>
                    </w:rPr>
                    <w:t>料</w:t>
                  </w:r>
                  <w:r>
                    <w:rPr>
                      <w:rFonts w:hint="eastAsia"/>
                      <w:color w:val="auto"/>
                      <w:kern w:val="2"/>
                      <w:sz w:val="21"/>
                      <w:szCs w:val="21"/>
                    </w:rPr>
                    <w:t>。园区应加快供热管网建设，确保新入区企业实施集中供热，新入区企业因工艺要求确需自备供热的，应经生态环境部门批准后以天然气、电力等清洁燃料为能源。</w:t>
                  </w:r>
                </w:p>
              </w:tc>
              <w:tc>
                <w:tcPr>
                  <w:tcW w:w="2920" w:type="dxa"/>
                  <w:tcBorders>
                    <w:tl2br w:val="nil"/>
                    <w:tr2bl w:val="nil"/>
                  </w:tcBorders>
                  <w:tcMar>
                    <w:top w:w="28" w:type="dxa"/>
                    <w:left w:w="28" w:type="dxa"/>
                    <w:bottom w:w="28" w:type="dxa"/>
                    <w:right w:w="28" w:type="dxa"/>
                  </w:tcMar>
                  <w:vAlign w:val="center"/>
                </w:tcPr>
                <w:p w14:paraId="13F965D0">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lang w:val="en-US" w:eastAsia="zh-CN"/>
                    </w:rPr>
                    <w:t>本项目加弹机设备自带电加热，使用电能，属于清洁能源</w:t>
                  </w:r>
                  <w:r>
                    <w:rPr>
                      <w:color w:val="auto"/>
                      <w:sz w:val="21"/>
                      <w:szCs w:val="21"/>
                    </w:rPr>
                    <w:t>。</w:t>
                  </w:r>
                </w:p>
              </w:tc>
              <w:tc>
                <w:tcPr>
                  <w:tcW w:w="808" w:type="dxa"/>
                  <w:tcBorders>
                    <w:tl2br w:val="nil"/>
                    <w:tr2bl w:val="nil"/>
                  </w:tcBorders>
                  <w:tcMar>
                    <w:top w:w="28" w:type="dxa"/>
                    <w:left w:w="28" w:type="dxa"/>
                    <w:bottom w:w="28" w:type="dxa"/>
                    <w:right w:w="28" w:type="dxa"/>
                  </w:tcMar>
                  <w:vAlign w:val="center"/>
                </w:tcPr>
                <w:p w14:paraId="2E60E333">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rFonts w:hint="eastAsia" w:eastAsia="宋体"/>
                      <w:color w:val="auto"/>
                      <w:sz w:val="21"/>
                      <w:szCs w:val="21"/>
                      <w:lang w:val="en-US" w:eastAsia="zh-CN"/>
                    </w:rPr>
                  </w:pPr>
                  <w:r>
                    <w:rPr>
                      <w:rFonts w:hint="eastAsia"/>
                      <w:color w:val="auto"/>
                      <w:sz w:val="21"/>
                      <w:szCs w:val="21"/>
                      <w:lang w:val="en-US" w:eastAsia="zh-CN"/>
                    </w:rPr>
                    <w:t>符合</w:t>
                  </w:r>
                </w:p>
              </w:tc>
            </w:tr>
            <w:tr w14:paraId="310823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6A350E25">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8</w:t>
                  </w:r>
                </w:p>
              </w:tc>
              <w:tc>
                <w:tcPr>
                  <w:tcW w:w="4790" w:type="dxa"/>
                  <w:tcBorders>
                    <w:tl2br w:val="nil"/>
                    <w:tr2bl w:val="nil"/>
                  </w:tcBorders>
                  <w:tcMar>
                    <w:top w:w="28" w:type="dxa"/>
                    <w:left w:w="28" w:type="dxa"/>
                    <w:bottom w:w="28" w:type="dxa"/>
                    <w:right w:w="28" w:type="dxa"/>
                  </w:tcMar>
                  <w:vAlign w:val="center"/>
                </w:tcPr>
                <w:p w14:paraId="712F6FD3">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合理规划布局区内企业，使噪声源相对分散且远离噪声敏感区，避免造成污染。对新建、改建和扩建的项目，须按国家有关规定执行《工业企业厂界环境噪声排放标准》（GB12348-2008</w:t>
                  </w:r>
                  <w:r>
                    <w:rPr>
                      <w:rFonts w:hint="eastAsia"/>
                      <w:color w:val="auto"/>
                      <w:kern w:val="2"/>
                      <w:sz w:val="21"/>
                      <w:szCs w:val="21"/>
                      <w:lang w:eastAsia="zh-CN"/>
                    </w:rPr>
                    <w:t>）</w:t>
                  </w:r>
                  <w:r>
                    <w:rPr>
                      <w:rFonts w:hint="eastAsia"/>
                      <w:color w:val="auto"/>
                      <w:kern w:val="2"/>
                      <w:sz w:val="21"/>
                      <w:szCs w:val="21"/>
                    </w:rPr>
                    <w:t>，实现厂界排放标准。对排放噪声超标或引起噪声污染纠纷的单位</w:t>
                  </w:r>
                  <w:r>
                    <w:rPr>
                      <w:rFonts w:hint="eastAsia"/>
                      <w:color w:val="auto"/>
                      <w:kern w:val="2"/>
                      <w:sz w:val="21"/>
                      <w:szCs w:val="21"/>
                      <w:lang w:eastAsia="zh-CN"/>
                    </w:rPr>
                    <w:t>，必</w:t>
                  </w:r>
                  <w:r>
                    <w:rPr>
                      <w:rFonts w:hint="eastAsia"/>
                      <w:color w:val="auto"/>
                      <w:kern w:val="2"/>
                      <w:sz w:val="21"/>
                      <w:szCs w:val="21"/>
                    </w:rPr>
                    <w:t>须进行限期治理。建筑施工噪声符合《建筑施工场界环境噪声排放标准》（GB12523-2011）要求，减轻施工期对周围声环境的影响。</w:t>
                  </w:r>
                </w:p>
              </w:tc>
              <w:tc>
                <w:tcPr>
                  <w:tcW w:w="2920" w:type="dxa"/>
                  <w:tcBorders>
                    <w:tl2br w:val="nil"/>
                    <w:tr2bl w:val="nil"/>
                  </w:tcBorders>
                  <w:tcMar>
                    <w:top w:w="28" w:type="dxa"/>
                    <w:left w:w="28" w:type="dxa"/>
                    <w:bottom w:w="28" w:type="dxa"/>
                    <w:right w:w="28" w:type="dxa"/>
                  </w:tcMar>
                  <w:vAlign w:val="center"/>
                </w:tcPr>
                <w:p w14:paraId="218A2FB6">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w:t>
                  </w:r>
                  <w:r>
                    <w:rPr>
                      <w:rFonts w:hint="eastAsia"/>
                      <w:color w:val="auto"/>
                      <w:sz w:val="21"/>
                      <w:szCs w:val="21"/>
                      <w:lang w:val="en-US" w:eastAsia="zh-CN"/>
                    </w:rPr>
                    <w:t>租赁园区现有空置厂房，不涉及</w:t>
                  </w:r>
                  <w:r>
                    <w:rPr>
                      <w:rFonts w:hint="eastAsia"/>
                      <w:color w:val="auto"/>
                      <w:sz w:val="21"/>
                      <w:szCs w:val="21"/>
                    </w:rPr>
                    <w:t>施工期噪声。项目运营期噪声执行</w:t>
                  </w:r>
                  <w:r>
                    <w:rPr>
                      <w:color w:val="auto"/>
                      <w:sz w:val="21"/>
                      <w:szCs w:val="21"/>
                    </w:rPr>
                    <w:t>《工业企业厂界环境噪声排放标准》</w:t>
                  </w:r>
                  <w:r>
                    <w:rPr>
                      <w:rFonts w:hint="eastAsia"/>
                      <w:color w:val="auto"/>
                      <w:sz w:val="21"/>
                      <w:szCs w:val="21"/>
                      <w:lang w:eastAsia="zh-CN"/>
                    </w:rPr>
                    <w:t>（</w:t>
                  </w:r>
                  <w:r>
                    <w:rPr>
                      <w:color w:val="auto"/>
                      <w:sz w:val="21"/>
                      <w:szCs w:val="21"/>
                    </w:rPr>
                    <w:t>GB12348-2008</w:t>
                  </w:r>
                  <w:r>
                    <w:rPr>
                      <w:rFonts w:hint="eastAsia"/>
                      <w:color w:val="auto"/>
                      <w:sz w:val="21"/>
                      <w:szCs w:val="21"/>
                      <w:lang w:eastAsia="zh-CN"/>
                    </w:rPr>
                    <w:t>）</w:t>
                  </w:r>
                  <w:r>
                    <w:rPr>
                      <w:color w:val="auto"/>
                      <w:sz w:val="21"/>
                      <w:szCs w:val="21"/>
                    </w:rPr>
                    <w:t>中3类标准值</w:t>
                  </w:r>
                  <w:r>
                    <w:rPr>
                      <w:rFonts w:hint="eastAsia"/>
                      <w:color w:val="auto"/>
                      <w:sz w:val="21"/>
                      <w:szCs w:val="21"/>
                    </w:rPr>
                    <w:t>。</w:t>
                  </w:r>
                </w:p>
              </w:tc>
              <w:tc>
                <w:tcPr>
                  <w:tcW w:w="808" w:type="dxa"/>
                  <w:tcBorders>
                    <w:tl2br w:val="nil"/>
                    <w:tr2bl w:val="nil"/>
                  </w:tcBorders>
                  <w:tcMar>
                    <w:top w:w="28" w:type="dxa"/>
                    <w:left w:w="28" w:type="dxa"/>
                    <w:bottom w:w="28" w:type="dxa"/>
                    <w:right w:w="28" w:type="dxa"/>
                  </w:tcMar>
                  <w:vAlign w:val="center"/>
                </w:tcPr>
                <w:p w14:paraId="251A47F0">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6AE17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0AB92727">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9</w:t>
                  </w:r>
                </w:p>
              </w:tc>
              <w:tc>
                <w:tcPr>
                  <w:tcW w:w="4790" w:type="dxa"/>
                  <w:tcBorders>
                    <w:tl2br w:val="nil"/>
                    <w:tr2bl w:val="nil"/>
                  </w:tcBorders>
                  <w:tcMar>
                    <w:top w:w="28" w:type="dxa"/>
                    <w:left w:w="28" w:type="dxa"/>
                    <w:bottom w:w="28" w:type="dxa"/>
                    <w:right w:w="28" w:type="dxa"/>
                  </w:tcMar>
                  <w:vAlign w:val="center"/>
                </w:tcPr>
                <w:p w14:paraId="61336950">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园区鼓励工业固体废物在区内综合利用。区内危险废物的收集、贮存要符合国家《危险废物贮存污染控制标准》（GB18597-2001）及其修改单要求，防止产生二次污染。危险废物委托有资质单位处置。</w:t>
                  </w:r>
                </w:p>
              </w:tc>
              <w:tc>
                <w:tcPr>
                  <w:tcW w:w="2920" w:type="dxa"/>
                  <w:tcBorders>
                    <w:tl2br w:val="nil"/>
                    <w:tr2bl w:val="nil"/>
                  </w:tcBorders>
                  <w:tcMar>
                    <w:top w:w="28" w:type="dxa"/>
                    <w:left w:w="28" w:type="dxa"/>
                    <w:bottom w:w="28" w:type="dxa"/>
                    <w:right w:w="28" w:type="dxa"/>
                  </w:tcMar>
                  <w:vAlign w:val="center"/>
                </w:tcPr>
                <w:p w14:paraId="7533F484">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本项目生活垃圾委托环卫部门清运处理，</w:t>
                  </w:r>
                  <w:r>
                    <w:rPr>
                      <w:rFonts w:hint="eastAsia"/>
                      <w:color w:val="auto"/>
                      <w:sz w:val="21"/>
                      <w:szCs w:val="21"/>
                      <w:lang w:val="en-US" w:eastAsia="zh-CN"/>
                    </w:rPr>
                    <w:t>一般固废</w:t>
                  </w:r>
                  <w:r>
                    <w:rPr>
                      <w:rFonts w:hint="eastAsia"/>
                      <w:color w:val="auto"/>
                      <w:sz w:val="21"/>
                      <w:szCs w:val="21"/>
                    </w:rPr>
                    <w:t>外售综合利用。危险废物</w:t>
                  </w:r>
                  <w:r>
                    <w:rPr>
                      <w:rFonts w:hint="eastAsia"/>
                      <w:color w:val="auto"/>
                      <w:sz w:val="21"/>
                      <w:szCs w:val="21"/>
                      <w:lang w:val="en-US" w:eastAsia="zh-CN"/>
                    </w:rPr>
                    <w:t>委托有资质公司安全处理</w:t>
                  </w:r>
                  <w:r>
                    <w:rPr>
                      <w:rFonts w:hint="eastAsia"/>
                      <w:color w:val="auto"/>
                      <w:sz w:val="21"/>
                      <w:szCs w:val="21"/>
                    </w:rPr>
                    <w:t>。固体废物均按环保要求处理处置，固废零排放，不会产生二次污染。</w:t>
                  </w:r>
                </w:p>
              </w:tc>
              <w:tc>
                <w:tcPr>
                  <w:tcW w:w="808" w:type="dxa"/>
                  <w:tcBorders>
                    <w:tl2br w:val="nil"/>
                    <w:tr2bl w:val="nil"/>
                  </w:tcBorders>
                  <w:tcMar>
                    <w:top w:w="28" w:type="dxa"/>
                    <w:left w:w="28" w:type="dxa"/>
                    <w:bottom w:w="28" w:type="dxa"/>
                    <w:right w:w="28" w:type="dxa"/>
                  </w:tcMar>
                  <w:vAlign w:val="center"/>
                </w:tcPr>
                <w:p w14:paraId="3BBFA5B7">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470FE3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7FB2A652">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10</w:t>
                  </w:r>
                </w:p>
              </w:tc>
              <w:tc>
                <w:tcPr>
                  <w:tcW w:w="4790" w:type="dxa"/>
                  <w:tcBorders>
                    <w:tl2br w:val="nil"/>
                    <w:tr2bl w:val="nil"/>
                  </w:tcBorders>
                  <w:tcMar>
                    <w:top w:w="28" w:type="dxa"/>
                    <w:left w:w="28" w:type="dxa"/>
                    <w:bottom w:w="28" w:type="dxa"/>
                    <w:right w:w="28" w:type="dxa"/>
                  </w:tcMar>
                  <w:vAlign w:val="center"/>
                </w:tcPr>
                <w:p w14:paraId="2C350167">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七）加强区域环境综合整治，改善环境质量。加强环境综合整治，改善区域环境，对大气、水环境进行严格保护。“三同时”设施建设不到位、废水、废气不能稳定达标排放的企业立即实施整改，确保在今后的开发建设中严格执行环保准入门槛。为满足区域大气、水环境质量改善的目标，本轮规划的实施必须协调区域大气、水环境综合整治同步进行，并应保证大气、纳污河流水质不进一步恶化。</w:t>
                  </w:r>
                </w:p>
              </w:tc>
              <w:tc>
                <w:tcPr>
                  <w:tcW w:w="2920" w:type="dxa"/>
                  <w:tcBorders>
                    <w:tl2br w:val="nil"/>
                    <w:tr2bl w:val="nil"/>
                  </w:tcBorders>
                  <w:tcMar>
                    <w:top w:w="28" w:type="dxa"/>
                    <w:left w:w="28" w:type="dxa"/>
                    <w:bottom w:w="28" w:type="dxa"/>
                    <w:right w:w="28" w:type="dxa"/>
                  </w:tcMar>
                  <w:vAlign w:val="center"/>
                </w:tcPr>
                <w:p w14:paraId="47A44892">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本项目对预期产生的主要污染物采取切实可行的污染防治措施后，</w:t>
                  </w:r>
                  <w:r>
                    <w:rPr>
                      <w:rFonts w:hint="eastAsia"/>
                      <w:color w:val="auto"/>
                      <w:sz w:val="21"/>
                      <w:szCs w:val="21"/>
                      <w:lang w:val="en-US" w:eastAsia="zh-CN"/>
                    </w:rPr>
                    <w:t>加弹</w:t>
                  </w:r>
                  <w:r>
                    <w:rPr>
                      <w:rFonts w:hint="eastAsia"/>
                      <w:color w:val="auto"/>
                      <w:sz w:val="21"/>
                      <w:szCs w:val="21"/>
                    </w:rPr>
                    <w:t>废气可实现达标排放，生活污水</w:t>
                  </w:r>
                  <w:r>
                    <w:rPr>
                      <w:rFonts w:hint="eastAsia"/>
                      <w:color w:val="auto"/>
                      <w:sz w:val="21"/>
                      <w:szCs w:val="21"/>
                      <w:lang w:val="en-US" w:eastAsia="zh-CN"/>
                    </w:rPr>
                    <w:t>经化粪池预处理达到</w:t>
                  </w:r>
                  <w:r>
                    <w:rPr>
                      <w:rFonts w:hint="eastAsia"/>
                      <w:color w:val="auto"/>
                      <w:sz w:val="21"/>
                      <w:szCs w:val="21"/>
                    </w:rPr>
                    <w:t>新袁镇污水处理厂接管标准后，排入新袁镇污水处理厂进行集中处理，项目的运营对周边大气、水环境影响较小。</w:t>
                  </w:r>
                </w:p>
              </w:tc>
              <w:tc>
                <w:tcPr>
                  <w:tcW w:w="808" w:type="dxa"/>
                  <w:tcBorders>
                    <w:tl2br w:val="nil"/>
                    <w:tr2bl w:val="nil"/>
                  </w:tcBorders>
                  <w:tcMar>
                    <w:top w:w="28" w:type="dxa"/>
                    <w:left w:w="28" w:type="dxa"/>
                    <w:bottom w:w="28" w:type="dxa"/>
                    <w:right w:w="28" w:type="dxa"/>
                  </w:tcMar>
                  <w:vAlign w:val="center"/>
                </w:tcPr>
                <w:p w14:paraId="1695E8DF">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7DD2E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360AC89E">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11</w:t>
                  </w:r>
                </w:p>
              </w:tc>
              <w:tc>
                <w:tcPr>
                  <w:tcW w:w="4790" w:type="dxa"/>
                  <w:tcBorders>
                    <w:tl2br w:val="nil"/>
                    <w:tr2bl w:val="nil"/>
                  </w:tcBorders>
                  <w:tcMar>
                    <w:top w:w="28" w:type="dxa"/>
                    <w:left w:w="28" w:type="dxa"/>
                    <w:bottom w:w="28" w:type="dxa"/>
                    <w:right w:w="28" w:type="dxa"/>
                  </w:tcMar>
                  <w:vAlign w:val="center"/>
                </w:tcPr>
                <w:p w14:paraId="53A62AAB">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八）完善环境监测监控体系，提升环境风险应急能力。建立健全环境要素监测监控体系。每年开展环境质量跟踪监测，明确责任主体和实施时限，重点关注园区及周边水体的水质变化情况和大气环境质量变化情况。每年对产业开发区大气、地表水、地下水、声和土壤环境质量进行监测，掌握规划实施过程中区域环境状况的演变趋势，为规划跟踪评价提供科学依据，并能及时对规划方案提出调整意见和补救措施，保证规划区及周边区域的环境安全。</w:t>
                  </w:r>
                </w:p>
                <w:p w14:paraId="759231E0">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建立健全区域环境风险防范体系。完善应急响应联动机制、风险管理体系和事故应急组织体系，提升园区环境风险防控和应急响应能力。按规定编制园区突发环境事件风险评估报告和突发环境事件应急预案；同时，按照“企业</w:t>
                  </w:r>
                  <w:r>
                    <w:rPr>
                      <w:rFonts w:hint="eastAsia"/>
                      <w:color w:val="auto"/>
                      <w:kern w:val="2"/>
                      <w:sz w:val="21"/>
                      <w:szCs w:val="21"/>
                      <w:lang w:eastAsia="zh-CN"/>
                    </w:rPr>
                    <w:t>－</w:t>
                  </w:r>
                  <w:r>
                    <w:rPr>
                      <w:rFonts w:hint="eastAsia"/>
                      <w:color w:val="auto"/>
                      <w:kern w:val="2"/>
                      <w:sz w:val="21"/>
                      <w:szCs w:val="21"/>
                    </w:rPr>
                    <w:t>园区</w:t>
                  </w:r>
                  <w:r>
                    <w:rPr>
                      <w:rFonts w:hint="eastAsia"/>
                      <w:color w:val="auto"/>
                      <w:kern w:val="2"/>
                      <w:sz w:val="21"/>
                      <w:szCs w:val="21"/>
                      <w:lang w:eastAsia="zh-CN"/>
                    </w:rPr>
                    <w:t>－</w:t>
                  </w:r>
                  <w:r>
                    <w:rPr>
                      <w:rFonts w:hint="eastAsia"/>
                      <w:color w:val="auto"/>
                      <w:kern w:val="2"/>
                      <w:sz w:val="21"/>
                      <w:szCs w:val="21"/>
                    </w:rPr>
                    <w:t>周边水体”三级环境风险防控要求，编制重点敏感保护目标水环境安全缓冲区建设方案，确保事故废水得到有效拦截，避免进入周边重要水体。严格落实《关于做好生态环境和应急管理部门联动工作的意见》（苏环办〔2020〕101号）文件要求</w:t>
                  </w:r>
                  <w:r>
                    <w:rPr>
                      <w:rFonts w:hint="eastAsia"/>
                      <w:color w:val="auto"/>
                      <w:kern w:val="2"/>
                      <w:sz w:val="21"/>
                      <w:szCs w:val="21"/>
                      <w:lang w:eastAsia="zh-CN"/>
                    </w:rPr>
                    <w:t>，对</w:t>
                  </w:r>
                  <w:r>
                    <w:rPr>
                      <w:rFonts w:hint="eastAsia"/>
                      <w:color w:val="auto"/>
                      <w:kern w:val="2"/>
                      <w:sz w:val="21"/>
                      <w:szCs w:val="21"/>
                    </w:rPr>
                    <w:t>建设项目开展环境风险评价，制定科学有效的环境风险应急措施。项目在正式投产前编制突发环境事件风险评估报告和突发环境事件应急预案。园区预案和企业预案须报相关生态环境部门备案。园区设立专门的环保管理机构并配备足够的专职环保管理人员，统一对园区进行环境监督管理，落实环境监测、环境管理等工作。</w:t>
                  </w:r>
                </w:p>
              </w:tc>
              <w:tc>
                <w:tcPr>
                  <w:tcW w:w="2920" w:type="dxa"/>
                  <w:tcBorders>
                    <w:tl2br w:val="nil"/>
                    <w:tr2bl w:val="nil"/>
                  </w:tcBorders>
                  <w:tcMar>
                    <w:top w:w="28" w:type="dxa"/>
                    <w:left w:w="28" w:type="dxa"/>
                    <w:bottom w:w="28" w:type="dxa"/>
                    <w:right w:w="28" w:type="dxa"/>
                  </w:tcMar>
                  <w:vAlign w:val="center"/>
                </w:tcPr>
                <w:p w14:paraId="0446B699">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本项目将按《关于做好生态环境和应急管理部门联动工作的意见》（苏环办</w:t>
                  </w:r>
                  <w:r>
                    <w:rPr>
                      <w:rFonts w:hint="eastAsia"/>
                      <w:color w:val="auto"/>
                      <w:sz w:val="21"/>
                      <w:szCs w:val="21"/>
                      <w:lang w:eastAsia="zh-CN"/>
                    </w:rPr>
                    <w:t>〔2020〕101号</w:t>
                  </w:r>
                  <w:r>
                    <w:rPr>
                      <w:rFonts w:hint="eastAsia"/>
                      <w:color w:val="auto"/>
                      <w:sz w:val="21"/>
                      <w:szCs w:val="21"/>
                    </w:rPr>
                    <w:t>）文件要求开展环境风险评价，落实环境风险防范措施，并针对可能发生的物料泄漏和火灾爆炸等事故进行定期演练，防止和减轻事故危害</w:t>
                  </w:r>
                  <w:r>
                    <w:rPr>
                      <w:color w:val="auto"/>
                      <w:sz w:val="21"/>
                      <w:szCs w:val="21"/>
                    </w:rPr>
                    <w:t>。</w:t>
                  </w:r>
                </w:p>
              </w:tc>
              <w:tc>
                <w:tcPr>
                  <w:tcW w:w="808" w:type="dxa"/>
                  <w:tcBorders>
                    <w:tl2br w:val="nil"/>
                    <w:tr2bl w:val="nil"/>
                  </w:tcBorders>
                  <w:tcMar>
                    <w:top w:w="28" w:type="dxa"/>
                    <w:left w:w="28" w:type="dxa"/>
                    <w:bottom w:w="28" w:type="dxa"/>
                    <w:right w:w="28" w:type="dxa"/>
                  </w:tcMar>
                  <w:vAlign w:val="center"/>
                </w:tcPr>
                <w:p w14:paraId="0F2E622D">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r w14:paraId="20314F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88" w:type="dxa"/>
                  <w:tcBorders>
                    <w:tl2br w:val="nil"/>
                    <w:tr2bl w:val="nil"/>
                  </w:tcBorders>
                  <w:tcMar>
                    <w:top w:w="28" w:type="dxa"/>
                    <w:left w:w="28" w:type="dxa"/>
                    <w:bottom w:w="28" w:type="dxa"/>
                    <w:right w:w="28" w:type="dxa"/>
                  </w:tcMar>
                  <w:vAlign w:val="center"/>
                </w:tcPr>
                <w:p w14:paraId="7F86E36F">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rPr>
                      <w:color w:val="auto"/>
                      <w:sz w:val="21"/>
                      <w:szCs w:val="21"/>
                    </w:rPr>
                  </w:pPr>
                  <w:r>
                    <w:rPr>
                      <w:rFonts w:hint="eastAsia"/>
                      <w:color w:val="auto"/>
                      <w:sz w:val="21"/>
                      <w:szCs w:val="21"/>
                    </w:rPr>
                    <w:t>12</w:t>
                  </w:r>
                </w:p>
              </w:tc>
              <w:tc>
                <w:tcPr>
                  <w:tcW w:w="4790" w:type="dxa"/>
                  <w:tcBorders>
                    <w:tl2br w:val="nil"/>
                    <w:tr2bl w:val="nil"/>
                  </w:tcBorders>
                  <w:tcMar>
                    <w:top w:w="28" w:type="dxa"/>
                    <w:left w:w="28" w:type="dxa"/>
                    <w:bottom w:w="28" w:type="dxa"/>
                    <w:right w:w="28" w:type="dxa"/>
                  </w:tcMar>
                  <w:vAlign w:val="center"/>
                </w:tcPr>
                <w:p w14:paraId="5B4C2134">
                  <w:pPr>
                    <w:pStyle w:val="14"/>
                    <w:keepNext w:val="0"/>
                    <w:keepLines w:val="0"/>
                    <w:pageBreakBefore w:val="0"/>
                    <w:kinsoku/>
                    <w:wordWrap/>
                    <w:overflowPunct/>
                    <w:topLinePunct w:val="0"/>
                    <w:bidi w:val="0"/>
                    <w:adjustRightInd w:val="0"/>
                    <w:snapToGrid w:val="0"/>
                    <w:spacing w:before="0" w:after="0" w:line="240" w:lineRule="auto"/>
                    <w:ind w:right="0" w:firstLine="0" w:firstLineChars="0"/>
                    <w:rPr>
                      <w:color w:val="auto"/>
                      <w:kern w:val="2"/>
                      <w:sz w:val="21"/>
                      <w:szCs w:val="21"/>
                    </w:rPr>
                  </w:pPr>
                  <w:r>
                    <w:rPr>
                      <w:rFonts w:hint="eastAsia"/>
                      <w:color w:val="auto"/>
                      <w:kern w:val="2"/>
                      <w:sz w:val="21"/>
                      <w:szCs w:val="21"/>
                    </w:rPr>
                    <w:t>（九）园区实行污染物排放总量控制。园区污染物排放总量指标纳入泗阳县总量指标内，符合本批复的限值要求，其中COD、氨氮、总磷、总氮、颗粒物、SO</w:t>
                  </w:r>
                  <w:r>
                    <w:rPr>
                      <w:rFonts w:hint="eastAsia"/>
                      <w:color w:val="auto"/>
                      <w:kern w:val="2"/>
                      <w:sz w:val="21"/>
                      <w:szCs w:val="21"/>
                      <w:vertAlign w:val="subscript"/>
                    </w:rPr>
                    <w:t>2</w:t>
                  </w:r>
                  <w:r>
                    <w:rPr>
                      <w:rFonts w:hint="eastAsia"/>
                      <w:color w:val="auto"/>
                      <w:kern w:val="2"/>
                      <w:sz w:val="21"/>
                      <w:szCs w:val="21"/>
                    </w:rPr>
                    <w:t>、NO</w:t>
                  </w:r>
                  <w:r>
                    <w:rPr>
                      <w:rFonts w:hint="eastAsia"/>
                      <w:color w:val="auto"/>
                      <w:kern w:val="2"/>
                      <w:sz w:val="21"/>
                      <w:szCs w:val="21"/>
                      <w:vertAlign w:val="subscript"/>
                    </w:rPr>
                    <w:t>X</w:t>
                  </w:r>
                  <w:r>
                    <w:rPr>
                      <w:rFonts w:hint="eastAsia"/>
                      <w:color w:val="auto"/>
                      <w:kern w:val="2"/>
                      <w:sz w:val="21"/>
                      <w:szCs w:val="21"/>
                    </w:rPr>
                    <w:t>、VOCs等总量指标应满足区域总量控制及污染物削减计划要求；</w:t>
                  </w:r>
                  <w:r>
                    <w:rPr>
                      <w:rFonts w:hint="eastAsia"/>
                      <w:color w:val="auto"/>
                      <w:kern w:val="2"/>
                      <w:sz w:val="21"/>
                      <w:szCs w:val="21"/>
                      <w:lang w:eastAsia="zh-CN"/>
                    </w:rPr>
                    <w:t>其他</w:t>
                  </w:r>
                  <w:r>
                    <w:rPr>
                      <w:rFonts w:hint="eastAsia"/>
                      <w:color w:val="auto"/>
                      <w:kern w:val="2"/>
                      <w:sz w:val="21"/>
                      <w:szCs w:val="21"/>
                    </w:rPr>
                    <w:t>污染物排放总量控制指标可根据环境要求和入区企业实际情况由负责建设项目审批的环保部门另行核批。</w:t>
                  </w:r>
                </w:p>
              </w:tc>
              <w:tc>
                <w:tcPr>
                  <w:tcW w:w="2920" w:type="dxa"/>
                  <w:tcBorders>
                    <w:tl2br w:val="nil"/>
                    <w:tr2bl w:val="nil"/>
                  </w:tcBorders>
                  <w:tcMar>
                    <w:top w:w="28" w:type="dxa"/>
                    <w:left w:w="28" w:type="dxa"/>
                    <w:bottom w:w="28" w:type="dxa"/>
                    <w:right w:w="28" w:type="dxa"/>
                  </w:tcMar>
                  <w:vAlign w:val="center"/>
                </w:tcPr>
                <w:p w14:paraId="1E77B04B">
                  <w:pPr>
                    <w:keepNext w:val="0"/>
                    <w:keepLines w:val="0"/>
                    <w:pageBreakBefore w:val="0"/>
                    <w:kinsoku/>
                    <w:wordWrap/>
                    <w:overflowPunct/>
                    <w:topLinePunct w:val="0"/>
                    <w:bidi w:val="0"/>
                    <w:adjustRightInd w:val="0"/>
                    <w:snapToGrid w:val="0"/>
                    <w:spacing w:line="240" w:lineRule="auto"/>
                    <w:ind w:firstLine="0" w:firstLineChars="0"/>
                    <w:rPr>
                      <w:color w:val="auto"/>
                      <w:sz w:val="21"/>
                      <w:szCs w:val="21"/>
                    </w:rPr>
                  </w:pPr>
                  <w:r>
                    <w:rPr>
                      <w:rFonts w:hint="eastAsia"/>
                      <w:color w:val="auto"/>
                      <w:sz w:val="21"/>
                      <w:szCs w:val="21"/>
                    </w:rPr>
                    <w:t>本项目新增</w:t>
                  </w:r>
                  <w:r>
                    <w:rPr>
                      <w:rFonts w:hint="eastAsia"/>
                      <w:color w:val="auto"/>
                      <w:sz w:val="21"/>
                      <w:szCs w:val="21"/>
                      <w:lang w:val="en-US" w:eastAsia="zh-CN"/>
                    </w:rPr>
                    <w:t>VOCs</w:t>
                  </w:r>
                  <w:r>
                    <w:rPr>
                      <w:rFonts w:hint="eastAsia"/>
                      <w:color w:val="auto"/>
                      <w:sz w:val="21"/>
                      <w:szCs w:val="21"/>
                    </w:rPr>
                    <w:t>排放总量在泗阳县总量储备库范围内进行平衡。</w:t>
                  </w:r>
                </w:p>
              </w:tc>
              <w:tc>
                <w:tcPr>
                  <w:tcW w:w="808" w:type="dxa"/>
                  <w:tcBorders>
                    <w:tl2br w:val="nil"/>
                    <w:tr2bl w:val="nil"/>
                  </w:tcBorders>
                  <w:tcMar>
                    <w:top w:w="28" w:type="dxa"/>
                    <w:left w:w="28" w:type="dxa"/>
                    <w:bottom w:w="28" w:type="dxa"/>
                    <w:right w:w="28" w:type="dxa"/>
                  </w:tcMar>
                  <w:vAlign w:val="center"/>
                </w:tcPr>
                <w:p w14:paraId="749FAD9C">
                  <w:pPr>
                    <w:keepNext w:val="0"/>
                    <w:keepLines w:val="0"/>
                    <w:pageBreakBefore w:val="0"/>
                    <w:kinsoku/>
                    <w:wordWrap/>
                    <w:overflowPunct/>
                    <w:topLinePunct w:val="0"/>
                    <w:bidi w:val="0"/>
                    <w:adjustRightInd w:val="0"/>
                    <w:snapToGrid w:val="0"/>
                    <w:spacing w:line="240" w:lineRule="auto"/>
                    <w:ind w:firstLine="0" w:firstLineChars="0"/>
                    <w:jc w:val="center"/>
                    <w:textAlignment w:val="baseline"/>
                    <w:rPr>
                      <w:color w:val="auto"/>
                      <w:sz w:val="21"/>
                      <w:szCs w:val="21"/>
                    </w:rPr>
                  </w:pPr>
                  <w:r>
                    <w:rPr>
                      <w:rFonts w:hint="eastAsia"/>
                      <w:color w:val="auto"/>
                      <w:sz w:val="21"/>
                      <w:szCs w:val="21"/>
                    </w:rPr>
                    <w:t>符合</w:t>
                  </w:r>
                </w:p>
              </w:tc>
            </w:tr>
          </w:tbl>
          <w:p w14:paraId="49282976">
            <w:pPr>
              <w:wordWrap w:val="0"/>
              <w:autoSpaceDE w:val="0"/>
              <w:autoSpaceDN w:val="0"/>
              <w:adjustRightInd w:val="0"/>
              <w:snapToGrid w:val="0"/>
              <w:spacing w:before="120" w:beforeLines="50" w:line="360" w:lineRule="auto"/>
              <w:ind w:firstLine="480" w:firstLineChars="200"/>
              <w:jc w:val="left"/>
              <w:rPr>
                <w:color w:val="auto"/>
              </w:rPr>
            </w:pPr>
            <w:r>
              <w:rPr>
                <w:color w:val="auto"/>
                <w:sz w:val="24"/>
              </w:rPr>
              <w:t>根据上表分析可知，项目与</w:t>
            </w:r>
            <w:r>
              <w:rPr>
                <w:rFonts w:hint="eastAsia"/>
                <w:color w:val="auto"/>
                <w:sz w:val="24"/>
              </w:rPr>
              <w:t>泗阳县新袁镇工业园区开发建设规划环境影响报告书的审查意见内容</w:t>
            </w:r>
            <w:r>
              <w:rPr>
                <w:color w:val="auto"/>
                <w:sz w:val="24"/>
              </w:rPr>
              <w:t>相符</w:t>
            </w:r>
            <w:r>
              <w:rPr>
                <w:rFonts w:hint="eastAsia"/>
                <w:color w:val="auto"/>
                <w:sz w:val="24"/>
              </w:rPr>
              <w:t>。</w:t>
            </w:r>
          </w:p>
        </w:tc>
      </w:tr>
      <w:tr w14:paraId="3F401F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gridSpan w:val="2"/>
            <w:vAlign w:val="center"/>
          </w:tcPr>
          <w:p w14:paraId="1AC4C9C2">
            <w:pPr>
              <w:pStyle w:val="106"/>
              <w:jc w:val="center"/>
              <w:rPr>
                <w:color w:val="auto"/>
              </w:rPr>
            </w:pPr>
            <w:r>
              <w:rPr>
                <w:color w:val="auto"/>
                <w:sz w:val="24"/>
                <w:szCs w:val="24"/>
              </w:rPr>
              <w:t>其他符合性分析</w:t>
            </w:r>
          </w:p>
        </w:tc>
        <w:tc>
          <w:tcPr>
            <w:tcW w:w="4680" w:type="pct"/>
            <w:gridSpan w:val="4"/>
            <w:vAlign w:val="center"/>
          </w:tcPr>
          <w:p w14:paraId="612911A4">
            <w:pPr>
              <w:adjustRightInd w:val="0"/>
              <w:snapToGrid w:val="0"/>
              <w:spacing w:before="120" w:beforeLines="50" w:line="360" w:lineRule="auto"/>
              <w:ind w:firstLine="480"/>
              <w:rPr>
                <w:color w:val="auto"/>
              </w:rPr>
            </w:pPr>
            <w:r>
              <w:rPr>
                <w:rFonts w:hint="eastAsia"/>
                <w:color w:val="auto"/>
                <w:lang w:eastAsia="zh-CN"/>
              </w:rPr>
              <w:t>1.</w:t>
            </w:r>
            <w:r>
              <w:rPr>
                <w:color w:val="auto"/>
              </w:rPr>
              <w:t>产业政策相符性分析</w:t>
            </w:r>
          </w:p>
          <w:p w14:paraId="36CA6FB1">
            <w:pPr>
              <w:autoSpaceDE w:val="0"/>
              <w:autoSpaceDN w:val="0"/>
              <w:adjustRightInd w:val="0"/>
              <w:snapToGrid w:val="0"/>
              <w:spacing w:line="360" w:lineRule="auto"/>
              <w:ind w:firstLine="480"/>
              <w:rPr>
                <w:color w:val="auto"/>
              </w:rPr>
            </w:pPr>
            <w:r>
              <w:rPr>
                <w:color w:val="auto"/>
                <w:szCs w:val="21"/>
              </w:rPr>
              <w:t>项目</w:t>
            </w:r>
            <w:r>
              <w:rPr>
                <w:rFonts w:hint="eastAsia"/>
                <w:color w:val="auto"/>
                <w:szCs w:val="21"/>
              </w:rPr>
              <w:t>为</w:t>
            </w:r>
            <w:r>
              <w:rPr>
                <w:rFonts w:hint="eastAsia" w:cs="Times New Roman"/>
                <w:color w:val="auto"/>
                <w:sz w:val="24"/>
                <w:szCs w:val="24"/>
                <w:lang w:eastAsia="zh-CN"/>
              </w:rPr>
              <w:t>化纤织造项目</w:t>
            </w:r>
            <w:r>
              <w:rPr>
                <w:rFonts w:hint="eastAsia"/>
                <w:color w:val="auto"/>
              </w:rPr>
              <w:t>，</w:t>
            </w:r>
            <w:r>
              <w:rPr>
                <w:bCs/>
                <w:color w:val="auto"/>
              </w:rPr>
              <w:t>对照《产业结构调整指导目录（2024年本）》，本项目不属于鼓励类、淘汰类、限制类，</w:t>
            </w:r>
            <w:r>
              <w:rPr>
                <w:rFonts w:hint="eastAsia"/>
                <w:bCs/>
                <w:color w:val="auto"/>
                <w:lang w:val="en-US" w:eastAsia="zh-CN"/>
              </w:rPr>
              <w:t>属于允许类，</w:t>
            </w:r>
            <w:r>
              <w:rPr>
                <w:bCs/>
                <w:color w:val="auto"/>
              </w:rPr>
              <w:t>且本项目已取得</w:t>
            </w:r>
            <w:r>
              <w:rPr>
                <w:rFonts w:hint="eastAsia"/>
                <w:bCs/>
                <w:color w:val="auto"/>
                <w:lang w:eastAsia="zh-CN"/>
              </w:rPr>
              <w:t>宿迁泗阳县数据局</w:t>
            </w:r>
            <w:r>
              <w:rPr>
                <w:bCs/>
                <w:color w:val="auto"/>
              </w:rPr>
              <w:t>备案。因此本项目与国家产业政策相符。</w:t>
            </w:r>
          </w:p>
          <w:p w14:paraId="40B5F857">
            <w:pPr>
              <w:autoSpaceDE w:val="0"/>
              <w:autoSpaceDN w:val="0"/>
              <w:adjustRightInd w:val="0"/>
              <w:snapToGrid w:val="0"/>
              <w:spacing w:line="360" w:lineRule="auto"/>
              <w:ind w:firstLine="480"/>
              <w:rPr>
                <w:color w:val="auto"/>
              </w:rPr>
            </w:pPr>
            <w:r>
              <w:rPr>
                <w:rFonts w:hint="eastAsia"/>
                <w:color w:val="auto"/>
                <w:lang w:eastAsia="zh-CN"/>
              </w:rPr>
              <w:t>2.</w:t>
            </w:r>
            <w:r>
              <w:rPr>
                <w:color w:val="auto"/>
              </w:rPr>
              <w:t>“三线一单”相符性分析</w:t>
            </w:r>
          </w:p>
          <w:p w14:paraId="35F0089B">
            <w:pPr>
              <w:adjustRightInd w:val="0"/>
              <w:snapToGrid w:val="0"/>
              <w:spacing w:line="360" w:lineRule="auto"/>
              <w:ind w:firstLine="477" w:firstLineChars="199"/>
              <w:rPr>
                <w:color w:val="auto"/>
              </w:rPr>
            </w:pPr>
            <w:r>
              <w:rPr>
                <w:color w:val="auto"/>
              </w:rPr>
              <w:t>（1）生态保护红线</w:t>
            </w:r>
          </w:p>
          <w:p w14:paraId="6D14C37E">
            <w:pPr>
              <w:adjustRightInd w:val="0"/>
              <w:snapToGrid w:val="0"/>
              <w:spacing w:line="360" w:lineRule="auto"/>
              <w:ind w:left="0" w:leftChars="0" w:firstLine="480" w:firstLineChars="200"/>
              <w:rPr>
                <w:rFonts w:hint="eastAsia"/>
                <w:color w:val="auto"/>
                <w:lang w:eastAsia="zh-CN"/>
              </w:rPr>
            </w:pPr>
            <w:r>
              <w:rPr>
                <w:color w:val="auto"/>
              </w:rPr>
              <w:t>本项目位于</w:t>
            </w:r>
            <w:r>
              <w:rPr>
                <w:rFonts w:hint="eastAsia" w:cs="Times New Roman"/>
                <w:color w:val="auto"/>
                <w:kern w:val="0"/>
                <w:sz w:val="24"/>
                <w:szCs w:val="24"/>
                <w:lang w:val="en-US" w:eastAsia="zh-CN"/>
              </w:rPr>
              <w:t>宿迁市泗阳县新袁镇仁和路东侧、新河路南侧（3）2#厂房</w:t>
            </w:r>
            <w:r>
              <w:rPr>
                <w:rFonts w:hint="eastAsia"/>
                <w:color w:val="auto"/>
              </w:rPr>
              <w:t>，根据《省政府关于印发江苏省生态空间管控区域规划的通知》</w:t>
            </w:r>
            <w:r>
              <w:rPr>
                <w:rFonts w:hint="eastAsia"/>
                <w:color w:val="auto"/>
                <w:lang w:eastAsia="zh-CN"/>
              </w:rPr>
              <w:t>（</w:t>
            </w:r>
            <w:r>
              <w:rPr>
                <w:rFonts w:hint="eastAsia"/>
                <w:color w:val="auto"/>
              </w:rPr>
              <w:t>苏政发</w:t>
            </w:r>
            <w:r>
              <w:rPr>
                <w:rFonts w:hint="eastAsia"/>
                <w:color w:val="auto"/>
                <w:lang w:eastAsia="zh-CN"/>
              </w:rPr>
              <w:t>〔2020〕14号）</w:t>
            </w:r>
            <w:r>
              <w:rPr>
                <w:rFonts w:hint="eastAsia"/>
                <w:color w:val="auto"/>
              </w:rPr>
              <w:t>，对照宿迁市泗阳生态空间管控区域名录，距离本项目最近的生态空间保护区域为东北侧的废黄河</w:t>
            </w:r>
            <w:r>
              <w:rPr>
                <w:rFonts w:hint="eastAsia"/>
                <w:color w:val="auto"/>
                <w:lang w:eastAsia="zh-CN"/>
              </w:rPr>
              <w:t>（</w:t>
            </w:r>
            <w:r>
              <w:rPr>
                <w:rFonts w:hint="eastAsia"/>
                <w:color w:val="auto"/>
              </w:rPr>
              <w:t>泗阳县</w:t>
            </w:r>
            <w:r>
              <w:rPr>
                <w:rFonts w:hint="eastAsia"/>
                <w:color w:val="auto"/>
                <w:lang w:eastAsia="zh-CN"/>
              </w:rPr>
              <w:t>）</w:t>
            </w:r>
            <w:r>
              <w:rPr>
                <w:rFonts w:hint="eastAsia"/>
                <w:color w:val="auto"/>
              </w:rPr>
              <w:t>重要湿地，直线距离约</w:t>
            </w:r>
            <w:r>
              <w:rPr>
                <w:rFonts w:hint="eastAsia"/>
                <w:color w:val="auto"/>
                <w:lang w:val="en-US" w:eastAsia="zh-CN"/>
              </w:rPr>
              <w:t>1.27k</w:t>
            </w:r>
            <w:r>
              <w:rPr>
                <w:rFonts w:hint="eastAsia"/>
                <w:color w:val="auto"/>
              </w:rPr>
              <w:t>m</w:t>
            </w:r>
            <w:r>
              <w:rPr>
                <w:rFonts w:hint="eastAsia"/>
                <w:lang w:eastAsia="zh-CN"/>
              </w:rPr>
              <w:t>（</w:t>
            </w:r>
            <w:r>
              <w:rPr>
                <w:rFonts w:hint="eastAsia"/>
                <w:color w:val="auto"/>
                <w:lang w:val="en-US" w:eastAsia="zh-CN"/>
              </w:rPr>
              <w:t>见附图七</w:t>
            </w:r>
            <w:r>
              <w:rPr>
                <w:rFonts w:hint="eastAsia"/>
                <w:lang w:eastAsia="zh-CN"/>
              </w:rPr>
              <w:t>）</w:t>
            </w:r>
            <w:r>
              <w:rPr>
                <w:rFonts w:hint="eastAsia"/>
                <w:color w:val="auto"/>
              </w:rPr>
              <w:t>，因此本项目不在江苏省生态空间管控区域范围之内，符合江苏省生态保护红线相关要求</w:t>
            </w:r>
            <w:r>
              <w:rPr>
                <w:rFonts w:hint="eastAsia"/>
                <w:color w:val="auto"/>
                <w:lang w:eastAsia="zh-CN"/>
              </w:rPr>
              <w:t>。</w:t>
            </w:r>
          </w:p>
          <w:p w14:paraId="314E18E1">
            <w:pPr>
              <w:adjustRightInd w:val="0"/>
              <w:snapToGrid w:val="0"/>
              <w:spacing w:line="360" w:lineRule="auto"/>
              <w:ind w:left="0" w:leftChars="0" w:firstLine="480" w:firstLineChars="200"/>
              <w:rPr>
                <w:color w:val="auto"/>
              </w:rPr>
            </w:pPr>
            <w:r>
              <w:rPr>
                <w:rFonts w:hint="eastAsia"/>
                <w:color w:val="auto"/>
              </w:rPr>
              <w:t>对照《省政府关于印发江苏省国家级生态保护红线规划的通知》</w:t>
            </w:r>
            <w:r>
              <w:rPr>
                <w:rFonts w:hint="eastAsia"/>
                <w:color w:val="auto"/>
                <w:lang w:eastAsia="zh-CN"/>
              </w:rPr>
              <w:t>（</w:t>
            </w:r>
            <w:r>
              <w:rPr>
                <w:rFonts w:hint="eastAsia"/>
                <w:color w:val="auto"/>
              </w:rPr>
              <w:t>苏政发</w:t>
            </w:r>
            <w:r>
              <w:rPr>
                <w:rFonts w:hint="eastAsia"/>
                <w:color w:val="auto"/>
                <w:lang w:eastAsia="zh-CN"/>
              </w:rPr>
              <w:t>〔2018〕</w:t>
            </w:r>
            <w:r>
              <w:rPr>
                <w:rFonts w:hint="eastAsia"/>
                <w:color w:val="auto"/>
              </w:rPr>
              <w:t>74 号</w:t>
            </w:r>
            <w:r>
              <w:rPr>
                <w:rFonts w:hint="eastAsia"/>
                <w:color w:val="auto"/>
                <w:lang w:eastAsia="zh-CN"/>
              </w:rPr>
              <w:t>）</w:t>
            </w:r>
            <w:r>
              <w:rPr>
                <w:rFonts w:hint="eastAsia"/>
                <w:color w:val="auto"/>
              </w:rPr>
              <w:t>，距离本项目最近的江苏省国家级生态保护红线区域为东北侧的泗阳黄河故道省级湿地公园，直线距离约</w:t>
            </w:r>
            <w:r>
              <w:rPr>
                <w:rFonts w:hint="eastAsia"/>
                <w:color w:val="auto"/>
                <w:lang w:val="en-US" w:eastAsia="zh-CN"/>
              </w:rPr>
              <w:t>1.32k</w:t>
            </w:r>
            <w:r>
              <w:rPr>
                <w:rFonts w:hint="eastAsia"/>
                <w:color w:val="auto"/>
              </w:rPr>
              <w:t>m</w:t>
            </w:r>
            <w:r>
              <w:rPr>
                <w:rFonts w:hint="eastAsia"/>
                <w:color w:val="auto"/>
                <w:lang w:eastAsia="zh-CN"/>
              </w:rPr>
              <w:t>（</w:t>
            </w:r>
            <w:r>
              <w:rPr>
                <w:rFonts w:hint="eastAsia"/>
                <w:color w:val="auto"/>
                <w:lang w:val="en-US" w:eastAsia="zh-CN"/>
              </w:rPr>
              <w:t>见附图八</w:t>
            </w:r>
            <w:r>
              <w:rPr>
                <w:rFonts w:hint="eastAsia"/>
                <w:color w:val="auto"/>
                <w:lang w:eastAsia="zh-CN"/>
              </w:rPr>
              <w:t>）</w:t>
            </w:r>
            <w:r>
              <w:rPr>
                <w:rFonts w:hint="eastAsia"/>
                <w:color w:val="auto"/>
              </w:rPr>
              <w:t>，因此本项目不在江苏省国家级生态保护红线区域范围之内，符合江苏省国家级生态保护红线规划相关要求。</w:t>
            </w:r>
            <w:r>
              <w:rPr>
                <w:color w:val="auto"/>
              </w:rPr>
              <w:t>具体情况见表</w:t>
            </w:r>
            <w:r>
              <w:rPr>
                <w:rFonts w:hint="eastAsia"/>
                <w:color w:val="auto"/>
              </w:rPr>
              <w:t>1-</w:t>
            </w:r>
            <w:r>
              <w:rPr>
                <w:rFonts w:hint="eastAsia"/>
                <w:color w:val="auto"/>
                <w:lang w:val="en-US" w:eastAsia="zh-CN"/>
              </w:rPr>
              <w:t>3</w:t>
            </w:r>
            <w:r>
              <w:rPr>
                <w:color w:val="auto"/>
              </w:rPr>
              <w:t>。</w:t>
            </w:r>
          </w:p>
          <w:p w14:paraId="22B80C64">
            <w:pPr>
              <w:adjustRightInd w:val="0"/>
              <w:snapToGrid w:val="0"/>
              <w:spacing w:line="240" w:lineRule="auto"/>
              <w:ind w:firstLine="0" w:firstLineChars="0"/>
              <w:jc w:val="center"/>
              <w:rPr>
                <w:b/>
                <w:bCs/>
                <w:color w:val="auto"/>
              </w:rPr>
            </w:pPr>
            <w:r>
              <w:rPr>
                <w:b/>
                <w:bCs/>
                <w:color w:val="auto"/>
              </w:rPr>
              <w:t>表1-</w:t>
            </w:r>
            <w:r>
              <w:rPr>
                <w:rFonts w:hint="eastAsia"/>
                <w:b/>
                <w:bCs/>
                <w:color w:val="auto"/>
                <w:lang w:val="en-US" w:eastAsia="zh-CN"/>
              </w:rPr>
              <w:t>3</w:t>
            </w:r>
            <w:r>
              <w:rPr>
                <w:rFonts w:hint="eastAsia"/>
                <w:b/>
                <w:bCs/>
                <w:color w:val="auto"/>
              </w:rPr>
              <w:t>项目周边生态空间管控区域一览表</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099"/>
              <w:gridCol w:w="883"/>
              <w:gridCol w:w="2229"/>
              <w:gridCol w:w="2249"/>
              <w:gridCol w:w="1253"/>
              <w:gridCol w:w="1258"/>
            </w:tblGrid>
            <w:tr w14:paraId="6EBBBF9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95" w:hRule="atLeast"/>
                <w:jc w:val="center"/>
              </w:trPr>
              <w:tc>
                <w:tcPr>
                  <w:tcW w:w="612" w:type="pct"/>
                  <w:vMerge w:val="restart"/>
                  <w:vAlign w:val="center"/>
                </w:tcPr>
                <w:p w14:paraId="0DECB20C">
                  <w:pPr>
                    <w:autoSpaceDE w:val="0"/>
                    <w:autoSpaceDN w:val="0"/>
                    <w:adjustRightInd w:val="0"/>
                    <w:snapToGrid w:val="0"/>
                    <w:spacing w:line="240" w:lineRule="auto"/>
                    <w:ind w:firstLine="0" w:firstLineChars="0"/>
                    <w:jc w:val="center"/>
                    <w:rPr>
                      <w:b/>
                      <w:bCs/>
                      <w:color w:val="auto"/>
                      <w:sz w:val="21"/>
                      <w:szCs w:val="21"/>
                    </w:rPr>
                  </w:pPr>
                  <w:r>
                    <w:rPr>
                      <w:b/>
                      <w:bCs/>
                      <w:color w:val="auto"/>
                      <w:sz w:val="21"/>
                      <w:szCs w:val="21"/>
                    </w:rPr>
                    <w:t>生态空间保护区域名称</w:t>
                  </w:r>
                </w:p>
              </w:tc>
              <w:tc>
                <w:tcPr>
                  <w:tcW w:w="492" w:type="pct"/>
                  <w:vMerge w:val="restart"/>
                  <w:vAlign w:val="center"/>
                </w:tcPr>
                <w:p w14:paraId="3E53C6D9">
                  <w:pPr>
                    <w:autoSpaceDE w:val="0"/>
                    <w:autoSpaceDN w:val="0"/>
                    <w:adjustRightInd w:val="0"/>
                    <w:snapToGrid w:val="0"/>
                    <w:spacing w:line="240" w:lineRule="auto"/>
                    <w:ind w:firstLine="0" w:firstLineChars="0"/>
                    <w:jc w:val="center"/>
                    <w:rPr>
                      <w:b/>
                      <w:bCs/>
                      <w:color w:val="auto"/>
                      <w:sz w:val="21"/>
                      <w:szCs w:val="21"/>
                    </w:rPr>
                  </w:pPr>
                  <w:r>
                    <w:rPr>
                      <w:b/>
                      <w:bCs/>
                      <w:color w:val="auto"/>
                      <w:sz w:val="21"/>
                      <w:szCs w:val="21"/>
                    </w:rPr>
                    <w:t>主导生态功能</w:t>
                  </w:r>
                </w:p>
              </w:tc>
              <w:tc>
                <w:tcPr>
                  <w:tcW w:w="2495" w:type="pct"/>
                  <w:gridSpan w:val="2"/>
                  <w:vAlign w:val="center"/>
                </w:tcPr>
                <w:p w14:paraId="790BED86">
                  <w:pPr>
                    <w:adjustRightInd w:val="0"/>
                    <w:snapToGrid w:val="0"/>
                    <w:spacing w:line="240" w:lineRule="auto"/>
                    <w:ind w:firstLine="0" w:firstLineChars="0"/>
                    <w:jc w:val="center"/>
                    <w:rPr>
                      <w:b/>
                      <w:bCs/>
                      <w:color w:val="auto"/>
                      <w:sz w:val="21"/>
                      <w:szCs w:val="21"/>
                    </w:rPr>
                  </w:pPr>
                  <w:r>
                    <w:rPr>
                      <w:b/>
                      <w:bCs/>
                      <w:color w:val="auto"/>
                      <w:sz w:val="21"/>
                      <w:szCs w:val="21"/>
                    </w:rPr>
                    <w:t>红线区域范围</w:t>
                  </w:r>
                </w:p>
              </w:tc>
              <w:tc>
                <w:tcPr>
                  <w:tcW w:w="698" w:type="pct"/>
                  <w:vMerge w:val="restart"/>
                  <w:vAlign w:val="center"/>
                </w:tcPr>
                <w:p w14:paraId="6FB1298A">
                  <w:pPr>
                    <w:adjustRightInd w:val="0"/>
                    <w:snapToGrid w:val="0"/>
                    <w:spacing w:line="240" w:lineRule="auto"/>
                    <w:ind w:firstLine="0" w:firstLineChars="0"/>
                    <w:jc w:val="center"/>
                    <w:rPr>
                      <w:b/>
                      <w:bCs/>
                      <w:color w:val="auto"/>
                      <w:sz w:val="21"/>
                      <w:szCs w:val="21"/>
                    </w:rPr>
                  </w:pPr>
                  <w:r>
                    <w:rPr>
                      <w:b/>
                      <w:bCs/>
                      <w:color w:val="auto"/>
                      <w:sz w:val="21"/>
                      <w:szCs w:val="21"/>
                    </w:rPr>
                    <w:t>生态空间管控区域面积</w:t>
                  </w:r>
                </w:p>
              </w:tc>
              <w:tc>
                <w:tcPr>
                  <w:tcW w:w="701" w:type="pct"/>
                  <w:vMerge w:val="restart"/>
                  <w:shd w:val="clear" w:color="auto" w:fill="auto"/>
                  <w:vAlign w:val="center"/>
                </w:tcPr>
                <w:p w14:paraId="6D67F56A">
                  <w:pPr>
                    <w:pStyle w:val="116"/>
                    <w:adjustRightInd w:val="0"/>
                    <w:snapToGrid w:val="0"/>
                    <w:spacing w:before="0" w:after="0" w:line="240" w:lineRule="auto"/>
                    <w:ind w:left="0" w:leftChars="0" w:firstLine="0" w:firstLineChars="0"/>
                    <w:rPr>
                      <w:rFonts w:hint="default"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szCs w:val="21"/>
                      <w:lang w:val="en-US" w:eastAsia="zh-CN"/>
                    </w:rPr>
                    <w:t>与本项目位置关系</w:t>
                  </w:r>
                </w:p>
              </w:tc>
            </w:tr>
            <w:tr w14:paraId="0C56079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516" w:hRule="atLeast"/>
                <w:jc w:val="center"/>
              </w:trPr>
              <w:tc>
                <w:tcPr>
                  <w:tcW w:w="612" w:type="pct"/>
                  <w:vMerge w:val="continue"/>
                  <w:vAlign w:val="center"/>
                </w:tcPr>
                <w:p w14:paraId="5A7C39F9">
                  <w:pPr>
                    <w:adjustRightInd w:val="0"/>
                    <w:snapToGrid w:val="0"/>
                    <w:spacing w:line="240" w:lineRule="auto"/>
                    <w:ind w:firstLine="0" w:firstLineChars="0"/>
                    <w:jc w:val="center"/>
                    <w:rPr>
                      <w:b/>
                      <w:bCs/>
                      <w:color w:val="auto"/>
                      <w:sz w:val="21"/>
                      <w:szCs w:val="21"/>
                    </w:rPr>
                  </w:pPr>
                </w:p>
              </w:tc>
              <w:tc>
                <w:tcPr>
                  <w:tcW w:w="492" w:type="pct"/>
                  <w:vMerge w:val="continue"/>
                  <w:vAlign w:val="center"/>
                </w:tcPr>
                <w:p w14:paraId="439D19A5">
                  <w:pPr>
                    <w:adjustRightInd w:val="0"/>
                    <w:snapToGrid w:val="0"/>
                    <w:spacing w:line="240" w:lineRule="auto"/>
                    <w:ind w:firstLine="0" w:firstLineChars="0"/>
                    <w:jc w:val="center"/>
                    <w:rPr>
                      <w:b/>
                      <w:bCs/>
                      <w:color w:val="auto"/>
                      <w:sz w:val="21"/>
                      <w:szCs w:val="21"/>
                    </w:rPr>
                  </w:pPr>
                </w:p>
              </w:tc>
              <w:tc>
                <w:tcPr>
                  <w:tcW w:w="1242" w:type="pct"/>
                  <w:vAlign w:val="center"/>
                </w:tcPr>
                <w:p w14:paraId="25C02E8F">
                  <w:pPr>
                    <w:autoSpaceDE w:val="0"/>
                    <w:autoSpaceDN w:val="0"/>
                    <w:adjustRightInd w:val="0"/>
                    <w:snapToGrid w:val="0"/>
                    <w:spacing w:line="240" w:lineRule="auto"/>
                    <w:ind w:firstLine="0" w:firstLineChars="0"/>
                    <w:jc w:val="center"/>
                    <w:rPr>
                      <w:b/>
                      <w:bCs/>
                      <w:color w:val="auto"/>
                      <w:sz w:val="21"/>
                      <w:szCs w:val="21"/>
                    </w:rPr>
                  </w:pPr>
                  <w:r>
                    <w:rPr>
                      <w:b/>
                      <w:bCs/>
                      <w:color w:val="auto"/>
                      <w:sz w:val="21"/>
                      <w:szCs w:val="21"/>
                    </w:rPr>
                    <w:t>国家级生态保护红线范围</w:t>
                  </w:r>
                </w:p>
              </w:tc>
              <w:tc>
                <w:tcPr>
                  <w:tcW w:w="1253" w:type="pct"/>
                  <w:vAlign w:val="center"/>
                </w:tcPr>
                <w:p w14:paraId="367BDC9B">
                  <w:pPr>
                    <w:autoSpaceDE w:val="0"/>
                    <w:autoSpaceDN w:val="0"/>
                    <w:adjustRightInd w:val="0"/>
                    <w:snapToGrid w:val="0"/>
                    <w:spacing w:line="240" w:lineRule="auto"/>
                    <w:ind w:firstLine="0" w:firstLineChars="0"/>
                    <w:jc w:val="center"/>
                    <w:rPr>
                      <w:b/>
                      <w:bCs/>
                      <w:color w:val="auto"/>
                      <w:sz w:val="21"/>
                      <w:szCs w:val="21"/>
                    </w:rPr>
                  </w:pPr>
                  <w:r>
                    <w:rPr>
                      <w:b/>
                      <w:bCs/>
                      <w:color w:val="auto"/>
                      <w:sz w:val="21"/>
                      <w:szCs w:val="21"/>
                    </w:rPr>
                    <w:t>生态空间管控区域范围</w:t>
                  </w:r>
                </w:p>
              </w:tc>
              <w:tc>
                <w:tcPr>
                  <w:tcW w:w="698" w:type="pct"/>
                  <w:vMerge w:val="continue"/>
                  <w:vAlign w:val="center"/>
                </w:tcPr>
                <w:p w14:paraId="5D1BACA2">
                  <w:pPr>
                    <w:adjustRightInd w:val="0"/>
                    <w:snapToGrid w:val="0"/>
                    <w:spacing w:line="240" w:lineRule="auto"/>
                    <w:ind w:firstLine="0" w:firstLineChars="0"/>
                    <w:jc w:val="center"/>
                    <w:rPr>
                      <w:b/>
                      <w:bCs/>
                      <w:color w:val="auto"/>
                      <w:sz w:val="21"/>
                      <w:szCs w:val="21"/>
                    </w:rPr>
                  </w:pPr>
                </w:p>
              </w:tc>
              <w:tc>
                <w:tcPr>
                  <w:tcW w:w="701" w:type="pct"/>
                  <w:vMerge w:val="continue"/>
                  <w:vAlign w:val="center"/>
                </w:tcPr>
                <w:p w14:paraId="5592C879">
                  <w:pPr>
                    <w:adjustRightInd w:val="0"/>
                    <w:snapToGrid w:val="0"/>
                    <w:spacing w:line="240" w:lineRule="auto"/>
                    <w:ind w:firstLine="0" w:firstLineChars="0"/>
                    <w:jc w:val="center"/>
                    <w:rPr>
                      <w:b/>
                      <w:bCs/>
                      <w:color w:val="auto"/>
                      <w:sz w:val="21"/>
                      <w:szCs w:val="21"/>
                    </w:rPr>
                  </w:pPr>
                </w:p>
              </w:tc>
            </w:tr>
            <w:tr w14:paraId="33C831F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594" w:hRule="atLeast"/>
                <w:jc w:val="center"/>
              </w:trPr>
              <w:tc>
                <w:tcPr>
                  <w:tcW w:w="612" w:type="pct"/>
                  <w:vAlign w:val="center"/>
                </w:tcPr>
                <w:p w14:paraId="39E4B783">
                  <w:pPr>
                    <w:adjustRightInd w:val="0"/>
                    <w:snapToGrid w:val="0"/>
                    <w:spacing w:line="240" w:lineRule="auto"/>
                    <w:ind w:firstLine="0" w:firstLineChars="0"/>
                    <w:jc w:val="center"/>
                    <w:rPr>
                      <w:color w:val="auto"/>
                      <w:sz w:val="21"/>
                      <w:szCs w:val="21"/>
                    </w:rPr>
                  </w:pPr>
                  <w:r>
                    <w:rPr>
                      <w:color w:val="auto"/>
                      <w:sz w:val="21"/>
                      <w:szCs w:val="21"/>
                    </w:rPr>
                    <w:t>废黄河（泗阳县）重要湿地</w:t>
                  </w:r>
                </w:p>
              </w:tc>
              <w:tc>
                <w:tcPr>
                  <w:tcW w:w="492" w:type="pct"/>
                  <w:vAlign w:val="center"/>
                </w:tcPr>
                <w:p w14:paraId="2A9C0DF4">
                  <w:pPr>
                    <w:adjustRightInd w:val="0"/>
                    <w:snapToGrid w:val="0"/>
                    <w:spacing w:line="240" w:lineRule="auto"/>
                    <w:ind w:firstLine="0" w:firstLineChars="0"/>
                    <w:jc w:val="center"/>
                    <w:rPr>
                      <w:color w:val="auto"/>
                      <w:sz w:val="21"/>
                      <w:szCs w:val="21"/>
                    </w:rPr>
                  </w:pPr>
                  <w:r>
                    <w:rPr>
                      <w:color w:val="auto"/>
                      <w:sz w:val="21"/>
                      <w:szCs w:val="21"/>
                    </w:rPr>
                    <w:t>湿地生态系统保护</w:t>
                  </w:r>
                </w:p>
              </w:tc>
              <w:tc>
                <w:tcPr>
                  <w:tcW w:w="1242" w:type="pct"/>
                  <w:vAlign w:val="center"/>
                </w:tcPr>
                <w:p w14:paraId="685440B1">
                  <w:pPr>
                    <w:adjustRightInd w:val="0"/>
                    <w:snapToGrid w:val="0"/>
                    <w:spacing w:line="240" w:lineRule="auto"/>
                    <w:ind w:firstLine="0" w:firstLineChars="0"/>
                    <w:jc w:val="center"/>
                    <w:rPr>
                      <w:color w:val="auto"/>
                      <w:sz w:val="21"/>
                      <w:szCs w:val="21"/>
                    </w:rPr>
                  </w:pPr>
                  <w:r>
                    <w:rPr>
                      <w:color w:val="auto"/>
                      <w:sz w:val="21"/>
                      <w:szCs w:val="21"/>
                    </w:rPr>
                    <w:t>/</w:t>
                  </w:r>
                </w:p>
              </w:tc>
              <w:tc>
                <w:tcPr>
                  <w:tcW w:w="1253" w:type="pct"/>
                  <w:vAlign w:val="center"/>
                </w:tcPr>
                <w:p w14:paraId="5907B0EA">
                  <w:pPr>
                    <w:adjustRightInd w:val="0"/>
                    <w:snapToGrid w:val="0"/>
                    <w:spacing w:line="240" w:lineRule="auto"/>
                    <w:ind w:firstLine="0" w:firstLineChars="0"/>
                    <w:rPr>
                      <w:color w:val="auto"/>
                      <w:sz w:val="21"/>
                      <w:szCs w:val="21"/>
                    </w:rPr>
                  </w:pPr>
                  <w:r>
                    <w:rPr>
                      <w:color w:val="auto"/>
                      <w:sz w:val="21"/>
                      <w:szCs w:val="21"/>
                    </w:rPr>
                    <w:t>泗阳县境内西起临河镇熊码村东至新袁镇新滩村段古黄河水域，及临河镇熊码村至西安路大桥段、上海路至新袁镇新滩村段古黄河两岸100米范围（其中金庄村（徐圩村）至徐淮高速段为两岸200米范围）</w:t>
                  </w:r>
                </w:p>
              </w:tc>
              <w:tc>
                <w:tcPr>
                  <w:tcW w:w="698" w:type="pct"/>
                  <w:vAlign w:val="center"/>
                </w:tcPr>
                <w:p w14:paraId="0A9E912A">
                  <w:pPr>
                    <w:adjustRightInd w:val="0"/>
                    <w:snapToGrid w:val="0"/>
                    <w:spacing w:line="240" w:lineRule="auto"/>
                    <w:ind w:firstLine="0" w:firstLineChars="0"/>
                    <w:jc w:val="center"/>
                    <w:rPr>
                      <w:color w:val="auto"/>
                      <w:sz w:val="21"/>
                      <w:szCs w:val="21"/>
                    </w:rPr>
                  </w:pPr>
                  <w:r>
                    <w:rPr>
                      <w:color w:val="auto"/>
                      <w:sz w:val="21"/>
                      <w:szCs w:val="21"/>
                    </w:rPr>
                    <w:t>11.00km</w:t>
                  </w:r>
                  <w:r>
                    <w:rPr>
                      <w:color w:val="auto"/>
                      <w:sz w:val="21"/>
                      <w:szCs w:val="21"/>
                      <w:vertAlign w:val="superscript"/>
                    </w:rPr>
                    <w:t>2</w:t>
                  </w:r>
                </w:p>
              </w:tc>
              <w:tc>
                <w:tcPr>
                  <w:tcW w:w="701" w:type="pct"/>
                  <w:vAlign w:val="center"/>
                </w:tcPr>
                <w:p w14:paraId="7E131332">
                  <w:pPr>
                    <w:pStyle w:val="149"/>
                    <w:adjustRightInd w:val="0"/>
                    <w:spacing w:before="0" w:beforeLines="0"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东北侧1.27km</w:t>
                  </w:r>
                </w:p>
              </w:tc>
            </w:tr>
            <w:tr w14:paraId="7DC63D4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1594" w:hRule="atLeast"/>
                <w:jc w:val="center"/>
              </w:trPr>
              <w:tc>
                <w:tcPr>
                  <w:tcW w:w="612" w:type="pct"/>
                  <w:vAlign w:val="center"/>
                </w:tcPr>
                <w:p w14:paraId="53E25386">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泗阳黄河</w:t>
                  </w:r>
                </w:p>
                <w:p w14:paraId="7A1AB755">
                  <w:pPr>
                    <w:adjustRightInd w:val="0"/>
                    <w:snapToGrid w:val="0"/>
                    <w:spacing w:line="240" w:lineRule="auto"/>
                    <w:ind w:firstLine="0" w:firstLineChars="0"/>
                    <w:jc w:val="both"/>
                    <w:rPr>
                      <w:rFonts w:hint="eastAsia"/>
                      <w:color w:val="auto"/>
                      <w:sz w:val="21"/>
                      <w:szCs w:val="21"/>
                    </w:rPr>
                  </w:pPr>
                  <w:r>
                    <w:rPr>
                      <w:rFonts w:hint="eastAsia"/>
                      <w:color w:val="auto"/>
                      <w:sz w:val="21"/>
                      <w:szCs w:val="21"/>
                    </w:rPr>
                    <w:t>故道省级</w:t>
                  </w:r>
                </w:p>
                <w:p w14:paraId="0B934EBA">
                  <w:pPr>
                    <w:adjustRightInd w:val="0"/>
                    <w:snapToGrid w:val="0"/>
                    <w:spacing w:line="240" w:lineRule="auto"/>
                    <w:ind w:firstLine="0" w:firstLineChars="0"/>
                    <w:jc w:val="both"/>
                    <w:rPr>
                      <w:color w:val="auto"/>
                      <w:sz w:val="21"/>
                      <w:szCs w:val="21"/>
                    </w:rPr>
                  </w:pPr>
                  <w:r>
                    <w:rPr>
                      <w:rFonts w:hint="eastAsia"/>
                      <w:color w:val="auto"/>
                      <w:sz w:val="21"/>
                      <w:szCs w:val="21"/>
                    </w:rPr>
                    <w:t>湿地公园</w:t>
                  </w:r>
                </w:p>
              </w:tc>
              <w:tc>
                <w:tcPr>
                  <w:tcW w:w="492" w:type="pct"/>
                  <w:vAlign w:val="center"/>
                </w:tcPr>
                <w:p w14:paraId="6C01FD8B">
                  <w:pPr>
                    <w:adjustRightInd w:val="0"/>
                    <w:snapToGrid w:val="0"/>
                    <w:spacing w:line="240" w:lineRule="auto"/>
                    <w:ind w:firstLine="0" w:firstLineChars="0"/>
                    <w:jc w:val="center"/>
                    <w:rPr>
                      <w:rFonts w:hint="eastAsia"/>
                      <w:color w:val="auto"/>
                      <w:sz w:val="21"/>
                      <w:szCs w:val="21"/>
                    </w:rPr>
                  </w:pPr>
                  <w:r>
                    <w:rPr>
                      <w:rFonts w:hint="eastAsia"/>
                      <w:color w:val="auto"/>
                      <w:sz w:val="21"/>
                      <w:szCs w:val="21"/>
                    </w:rPr>
                    <w:t>湿地生态系统</w:t>
                  </w:r>
                </w:p>
                <w:p w14:paraId="0CFCB065">
                  <w:pPr>
                    <w:adjustRightInd w:val="0"/>
                    <w:snapToGrid w:val="0"/>
                    <w:spacing w:line="240" w:lineRule="auto"/>
                    <w:ind w:firstLine="0" w:firstLineChars="0"/>
                    <w:jc w:val="center"/>
                    <w:rPr>
                      <w:color w:val="auto"/>
                      <w:sz w:val="21"/>
                      <w:szCs w:val="21"/>
                    </w:rPr>
                  </w:pPr>
                  <w:r>
                    <w:rPr>
                      <w:rFonts w:hint="eastAsia"/>
                      <w:color w:val="auto"/>
                      <w:sz w:val="21"/>
                      <w:szCs w:val="21"/>
                    </w:rPr>
                    <w:t>保护</w:t>
                  </w:r>
                </w:p>
              </w:tc>
              <w:tc>
                <w:tcPr>
                  <w:tcW w:w="1242" w:type="pct"/>
                  <w:shd w:val="clear" w:color="auto" w:fill="auto"/>
                  <w:vAlign w:val="center"/>
                </w:tcPr>
                <w:p w14:paraId="048653D2">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泗阳黄河故道省级湿地公园总体规划中确定的范围（包括湿地保育区和恢复重建区等）。</w:t>
                  </w:r>
                </w:p>
              </w:tc>
              <w:tc>
                <w:tcPr>
                  <w:tcW w:w="1253" w:type="pct"/>
                  <w:shd w:val="clear" w:color="auto" w:fill="auto"/>
                  <w:vAlign w:val="center"/>
                </w:tcPr>
                <w:p w14:paraId="786526A8">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698" w:type="pct"/>
                  <w:vAlign w:val="center"/>
                </w:tcPr>
                <w:p w14:paraId="2EC75979">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3.29km</w:t>
                  </w:r>
                  <w:r>
                    <w:rPr>
                      <w:rFonts w:hint="eastAsia"/>
                      <w:color w:val="auto"/>
                      <w:sz w:val="21"/>
                      <w:szCs w:val="21"/>
                      <w:vertAlign w:val="superscript"/>
                      <w:lang w:val="en-US" w:eastAsia="zh-CN"/>
                    </w:rPr>
                    <w:t>3</w:t>
                  </w:r>
                </w:p>
              </w:tc>
              <w:tc>
                <w:tcPr>
                  <w:tcW w:w="701" w:type="pct"/>
                  <w:vAlign w:val="center"/>
                </w:tcPr>
                <w:p w14:paraId="657B5464">
                  <w:pPr>
                    <w:pStyle w:val="149"/>
                    <w:adjustRightInd w:val="0"/>
                    <w:spacing w:before="0" w:beforeLines="0"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东北侧1.32km</w:t>
                  </w:r>
                </w:p>
              </w:tc>
            </w:tr>
          </w:tbl>
          <w:p w14:paraId="34AF8CA3">
            <w:pPr>
              <w:adjustRightInd w:val="0"/>
              <w:snapToGrid w:val="0"/>
              <w:spacing w:line="360" w:lineRule="auto"/>
              <w:ind w:firstLine="480"/>
              <w:rPr>
                <w:color w:val="auto"/>
              </w:rPr>
            </w:pPr>
            <w:r>
              <w:rPr>
                <w:color w:val="auto"/>
              </w:rPr>
              <w:t>（2）环境质量底线</w:t>
            </w:r>
          </w:p>
          <w:p w14:paraId="35CACC12">
            <w:pPr>
              <w:spacing w:line="360" w:lineRule="auto"/>
              <w:ind w:left="72" w:leftChars="30" w:right="72" w:rightChars="30" w:firstLine="482"/>
              <w:rPr>
                <w:rFonts w:hint="eastAsia" w:eastAsia="宋体"/>
                <w:b/>
                <w:iCs/>
                <w:color w:val="auto"/>
                <w:szCs w:val="28"/>
                <w:lang w:val="en-US" w:eastAsia="zh-CN"/>
              </w:rPr>
            </w:pPr>
            <w:r>
              <w:rPr>
                <w:b/>
                <w:iCs/>
                <w:color w:val="auto"/>
                <w:szCs w:val="28"/>
              </w:rPr>
              <w:t>空气环境质量</w:t>
            </w:r>
            <w:r>
              <w:rPr>
                <w:rFonts w:hint="eastAsia"/>
                <w:b/>
                <w:iCs/>
                <w:color w:val="auto"/>
                <w:szCs w:val="28"/>
                <w:lang w:eastAsia="zh-CN"/>
              </w:rPr>
              <w:t>：</w:t>
            </w:r>
          </w:p>
          <w:p w14:paraId="6F0A9F95">
            <w:pPr>
              <w:keepNext w:val="0"/>
              <w:keepLines w:val="0"/>
              <w:pageBreakBefore w:val="0"/>
              <w:widowControl w:val="0"/>
              <w:kinsoku/>
              <w:wordWrap/>
              <w:overflowPunct/>
              <w:topLinePunct w:val="0"/>
              <w:autoSpaceDE w:val="0"/>
              <w:autoSpaceDN/>
              <w:bidi w:val="0"/>
              <w:snapToGrid w:val="0"/>
              <w:spacing w:line="360" w:lineRule="auto"/>
              <w:ind w:firstLine="480" w:firstLineChars="200"/>
              <w:jc w:val="left"/>
              <w:textAlignment w:val="auto"/>
              <w:rPr>
                <w:rFonts w:hint="default" w:ascii="Times New Roman" w:hAnsi="Times New Roman" w:cs="Times New Roman"/>
                <w:sz w:val="24"/>
                <w:lang w:bidi="ar"/>
              </w:rPr>
            </w:pPr>
            <w:r>
              <w:rPr>
                <w:rFonts w:hint="default" w:ascii="Times New Roman" w:hAnsi="Times New Roman" w:cs="Times New Roman"/>
                <w:sz w:val="24"/>
                <w:lang w:bidi="ar"/>
              </w:rPr>
              <w:t>根据《</w:t>
            </w:r>
            <w:r>
              <w:rPr>
                <w:rFonts w:hint="eastAsia" w:ascii="Times New Roman" w:hAnsi="Times New Roman" w:cs="Times New Roman"/>
                <w:sz w:val="24"/>
                <w:lang w:eastAsia="zh-CN" w:bidi="ar"/>
              </w:rPr>
              <w:t>宿迁市2024年度生态环境状况公报</w:t>
            </w:r>
            <w:r>
              <w:rPr>
                <w:rFonts w:hint="default" w:ascii="Times New Roman" w:hAnsi="Times New Roman" w:cs="Times New Roman"/>
                <w:sz w:val="24"/>
                <w:lang w:bidi="ar"/>
              </w:rPr>
              <w:t>》，2024年，全市环境空气优良天数达296天，优良天数比例为80.9%；空气中PM</w:t>
            </w:r>
            <w:r>
              <w:rPr>
                <w:rFonts w:hint="default" w:ascii="Times New Roman" w:hAnsi="Times New Roman" w:cs="Times New Roman"/>
                <w:sz w:val="24"/>
                <w:vertAlign w:val="subscript"/>
                <w:lang w:bidi="ar"/>
              </w:rPr>
              <w:t>2.5</w:t>
            </w:r>
            <w:r>
              <w:rPr>
                <w:rFonts w:hint="default" w:ascii="Times New Roman" w:hAnsi="Times New Roman" w:cs="Times New Roman"/>
                <w:sz w:val="24"/>
                <w:lang w:bidi="ar"/>
              </w:rPr>
              <w:t>、PM</w:t>
            </w:r>
            <w:r>
              <w:rPr>
                <w:rFonts w:hint="default" w:ascii="Times New Roman" w:hAnsi="Times New Roman" w:cs="Times New Roman"/>
                <w:sz w:val="24"/>
                <w:vertAlign w:val="subscript"/>
                <w:lang w:bidi="ar"/>
              </w:rPr>
              <w:t>10</w:t>
            </w:r>
            <w:r>
              <w:rPr>
                <w:rFonts w:hint="default" w:ascii="Times New Roman" w:hAnsi="Times New Roman" w:cs="Times New Roman"/>
                <w:sz w:val="24"/>
                <w:lang w:bidi="ar"/>
              </w:rPr>
              <w:t>、NO</w:t>
            </w:r>
            <w:r>
              <w:rPr>
                <w:rFonts w:hint="default" w:ascii="Times New Roman" w:hAnsi="Times New Roman" w:cs="Times New Roman"/>
                <w:sz w:val="24"/>
                <w:vertAlign w:val="subscript"/>
                <w:lang w:bidi="ar"/>
              </w:rPr>
              <w:t>2</w:t>
            </w:r>
            <w:r>
              <w:rPr>
                <w:rFonts w:hint="default" w:ascii="Times New Roman" w:hAnsi="Times New Roman" w:cs="Times New Roman"/>
                <w:sz w:val="24"/>
                <w:lang w:bidi="ar"/>
              </w:rPr>
              <w:t>、SO</w:t>
            </w:r>
            <w:r>
              <w:rPr>
                <w:rFonts w:hint="default" w:ascii="Times New Roman" w:hAnsi="Times New Roman" w:cs="Times New Roman"/>
                <w:sz w:val="24"/>
                <w:vertAlign w:val="subscript"/>
                <w:lang w:bidi="ar"/>
              </w:rPr>
              <w:t>2</w:t>
            </w:r>
            <w:r>
              <w:rPr>
                <w:rFonts w:hint="default" w:ascii="Times New Roman" w:hAnsi="Times New Roman" w:cs="Times New Roman"/>
                <w:sz w:val="24"/>
                <w:lang w:bidi="ar"/>
              </w:rPr>
              <w:t>、O</w:t>
            </w:r>
            <w:r>
              <w:rPr>
                <w:rFonts w:hint="default" w:ascii="Times New Roman" w:hAnsi="Times New Roman" w:cs="Times New Roman"/>
                <w:sz w:val="24"/>
                <w:vertAlign w:val="subscript"/>
                <w:lang w:bidi="ar"/>
              </w:rPr>
              <w:t>3</w:t>
            </w:r>
            <w:r>
              <w:rPr>
                <w:rFonts w:hint="default" w:ascii="Times New Roman" w:hAnsi="Times New Roman" w:cs="Times New Roman"/>
                <w:sz w:val="24"/>
                <w:lang w:bidi="ar"/>
              </w:rPr>
              <w:t>浓度均同比下降，CO指标持平，浓度均值分别为38.7μg/m</w:t>
            </w:r>
            <w:r>
              <w:rPr>
                <w:rFonts w:hint="default" w:ascii="Times New Roman" w:hAnsi="Times New Roman" w:cs="Times New Roman"/>
                <w:sz w:val="24"/>
                <w:vertAlign w:val="superscript"/>
                <w:lang w:bidi="ar"/>
              </w:rPr>
              <w:t>3</w:t>
            </w:r>
            <w:r>
              <w:rPr>
                <w:rFonts w:hint="default" w:ascii="Times New Roman" w:hAnsi="Times New Roman" w:cs="Times New Roman"/>
                <w:sz w:val="24"/>
                <w:lang w:bidi="ar"/>
              </w:rPr>
              <w:t>、57μg/m</w:t>
            </w:r>
            <w:r>
              <w:rPr>
                <w:rFonts w:hint="default" w:ascii="Times New Roman" w:hAnsi="Times New Roman" w:cs="Times New Roman"/>
                <w:sz w:val="24"/>
                <w:vertAlign w:val="superscript"/>
                <w:lang w:bidi="ar"/>
              </w:rPr>
              <w:t>3</w:t>
            </w:r>
            <w:r>
              <w:rPr>
                <w:rFonts w:hint="default" w:ascii="Times New Roman" w:hAnsi="Times New Roman" w:cs="Times New Roman"/>
                <w:sz w:val="24"/>
                <w:lang w:bidi="ar"/>
              </w:rPr>
              <w:t>、21μg/m</w:t>
            </w:r>
            <w:r>
              <w:rPr>
                <w:rFonts w:hint="default" w:ascii="Times New Roman" w:hAnsi="Times New Roman" w:cs="Times New Roman"/>
                <w:sz w:val="24"/>
                <w:vertAlign w:val="superscript"/>
                <w:lang w:bidi="ar"/>
              </w:rPr>
              <w:t>3</w:t>
            </w:r>
            <w:r>
              <w:rPr>
                <w:rFonts w:hint="default" w:ascii="Times New Roman" w:hAnsi="Times New Roman" w:cs="Times New Roman"/>
                <w:sz w:val="24"/>
                <w:lang w:bidi="ar"/>
              </w:rPr>
              <w:t>、5μg/m</w:t>
            </w:r>
            <w:r>
              <w:rPr>
                <w:rFonts w:hint="default" w:ascii="Times New Roman" w:hAnsi="Times New Roman" w:cs="Times New Roman"/>
                <w:sz w:val="24"/>
                <w:vertAlign w:val="superscript"/>
                <w:lang w:bidi="ar"/>
              </w:rPr>
              <w:t>3</w:t>
            </w:r>
            <w:r>
              <w:rPr>
                <w:rFonts w:hint="default" w:ascii="Times New Roman" w:hAnsi="Times New Roman" w:cs="Times New Roman"/>
                <w:sz w:val="24"/>
                <w:lang w:bidi="ar"/>
              </w:rPr>
              <w:t>、160μg/m</w:t>
            </w:r>
            <w:r>
              <w:rPr>
                <w:rFonts w:hint="default" w:ascii="Times New Roman" w:hAnsi="Times New Roman" w:cs="Times New Roman"/>
                <w:sz w:val="24"/>
                <w:vertAlign w:val="superscript"/>
                <w:lang w:bidi="ar"/>
              </w:rPr>
              <w:t>3</w:t>
            </w:r>
            <w:r>
              <w:rPr>
                <w:rFonts w:hint="default" w:ascii="Times New Roman" w:hAnsi="Times New Roman" w:cs="Times New Roman"/>
                <w:sz w:val="24"/>
                <w:lang w:bidi="ar"/>
              </w:rPr>
              <w:t>、1.0mg/m</w:t>
            </w:r>
            <w:r>
              <w:rPr>
                <w:rFonts w:hint="default" w:ascii="Times New Roman" w:hAnsi="Times New Roman" w:cs="Times New Roman"/>
                <w:sz w:val="24"/>
                <w:vertAlign w:val="superscript"/>
                <w:lang w:bidi="ar"/>
              </w:rPr>
              <w:t>3</w:t>
            </w:r>
            <w:r>
              <w:rPr>
                <w:rFonts w:hint="default" w:ascii="Times New Roman" w:hAnsi="Times New Roman" w:cs="Times New Roman"/>
                <w:sz w:val="24"/>
                <w:lang w:bidi="ar"/>
              </w:rPr>
              <w:t>，除CO同比持平外，其余同比分别下降2.8%、9.5%、16.0%、37.5%、5.3%；其中，臭氧作为首要污染物的超标天数为33天，占全年超标天数比例达47.1%，已成为影响全市环境空气质量达标的主要指标。</w:t>
            </w:r>
          </w:p>
          <w:p w14:paraId="3402832A">
            <w:pPr>
              <w:keepNext w:val="0"/>
              <w:keepLines w:val="0"/>
              <w:pageBreakBefore w:val="0"/>
              <w:widowControl w:val="0"/>
              <w:kinsoku/>
              <w:wordWrap/>
              <w:overflowPunct/>
              <w:topLinePunct w:val="0"/>
              <w:autoSpaceDE w:val="0"/>
              <w:autoSpaceDN/>
              <w:bidi w:val="0"/>
              <w:snapToGrid w:val="0"/>
              <w:spacing w:line="360" w:lineRule="auto"/>
              <w:ind w:firstLine="480" w:firstLineChars="200"/>
              <w:jc w:val="left"/>
              <w:textAlignment w:val="auto"/>
              <w:rPr>
                <w:rFonts w:hint="default" w:ascii="Times New Roman" w:hAnsi="Times New Roman" w:cs="Times New Roman"/>
                <w:sz w:val="24"/>
                <w:lang w:bidi="ar"/>
              </w:rPr>
            </w:pPr>
            <w:r>
              <w:rPr>
                <w:rFonts w:hint="default" w:ascii="Times New Roman" w:hAnsi="Times New Roman" w:cs="Times New Roman"/>
                <w:sz w:val="24"/>
                <w:lang w:bidi="ar"/>
              </w:rPr>
              <w:t>沭阳、泗阳和泗洪三县城市空气质量优良天数分别为295、309、304，全年占比分别为80.6%、84.4%、83.1%。</w:t>
            </w:r>
          </w:p>
          <w:p w14:paraId="00611234">
            <w:pPr>
              <w:pStyle w:val="16"/>
              <w:shd w:val="clear"/>
              <w:overflowPunct w:val="0"/>
              <w:adjustRightInd w:val="0"/>
              <w:snapToGrid w:val="0"/>
              <w:spacing w:after="0" w:line="360" w:lineRule="auto"/>
              <w:ind w:left="0" w:leftChars="0" w:firstLine="480"/>
              <w:rPr>
                <w:color w:val="auto"/>
                <w:szCs w:val="24"/>
              </w:rPr>
            </w:pPr>
            <w:r>
              <w:rPr>
                <w:color w:val="auto"/>
                <w:szCs w:val="24"/>
              </w:rPr>
              <w:t>为切实改善空气质量，进一步加强大气污染防治工作，增强人民群众生态环境获得感，确保高质量完成“十四五”目标任务，宿迁市印发了《宿迁市2025年大气污染防治工作方案》《宿迁市柴油货车污染治理专项行动实施方案》，全力推动环境空气质量持续改善。方案明确了当前重点任务：一是优化产业结构，严格落实“三线一单”和产业准入政策。二是优化能源结构，大力发展新能源和清洁能源。三是优化运输结构，加快推进“公转铁”“公转水”，并开展移动源全链条整治，强化工业企业废气治理等措施。</w:t>
            </w:r>
          </w:p>
          <w:p w14:paraId="3BBFCD63">
            <w:pPr>
              <w:shd w:val="clear"/>
              <w:adjustRightInd w:val="0"/>
              <w:snapToGrid w:val="0"/>
              <w:spacing w:line="360" w:lineRule="auto"/>
              <w:ind w:firstLine="482"/>
              <w:rPr>
                <w:rFonts w:hint="eastAsia" w:eastAsia="宋体"/>
                <w:b/>
                <w:iCs/>
                <w:color w:val="auto"/>
                <w:szCs w:val="28"/>
                <w:lang w:val="en-US" w:eastAsia="zh-CN"/>
              </w:rPr>
            </w:pPr>
            <w:r>
              <w:rPr>
                <w:b/>
                <w:iCs/>
                <w:color w:val="auto"/>
                <w:szCs w:val="28"/>
              </w:rPr>
              <w:t>地表水环境质量</w:t>
            </w:r>
            <w:r>
              <w:rPr>
                <w:rFonts w:hint="eastAsia"/>
                <w:b/>
                <w:iCs/>
                <w:color w:val="auto"/>
                <w:szCs w:val="28"/>
                <w:lang w:eastAsia="zh-CN"/>
              </w:rPr>
              <w:t>：</w:t>
            </w:r>
          </w:p>
          <w:p w14:paraId="4EDB2C97">
            <w:pPr>
              <w:pStyle w:val="30"/>
              <w:shd w:val="clear"/>
              <w:adjustRightInd w:val="0"/>
              <w:snapToGrid w:val="0"/>
              <w:spacing w:before="0" w:beforeAutospacing="0" w:after="0" w:afterAutospacing="0" w:line="360" w:lineRule="auto"/>
              <w:ind w:firstLine="480"/>
              <w:jc w:val="both"/>
              <w:rPr>
                <w:rFonts w:ascii="Times New Roman" w:hAnsi="Times New Roman" w:eastAsia="宋体" w:cs="Times New Roman"/>
                <w:color w:val="auto"/>
                <w:szCs w:val="24"/>
              </w:rPr>
            </w:pPr>
            <w:r>
              <w:rPr>
                <w:rFonts w:ascii="Times New Roman" w:hAnsi="Times New Roman"/>
                <w:color w:val="auto"/>
                <w:szCs w:val="24"/>
              </w:rPr>
              <w:t>根据</w:t>
            </w:r>
            <w:r>
              <w:rPr>
                <w:rFonts w:hint="eastAsia" w:ascii="Times New Roman" w:hAnsi="Times New Roman"/>
                <w:color w:val="auto"/>
                <w:szCs w:val="24"/>
                <w:shd w:val="clear" w:fill="FFFFFF" w:themeFill="background1"/>
                <w:lang w:eastAsia="zh-CN"/>
              </w:rPr>
              <w:t>《宿迁市2024年度生态环境状况公报》</w:t>
            </w:r>
            <w:r>
              <w:rPr>
                <w:rFonts w:ascii="Times New Roman" w:hAnsi="Times New Roman" w:eastAsia="宋体" w:cs="Times New Roman"/>
                <w:color w:val="auto"/>
                <w:szCs w:val="24"/>
              </w:rPr>
              <w:t>，全市10个县级以上集中式饮用水水源地水质优Ⅲ比例为100%。15个国考断面水质达标率为100%，优Ⅲ水体比例为86.7%，无劣Ⅴ类水体。35个省考断面水质达标率为100%，优Ⅲ水体比例为100%，无劣Ⅴ类水体。南水北调东线涉及我市14个断面及水源地水质达标率为100%。</w:t>
            </w:r>
          </w:p>
          <w:p w14:paraId="404F147B">
            <w:pPr>
              <w:pStyle w:val="30"/>
              <w:shd w:val="clear"/>
              <w:adjustRightInd w:val="0"/>
              <w:snapToGrid w:val="0"/>
              <w:spacing w:before="0" w:beforeAutospacing="0" w:after="0" w:afterAutospacing="0" w:line="360" w:lineRule="auto"/>
              <w:ind w:firstLine="480"/>
              <w:jc w:val="both"/>
              <w:rPr>
                <w:rFonts w:hint="eastAsia" w:ascii="Times New Roman" w:hAnsi="Times New Roman" w:eastAsia="宋体" w:cs="Times New Roman"/>
                <w:b/>
                <w:bCs/>
                <w:color w:val="auto"/>
                <w:szCs w:val="24"/>
                <w:lang w:val="en-US" w:eastAsia="zh-CN"/>
              </w:rPr>
            </w:pPr>
            <w:r>
              <w:rPr>
                <w:rFonts w:ascii="Times New Roman" w:hAnsi="Times New Roman" w:eastAsia="宋体" w:cs="Times New Roman"/>
                <w:b/>
                <w:bCs/>
                <w:color w:val="auto"/>
                <w:szCs w:val="24"/>
              </w:rPr>
              <w:t>声环境质量</w:t>
            </w:r>
            <w:r>
              <w:rPr>
                <w:rFonts w:hint="eastAsia" w:ascii="Times New Roman" w:hAnsi="Times New Roman" w:eastAsia="宋体" w:cs="Times New Roman"/>
                <w:b/>
                <w:bCs/>
                <w:color w:val="auto"/>
                <w:szCs w:val="24"/>
                <w:lang w:eastAsia="zh-CN"/>
              </w:rPr>
              <w:t>：</w:t>
            </w:r>
          </w:p>
          <w:p w14:paraId="41BE6D45">
            <w:pPr>
              <w:pStyle w:val="30"/>
              <w:shd w:val="clear"/>
              <w:adjustRightInd w:val="0"/>
              <w:snapToGrid w:val="0"/>
              <w:spacing w:before="0" w:beforeAutospacing="0" w:after="0" w:afterAutospacing="0" w:line="360" w:lineRule="auto"/>
              <w:ind w:firstLine="480"/>
              <w:jc w:val="both"/>
              <w:rPr>
                <w:rFonts w:ascii="Times New Roman" w:hAnsi="Times New Roman" w:eastAsia="宋体" w:cs="Times New Roman"/>
                <w:color w:val="auto"/>
                <w:szCs w:val="24"/>
              </w:rPr>
            </w:pPr>
            <w:r>
              <w:rPr>
                <w:rFonts w:ascii="Times New Roman" w:hAnsi="Times New Roman" w:eastAsia="宋体" w:cs="Times New Roman"/>
                <w:color w:val="auto"/>
                <w:szCs w:val="24"/>
              </w:rPr>
              <w:t>根据</w:t>
            </w:r>
            <w:r>
              <w:rPr>
                <w:rFonts w:hint="eastAsia" w:ascii="Times New Roman" w:hAnsi="Times New Roman" w:eastAsia="宋体" w:cs="Times New Roman"/>
                <w:color w:val="auto"/>
                <w:szCs w:val="24"/>
                <w:lang w:eastAsia="zh-CN"/>
              </w:rPr>
              <w:t>《宿迁市2024年度生态环境状况公报》</w:t>
            </w:r>
            <w:r>
              <w:rPr>
                <w:rFonts w:ascii="Times New Roman" w:hAnsi="Times New Roman" w:eastAsia="宋体" w:cs="Times New Roman"/>
                <w:color w:val="auto"/>
                <w:szCs w:val="24"/>
              </w:rPr>
              <w:t>，全市功能区声环境质量昼间、夜间测次达标率分别为98.4%、94.9%；区域声环境昼间平均等效声级为54.3分贝，处于二级水平；道路交通声环境昼间平均等效声级为63.7分贝，处于一级水平。全市辐射环境质量良好。</w:t>
            </w:r>
          </w:p>
          <w:p w14:paraId="66E0E9C8">
            <w:pPr>
              <w:adjustRightInd w:val="0"/>
              <w:snapToGrid w:val="0"/>
              <w:spacing w:line="360" w:lineRule="auto"/>
              <w:ind w:firstLine="477" w:firstLineChars="199"/>
              <w:rPr>
                <w:color w:val="auto"/>
              </w:rPr>
            </w:pPr>
            <w:r>
              <w:rPr>
                <w:color w:val="auto"/>
              </w:rPr>
              <w:t>（3）资源利用上线</w:t>
            </w:r>
          </w:p>
          <w:p w14:paraId="64B57D23">
            <w:pPr>
              <w:adjustRightInd w:val="0"/>
              <w:snapToGrid w:val="0"/>
              <w:spacing w:line="360" w:lineRule="auto"/>
              <w:ind w:firstLine="477" w:firstLineChars="199"/>
              <w:rPr>
                <w:color w:val="auto"/>
              </w:rPr>
            </w:pPr>
            <w:r>
              <w:rPr>
                <w:color w:val="auto"/>
              </w:rPr>
              <w:t>本项目用水来自自来水管网，不会达到资源利用上线；项目用电由市政电网所供给，不会达到资源利用上线；项目用地为工业用地，符合当地土地规划要求，亦不会达到资源利用上线。</w:t>
            </w:r>
          </w:p>
          <w:p w14:paraId="2CF714F4">
            <w:pPr>
              <w:adjustRightInd w:val="0"/>
              <w:snapToGrid w:val="0"/>
              <w:spacing w:line="360" w:lineRule="auto"/>
              <w:ind w:firstLine="477" w:firstLineChars="199"/>
              <w:rPr>
                <w:color w:val="auto"/>
              </w:rPr>
            </w:pPr>
            <w:r>
              <w:rPr>
                <w:color w:val="auto"/>
              </w:rPr>
              <w:t>（4）环境准入负面清单</w:t>
            </w:r>
          </w:p>
          <w:p w14:paraId="0C7F990D">
            <w:pPr>
              <w:tabs>
                <w:tab w:val="left" w:pos="840"/>
              </w:tabs>
              <w:snapToGrid w:val="0"/>
              <w:spacing w:line="360" w:lineRule="auto"/>
              <w:ind w:firstLine="480"/>
              <w:rPr>
                <w:b/>
                <w:bCs/>
                <w:color w:val="auto"/>
              </w:rPr>
            </w:pPr>
            <w:r>
              <w:rPr>
                <w:rFonts w:hint="eastAsia"/>
                <w:b/>
                <w:bCs/>
                <w:color w:val="auto"/>
              </w:rPr>
              <w:t>①本项目与</w:t>
            </w:r>
            <w:r>
              <w:rPr>
                <w:b/>
                <w:bCs/>
                <w:color w:val="auto"/>
              </w:rPr>
              <w:t>《</w:t>
            </w:r>
            <w:r>
              <w:rPr>
                <w:rFonts w:hint="eastAsia"/>
                <w:b/>
                <w:bCs/>
                <w:color w:val="auto"/>
              </w:rPr>
              <w:t>宿迁市</w:t>
            </w:r>
            <w:r>
              <w:rPr>
                <w:b/>
                <w:bCs/>
                <w:color w:val="auto"/>
              </w:rPr>
              <w:t>“三线一单”生态环境分区管控</w:t>
            </w:r>
            <w:r>
              <w:rPr>
                <w:rFonts w:hint="eastAsia"/>
                <w:b/>
                <w:bCs/>
                <w:color w:val="auto"/>
              </w:rPr>
              <w:t>实施</w:t>
            </w:r>
            <w:r>
              <w:rPr>
                <w:b/>
                <w:bCs/>
                <w:color w:val="auto"/>
              </w:rPr>
              <w:t>方案》</w:t>
            </w:r>
            <w:r>
              <w:rPr>
                <w:rFonts w:hint="eastAsia"/>
                <w:b/>
                <w:bCs/>
                <w:color w:val="auto"/>
              </w:rPr>
              <w:t>的相符性</w:t>
            </w:r>
          </w:p>
          <w:p w14:paraId="141DBEE7">
            <w:pPr>
              <w:snapToGrid w:val="0"/>
              <w:spacing w:line="360" w:lineRule="auto"/>
              <w:ind w:firstLine="477" w:firstLineChars="199"/>
              <w:rPr>
                <w:color w:val="auto"/>
              </w:rPr>
            </w:pPr>
            <w:r>
              <w:rPr>
                <w:rFonts w:hint="eastAsia"/>
                <w:color w:val="auto"/>
              </w:rPr>
              <w:t>根据</w:t>
            </w:r>
            <w:r>
              <w:rPr>
                <w:color w:val="auto"/>
              </w:rPr>
              <w:t>《</w:t>
            </w:r>
            <w:r>
              <w:rPr>
                <w:rFonts w:hint="eastAsia"/>
                <w:color w:val="auto"/>
              </w:rPr>
              <w:t>宿迁市</w:t>
            </w:r>
            <w:r>
              <w:rPr>
                <w:color w:val="auto"/>
              </w:rPr>
              <w:t>“</w:t>
            </w:r>
            <w:r>
              <w:rPr>
                <w:rFonts w:hint="eastAsia"/>
                <w:color w:val="auto"/>
              </w:rPr>
              <w:t>三线一单</w:t>
            </w:r>
            <w:r>
              <w:rPr>
                <w:color w:val="auto"/>
              </w:rPr>
              <w:t>”</w:t>
            </w:r>
            <w:r>
              <w:rPr>
                <w:rFonts w:hint="eastAsia"/>
                <w:color w:val="auto"/>
              </w:rPr>
              <w:t>生态环境</w:t>
            </w:r>
            <w:r>
              <w:rPr>
                <w:color w:val="auto"/>
              </w:rPr>
              <w:t>分区管控</w:t>
            </w:r>
            <w:r>
              <w:rPr>
                <w:rFonts w:hint="eastAsia"/>
                <w:color w:val="auto"/>
              </w:rPr>
              <w:t>实施</w:t>
            </w:r>
            <w:r>
              <w:rPr>
                <w:color w:val="auto"/>
              </w:rPr>
              <w:t>方案》</w:t>
            </w:r>
            <w:r>
              <w:rPr>
                <w:rFonts w:hint="eastAsia"/>
                <w:color w:val="auto"/>
              </w:rPr>
              <w:t>，</w:t>
            </w:r>
            <w:r>
              <w:rPr>
                <w:color w:val="auto"/>
              </w:rPr>
              <w:t>本项目位于</w:t>
            </w:r>
            <w:r>
              <w:rPr>
                <w:rFonts w:hint="eastAsia"/>
                <w:color w:val="auto"/>
                <w:lang w:eastAsia="zh-CN"/>
              </w:rPr>
              <w:t>宿迁市泗阳县新袁镇仁和路东侧、新河路南侧（3）2#厂房</w:t>
            </w:r>
            <w:r>
              <w:rPr>
                <w:rFonts w:hint="eastAsia"/>
                <w:color w:val="auto"/>
              </w:rPr>
              <w:t>，在</w:t>
            </w:r>
            <w:r>
              <w:rPr>
                <w:color w:val="auto"/>
              </w:rPr>
              <w:t>新袁镇工业集聚区范围内</w:t>
            </w:r>
            <w:r>
              <w:rPr>
                <w:rFonts w:hint="eastAsia"/>
                <w:color w:val="auto"/>
              </w:rPr>
              <w:t>，属于重点管控单</w:t>
            </w:r>
            <w:r>
              <w:rPr>
                <w:color w:val="auto"/>
              </w:rPr>
              <w:t>元</w:t>
            </w:r>
            <w:r>
              <w:rPr>
                <w:rFonts w:hint="eastAsia"/>
                <w:color w:val="auto"/>
              </w:rPr>
              <w:t>。</w:t>
            </w:r>
          </w:p>
          <w:p w14:paraId="1A26404E">
            <w:pPr>
              <w:adjustRightInd w:val="0"/>
              <w:snapToGrid w:val="0"/>
              <w:spacing w:line="240" w:lineRule="auto"/>
              <w:ind w:firstLine="0" w:firstLineChars="0"/>
              <w:jc w:val="center"/>
              <w:rPr>
                <w:b/>
                <w:bCs/>
                <w:color w:val="auto"/>
              </w:rPr>
            </w:pPr>
            <w:r>
              <w:rPr>
                <w:b/>
                <w:bCs/>
                <w:color w:val="auto"/>
              </w:rPr>
              <w:t>表1-</w:t>
            </w:r>
            <w:r>
              <w:rPr>
                <w:rFonts w:hint="eastAsia"/>
                <w:b/>
                <w:bCs/>
                <w:color w:val="auto"/>
                <w:lang w:val="en-US" w:eastAsia="zh-CN"/>
              </w:rPr>
              <w:t>4</w:t>
            </w:r>
            <w:r>
              <w:rPr>
                <w:rFonts w:hint="eastAsia"/>
                <w:b/>
                <w:bCs/>
                <w:color w:val="auto"/>
              </w:rPr>
              <w:t>宿迁市</w:t>
            </w:r>
            <w:r>
              <w:rPr>
                <w:b/>
                <w:bCs/>
                <w:color w:val="auto"/>
              </w:rPr>
              <w:t>管控单元及</w:t>
            </w:r>
            <w:r>
              <w:rPr>
                <w:rFonts w:hint="eastAsia"/>
                <w:b/>
                <w:bCs/>
                <w:color w:val="auto"/>
              </w:rPr>
              <w:t>生态环境</w:t>
            </w:r>
            <w:r>
              <w:rPr>
                <w:b/>
                <w:bCs/>
                <w:color w:val="auto"/>
              </w:rPr>
              <w:t>准入清单</w:t>
            </w:r>
          </w:p>
          <w:tbl>
            <w:tblPr>
              <w:tblStyle w:val="3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1"/>
              <w:gridCol w:w="3940"/>
              <w:gridCol w:w="3975"/>
            </w:tblGrid>
            <w:tr w14:paraId="0EC7A5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Align w:val="center"/>
                </w:tcPr>
                <w:p w14:paraId="144D6D65">
                  <w:pPr>
                    <w:snapToGrid w:val="0"/>
                    <w:spacing w:line="240" w:lineRule="auto"/>
                    <w:ind w:firstLine="0" w:firstLineChars="0"/>
                    <w:jc w:val="center"/>
                    <w:rPr>
                      <w:b/>
                      <w:bCs/>
                      <w:color w:val="auto"/>
                      <w:sz w:val="21"/>
                      <w:szCs w:val="21"/>
                    </w:rPr>
                  </w:pPr>
                  <w:r>
                    <w:rPr>
                      <w:rFonts w:hint="eastAsia"/>
                      <w:b/>
                      <w:bCs/>
                      <w:color w:val="auto"/>
                      <w:sz w:val="21"/>
                      <w:szCs w:val="21"/>
                    </w:rPr>
                    <w:t>管控要求</w:t>
                  </w:r>
                </w:p>
              </w:tc>
              <w:tc>
                <w:tcPr>
                  <w:tcW w:w="2194" w:type="pct"/>
                  <w:vAlign w:val="center"/>
                </w:tcPr>
                <w:p w14:paraId="5BF24B78">
                  <w:pPr>
                    <w:snapToGrid w:val="0"/>
                    <w:spacing w:line="240" w:lineRule="auto"/>
                    <w:ind w:firstLine="0" w:firstLineChars="0"/>
                    <w:jc w:val="center"/>
                    <w:rPr>
                      <w:b/>
                      <w:bCs/>
                      <w:color w:val="auto"/>
                      <w:sz w:val="21"/>
                      <w:szCs w:val="21"/>
                    </w:rPr>
                  </w:pPr>
                  <w:r>
                    <w:rPr>
                      <w:rFonts w:hint="eastAsia"/>
                      <w:b/>
                      <w:bCs/>
                      <w:color w:val="auto"/>
                      <w:sz w:val="21"/>
                      <w:szCs w:val="21"/>
                    </w:rPr>
                    <w:t>内容</w:t>
                  </w:r>
                </w:p>
              </w:tc>
              <w:tc>
                <w:tcPr>
                  <w:tcW w:w="2214" w:type="pct"/>
                  <w:vAlign w:val="center"/>
                </w:tcPr>
                <w:p w14:paraId="26A4101A">
                  <w:pPr>
                    <w:snapToGrid w:val="0"/>
                    <w:spacing w:line="240" w:lineRule="auto"/>
                    <w:ind w:firstLine="0" w:firstLineChars="0"/>
                    <w:jc w:val="center"/>
                    <w:rPr>
                      <w:b/>
                      <w:bCs/>
                      <w:color w:val="auto"/>
                      <w:sz w:val="21"/>
                      <w:szCs w:val="21"/>
                    </w:rPr>
                  </w:pPr>
                  <w:r>
                    <w:rPr>
                      <w:b/>
                      <w:bCs/>
                      <w:color w:val="auto"/>
                      <w:sz w:val="21"/>
                      <w:szCs w:val="21"/>
                    </w:rPr>
                    <w:t>本项目相符性分析</w:t>
                  </w:r>
                </w:p>
              </w:tc>
            </w:tr>
            <w:tr w14:paraId="6CD6D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Align w:val="center"/>
                </w:tcPr>
                <w:p w14:paraId="1538B49A">
                  <w:pPr>
                    <w:snapToGrid w:val="0"/>
                    <w:spacing w:line="240" w:lineRule="auto"/>
                    <w:ind w:firstLine="0" w:firstLineChars="0"/>
                    <w:jc w:val="center"/>
                    <w:rPr>
                      <w:color w:val="auto"/>
                      <w:sz w:val="21"/>
                      <w:szCs w:val="21"/>
                    </w:rPr>
                  </w:pPr>
                  <w:r>
                    <w:rPr>
                      <w:rFonts w:hint="eastAsia"/>
                      <w:color w:val="auto"/>
                      <w:sz w:val="21"/>
                      <w:szCs w:val="21"/>
                    </w:rPr>
                    <w:t>空间</w:t>
                  </w:r>
                  <w:r>
                    <w:rPr>
                      <w:color w:val="auto"/>
                      <w:sz w:val="21"/>
                      <w:szCs w:val="21"/>
                    </w:rPr>
                    <w:t>布局约束</w:t>
                  </w:r>
                </w:p>
              </w:tc>
              <w:tc>
                <w:tcPr>
                  <w:tcW w:w="2194" w:type="pct"/>
                  <w:vAlign w:val="center"/>
                </w:tcPr>
                <w:p w14:paraId="31A55265">
                  <w:pPr>
                    <w:snapToGrid w:val="0"/>
                    <w:spacing w:line="240" w:lineRule="auto"/>
                    <w:ind w:firstLine="0" w:firstLineChars="0"/>
                    <w:jc w:val="center"/>
                    <w:rPr>
                      <w:color w:val="auto"/>
                      <w:sz w:val="21"/>
                      <w:szCs w:val="21"/>
                    </w:rPr>
                  </w:pPr>
                  <w:r>
                    <w:rPr>
                      <w:color w:val="auto"/>
                      <w:sz w:val="21"/>
                      <w:szCs w:val="21"/>
                    </w:rPr>
                    <w:t>不得引进以下项目：（1）高能耗、高污染、高排放和采用落后技术、落后工艺、落后装备的项目；（2）化工、印染、印花、电镀、造纸、化肥、染料、农药、酿造、电石、冶炼、铁合金、焦炭、制革、电镀等重污染项目；（3）重金属项目；（4）有毒有机有害气体项目；（5）日排放废水50吨以上的项目。限制引入废旧资源再加工项目。</w:t>
                  </w:r>
                </w:p>
              </w:tc>
              <w:tc>
                <w:tcPr>
                  <w:tcW w:w="2214" w:type="pct"/>
                  <w:vAlign w:val="center"/>
                </w:tcPr>
                <w:p w14:paraId="0D8EA5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项目</w:t>
                  </w:r>
                  <w:r>
                    <w:rPr>
                      <w:rFonts w:hint="eastAsia"/>
                      <w:color w:val="auto"/>
                      <w:sz w:val="21"/>
                      <w:szCs w:val="21"/>
                    </w:rPr>
                    <w:t>生产</w:t>
                  </w:r>
                  <w:r>
                    <w:rPr>
                      <w:rFonts w:hint="eastAsia"/>
                      <w:color w:val="auto"/>
                      <w:sz w:val="21"/>
                      <w:szCs w:val="21"/>
                      <w:lang w:eastAsia="zh-CN"/>
                    </w:rPr>
                    <w:t>化纤面料</w:t>
                  </w:r>
                  <w:r>
                    <w:rPr>
                      <w:color w:val="auto"/>
                      <w:sz w:val="21"/>
                      <w:szCs w:val="21"/>
                    </w:rPr>
                    <w:t>，</w:t>
                  </w:r>
                  <w:r>
                    <w:rPr>
                      <w:rFonts w:hint="eastAsia"/>
                      <w:color w:val="auto"/>
                      <w:sz w:val="21"/>
                      <w:szCs w:val="21"/>
                    </w:rPr>
                    <w:t>属于</w:t>
                  </w:r>
                  <w:r>
                    <w:rPr>
                      <w:rFonts w:hint="eastAsia"/>
                      <w:color w:val="auto"/>
                      <w:sz w:val="21"/>
                      <w:szCs w:val="21"/>
                      <w:lang w:eastAsia="zh-CN"/>
                    </w:rPr>
                    <w:t>化纤织造项目</w:t>
                  </w:r>
                  <w:r>
                    <w:rPr>
                      <w:rFonts w:hint="eastAsia"/>
                      <w:color w:val="auto"/>
                      <w:sz w:val="21"/>
                      <w:szCs w:val="21"/>
                      <w:lang w:val="zh-CN"/>
                    </w:rPr>
                    <w:t>，不属于</w:t>
                  </w:r>
                  <w:r>
                    <w:rPr>
                      <w:color w:val="auto"/>
                      <w:sz w:val="21"/>
                      <w:szCs w:val="21"/>
                      <w:lang w:val="zh-CN"/>
                    </w:rPr>
                    <w:t>重污染项目；项目不属于</w:t>
                  </w:r>
                  <w:r>
                    <w:rPr>
                      <w:rFonts w:hint="eastAsia"/>
                      <w:color w:val="auto"/>
                      <w:sz w:val="21"/>
                      <w:szCs w:val="21"/>
                      <w:lang w:val="zh-CN"/>
                    </w:rPr>
                    <w:t>高能耗、高污染、高排放和落后技术、落后工艺、落后装备的项目。项目</w:t>
                  </w:r>
                  <w:r>
                    <w:rPr>
                      <w:color w:val="auto"/>
                      <w:sz w:val="21"/>
                      <w:szCs w:val="21"/>
                      <w:lang w:val="zh-CN"/>
                    </w:rPr>
                    <w:t>不涉及《</w:t>
                  </w:r>
                  <w:r>
                    <w:rPr>
                      <w:rFonts w:hint="eastAsia"/>
                      <w:color w:val="auto"/>
                      <w:sz w:val="21"/>
                      <w:szCs w:val="21"/>
                    </w:rPr>
                    <w:t>有毒有害大气污染物名录（2018年）</w:t>
                  </w:r>
                  <w:r>
                    <w:rPr>
                      <w:color w:val="auto"/>
                      <w:sz w:val="21"/>
                      <w:szCs w:val="21"/>
                      <w:lang w:val="zh-CN"/>
                    </w:rPr>
                    <w:t>》</w:t>
                  </w:r>
                  <w:r>
                    <w:rPr>
                      <w:rFonts w:hint="eastAsia"/>
                      <w:color w:val="auto"/>
                      <w:sz w:val="21"/>
                      <w:szCs w:val="21"/>
                      <w:lang w:val="zh-CN"/>
                    </w:rPr>
                    <w:t>中</w:t>
                  </w:r>
                  <w:r>
                    <w:rPr>
                      <w:color w:val="auto"/>
                      <w:sz w:val="21"/>
                      <w:szCs w:val="21"/>
                      <w:lang w:val="zh-CN"/>
                    </w:rPr>
                    <w:t>有毒有害大气污染物排放。</w:t>
                  </w:r>
                  <w:r>
                    <w:rPr>
                      <w:rFonts w:hint="eastAsia"/>
                      <w:color w:val="auto"/>
                      <w:sz w:val="21"/>
                      <w:szCs w:val="21"/>
                    </w:rPr>
                    <w:t>项目</w:t>
                  </w:r>
                  <w:r>
                    <w:rPr>
                      <w:rFonts w:hint="eastAsia"/>
                      <w:color w:val="auto"/>
                      <w:sz w:val="21"/>
                      <w:szCs w:val="21"/>
                      <w:lang w:val="en-US" w:eastAsia="zh-CN"/>
                    </w:rPr>
                    <w:t>产生的</w:t>
                  </w:r>
                  <w:r>
                    <w:rPr>
                      <w:color w:val="auto"/>
                      <w:sz w:val="21"/>
                      <w:szCs w:val="21"/>
                    </w:rPr>
                    <w:t>废水为生活污水</w:t>
                  </w:r>
                  <w:r>
                    <w:rPr>
                      <w:rFonts w:hint="eastAsia"/>
                      <w:color w:val="auto"/>
                      <w:sz w:val="21"/>
                      <w:szCs w:val="21"/>
                      <w:lang w:val="en-US" w:eastAsia="zh-CN"/>
                    </w:rPr>
                    <w:t>和生产废水</w:t>
                  </w:r>
                  <w:r>
                    <w:rPr>
                      <w:color w:val="auto"/>
                      <w:sz w:val="21"/>
                      <w:szCs w:val="21"/>
                    </w:rPr>
                    <w:t>，</w:t>
                  </w:r>
                  <w:r>
                    <w:rPr>
                      <w:rFonts w:hint="eastAsia"/>
                      <w:color w:val="auto"/>
                      <w:sz w:val="21"/>
                      <w:szCs w:val="21"/>
                      <w:lang w:val="en-US" w:eastAsia="zh-CN"/>
                    </w:rPr>
                    <w:t>生产废水产生量810m</w:t>
                  </w:r>
                  <w:r>
                    <w:rPr>
                      <w:rFonts w:hint="eastAsia"/>
                      <w:color w:val="auto"/>
                      <w:sz w:val="21"/>
                      <w:szCs w:val="21"/>
                      <w:vertAlign w:val="superscript"/>
                      <w:lang w:val="en-US" w:eastAsia="zh-CN"/>
                    </w:rPr>
                    <w:t>3</w:t>
                  </w:r>
                  <w:r>
                    <w:rPr>
                      <w:rFonts w:hint="eastAsia"/>
                      <w:color w:val="auto"/>
                      <w:sz w:val="21"/>
                      <w:szCs w:val="21"/>
                      <w:lang w:val="en-US" w:eastAsia="zh-CN"/>
                    </w:rPr>
                    <w:t>/d，经厂内污水站处理后全部回用至生产不外排；生活污水产生量2m</w:t>
                  </w:r>
                  <w:r>
                    <w:rPr>
                      <w:rFonts w:hint="eastAsia"/>
                      <w:color w:val="auto"/>
                      <w:sz w:val="21"/>
                      <w:szCs w:val="21"/>
                      <w:vertAlign w:val="superscript"/>
                      <w:lang w:val="en-US" w:eastAsia="zh-CN"/>
                    </w:rPr>
                    <w:t>3</w:t>
                  </w:r>
                  <w:r>
                    <w:rPr>
                      <w:rFonts w:hint="eastAsia"/>
                      <w:color w:val="auto"/>
                      <w:sz w:val="21"/>
                      <w:szCs w:val="21"/>
                      <w:lang w:val="en-US" w:eastAsia="zh-CN"/>
                    </w:rPr>
                    <w:t>/d，经化粪池预处理后接管至新袁镇污水处理厂深度处理，尾水排放至黄码河。因此本项目</w:t>
                  </w:r>
                  <w:r>
                    <w:rPr>
                      <w:color w:val="auto"/>
                      <w:sz w:val="21"/>
                      <w:szCs w:val="21"/>
                    </w:rPr>
                    <w:t>废水</w:t>
                  </w:r>
                  <w:r>
                    <w:rPr>
                      <w:rFonts w:hint="eastAsia"/>
                      <w:color w:val="auto"/>
                      <w:sz w:val="21"/>
                      <w:szCs w:val="21"/>
                    </w:rPr>
                    <w:t>排放量</w:t>
                  </w:r>
                  <w:r>
                    <w:rPr>
                      <w:color w:val="auto"/>
                      <w:sz w:val="21"/>
                      <w:szCs w:val="21"/>
                    </w:rPr>
                    <w:t>为</w:t>
                  </w:r>
                  <w:r>
                    <w:rPr>
                      <w:rFonts w:hint="eastAsia"/>
                      <w:color w:val="auto"/>
                      <w:sz w:val="21"/>
                      <w:szCs w:val="21"/>
                      <w:lang w:val="en-US" w:eastAsia="zh-CN"/>
                    </w:rPr>
                    <w:t>2</w:t>
                  </w:r>
                  <w:r>
                    <w:rPr>
                      <w:color w:val="auto"/>
                      <w:sz w:val="21"/>
                      <w:szCs w:val="21"/>
                    </w:rPr>
                    <w:t>m</w:t>
                  </w:r>
                  <w:r>
                    <w:rPr>
                      <w:color w:val="auto"/>
                      <w:sz w:val="21"/>
                      <w:szCs w:val="21"/>
                      <w:vertAlign w:val="superscript"/>
                    </w:rPr>
                    <w:t>3</w:t>
                  </w:r>
                  <w:r>
                    <w:rPr>
                      <w:color w:val="auto"/>
                      <w:sz w:val="21"/>
                      <w:szCs w:val="21"/>
                    </w:rPr>
                    <w:t>/d</w:t>
                  </w:r>
                  <w:r>
                    <w:rPr>
                      <w:rFonts w:hint="eastAsia"/>
                      <w:color w:val="auto"/>
                      <w:sz w:val="21"/>
                      <w:szCs w:val="21"/>
                    </w:rPr>
                    <w:t>，日排放废水小于50吨</w:t>
                  </w:r>
                  <w:r>
                    <w:rPr>
                      <w:color w:val="auto"/>
                      <w:sz w:val="21"/>
                      <w:szCs w:val="21"/>
                    </w:rPr>
                    <w:t>。</w:t>
                  </w:r>
                </w:p>
              </w:tc>
            </w:tr>
            <w:tr w14:paraId="67E56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Align w:val="center"/>
                </w:tcPr>
                <w:p w14:paraId="653B1279">
                  <w:pPr>
                    <w:snapToGrid w:val="0"/>
                    <w:spacing w:line="240" w:lineRule="auto"/>
                    <w:ind w:firstLine="0" w:firstLineChars="0"/>
                    <w:jc w:val="center"/>
                    <w:rPr>
                      <w:color w:val="auto"/>
                      <w:sz w:val="21"/>
                      <w:szCs w:val="21"/>
                    </w:rPr>
                  </w:pPr>
                  <w:r>
                    <w:rPr>
                      <w:rFonts w:hint="eastAsia"/>
                      <w:color w:val="auto"/>
                      <w:sz w:val="21"/>
                      <w:szCs w:val="21"/>
                    </w:rPr>
                    <w:t>污染物</w:t>
                  </w:r>
                  <w:r>
                    <w:rPr>
                      <w:color w:val="auto"/>
                      <w:sz w:val="21"/>
                      <w:szCs w:val="21"/>
                    </w:rPr>
                    <w:t>排放管控</w:t>
                  </w:r>
                </w:p>
              </w:tc>
              <w:tc>
                <w:tcPr>
                  <w:tcW w:w="2194" w:type="pct"/>
                  <w:vAlign w:val="center"/>
                </w:tcPr>
                <w:p w14:paraId="1E9FB1F3">
                  <w:pPr>
                    <w:snapToGrid w:val="0"/>
                    <w:spacing w:line="240" w:lineRule="auto"/>
                    <w:ind w:firstLine="0" w:firstLineChars="0"/>
                    <w:jc w:val="center"/>
                    <w:rPr>
                      <w:color w:val="auto"/>
                      <w:sz w:val="21"/>
                      <w:szCs w:val="21"/>
                    </w:rPr>
                  </w:pPr>
                  <w:r>
                    <w:rPr>
                      <w:rFonts w:hint="eastAsia"/>
                      <w:color w:val="auto"/>
                      <w:sz w:val="21"/>
                      <w:szCs w:val="21"/>
                    </w:rPr>
                    <w:t>设置</w:t>
                  </w:r>
                  <w:r>
                    <w:rPr>
                      <w:color w:val="auto"/>
                      <w:sz w:val="21"/>
                      <w:szCs w:val="21"/>
                    </w:rPr>
                    <w:t>完善的</w:t>
                  </w:r>
                  <w:r>
                    <w:rPr>
                      <w:rFonts w:hint="eastAsia"/>
                      <w:color w:val="auto"/>
                      <w:sz w:val="21"/>
                      <w:szCs w:val="21"/>
                    </w:rPr>
                    <w:t>污染</w:t>
                  </w:r>
                  <w:r>
                    <w:rPr>
                      <w:color w:val="auto"/>
                      <w:sz w:val="21"/>
                      <w:szCs w:val="21"/>
                    </w:rPr>
                    <w:t>治理</w:t>
                  </w:r>
                  <w:r>
                    <w:rPr>
                      <w:rFonts w:hint="eastAsia"/>
                      <w:color w:val="auto"/>
                      <w:sz w:val="21"/>
                      <w:szCs w:val="21"/>
                    </w:rPr>
                    <w:t>设施</w:t>
                  </w:r>
                  <w:r>
                    <w:rPr>
                      <w:color w:val="auto"/>
                      <w:sz w:val="21"/>
                      <w:szCs w:val="21"/>
                    </w:rPr>
                    <w:t>及管理体系，从园区层面提高</w:t>
                  </w:r>
                  <w:r>
                    <w:rPr>
                      <w:rFonts w:hint="eastAsia"/>
                      <w:color w:val="auto"/>
                      <w:sz w:val="21"/>
                      <w:szCs w:val="21"/>
                    </w:rPr>
                    <w:t>企业</w:t>
                  </w:r>
                  <w:r>
                    <w:rPr>
                      <w:color w:val="auto"/>
                      <w:sz w:val="21"/>
                      <w:szCs w:val="21"/>
                    </w:rPr>
                    <w:t>的</w:t>
                  </w:r>
                  <w:r>
                    <w:rPr>
                      <w:rFonts w:hint="eastAsia"/>
                      <w:color w:val="auto"/>
                      <w:sz w:val="21"/>
                      <w:szCs w:val="21"/>
                      <w:lang w:eastAsia="zh-CN"/>
                    </w:rPr>
                    <w:t>清洁</w:t>
                  </w:r>
                  <w:r>
                    <w:rPr>
                      <w:color w:val="auto"/>
                      <w:sz w:val="21"/>
                      <w:szCs w:val="21"/>
                    </w:rPr>
                    <w:t>生产水平，实现污染综合治理和集中控制。</w:t>
                  </w:r>
                </w:p>
              </w:tc>
              <w:tc>
                <w:tcPr>
                  <w:tcW w:w="2214" w:type="pct"/>
                  <w:vAlign w:val="center"/>
                </w:tcPr>
                <w:p w14:paraId="7D31A360">
                  <w:pPr>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rPr>
                    <w:t>项目建成后将设置</w:t>
                  </w:r>
                  <w:r>
                    <w:rPr>
                      <w:color w:val="auto"/>
                      <w:sz w:val="21"/>
                      <w:szCs w:val="21"/>
                    </w:rPr>
                    <w:t>完善的</w:t>
                  </w:r>
                  <w:r>
                    <w:rPr>
                      <w:rFonts w:hint="eastAsia"/>
                      <w:color w:val="auto"/>
                      <w:sz w:val="21"/>
                      <w:szCs w:val="21"/>
                    </w:rPr>
                    <w:t>污染</w:t>
                  </w:r>
                  <w:r>
                    <w:rPr>
                      <w:color w:val="auto"/>
                      <w:sz w:val="21"/>
                      <w:szCs w:val="21"/>
                    </w:rPr>
                    <w:t>治理</w:t>
                  </w:r>
                  <w:r>
                    <w:rPr>
                      <w:rFonts w:hint="eastAsia"/>
                      <w:color w:val="auto"/>
                      <w:sz w:val="21"/>
                      <w:szCs w:val="21"/>
                    </w:rPr>
                    <w:t>设施</w:t>
                  </w:r>
                  <w:r>
                    <w:rPr>
                      <w:color w:val="auto"/>
                      <w:sz w:val="21"/>
                      <w:szCs w:val="21"/>
                    </w:rPr>
                    <w:t>及管理体系</w:t>
                  </w:r>
                  <w:r>
                    <w:rPr>
                      <w:rFonts w:hint="eastAsia"/>
                      <w:color w:val="auto"/>
                      <w:sz w:val="21"/>
                      <w:szCs w:val="21"/>
                      <w:lang w:eastAsia="zh-CN"/>
                    </w:rPr>
                    <w:t>。</w:t>
                  </w:r>
                </w:p>
              </w:tc>
            </w:tr>
            <w:tr w14:paraId="3A61C3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Align w:val="center"/>
                </w:tcPr>
                <w:p w14:paraId="15FE349E">
                  <w:pPr>
                    <w:snapToGrid w:val="0"/>
                    <w:spacing w:line="240" w:lineRule="auto"/>
                    <w:ind w:firstLine="0" w:firstLineChars="0"/>
                    <w:jc w:val="center"/>
                    <w:rPr>
                      <w:color w:val="auto"/>
                      <w:sz w:val="21"/>
                      <w:szCs w:val="21"/>
                    </w:rPr>
                  </w:pPr>
                  <w:r>
                    <w:rPr>
                      <w:rFonts w:hint="eastAsia"/>
                      <w:color w:val="auto"/>
                      <w:sz w:val="21"/>
                      <w:szCs w:val="21"/>
                    </w:rPr>
                    <w:t>资源</w:t>
                  </w:r>
                  <w:r>
                    <w:rPr>
                      <w:color w:val="auto"/>
                      <w:sz w:val="21"/>
                      <w:szCs w:val="21"/>
                    </w:rPr>
                    <w:t>开发效率要求</w:t>
                  </w:r>
                </w:p>
              </w:tc>
              <w:tc>
                <w:tcPr>
                  <w:tcW w:w="2194" w:type="pct"/>
                  <w:vAlign w:val="center"/>
                </w:tcPr>
                <w:p w14:paraId="677E2321">
                  <w:pPr>
                    <w:snapToGrid w:val="0"/>
                    <w:spacing w:line="240" w:lineRule="auto"/>
                    <w:ind w:firstLine="0" w:firstLineChars="0"/>
                    <w:jc w:val="center"/>
                    <w:rPr>
                      <w:color w:val="auto"/>
                      <w:sz w:val="21"/>
                      <w:szCs w:val="21"/>
                    </w:rPr>
                  </w:pPr>
                  <w:r>
                    <w:rPr>
                      <w:rFonts w:hint="eastAsia"/>
                      <w:color w:val="auto"/>
                      <w:sz w:val="21"/>
                      <w:szCs w:val="21"/>
                    </w:rPr>
                    <w:t>行业企业清洁</w:t>
                  </w:r>
                  <w:r>
                    <w:rPr>
                      <w:color w:val="auto"/>
                      <w:sz w:val="21"/>
                      <w:szCs w:val="21"/>
                    </w:rPr>
                    <w:t>生产水平达到国内清洁生产先进水平及以上要求</w:t>
                  </w:r>
                  <w:r>
                    <w:rPr>
                      <w:rFonts w:hint="eastAsia"/>
                      <w:color w:val="auto"/>
                      <w:sz w:val="21"/>
                      <w:szCs w:val="21"/>
                    </w:rPr>
                    <w:t>。</w:t>
                  </w:r>
                </w:p>
              </w:tc>
              <w:tc>
                <w:tcPr>
                  <w:tcW w:w="2214" w:type="pct"/>
                  <w:vAlign w:val="center"/>
                </w:tcPr>
                <w:p w14:paraId="031F395B">
                  <w:pPr>
                    <w:snapToGrid w:val="0"/>
                    <w:spacing w:line="240" w:lineRule="auto"/>
                    <w:ind w:firstLine="0" w:firstLineChars="0"/>
                    <w:jc w:val="center"/>
                    <w:rPr>
                      <w:color w:val="auto"/>
                      <w:sz w:val="21"/>
                      <w:szCs w:val="21"/>
                    </w:rPr>
                  </w:pPr>
                  <w:r>
                    <w:rPr>
                      <w:rFonts w:hint="eastAsia"/>
                      <w:color w:val="auto"/>
                      <w:sz w:val="21"/>
                      <w:szCs w:val="21"/>
                    </w:rPr>
                    <w:t>项目清洁生产水平达到国内清洁生产先进水平。</w:t>
                  </w:r>
                </w:p>
              </w:tc>
            </w:tr>
            <w:tr w14:paraId="26B2CB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Align w:val="center"/>
                </w:tcPr>
                <w:p w14:paraId="6ABEC809">
                  <w:pPr>
                    <w:snapToGrid w:val="0"/>
                    <w:spacing w:line="240" w:lineRule="auto"/>
                    <w:ind w:firstLine="0" w:firstLineChars="0"/>
                    <w:jc w:val="center"/>
                    <w:rPr>
                      <w:color w:val="auto"/>
                      <w:sz w:val="21"/>
                      <w:szCs w:val="21"/>
                    </w:rPr>
                  </w:pPr>
                  <w:r>
                    <w:rPr>
                      <w:rFonts w:hint="eastAsia"/>
                      <w:color w:val="auto"/>
                      <w:sz w:val="21"/>
                      <w:szCs w:val="21"/>
                    </w:rPr>
                    <w:t>环境</w:t>
                  </w:r>
                  <w:r>
                    <w:rPr>
                      <w:color w:val="auto"/>
                      <w:sz w:val="21"/>
                      <w:szCs w:val="21"/>
                    </w:rPr>
                    <w:t>风险</w:t>
                  </w:r>
                  <w:r>
                    <w:rPr>
                      <w:rFonts w:hint="eastAsia"/>
                      <w:color w:val="auto"/>
                      <w:sz w:val="21"/>
                      <w:szCs w:val="21"/>
                    </w:rPr>
                    <w:t>防控</w:t>
                  </w:r>
                </w:p>
              </w:tc>
              <w:tc>
                <w:tcPr>
                  <w:tcW w:w="2194" w:type="pct"/>
                  <w:vAlign w:val="center"/>
                </w:tcPr>
                <w:p w14:paraId="2B56A85F">
                  <w:pPr>
                    <w:snapToGrid w:val="0"/>
                    <w:spacing w:line="240" w:lineRule="auto"/>
                    <w:ind w:firstLine="0" w:firstLineChars="0"/>
                    <w:jc w:val="center"/>
                    <w:rPr>
                      <w:color w:val="auto"/>
                      <w:sz w:val="21"/>
                      <w:szCs w:val="21"/>
                    </w:rPr>
                  </w:pPr>
                  <w:r>
                    <w:rPr>
                      <w:color w:val="auto"/>
                      <w:sz w:val="21"/>
                      <w:szCs w:val="21"/>
                    </w:rPr>
                    <w:t>制定并落实园区建设项目环境风险防范措施和事故应急预案，并定期演练，防止和减轻事故危害</w:t>
                  </w:r>
                  <w:r>
                    <w:rPr>
                      <w:rFonts w:hint="eastAsia"/>
                      <w:color w:val="auto"/>
                      <w:sz w:val="21"/>
                      <w:szCs w:val="21"/>
                    </w:rPr>
                    <w:t>。</w:t>
                  </w:r>
                </w:p>
              </w:tc>
              <w:tc>
                <w:tcPr>
                  <w:tcW w:w="2214" w:type="pct"/>
                  <w:vAlign w:val="center"/>
                </w:tcPr>
                <w:p w14:paraId="2FB8B39C">
                  <w:pPr>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rPr>
                    <w:t>项目建成</w:t>
                  </w:r>
                  <w:r>
                    <w:rPr>
                      <w:color w:val="auto"/>
                      <w:sz w:val="21"/>
                      <w:szCs w:val="21"/>
                    </w:rPr>
                    <w:t>后将配合</w:t>
                  </w:r>
                  <w:r>
                    <w:rPr>
                      <w:rFonts w:hint="eastAsia"/>
                      <w:color w:val="auto"/>
                      <w:sz w:val="21"/>
                      <w:szCs w:val="21"/>
                    </w:rPr>
                    <w:t>园区</w:t>
                  </w:r>
                  <w:r>
                    <w:rPr>
                      <w:color w:val="auto"/>
                      <w:sz w:val="21"/>
                      <w:szCs w:val="21"/>
                    </w:rPr>
                    <w:t>进行定期演练，防止和减轻事故危害</w:t>
                  </w:r>
                  <w:r>
                    <w:rPr>
                      <w:rFonts w:hint="eastAsia"/>
                      <w:color w:val="auto"/>
                      <w:sz w:val="21"/>
                      <w:szCs w:val="21"/>
                      <w:lang w:eastAsia="zh-CN"/>
                    </w:rPr>
                    <w:t>。</w:t>
                  </w:r>
                </w:p>
              </w:tc>
            </w:tr>
          </w:tbl>
          <w:p w14:paraId="671865B4">
            <w:pPr>
              <w:adjustRightInd w:val="0"/>
              <w:snapToGrid w:val="0"/>
              <w:spacing w:before="120" w:beforeLines="50" w:line="360" w:lineRule="auto"/>
              <w:ind w:firstLine="480"/>
              <w:rPr>
                <w:color w:val="auto"/>
              </w:rPr>
            </w:pPr>
            <w:r>
              <w:rPr>
                <w:rFonts w:hint="eastAsia"/>
                <w:color w:val="auto"/>
              </w:rPr>
              <w:t>由表1-</w:t>
            </w:r>
            <w:r>
              <w:rPr>
                <w:rFonts w:hint="eastAsia"/>
                <w:color w:val="auto"/>
                <w:lang w:val="en-US" w:eastAsia="zh-CN"/>
              </w:rPr>
              <w:t>4</w:t>
            </w:r>
            <w:r>
              <w:rPr>
                <w:rFonts w:hint="eastAsia"/>
                <w:color w:val="auto"/>
              </w:rPr>
              <w:t>可知，本项目符合《宿迁市“三线一单”生态环境分区管控实施方案》（宿环发〔2020〕78号）</w:t>
            </w:r>
            <w:r>
              <w:rPr>
                <w:rFonts w:hint="eastAsia"/>
                <w:color w:val="auto"/>
                <w:lang w:eastAsia="zh-CN"/>
              </w:rPr>
              <w:t>文件</w:t>
            </w:r>
            <w:r>
              <w:rPr>
                <w:rFonts w:hint="eastAsia"/>
                <w:color w:val="auto"/>
              </w:rPr>
              <w:t>的相关管控要求。</w:t>
            </w:r>
          </w:p>
          <w:p w14:paraId="563AC162">
            <w:pPr>
              <w:pStyle w:val="15"/>
              <w:numPr>
                <w:ilvl w:val="0"/>
                <w:numId w:val="0"/>
              </w:numPr>
              <w:adjustRightInd w:val="0"/>
              <w:snapToGrid w:val="0"/>
              <w:spacing w:line="360" w:lineRule="auto"/>
              <w:ind w:firstLine="482" w:firstLineChars="200"/>
              <w:rPr>
                <w:b/>
                <w:bCs/>
                <w:color w:val="auto"/>
              </w:rPr>
            </w:pPr>
            <w:r>
              <w:rPr>
                <w:rFonts w:hint="eastAsia"/>
                <w:b/>
                <w:bCs/>
                <w:color w:val="auto"/>
              </w:rPr>
              <w:t>②与江苏省2023年度生态环境分区管控动态更新成果公告相符性分析</w:t>
            </w:r>
          </w:p>
          <w:p w14:paraId="44EF6A7E">
            <w:pPr>
              <w:pStyle w:val="15"/>
              <w:numPr>
                <w:ilvl w:val="0"/>
                <w:numId w:val="0"/>
              </w:numPr>
              <w:adjustRightInd w:val="0"/>
              <w:snapToGrid w:val="0"/>
              <w:spacing w:line="360" w:lineRule="auto"/>
              <w:ind w:firstLine="480" w:firstLineChars="200"/>
              <w:rPr>
                <w:color w:val="auto"/>
              </w:rPr>
            </w:pPr>
            <w:r>
              <w:rPr>
                <w:rFonts w:hint="eastAsia"/>
                <w:color w:val="auto"/>
              </w:rPr>
              <w:t>对照江苏省2023年度生态环境分区管控动态更新成果公告，</w:t>
            </w:r>
            <w:r>
              <w:rPr>
                <w:color w:val="auto"/>
              </w:rPr>
              <w:t>本项目位于</w:t>
            </w:r>
            <w:r>
              <w:rPr>
                <w:rFonts w:hint="eastAsia" w:cs="Times New Roman"/>
                <w:color w:val="auto"/>
                <w:kern w:val="0"/>
                <w:sz w:val="24"/>
                <w:szCs w:val="24"/>
                <w:lang w:val="en-US" w:eastAsia="zh-CN"/>
              </w:rPr>
              <w:t>宿迁市泗阳县新袁镇仁和路东侧、新河路南侧（3）2#厂房</w:t>
            </w:r>
            <w:r>
              <w:rPr>
                <w:rFonts w:hint="eastAsia"/>
                <w:color w:val="auto"/>
              </w:rPr>
              <w:t>，在</w:t>
            </w:r>
            <w:r>
              <w:rPr>
                <w:color w:val="auto"/>
              </w:rPr>
              <w:t>新袁镇工业集聚区范围内</w:t>
            </w:r>
            <w:r>
              <w:rPr>
                <w:rFonts w:hint="eastAsia"/>
                <w:color w:val="auto"/>
              </w:rPr>
              <w:t>，与公告要求相符性分析见表1-5。</w:t>
            </w:r>
          </w:p>
          <w:p w14:paraId="459CCFBA">
            <w:pPr>
              <w:pStyle w:val="14"/>
              <w:adjustRightInd w:val="0"/>
              <w:spacing w:before="0" w:after="0" w:line="240" w:lineRule="auto"/>
              <w:ind w:right="0"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w:t>
            </w: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rPr>
              <w:t>与江苏省2023年度生态环境分区管控动态更新成果公告相符性分析一览表</w:t>
            </w:r>
          </w:p>
          <w:tbl>
            <w:tblPr>
              <w:tblStyle w:val="3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4112"/>
              <w:gridCol w:w="3197"/>
              <w:gridCol w:w="901"/>
            </w:tblGrid>
            <w:tr w14:paraId="668ADE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53" w:hRule="atLeast"/>
              </w:trPr>
              <w:tc>
                <w:tcPr>
                  <w:tcW w:w="424" w:type="pct"/>
                  <w:vAlign w:val="center"/>
                </w:tcPr>
                <w:p w14:paraId="67A6843F">
                  <w:pPr>
                    <w:pStyle w:val="15"/>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管控类别</w:t>
                  </w:r>
                </w:p>
              </w:tc>
              <w:tc>
                <w:tcPr>
                  <w:tcW w:w="2291" w:type="pct"/>
                  <w:vAlign w:val="center"/>
                </w:tcPr>
                <w:p w14:paraId="23ABAF3F">
                  <w:pPr>
                    <w:pStyle w:val="15"/>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重点管控要求</w:t>
                  </w:r>
                </w:p>
              </w:tc>
              <w:tc>
                <w:tcPr>
                  <w:tcW w:w="1781" w:type="pct"/>
                  <w:vAlign w:val="center"/>
                </w:tcPr>
                <w:p w14:paraId="460BE8B8">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本项目实际情况</w:t>
                  </w:r>
                </w:p>
              </w:tc>
              <w:tc>
                <w:tcPr>
                  <w:tcW w:w="502" w:type="pct"/>
                  <w:vAlign w:val="center"/>
                </w:tcPr>
                <w:p w14:paraId="0A8478A4">
                  <w:pPr>
                    <w:pStyle w:val="15"/>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相符性分析</w:t>
                  </w:r>
                </w:p>
              </w:tc>
            </w:tr>
            <w:tr w14:paraId="6547F2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14:paraId="4A402979">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空间布局约束</w:t>
                  </w:r>
                </w:p>
              </w:tc>
              <w:tc>
                <w:tcPr>
                  <w:tcW w:w="2291" w:type="pct"/>
                  <w:vAlign w:val="center"/>
                </w:tcPr>
                <w:p w14:paraId="43506A9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i w:val="0"/>
                      <w:iCs w:val="0"/>
                      <w:caps w:val="0"/>
                      <w:color w:val="auto"/>
                      <w:spacing w:val="0"/>
                      <w:kern w:val="0"/>
                      <w:sz w:val="21"/>
                      <w:szCs w:val="21"/>
                      <w:lang w:val="en-US" w:eastAsia="zh-CN" w:bidi="ar"/>
                    </w:rPr>
                    <w:t>一、产业定位：化纤织造、机械加工、食品饮料（不含发酵）及其他无污染和低污染项目。二、优先引入类项目：1、科技含量高、产品附加值高的项目；2、符合园区产业定位且属于《产业结构调整指导目录（2019年本）》（2021年修订）、《鼓励外商投资产业目录（2022年版）</w:t>
                  </w:r>
                  <w:r>
                    <w:rPr>
                      <w:rFonts w:hint="eastAsia" w:cs="Times New Roman"/>
                      <w:b w:val="0"/>
                      <w:bCs w:val="0"/>
                      <w:i w:val="0"/>
                      <w:iCs w:val="0"/>
                      <w:caps w:val="0"/>
                      <w:color w:val="auto"/>
                      <w:spacing w:val="0"/>
                      <w:kern w:val="0"/>
                      <w:sz w:val="21"/>
                      <w:szCs w:val="21"/>
                      <w:lang w:val="en-US" w:eastAsia="zh-CN" w:bidi="ar"/>
                    </w:rPr>
                    <w:t>》《</w:t>
                  </w:r>
                  <w:r>
                    <w:rPr>
                      <w:rFonts w:hint="default" w:ascii="Times New Roman" w:hAnsi="Times New Roman" w:eastAsia="宋体" w:cs="Times New Roman"/>
                      <w:b w:val="0"/>
                      <w:bCs w:val="0"/>
                      <w:i w:val="0"/>
                      <w:iCs w:val="0"/>
                      <w:caps w:val="0"/>
                      <w:color w:val="auto"/>
                      <w:spacing w:val="0"/>
                      <w:kern w:val="0"/>
                      <w:sz w:val="21"/>
                      <w:szCs w:val="21"/>
                      <w:lang w:val="en-US" w:eastAsia="zh-CN" w:bidi="ar"/>
                    </w:rPr>
                    <w:t>产业发展与转移指导目录（2018年本）》中的鼓励类或者优先承接发展的产业项目；3、鼓励依托园区内主导产业发展上下游关联度强、技术水平高、绿色安全环保的项目，进一步补链、强链、延链；4、拟采用的生产工艺、污染治理技术、清洁生产水平达到国际先进水平的项目。三、禁止引入类项目：1、污染严重的与园区主导产业不相符项目。2、新建产生或排放放射性物质的项目。3、新建废水含难降解有机物或工艺废气中含三致、有毒有害物质无法达标排放的项目。4、新建产生的危险废物无法妥善处置的项目。5、新建环境保护综合名录所列高污染、高环境风险产品生产的项目。6、新建对规划区外</w:t>
                  </w:r>
                  <w:r>
                    <w:rPr>
                      <w:rFonts w:hint="eastAsia" w:cs="Times New Roman"/>
                      <w:b w:val="0"/>
                      <w:bCs w:val="0"/>
                      <w:i w:val="0"/>
                      <w:iCs w:val="0"/>
                      <w:caps w:val="0"/>
                      <w:color w:val="auto"/>
                      <w:spacing w:val="0"/>
                      <w:kern w:val="0"/>
                      <w:sz w:val="21"/>
                      <w:szCs w:val="21"/>
                      <w:lang w:val="en-US" w:eastAsia="zh-CN" w:bidi="ar"/>
                    </w:rPr>
                    <w:t>生态保护红线</w:t>
                  </w:r>
                  <w:r>
                    <w:rPr>
                      <w:rFonts w:hint="default" w:ascii="Times New Roman" w:hAnsi="Times New Roman" w:eastAsia="宋体" w:cs="Times New Roman"/>
                      <w:b w:val="0"/>
                      <w:bCs w:val="0"/>
                      <w:i w:val="0"/>
                      <w:iCs w:val="0"/>
                      <w:caps w:val="0"/>
                      <w:color w:val="auto"/>
                      <w:spacing w:val="0"/>
                      <w:kern w:val="0"/>
                      <w:sz w:val="21"/>
                      <w:szCs w:val="21"/>
                      <w:lang w:val="en-US" w:eastAsia="zh-CN" w:bidi="ar"/>
                    </w:rPr>
                    <w:t>区域产生明显不良环境和生态影响的项目。7、建设生产和使用不符合《胶粘剂挥发性有机化合物限量》（GB33372-2020）、《油墨中可挥发性有机化合物（VOCs）含量的限值》（GB380507-2020）、《低挥发性有机化合物含量涂料产品技术要求》（GB/T38597-2020）等相关文件要求的高VOCs含量溶剂型涂料、油墨、胶粘剂等项目。8、新建、扩建燃用高污染燃料的项目和设施，已建成的应逐步或依法限期改用天然气、电或者其他清洁能源。采用落后的生产工艺或生产设备，高水耗、高物耗、高能耗，清洁生产低于国家清洁生产先进水平或行业先进水平的项目。9、涉及《危险化学品目录》所列剧毒物质排放的项目。10、新建、改扩建产生高污染印染废水排放的化纤织造项目。四、限制引入类项目：限制引入《产业结构调整指导目录（2019年本）》（2021年修订）中的化纤制造、机械加工、食品饮料行业限制类项目。</w:t>
                  </w:r>
                </w:p>
              </w:tc>
              <w:tc>
                <w:tcPr>
                  <w:tcW w:w="1781" w:type="pct"/>
                  <w:shd w:val="clear" w:color="auto" w:fill="auto"/>
                  <w:vAlign w:val="center"/>
                </w:tcPr>
                <w:p w14:paraId="22E61147">
                  <w:pPr>
                    <w:keepNext w:val="0"/>
                    <w:keepLines w:val="0"/>
                    <w:pageBreakBefore w:val="0"/>
                    <w:kinsoku/>
                    <w:wordWrap/>
                    <w:overflowPunct/>
                    <w:topLinePunct w:val="0"/>
                    <w:bidi w:val="0"/>
                    <w:adjustRightInd w:val="0"/>
                    <w:snapToGrid w:val="0"/>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本项目位于</w:t>
                  </w:r>
                  <w:r>
                    <w:rPr>
                      <w:rFonts w:hint="eastAsia"/>
                      <w:color w:val="auto"/>
                      <w:sz w:val="21"/>
                      <w:szCs w:val="21"/>
                      <w:lang w:eastAsia="zh-CN"/>
                    </w:rPr>
                    <w:t>宿迁市泗阳县新袁镇仁和路东侧、新河路南侧（3）2#厂房</w:t>
                  </w:r>
                  <w:r>
                    <w:rPr>
                      <w:rFonts w:hint="eastAsia"/>
                      <w:color w:val="auto"/>
                      <w:sz w:val="21"/>
                      <w:szCs w:val="21"/>
                    </w:rPr>
                    <w:t>，在新袁镇工业园区规划范围内。</w:t>
                  </w:r>
                  <w:r>
                    <w:rPr>
                      <w:color w:val="auto"/>
                      <w:sz w:val="21"/>
                      <w:szCs w:val="21"/>
                    </w:rPr>
                    <w:t>本项目为</w:t>
                  </w:r>
                  <w:r>
                    <w:rPr>
                      <w:rFonts w:hint="eastAsia"/>
                      <w:color w:val="auto"/>
                      <w:sz w:val="21"/>
                      <w:szCs w:val="21"/>
                      <w:lang w:val="en-US" w:eastAsia="zh-CN"/>
                    </w:rPr>
                    <w:t>化纤织造项目</w:t>
                  </w:r>
                  <w:r>
                    <w:rPr>
                      <w:color w:val="auto"/>
                      <w:sz w:val="21"/>
                      <w:szCs w:val="21"/>
                    </w:rPr>
                    <w:t>，</w:t>
                  </w:r>
                  <w:r>
                    <w:rPr>
                      <w:rFonts w:hint="eastAsia"/>
                      <w:color w:val="auto"/>
                      <w:sz w:val="21"/>
                      <w:szCs w:val="21"/>
                      <w:lang w:val="en-US" w:eastAsia="zh-CN"/>
                    </w:rPr>
                    <w:t>属于园区主导产业定位，</w:t>
                  </w:r>
                  <w:r>
                    <w:rPr>
                      <w:rFonts w:hint="eastAsia"/>
                      <w:color w:val="auto"/>
                      <w:sz w:val="21"/>
                      <w:szCs w:val="21"/>
                    </w:rPr>
                    <w:t>符合园区的产业定位要求</w:t>
                  </w:r>
                  <w:r>
                    <w:rPr>
                      <w:color w:val="auto"/>
                      <w:sz w:val="21"/>
                      <w:szCs w:val="21"/>
                    </w:rPr>
                    <w:t>。</w:t>
                  </w:r>
                </w:p>
              </w:tc>
              <w:tc>
                <w:tcPr>
                  <w:tcW w:w="502" w:type="pct"/>
                  <w:vAlign w:val="center"/>
                </w:tcPr>
                <w:p w14:paraId="334637AE">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r w14:paraId="346F83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14:paraId="3EAE1211">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2291" w:type="pct"/>
                  <w:vAlign w:val="center"/>
                </w:tcPr>
                <w:p w14:paraId="746735C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auto"/>
                    <w:rPr>
                      <w:rFonts w:hint="default" w:ascii="Times New Roman" w:hAnsi="Times New Roman" w:eastAsia="宋体" w:cs="Times New Roman"/>
                      <w:b w:val="0"/>
                      <w:bCs w:val="0"/>
                      <w:i w:val="0"/>
                      <w:iCs w:val="0"/>
                      <w:caps w:val="0"/>
                      <w:color w:val="auto"/>
                      <w:spacing w:val="0"/>
                      <w:sz w:val="21"/>
                      <w:szCs w:val="21"/>
                    </w:rPr>
                  </w:pPr>
                  <w:r>
                    <w:rPr>
                      <w:rFonts w:hint="eastAsia" w:cs="Times New Roman"/>
                      <w:b w:val="0"/>
                      <w:bCs w:val="0"/>
                      <w:i w:val="0"/>
                      <w:iCs w:val="0"/>
                      <w:caps w:val="0"/>
                      <w:color w:val="auto"/>
                      <w:spacing w:val="0"/>
                      <w:kern w:val="0"/>
                      <w:sz w:val="21"/>
                      <w:szCs w:val="21"/>
                      <w:lang w:val="en-US" w:eastAsia="zh-CN" w:bidi="ar"/>
                    </w:rPr>
                    <w:t>1.</w:t>
                  </w:r>
                  <w:r>
                    <w:rPr>
                      <w:rFonts w:hint="default" w:ascii="Times New Roman" w:hAnsi="Times New Roman" w:eastAsia="宋体" w:cs="Times New Roman"/>
                      <w:b w:val="0"/>
                      <w:bCs w:val="0"/>
                      <w:i w:val="0"/>
                      <w:iCs w:val="0"/>
                      <w:caps w:val="0"/>
                      <w:color w:val="auto"/>
                      <w:spacing w:val="0"/>
                      <w:kern w:val="0"/>
                      <w:sz w:val="21"/>
                      <w:szCs w:val="21"/>
                      <w:lang w:val="en-US" w:eastAsia="zh-CN" w:bidi="ar"/>
                    </w:rPr>
                    <w:t>严格实施污染物总量控制制度，根据区域环境质量改善目标，采取有效措施减少主</w:t>
                  </w:r>
                  <w:r>
                    <w:rPr>
                      <w:rFonts w:hint="eastAsia" w:cs="Times New Roman"/>
                      <w:b w:val="0"/>
                      <w:bCs w:val="0"/>
                      <w:i w:val="0"/>
                      <w:iCs w:val="0"/>
                      <w:caps w:val="0"/>
                      <w:color w:val="auto"/>
                      <w:spacing w:val="0"/>
                      <w:kern w:val="0"/>
                      <w:sz w:val="21"/>
                      <w:szCs w:val="21"/>
                      <w:lang w:val="en-US" w:eastAsia="zh-CN" w:bidi="ar"/>
                    </w:rPr>
                    <w:t>要污</w:t>
                  </w:r>
                  <w:r>
                    <w:rPr>
                      <w:rFonts w:hint="default" w:ascii="Times New Roman" w:hAnsi="Times New Roman" w:eastAsia="宋体" w:cs="Times New Roman"/>
                      <w:b w:val="0"/>
                      <w:bCs w:val="0"/>
                      <w:i w:val="0"/>
                      <w:iCs w:val="0"/>
                      <w:caps w:val="0"/>
                      <w:color w:val="auto"/>
                      <w:spacing w:val="0"/>
                      <w:kern w:val="0"/>
                      <w:sz w:val="21"/>
                      <w:szCs w:val="21"/>
                      <w:lang w:val="en-US" w:eastAsia="zh-CN" w:bidi="ar"/>
                    </w:rPr>
                    <w:t>染物排放总量，确保区域环境质量持续改善。严格实施污染物总量控制制度，根据区域环境质量改善目标，采取有效措施减少主</w:t>
                  </w:r>
                  <w:r>
                    <w:rPr>
                      <w:rFonts w:hint="eastAsia" w:cs="Times New Roman"/>
                      <w:b w:val="0"/>
                      <w:bCs w:val="0"/>
                      <w:i w:val="0"/>
                      <w:iCs w:val="0"/>
                      <w:caps w:val="0"/>
                      <w:color w:val="auto"/>
                      <w:spacing w:val="0"/>
                      <w:kern w:val="0"/>
                      <w:sz w:val="21"/>
                      <w:szCs w:val="21"/>
                      <w:lang w:val="en-US" w:eastAsia="zh-CN" w:bidi="ar"/>
                    </w:rPr>
                    <w:t>要污</w:t>
                  </w:r>
                  <w:r>
                    <w:rPr>
                      <w:rFonts w:hint="default" w:ascii="Times New Roman" w:hAnsi="Times New Roman" w:eastAsia="宋体" w:cs="Times New Roman"/>
                      <w:b w:val="0"/>
                      <w:bCs w:val="0"/>
                      <w:i w:val="0"/>
                      <w:iCs w:val="0"/>
                      <w:caps w:val="0"/>
                      <w:color w:val="auto"/>
                      <w:spacing w:val="0"/>
                      <w:kern w:val="0"/>
                      <w:sz w:val="21"/>
                      <w:szCs w:val="21"/>
                      <w:lang w:val="en-US" w:eastAsia="zh-CN" w:bidi="ar"/>
                    </w:rPr>
                    <w:t>染物排放总量，确保区域环境质量持续改善。2、规划期末，园区大气污染物：SO2、NOx、颗粒物、非甲烷总烃排放量不得超过12.145吨/年、24.147吨/年、18.634吨/年、13.229吨/年。园区工业废水污染物（排放量）：废水量、COD、氨氮、总磷、总氮排放量不得超过910220吨/年、45.512吨/年、3.641吨/年、0.455吨/年、10.923吨/年。</w:t>
                  </w:r>
                </w:p>
                <w:p w14:paraId="0AE8CB17">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color w:val="auto"/>
                      <w:sz w:val="21"/>
                      <w:szCs w:val="21"/>
                    </w:rPr>
                  </w:pPr>
                </w:p>
              </w:tc>
              <w:tc>
                <w:tcPr>
                  <w:tcW w:w="1781" w:type="pct"/>
                  <w:vAlign w:val="center"/>
                </w:tcPr>
                <w:p w14:paraId="248F7479">
                  <w:pPr>
                    <w:pStyle w:val="1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本项目污染物排放情况如下：</w:t>
                  </w:r>
                </w:p>
                <w:p w14:paraId="0F8E3D20">
                  <w:pPr>
                    <w:pStyle w:val="19"/>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废气：</w:t>
                  </w:r>
                  <w:r>
                    <w:rPr>
                      <w:rFonts w:hint="default" w:ascii="Times New Roman" w:hAnsi="Times New Roman" w:eastAsia="宋体" w:cs="Times New Roman"/>
                      <w:bCs/>
                      <w:color w:val="auto"/>
                      <w:sz w:val="21"/>
                      <w:szCs w:val="21"/>
                      <w:lang w:val="en-US" w:eastAsia="zh-CN"/>
                    </w:rPr>
                    <w:t>VOCs（以非甲烷总烃表征）</w:t>
                  </w:r>
                  <w:r>
                    <w:rPr>
                      <w:rFonts w:hint="default" w:ascii="Times New Roman" w:hAnsi="Times New Roman" w:eastAsia="宋体" w:cs="Times New Roman"/>
                      <w:bCs/>
                      <w:color w:val="auto"/>
                      <w:sz w:val="21"/>
                      <w:szCs w:val="21"/>
                    </w:rPr>
                    <w:t>≤</w:t>
                  </w:r>
                  <w:r>
                    <w:rPr>
                      <w:rFonts w:hint="eastAsia" w:ascii="Times New Roman" w:hAnsi="Times New Roman" w:cs="Times New Roman"/>
                      <w:bCs/>
                      <w:color w:val="auto"/>
                      <w:sz w:val="21"/>
                      <w:szCs w:val="21"/>
                      <w:lang w:val="en-US" w:eastAsia="zh-CN"/>
                    </w:rPr>
                    <w:t>0.235</w:t>
                  </w:r>
                  <w:r>
                    <w:rPr>
                      <w:rFonts w:hint="default" w:ascii="Times New Roman" w:hAnsi="Times New Roman" w:eastAsia="宋体" w:cs="Times New Roman"/>
                      <w:bCs/>
                      <w:color w:val="auto"/>
                      <w:sz w:val="21"/>
                      <w:szCs w:val="21"/>
                    </w:rPr>
                    <w:t>t/a；</w:t>
                  </w:r>
                </w:p>
                <w:p w14:paraId="5989430A">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w:t>
                  </w:r>
                  <w:r>
                    <w:rPr>
                      <w:rFonts w:hint="default" w:ascii="Times New Roman" w:hAnsi="Times New Roman" w:eastAsia="宋体" w:cs="Times New Roman"/>
                      <w:bCs/>
                      <w:color w:val="auto"/>
                      <w:sz w:val="21"/>
                      <w:szCs w:val="21"/>
                      <w:lang w:val="en-US" w:eastAsia="zh-CN"/>
                    </w:rPr>
                    <w:t>VOCs（以非甲烷总烃表征）</w:t>
                  </w:r>
                  <w:r>
                    <w:rPr>
                      <w:rFonts w:hint="default" w:ascii="Times New Roman" w:hAnsi="Times New Roman" w:eastAsia="宋体" w:cs="Times New Roman"/>
                      <w:color w:val="auto"/>
                      <w:sz w:val="21"/>
                      <w:szCs w:val="21"/>
                    </w:rPr>
                    <w:t>排放总量从泗阳县总量库中进行平衡。</w:t>
                  </w:r>
                </w:p>
                <w:p w14:paraId="2D5984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废水：接管考核量：废水总量≤</w:t>
                  </w:r>
                  <w:r>
                    <w:rPr>
                      <w:rFonts w:hint="eastAsia" w:cs="Times New Roman"/>
                      <w:color w:val="auto"/>
                      <w:sz w:val="21"/>
                      <w:szCs w:val="21"/>
                      <w:lang w:val="en-US" w:eastAsia="zh-CN"/>
                    </w:rPr>
                    <w:t>60</w:t>
                  </w:r>
                  <w:r>
                    <w:rPr>
                      <w:rFonts w:hint="default" w:ascii="Times New Roman" w:hAnsi="Times New Roman" w:eastAsia="宋体" w:cs="Times New Roman"/>
                      <w:color w:val="auto"/>
                      <w:sz w:val="21"/>
                      <w:szCs w:val="21"/>
                    </w:rPr>
                    <w:t>0m³/a</w:t>
                  </w:r>
                  <w:r>
                    <w:rPr>
                      <w:rFonts w:hint="default" w:ascii="Times New Roman" w:hAnsi="Times New Roman" w:eastAsia="宋体" w:cs="Times New Roman"/>
                      <w:bCs/>
                      <w:color w:val="auto"/>
                      <w:sz w:val="21"/>
                      <w:szCs w:val="21"/>
                    </w:rPr>
                    <w:t>、COD≤</w:t>
                  </w:r>
                  <w:r>
                    <w:rPr>
                      <w:rFonts w:hint="eastAsia" w:cs="Times New Roman"/>
                      <w:bCs/>
                      <w:color w:val="auto"/>
                      <w:sz w:val="21"/>
                      <w:szCs w:val="21"/>
                      <w:lang w:val="en-US" w:eastAsia="zh-CN"/>
                    </w:rPr>
                    <w:t>0.168</w:t>
                  </w:r>
                  <w:r>
                    <w:rPr>
                      <w:rFonts w:hint="default" w:ascii="Times New Roman" w:hAnsi="Times New Roman" w:eastAsia="宋体" w:cs="Times New Roman"/>
                      <w:bCs/>
                      <w:color w:val="auto"/>
                      <w:sz w:val="21"/>
                      <w:szCs w:val="21"/>
                    </w:rPr>
                    <w:t>t/a、</w:t>
                  </w:r>
                  <w:r>
                    <w:rPr>
                      <w:rFonts w:hint="eastAsia" w:cs="Times New Roman"/>
                      <w:bCs/>
                      <w:color w:val="auto"/>
                      <w:sz w:val="21"/>
                      <w:szCs w:val="21"/>
                      <w:lang w:val="en-US" w:eastAsia="zh-CN"/>
                    </w:rPr>
                    <w:t>B</w:t>
                  </w:r>
                  <w:r>
                    <w:rPr>
                      <w:rFonts w:hint="default" w:ascii="Times New Roman" w:hAnsi="Times New Roman" w:eastAsia="宋体" w:cs="Times New Roman"/>
                      <w:bCs/>
                      <w:color w:val="auto"/>
                      <w:sz w:val="21"/>
                      <w:szCs w:val="21"/>
                    </w:rPr>
                    <w:t>OD</w:t>
                  </w:r>
                  <w:r>
                    <w:rPr>
                      <w:rFonts w:hint="eastAsia" w:cs="Times New Roman"/>
                      <w:bCs/>
                      <w:color w:val="auto"/>
                      <w:sz w:val="21"/>
                      <w:szCs w:val="21"/>
                      <w:vertAlign w:val="subscript"/>
                      <w:lang w:val="en-US" w:eastAsia="zh-CN"/>
                    </w:rPr>
                    <w:t>5</w:t>
                  </w:r>
                  <w:r>
                    <w:rPr>
                      <w:rFonts w:hint="default" w:ascii="Times New Roman" w:hAnsi="Times New Roman" w:eastAsia="宋体" w:cs="Times New Roman"/>
                      <w:bCs/>
                      <w:color w:val="auto"/>
                      <w:sz w:val="21"/>
                      <w:szCs w:val="21"/>
                    </w:rPr>
                    <w:t>≤</w:t>
                  </w:r>
                  <w:r>
                    <w:rPr>
                      <w:rFonts w:hint="eastAsia" w:cs="Times New Roman"/>
                      <w:bCs/>
                      <w:color w:val="auto"/>
                      <w:sz w:val="21"/>
                      <w:szCs w:val="21"/>
                      <w:lang w:val="en-US" w:eastAsia="zh-CN"/>
                    </w:rPr>
                    <w:t>0.096</w:t>
                  </w:r>
                  <w:r>
                    <w:rPr>
                      <w:rFonts w:hint="default" w:ascii="Times New Roman" w:hAnsi="Times New Roman" w:eastAsia="宋体" w:cs="Times New Roman"/>
                      <w:bCs/>
                      <w:color w:val="auto"/>
                      <w:sz w:val="21"/>
                      <w:szCs w:val="21"/>
                    </w:rPr>
                    <w:t>t/a</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SS≤</w:t>
                  </w:r>
                  <w:r>
                    <w:rPr>
                      <w:rFonts w:hint="default" w:ascii="Times New Roman" w:hAnsi="Times New Roman" w:eastAsia="宋体" w:cs="Times New Roman"/>
                      <w:color w:val="auto"/>
                      <w:sz w:val="21"/>
                      <w:szCs w:val="21"/>
                    </w:rPr>
                    <w:t>0.</w:t>
                  </w:r>
                  <w:r>
                    <w:rPr>
                      <w:rFonts w:hint="eastAsia" w:cs="Times New Roman"/>
                      <w:color w:val="auto"/>
                      <w:sz w:val="21"/>
                      <w:szCs w:val="21"/>
                      <w:lang w:val="en-US" w:eastAsia="zh-CN"/>
                    </w:rPr>
                    <w:t>096</w:t>
                  </w:r>
                  <w:r>
                    <w:rPr>
                      <w:rFonts w:hint="default" w:ascii="Times New Roman" w:hAnsi="Times New Roman" w:eastAsia="宋体" w:cs="Times New Roman"/>
                      <w:bCs/>
                      <w:color w:val="auto"/>
                      <w:sz w:val="21"/>
                      <w:szCs w:val="21"/>
                    </w:rPr>
                    <w:t>t/a、氨氮≤</w:t>
                  </w:r>
                  <w:r>
                    <w:rPr>
                      <w:rFonts w:hint="default" w:ascii="Times New Roman" w:hAnsi="Times New Roman" w:eastAsia="宋体" w:cs="Times New Roman"/>
                      <w:color w:val="auto"/>
                      <w:sz w:val="21"/>
                      <w:szCs w:val="21"/>
                    </w:rPr>
                    <w:t>0.</w:t>
                  </w:r>
                  <w:r>
                    <w:rPr>
                      <w:rFonts w:hint="eastAsia" w:cs="Times New Roman"/>
                      <w:color w:val="auto"/>
                      <w:sz w:val="21"/>
                      <w:szCs w:val="21"/>
                      <w:lang w:val="en-US" w:eastAsia="zh-CN"/>
                    </w:rPr>
                    <w:t>018</w:t>
                  </w:r>
                  <w:r>
                    <w:rPr>
                      <w:rFonts w:hint="default" w:ascii="Times New Roman" w:hAnsi="Times New Roman" w:eastAsia="宋体" w:cs="Times New Roman"/>
                      <w:bCs/>
                      <w:color w:val="auto"/>
                      <w:sz w:val="21"/>
                      <w:szCs w:val="21"/>
                    </w:rPr>
                    <w:t>t/a、总氮≤</w:t>
                  </w:r>
                  <w:r>
                    <w:rPr>
                      <w:rFonts w:hint="eastAsia" w:cs="Times New Roman"/>
                      <w:color w:val="auto"/>
                      <w:sz w:val="21"/>
                      <w:szCs w:val="21"/>
                      <w:lang w:val="en-US" w:eastAsia="zh-CN"/>
                    </w:rPr>
                    <w:t>0.024</w:t>
                  </w:r>
                  <w:r>
                    <w:rPr>
                      <w:rFonts w:hint="default" w:ascii="Times New Roman" w:hAnsi="Times New Roman" w:eastAsia="宋体" w:cs="Times New Roman"/>
                      <w:bCs/>
                      <w:color w:val="auto"/>
                      <w:sz w:val="21"/>
                      <w:szCs w:val="21"/>
                    </w:rPr>
                    <w:t>t/a、总磷≤0.</w:t>
                  </w:r>
                  <w:r>
                    <w:rPr>
                      <w:rFonts w:hint="eastAsia" w:cs="Times New Roman"/>
                      <w:bCs/>
                      <w:color w:val="auto"/>
                      <w:sz w:val="21"/>
                      <w:szCs w:val="21"/>
                      <w:lang w:val="en-US" w:eastAsia="zh-CN"/>
                    </w:rPr>
                    <w:t>0012</w:t>
                  </w:r>
                  <w:r>
                    <w:rPr>
                      <w:rFonts w:hint="default" w:ascii="Times New Roman" w:hAnsi="Times New Roman" w:eastAsia="宋体" w:cs="Times New Roman"/>
                      <w:bCs/>
                      <w:color w:val="auto"/>
                      <w:sz w:val="21"/>
                      <w:szCs w:val="21"/>
                    </w:rPr>
                    <w:t>t/a；进入环境量：废水总量≤</w:t>
                  </w:r>
                  <w:r>
                    <w:rPr>
                      <w:rFonts w:hint="eastAsia" w:cs="Times New Roman"/>
                      <w:color w:val="auto"/>
                      <w:sz w:val="21"/>
                      <w:szCs w:val="21"/>
                      <w:lang w:val="en-US" w:eastAsia="zh-CN"/>
                    </w:rPr>
                    <w:t>60</w:t>
                  </w:r>
                  <w:r>
                    <w:rPr>
                      <w:rFonts w:hint="default" w:ascii="Times New Roman" w:hAnsi="Times New Roman" w:eastAsia="宋体" w:cs="Times New Roman"/>
                      <w:color w:val="auto"/>
                      <w:sz w:val="21"/>
                      <w:szCs w:val="21"/>
                    </w:rPr>
                    <w:t>0m³/a</w:t>
                  </w:r>
                  <w:r>
                    <w:rPr>
                      <w:rFonts w:hint="default" w:ascii="Times New Roman" w:hAnsi="Times New Roman" w:eastAsia="宋体" w:cs="Times New Roman"/>
                      <w:bCs/>
                      <w:color w:val="auto"/>
                      <w:sz w:val="21"/>
                      <w:szCs w:val="21"/>
                    </w:rPr>
                    <w:t>、COD≤</w:t>
                  </w:r>
                  <w:r>
                    <w:rPr>
                      <w:rFonts w:hint="eastAsia" w:cs="Times New Roman"/>
                      <w:bCs/>
                      <w:color w:val="auto"/>
                      <w:sz w:val="21"/>
                      <w:szCs w:val="21"/>
                      <w:lang w:val="en-US" w:eastAsia="zh-CN"/>
                    </w:rPr>
                    <w:t>0.03</w:t>
                  </w:r>
                  <w:r>
                    <w:rPr>
                      <w:rFonts w:hint="default" w:ascii="Times New Roman" w:hAnsi="Times New Roman" w:eastAsia="宋体" w:cs="Times New Roman"/>
                      <w:bCs/>
                      <w:color w:val="auto"/>
                      <w:sz w:val="21"/>
                      <w:szCs w:val="21"/>
                    </w:rPr>
                    <w:t>t/a、</w:t>
                  </w:r>
                  <w:r>
                    <w:rPr>
                      <w:rFonts w:hint="eastAsia" w:cs="Times New Roman"/>
                      <w:bCs/>
                      <w:color w:val="auto"/>
                      <w:sz w:val="21"/>
                      <w:szCs w:val="21"/>
                      <w:lang w:val="en-US" w:eastAsia="zh-CN"/>
                    </w:rPr>
                    <w:t>B</w:t>
                  </w:r>
                  <w:r>
                    <w:rPr>
                      <w:rFonts w:hint="default" w:ascii="Times New Roman" w:hAnsi="Times New Roman" w:eastAsia="宋体" w:cs="Times New Roman"/>
                      <w:bCs/>
                      <w:color w:val="auto"/>
                      <w:sz w:val="21"/>
                      <w:szCs w:val="21"/>
                    </w:rPr>
                    <w:t>OD</w:t>
                  </w:r>
                  <w:r>
                    <w:rPr>
                      <w:rFonts w:hint="eastAsia" w:cs="Times New Roman"/>
                      <w:bCs/>
                      <w:color w:val="auto"/>
                      <w:sz w:val="21"/>
                      <w:szCs w:val="21"/>
                      <w:vertAlign w:val="subscript"/>
                      <w:lang w:val="en-US" w:eastAsia="zh-CN"/>
                    </w:rPr>
                    <w:t>5</w:t>
                  </w:r>
                  <w:r>
                    <w:rPr>
                      <w:rFonts w:hint="default" w:ascii="Times New Roman" w:hAnsi="Times New Roman" w:eastAsia="宋体" w:cs="Times New Roman"/>
                      <w:bCs/>
                      <w:color w:val="auto"/>
                      <w:sz w:val="21"/>
                      <w:szCs w:val="21"/>
                    </w:rPr>
                    <w:t>≤</w:t>
                  </w:r>
                  <w:r>
                    <w:rPr>
                      <w:rFonts w:hint="eastAsia" w:cs="Times New Roman"/>
                      <w:bCs/>
                      <w:color w:val="auto"/>
                      <w:sz w:val="21"/>
                      <w:szCs w:val="21"/>
                      <w:lang w:val="en-US" w:eastAsia="zh-CN"/>
                    </w:rPr>
                    <w:t>0.006</w:t>
                  </w:r>
                  <w:r>
                    <w:rPr>
                      <w:rFonts w:hint="default" w:ascii="Times New Roman" w:hAnsi="Times New Roman" w:eastAsia="宋体" w:cs="Times New Roman"/>
                      <w:bCs/>
                      <w:color w:val="auto"/>
                      <w:sz w:val="21"/>
                      <w:szCs w:val="21"/>
                    </w:rPr>
                    <w:t>t/a</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SS≤</w:t>
                  </w:r>
                  <w:r>
                    <w:rPr>
                      <w:rFonts w:hint="eastAsia" w:cs="Times New Roman"/>
                      <w:color w:val="auto"/>
                      <w:sz w:val="21"/>
                      <w:szCs w:val="21"/>
                      <w:lang w:val="en-US" w:eastAsia="zh-CN"/>
                    </w:rPr>
                    <w:t>0.006</w:t>
                  </w:r>
                  <w:r>
                    <w:rPr>
                      <w:rFonts w:hint="default" w:ascii="Times New Roman" w:hAnsi="Times New Roman" w:eastAsia="宋体" w:cs="Times New Roman"/>
                      <w:bCs/>
                      <w:color w:val="auto"/>
                      <w:sz w:val="21"/>
                      <w:szCs w:val="21"/>
                    </w:rPr>
                    <w:t>t/a、氨氮≤</w:t>
                  </w:r>
                  <w:r>
                    <w:rPr>
                      <w:rFonts w:hint="eastAsia" w:cs="Times New Roman"/>
                      <w:color w:val="auto"/>
                      <w:sz w:val="21"/>
                      <w:szCs w:val="21"/>
                      <w:lang w:val="en-US" w:eastAsia="zh-CN"/>
                    </w:rPr>
                    <w:t>0.003</w:t>
                  </w:r>
                  <w:r>
                    <w:rPr>
                      <w:rFonts w:hint="default" w:ascii="Times New Roman" w:hAnsi="Times New Roman" w:eastAsia="宋体" w:cs="Times New Roman"/>
                      <w:bCs/>
                      <w:color w:val="auto"/>
                      <w:sz w:val="21"/>
                      <w:szCs w:val="21"/>
                    </w:rPr>
                    <w:t>t/a、总氮≤</w:t>
                  </w:r>
                  <w:r>
                    <w:rPr>
                      <w:rFonts w:hint="eastAsia" w:cs="Times New Roman"/>
                      <w:color w:val="auto"/>
                      <w:sz w:val="21"/>
                      <w:szCs w:val="21"/>
                      <w:lang w:val="en-US" w:eastAsia="zh-CN"/>
                    </w:rPr>
                    <w:t>0.009</w:t>
                  </w:r>
                  <w:r>
                    <w:rPr>
                      <w:rFonts w:hint="default" w:ascii="Times New Roman" w:hAnsi="Times New Roman" w:eastAsia="宋体" w:cs="Times New Roman"/>
                      <w:bCs/>
                      <w:color w:val="auto"/>
                      <w:sz w:val="21"/>
                      <w:szCs w:val="21"/>
                    </w:rPr>
                    <w:t>t/a、总磷≤0</w:t>
                  </w:r>
                  <w:r>
                    <w:rPr>
                      <w:rFonts w:hint="eastAsia" w:cs="Times New Roman"/>
                      <w:bCs/>
                      <w:color w:val="auto"/>
                      <w:sz w:val="21"/>
                      <w:szCs w:val="21"/>
                      <w:lang w:val="en-US" w:eastAsia="zh-CN"/>
                    </w:rPr>
                    <w:t>.0003</w:t>
                  </w:r>
                  <w:r>
                    <w:rPr>
                      <w:rFonts w:hint="default" w:ascii="Times New Roman" w:hAnsi="Times New Roman" w:eastAsia="宋体" w:cs="Times New Roman"/>
                      <w:bCs/>
                      <w:color w:val="auto"/>
                      <w:sz w:val="21"/>
                      <w:szCs w:val="21"/>
                    </w:rPr>
                    <w:t>t/a；</w:t>
                  </w:r>
                </w:p>
                <w:p w14:paraId="3B131E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固废：零排放。</w:t>
                  </w:r>
                </w:p>
              </w:tc>
              <w:tc>
                <w:tcPr>
                  <w:tcW w:w="502" w:type="pct"/>
                  <w:vAlign w:val="center"/>
                </w:tcPr>
                <w:p w14:paraId="6B914691">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r w14:paraId="5CC33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24" w:type="pct"/>
                  <w:vAlign w:val="center"/>
                </w:tcPr>
                <w:p w14:paraId="56341BE7">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2291" w:type="pct"/>
                  <w:vAlign w:val="center"/>
                </w:tcPr>
                <w:p w14:paraId="15352F0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auto"/>
                    <w:rPr>
                      <w:rFonts w:hint="default" w:ascii="Times New Roman" w:hAnsi="Times New Roman" w:eastAsia="宋体" w:cs="Times New Roman"/>
                      <w:color w:val="auto"/>
                      <w:sz w:val="24"/>
                      <w:szCs w:val="24"/>
                    </w:rPr>
                  </w:pPr>
                  <w:r>
                    <w:rPr>
                      <w:rFonts w:hint="eastAsia" w:cs="Times New Roman"/>
                      <w:b w:val="0"/>
                      <w:bCs w:val="0"/>
                      <w:i w:val="0"/>
                      <w:iCs w:val="0"/>
                      <w:caps w:val="0"/>
                      <w:color w:val="auto"/>
                      <w:spacing w:val="0"/>
                      <w:kern w:val="0"/>
                      <w:sz w:val="21"/>
                      <w:szCs w:val="21"/>
                      <w:lang w:val="en-US" w:eastAsia="zh-CN" w:bidi="ar"/>
                    </w:rPr>
                    <w:t>1.</w:t>
                  </w:r>
                  <w:r>
                    <w:rPr>
                      <w:rFonts w:hint="default" w:ascii="Times New Roman" w:hAnsi="Times New Roman" w:eastAsia="宋体" w:cs="Times New Roman"/>
                      <w:b w:val="0"/>
                      <w:bCs w:val="0"/>
                      <w:i w:val="0"/>
                      <w:iCs w:val="0"/>
                      <w:caps w:val="0"/>
                      <w:color w:val="auto"/>
                      <w:spacing w:val="0"/>
                      <w:kern w:val="0"/>
                      <w:sz w:val="21"/>
                      <w:szCs w:val="21"/>
                      <w:lang w:val="en-US" w:eastAsia="zh-CN" w:bidi="ar"/>
                    </w:rPr>
                    <w:t>园区建立环境应急体系，完善事故应急救援体系加强应急物资装备储备，修编突发环境事件应急预案，定期开展演练。2、生产、使用、储存危险化学品或其他存在环境风险的企事业单位，应当制定风险防范措施，编制完善突发环境事件应急预案，防止发生环境污染事故。3、加强环境影响跟踪监测，建立健全各环境要素监控体系，完善并落实园区日常环境监测与污染源监控计划</w:t>
                  </w:r>
                </w:p>
              </w:tc>
              <w:tc>
                <w:tcPr>
                  <w:tcW w:w="1781" w:type="pct"/>
                  <w:vAlign w:val="center"/>
                </w:tcPr>
                <w:p w14:paraId="76A97230">
                  <w:pPr>
                    <w:pStyle w:val="15"/>
                    <w:numPr>
                      <w:ilvl w:val="0"/>
                      <w:numId w:val="0"/>
                    </w:numPr>
                    <w:adjustRightInd w:val="0"/>
                    <w:snapToGrid w:val="0"/>
                    <w:spacing w:line="240" w:lineRule="auto"/>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项目</w:t>
                  </w:r>
                  <w:r>
                    <w:rPr>
                      <w:rFonts w:hint="eastAsia" w:ascii="Times New Roman" w:hAnsi="Times New Roman" w:eastAsia="宋体" w:cs="Times New Roman"/>
                      <w:color w:val="auto"/>
                      <w:sz w:val="21"/>
                      <w:szCs w:val="21"/>
                      <w:lang w:val="en-US" w:eastAsia="zh-CN"/>
                    </w:rPr>
                    <w:t>将</w:t>
                  </w:r>
                  <w:r>
                    <w:rPr>
                      <w:rFonts w:hint="default" w:ascii="Times New Roman" w:hAnsi="Times New Roman" w:eastAsia="宋体" w:cs="Times New Roman"/>
                      <w:color w:val="auto"/>
                      <w:sz w:val="21"/>
                      <w:szCs w:val="21"/>
                    </w:rPr>
                    <w:t>制定并落实园区建设项目环境风险防范措施，并定期演练，防止和减轻事故危害</w:t>
                  </w:r>
                  <w:r>
                    <w:rPr>
                      <w:rFonts w:hint="eastAsia" w:cs="Times New Roman"/>
                      <w:color w:val="auto"/>
                      <w:sz w:val="21"/>
                      <w:szCs w:val="21"/>
                      <w:lang w:eastAsia="zh-CN"/>
                    </w:rPr>
                    <w:t>。</w:t>
                  </w:r>
                </w:p>
              </w:tc>
              <w:tc>
                <w:tcPr>
                  <w:tcW w:w="502" w:type="pct"/>
                  <w:vAlign w:val="center"/>
                </w:tcPr>
                <w:p w14:paraId="549A4A8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r w14:paraId="1C6EE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424" w:type="pct"/>
                  <w:vAlign w:val="center"/>
                </w:tcPr>
                <w:p w14:paraId="13001F85">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资源利用效率要求</w:t>
                  </w:r>
                </w:p>
              </w:tc>
              <w:tc>
                <w:tcPr>
                  <w:tcW w:w="2291" w:type="pct"/>
                  <w:vAlign w:val="center"/>
                </w:tcPr>
                <w:p w14:paraId="2E24FFA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auto"/>
                    <w:rPr>
                      <w:rFonts w:hint="default" w:ascii="Times New Roman" w:hAnsi="Times New Roman" w:eastAsia="宋体" w:cs="Times New Roman"/>
                      <w:b w:val="0"/>
                      <w:bCs w:val="0"/>
                      <w:i w:val="0"/>
                      <w:iCs w:val="0"/>
                      <w:caps w:val="0"/>
                      <w:color w:val="auto"/>
                      <w:spacing w:val="0"/>
                      <w:sz w:val="21"/>
                      <w:szCs w:val="21"/>
                    </w:rPr>
                  </w:pPr>
                  <w:r>
                    <w:rPr>
                      <w:rFonts w:hint="eastAsia" w:cs="Times New Roman"/>
                      <w:b w:val="0"/>
                      <w:bCs w:val="0"/>
                      <w:i w:val="0"/>
                      <w:iCs w:val="0"/>
                      <w:caps w:val="0"/>
                      <w:color w:val="auto"/>
                      <w:spacing w:val="0"/>
                      <w:kern w:val="0"/>
                      <w:sz w:val="21"/>
                      <w:szCs w:val="21"/>
                      <w:lang w:val="en-US" w:eastAsia="zh-CN" w:bidi="ar"/>
                    </w:rPr>
                    <w:t>1.</w:t>
                  </w:r>
                  <w:r>
                    <w:rPr>
                      <w:rFonts w:hint="default" w:ascii="Times New Roman" w:hAnsi="Times New Roman" w:eastAsia="宋体" w:cs="Times New Roman"/>
                      <w:b w:val="0"/>
                      <w:bCs w:val="0"/>
                      <w:i w:val="0"/>
                      <w:iCs w:val="0"/>
                      <w:caps w:val="0"/>
                      <w:color w:val="auto"/>
                      <w:spacing w:val="0"/>
                      <w:kern w:val="0"/>
                      <w:sz w:val="21"/>
                      <w:szCs w:val="21"/>
                      <w:lang w:val="en-US" w:eastAsia="zh-CN" w:bidi="ar"/>
                    </w:rPr>
                    <w:t>新建高耗能项目单位产品（产值）能耗要达到国际先进水平。2、按照国家和省能耗及水耗限额标准执行。3、强化企业清洁生产改造，推进节水型企业、节水型园区建设，提高资源能源利用效率。</w:t>
                  </w:r>
                </w:p>
                <w:p w14:paraId="562A137E">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p>
              </w:tc>
              <w:tc>
                <w:tcPr>
                  <w:tcW w:w="1781" w:type="pct"/>
                  <w:vAlign w:val="center"/>
                </w:tcPr>
                <w:p w14:paraId="3D85974B">
                  <w:pPr>
                    <w:pStyle w:val="15"/>
                    <w:numPr>
                      <w:ilvl w:val="0"/>
                      <w:numId w:val="0"/>
                    </w:numPr>
                    <w:adjustRightInd w:val="0"/>
                    <w:snapToGrid w:val="0"/>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本项目采用先进工艺，占地为工业用地，使用电能等清洁能源，清洁生产水平能够达到国内清洁生产先进水平。</w:t>
                  </w:r>
                </w:p>
              </w:tc>
              <w:tc>
                <w:tcPr>
                  <w:tcW w:w="502" w:type="pct"/>
                  <w:vAlign w:val="center"/>
                </w:tcPr>
                <w:p w14:paraId="1A6D70E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bl>
          <w:p w14:paraId="1A94A9C9">
            <w:pPr>
              <w:pStyle w:val="15"/>
              <w:numPr>
                <w:ilvl w:val="0"/>
                <w:numId w:val="0"/>
              </w:numPr>
              <w:adjustRightInd w:val="0"/>
              <w:snapToGrid w:val="0"/>
              <w:spacing w:line="360" w:lineRule="auto"/>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由表1-</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rPr>
              <w:t>可知，本项目符合江苏省2023年度生态环境分区管控动态更新成果公告要求</w:t>
            </w:r>
            <w:r>
              <w:rPr>
                <w:rFonts w:hint="eastAsia" w:cs="Times New Roman"/>
                <w:color w:val="auto"/>
                <w:lang w:eastAsia="zh-CN"/>
              </w:rPr>
              <w:t>，</w:t>
            </w:r>
            <w:r>
              <w:rPr>
                <w:rFonts w:hint="eastAsia"/>
                <w:color w:val="auto"/>
                <w:lang w:val="en-US" w:eastAsia="zh-CN"/>
              </w:rPr>
              <w:t>江苏省</w:t>
            </w:r>
            <w:r>
              <w:rPr>
                <w:rFonts w:hint="default"/>
                <w:color w:val="auto"/>
              </w:rPr>
              <w:t>生态环境分区管控</w:t>
            </w:r>
            <w:r>
              <w:rPr>
                <w:rFonts w:hint="eastAsia"/>
                <w:color w:val="auto"/>
                <w:lang w:val="en-US" w:eastAsia="zh-CN"/>
              </w:rPr>
              <w:t>综合查询报告见附件10</w:t>
            </w:r>
            <w:r>
              <w:rPr>
                <w:rFonts w:hint="default"/>
                <w:color w:val="auto"/>
              </w:rPr>
              <w:t>。</w:t>
            </w:r>
          </w:p>
          <w:p w14:paraId="17430C4B">
            <w:pPr>
              <w:pStyle w:val="116"/>
              <w:snapToGrid w:val="0"/>
              <w:spacing w:before="0" w:after="0" w:line="360" w:lineRule="auto"/>
              <w:ind w:left="0" w:leftChars="0" w:firstLine="482" w:firstLineChars="200"/>
              <w:jc w:val="both"/>
              <w:rPr>
                <w:b/>
                <w:bCs/>
                <w:color w:val="auto"/>
                <w:sz w:val="24"/>
                <w:szCs w:val="24"/>
              </w:rPr>
            </w:pPr>
            <w:r>
              <w:rPr>
                <w:rFonts w:hint="eastAsia"/>
                <w:b/>
                <w:bCs/>
                <w:color w:val="auto"/>
                <w:kern w:val="44"/>
                <w:sz w:val="24"/>
                <w:szCs w:val="24"/>
                <w:lang w:val="en-US" w:eastAsia="zh-CN"/>
              </w:rPr>
              <w:t>③</w:t>
            </w:r>
            <w:r>
              <w:rPr>
                <w:b/>
                <w:bCs/>
                <w:color w:val="auto"/>
                <w:kern w:val="44"/>
                <w:sz w:val="24"/>
                <w:szCs w:val="24"/>
              </w:rPr>
              <w:t>与</w:t>
            </w:r>
            <w:r>
              <w:rPr>
                <w:b/>
                <w:bCs/>
                <w:color w:val="auto"/>
                <w:sz w:val="24"/>
                <w:szCs w:val="24"/>
              </w:rPr>
              <w:t>国家和地方产业政策以及</w:t>
            </w:r>
            <w:r>
              <w:rPr>
                <w:b/>
                <w:bCs/>
                <w:color w:val="auto"/>
                <w:kern w:val="44"/>
                <w:sz w:val="24"/>
                <w:szCs w:val="24"/>
              </w:rPr>
              <w:t>《市场准入负面清单</w:t>
            </w:r>
            <w:r>
              <w:rPr>
                <w:rFonts w:hint="eastAsia"/>
                <w:b/>
                <w:bCs/>
                <w:color w:val="auto"/>
                <w:kern w:val="44"/>
                <w:sz w:val="24"/>
                <w:szCs w:val="24"/>
                <w:lang w:eastAsia="zh-CN"/>
              </w:rPr>
              <w:t>（</w:t>
            </w:r>
            <w:r>
              <w:rPr>
                <w:b/>
                <w:bCs/>
                <w:color w:val="auto"/>
                <w:kern w:val="44"/>
                <w:sz w:val="24"/>
                <w:szCs w:val="24"/>
              </w:rPr>
              <w:t>202</w:t>
            </w:r>
            <w:r>
              <w:rPr>
                <w:rFonts w:hint="eastAsia"/>
                <w:b/>
                <w:bCs/>
                <w:color w:val="auto"/>
                <w:kern w:val="44"/>
                <w:sz w:val="24"/>
                <w:szCs w:val="24"/>
                <w:lang w:val="en-US" w:eastAsia="zh-CN"/>
              </w:rPr>
              <w:t>5</w:t>
            </w:r>
            <w:r>
              <w:rPr>
                <w:b/>
                <w:bCs/>
                <w:color w:val="auto"/>
                <w:kern w:val="44"/>
                <w:sz w:val="24"/>
                <w:szCs w:val="24"/>
              </w:rPr>
              <w:t>年版</w:t>
            </w:r>
            <w:r>
              <w:rPr>
                <w:rFonts w:hint="eastAsia"/>
                <w:b/>
                <w:bCs/>
                <w:color w:val="auto"/>
                <w:kern w:val="44"/>
                <w:sz w:val="24"/>
                <w:szCs w:val="24"/>
                <w:lang w:eastAsia="zh-CN"/>
              </w:rPr>
              <w:t>）</w:t>
            </w:r>
            <w:r>
              <w:rPr>
                <w:b/>
                <w:bCs/>
                <w:color w:val="auto"/>
                <w:kern w:val="44"/>
                <w:sz w:val="24"/>
                <w:szCs w:val="24"/>
              </w:rPr>
              <w:t>》符合性分析</w:t>
            </w:r>
          </w:p>
          <w:p w14:paraId="6FA5D5DA">
            <w:pPr>
              <w:pStyle w:val="116"/>
              <w:adjustRightInd w:val="0"/>
              <w:snapToGrid w:val="0"/>
              <w:spacing w:before="0" w:after="0" w:line="240" w:lineRule="auto"/>
              <w:ind w:left="0" w:firstLine="0" w:firstLineChars="0"/>
              <w:rPr>
                <w:b/>
                <w:bCs/>
                <w:color w:val="auto"/>
                <w:sz w:val="24"/>
                <w:szCs w:val="24"/>
              </w:rPr>
            </w:pPr>
            <w:r>
              <w:rPr>
                <w:b/>
                <w:bCs/>
                <w:color w:val="auto"/>
                <w:sz w:val="24"/>
                <w:szCs w:val="24"/>
              </w:rPr>
              <w:t>表1-</w:t>
            </w:r>
            <w:r>
              <w:rPr>
                <w:rFonts w:hint="eastAsia"/>
                <w:b/>
                <w:bCs/>
                <w:color w:val="auto"/>
                <w:sz w:val="24"/>
                <w:szCs w:val="24"/>
                <w:lang w:val="en-US" w:eastAsia="zh-CN"/>
              </w:rPr>
              <w:t>6</w:t>
            </w:r>
            <w:r>
              <w:rPr>
                <w:b/>
                <w:bCs/>
                <w:color w:val="auto"/>
                <w:sz w:val="24"/>
                <w:szCs w:val="24"/>
              </w:rPr>
              <w:t>与国家和地方产业政策以及《市场准入负面清单（202</w:t>
            </w:r>
            <w:r>
              <w:rPr>
                <w:rFonts w:hint="eastAsia"/>
                <w:b/>
                <w:bCs/>
                <w:color w:val="auto"/>
                <w:sz w:val="24"/>
                <w:szCs w:val="24"/>
                <w:lang w:val="en-US" w:eastAsia="zh-CN"/>
              </w:rPr>
              <w:t>5</w:t>
            </w:r>
            <w:r>
              <w:rPr>
                <w:b/>
                <w:bCs/>
                <w:color w:val="auto"/>
                <w:sz w:val="24"/>
                <w:szCs w:val="24"/>
              </w:rPr>
              <w:t>年版）》相符性分析</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2922"/>
              <w:gridCol w:w="4291"/>
              <w:gridCol w:w="1045"/>
            </w:tblGrid>
            <w:tr w14:paraId="21F2C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0" w:type="pct"/>
                  <w:tcBorders>
                    <w:tl2br w:val="nil"/>
                    <w:tr2bl w:val="nil"/>
                  </w:tcBorders>
                  <w:vAlign w:val="center"/>
                </w:tcPr>
                <w:p w14:paraId="3A1DA3A6">
                  <w:pPr>
                    <w:pStyle w:val="116"/>
                    <w:adjustRightInd w:val="0"/>
                    <w:snapToGrid w:val="0"/>
                    <w:spacing w:before="0" w:after="0" w:line="240" w:lineRule="auto"/>
                    <w:ind w:left="0" w:firstLine="0" w:firstLineChars="0"/>
                    <w:rPr>
                      <w:b/>
                      <w:bCs/>
                      <w:color w:val="auto"/>
                      <w:szCs w:val="21"/>
                    </w:rPr>
                  </w:pPr>
                  <w:r>
                    <w:rPr>
                      <w:b/>
                      <w:bCs/>
                      <w:color w:val="auto"/>
                      <w:szCs w:val="21"/>
                    </w:rPr>
                    <w:t>序号</w:t>
                  </w:r>
                </w:p>
              </w:tc>
              <w:tc>
                <w:tcPr>
                  <w:tcW w:w="1627" w:type="pct"/>
                  <w:tcBorders>
                    <w:tl2br w:val="nil"/>
                    <w:tr2bl w:val="nil"/>
                  </w:tcBorders>
                  <w:vAlign w:val="center"/>
                </w:tcPr>
                <w:p w14:paraId="52269AFE">
                  <w:pPr>
                    <w:pStyle w:val="116"/>
                    <w:adjustRightInd w:val="0"/>
                    <w:snapToGrid w:val="0"/>
                    <w:spacing w:before="0" w:after="0" w:line="240" w:lineRule="auto"/>
                    <w:ind w:left="0" w:firstLine="0" w:firstLineChars="0"/>
                    <w:rPr>
                      <w:b/>
                      <w:bCs/>
                      <w:color w:val="auto"/>
                      <w:szCs w:val="21"/>
                    </w:rPr>
                  </w:pPr>
                  <w:r>
                    <w:rPr>
                      <w:b/>
                      <w:bCs/>
                      <w:color w:val="auto"/>
                      <w:szCs w:val="21"/>
                    </w:rPr>
                    <w:t>文件</w:t>
                  </w:r>
                </w:p>
              </w:tc>
              <w:tc>
                <w:tcPr>
                  <w:tcW w:w="2389" w:type="pct"/>
                  <w:tcBorders>
                    <w:tl2br w:val="nil"/>
                    <w:tr2bl w:val="nil"/>
                  </w:tcBorders>
                  <w:vAlign w:val="center"/>
                </w:tcPr>
                <w:p w14:paraId="5357DE82">
                  <w:pPr>
                    <w:pStyle w:val="116"/>
                    <w:adjustRightInd w:val="0"/>
                    <w:snapToGrid w:val="0"/>
                    <w:spacing w:before="0" w:after="0" w:line="240" w:lineRule="auto"/>
                    <w:ind w:left="0" w:firstLine="0" w:firstLineChars="0"/>
                    <w:rPr>
                      <w:b/>
                      <w:bCs/>
                      <w:color w:val="auto"/>
                      <w:szCs w:val="21"/>
                    </w:rPr>
                  </w:pPr>
                  <w:r>
                    <w:rPr>
                      <w:b/>
                      <w:bCs/>
                      <w:color w:val="auto"/>
                      <w:szCs w:val="21"/>
                    </w:rPr>
                    <w:t>本项目情况</w:t>
                  </w:r>
                </w:p>
              </w:tc>
              <w:tc>
                <w:tcPr>
                  <w:tcW w:w="582" w:type="pct"/>
                  <w:tcBorders>
                    <w:tl2br w:val="nil"/>
                    <w:tr2bl w:val="nil"/>
                  </w:tcBorders>
                  <w:vAlign w:val="center"/>
                </w:tcPr>
                <w:p w14:paraId="5C650D59">
                  <w:pPr>
                    <w:pStyle w:val="116"/>
                    <w:adjustRightInd w:val="0"/>
                    <w:snapToGrid w:val="0"/>
                    <w:spacing w:before="0" w:after="0" w:line="240" w:lineRule="auto"/>
                    <w:ind w:left="0" w:firstLine="0" w:firstLineChars="0"/>
                    <w:rPr>
                      <w:b/>
                      <w:bCs/>
                      <w:color w:val="auto"/>
                      <w:szCs w:val="21"/>
                    </w:rPr>
                  </w:pPr>
                  <w:r>
                    <w:rPr>
                      <w:b/>
                      <w:bCs/>
                      <w:color w:val="auto"/>
                      <w:szCs w:val="21"/>
                    </w:rPr>
                    <w:t>相符性</w:t>
                  </w:r>
                </w:p>
              </w:tc>
            </w:tr>
            <w:tr w14:paraId="156EB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6280BE58">
                  <w:pPr>
                    <w:pStyle w:val="116"/>
                    <w:adjustRightInd w:val="0"/>
                    <w:snapToGrid w:val="0"/>
                    <w:spacing w:before="0" w:after="0" w:line="240" w:lineRule="auto"/>
                    <w:ind w:left="0" w:firstLine="0" w:firstLineChars="0"/>
                    <w:rPr>
                      <w:color w:val="auto"/>
                      <w:szCs w:val="21"/>
                    </w:rPr>
                  </w:pPr>
                  <w:r>
                    <w:rPr>
                      <w:color w:val="auto"/>
                      <w:szCs w:val="21"/>
                    </w:rPr>
                    <w:t>1</w:t>
                  </w:r>
                </w:p>
              </w:tc>
              <w:tc>
                <w:tcPr>
                  <w:tcW w:w="1627" w:type="pct"/>
                  <w:tcBorders>
                    <w:tl2br w:val="nil"/>
                    <w:tr2bl w:val="nil"/>
                  </w:tcBorders>
                  <w:vAlign w:val="center"/>
                </w:tcPr>
                <w:p w14:paraId="3FC6180F">
                  <w:pPr>
                    <w:pStyle w:val="116"/>
                    <w:adjustRightInd w:val="0"/>
                    <w:snapToGrid w:val="0"/>
                    <w:spacing w:before="0" w:after="0" w:line="240" w:lineRule="auto"/>
                    <w:ind w:left="0" w:firstLine="0" w:firstLineChars="0"/>
                    <w:rPr>
                      <w:color w:val="auto"/>
                      <w:szCs w:val="21"/>
                    </w:rPr>
                  </w:pPr>
                  <w:r>
                    <w:rPr>
                      <w:color w:val="auto"/>
                      <w:szCs w:val="21"/>
                    </w:rPr>
                    <w:t>《产业结构调整指导目录（2024年本）》</w:t>
                  </w:r>
                </w:p>
              </w:tc>
              <w:tc>
                <w:tcPr>
                  <w:tcW w:w="2389" w:type="pct"/>
                  <w:tcBorders>
                    <w:tl2br w:val="nil"/>
                    <w:tr2bl w:val="nil"/>
                  </w:tcBorders>
                  <w:vAlign w:val="center"/>
                </w:tcPr>
                <w:p w14:paraId="51893DBE">
                  <w:pPr>
                    <w:pStyle w:val="116"/>
                    <w:adjustRightInd w:val="0"/>
                    <w:snapToGrid w:val="0"/>
                    <w:spacing w:before="0" w:after="0" w:line="240" w:lineRule="auto"/>
                    <w:ind w:left="0" w:firstLine="0" w:firstLineChars="0"/>
                    <w:rPr>
                      <w:color w:val="auto"/>
                      <w:szCs w:val="21"/>
                    </w:rPr>
                  </w:pPr>
                  <w:r>
                    <w:rPr>
                      <w:color w:val="auto"/>
                      <w:szCs w:val="21"/>
                    </w:rPr>
                    <w:t>不属于鼓励类、限制类、淘汰类项目。</w:t>
                  </w:r>
                </w:p>
              </w:tc>
              <w:tc>
                <w:tcPr>
                  <w:tcW w:w="582" w:type="pct"/>
                  <w:tcBorders>
                    <w:tl2br w:val="nil"/>
                    <w:tr2bl w:val="nil"/>
                  </w:tcBorders>
                  <w:vAlign w:val="center"/>
                </w:tcPr>
                <w:p w14:paraId="100C99E4">
                  <w:pPr>
                    <w:pStyle w:val="116"/>
                    <w:adjustRightInd w:val="0"/>
                    <w:snapToGrid w:val="0"/>
                    <w:spacing w:before="0" w:after="0" w:line="240" w:lineRule="auto"/>
                    <w:ind w:left="0" w:firstLine="0" w:firstLineChars="0"/>
                    <w:rPr>
                      <w:color w:val="auto"/>
                      <w:szCs w:val="21"/>
                    </w:rPr>
                  </w:pPr>
                  <w:r>
                    <w:rPr>
                      <w:color w:val="auto"/>
                      <w:szCs w:val="21"/>
                    </w:rPr>
                    <w:t>符合</w:t>
                  </w:r>
                </w:p>
              </w:tc>
            </w:tr>
            <w:tr w14:paraId="7080D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272DC4D1">
                  <w:pPr>
                    <w:pStyle w:val="116"/>
                    <w:adjustRightInd w:val="0"/>
                    <w:snapToGrid w:val="0"/>
                    <w:spacing w:before="0" w:after="0" w:line="240" w:lineRule="auto"/>
                    <w:ind w:left="0" w:firstLine="0" w:firstLineChars="0"/>
                    <w:rPr>
                      <w:color w:val="auto"/>
                      <w:szCs w:val="21"/>
                    </w:rPr>
                  </w:pPr>
                  <w:r>
                    <w:rPr>
                      <w:color w:val="auto"/>
                      <w:szCs w:val="21"/>
                    </w:rPr>
                    <w:t>2</w:t>
                  </w:r>
                </w:p>
              </w:tc>
              <w:tc>
                <w:tcPr>
                  <w:tcW w:w="1627" w:type="pct"/>
                  <w:tcBorders>
                    <w:tl2br w:val="nil"/>
                    <w:tr2bl w:val="nil"/>
                  </w:tcBorders>
                  <w:shd w:val="clear" w:color="auto" w:fill="auto"/>
                  <w:vAlign w:val="center"/>
                </w:tcPr>
                <w:p w14:paraId="0FA6C6C1">
                  <w:pPr>
                    <w:pStyle w:val="30"/>
                    <w:adjustRightInd w:val="0"/>
                    <w:snapToGrid w:val="0"/>
                    <w:spacing w:before="0" w:beforeAutospacing="0" w:after="0" w:afterAutospacing="0" w:line="240" w:lineRule="auto"/>
                    <w:ind w:firstLine="0" w:firstLineChars="0"/>
                    <w:jc w:val="center"/>
                    <w:rPr>
                      <w:rFonts w:ascii="Times New Roman" w:hAnsi="Times New Roman"/>
                      <w:snapToGrid w:val="0"/>
                      <w:color w:val="auto"/>
                      <w:sz w:val="21"/>
                      <w:szCs w:val="21"/>
                    </w:rPr>
                  </w:pPr>
                  <w:r>
                    <w:rPr>
                      <w:rFonts w:ascii="Times New Roman" w:hAnsi="Times New Roman"/>
                      <w:color w:val="auto"/>
                      <w:sz w:val="21"/>
                      <w:szCs w:val="21"/>
                    </w:rPr>
                    <w:t>《自然资源要素支撑产业高质量发展指导目录（2024年本）》</w:t>
                  </w:r>
                </w:p>
              </w:tc>
              <w:tc>
                <w:tcPr>
                  <w:tcW w:w="2389" w:type="pct"/>
                  <w:tcBorders>
                    <w:tl2br w:val="nil"/>
                    <w:tr2bl w:val="nil"/>
                  </w:tcBorders>
                  <w:shd w:val="clear" w:color="auto" w:fill="auto"/>
                  <w:vAlign w:val="center"/>
                </w:tcPr>
                <w:p w14:paraId="34C4CC3D">
                  <w:pPr>
                    <w:pStyle w:val="30"/>
                    <w:adjustRightInd w:val="0"/>
                    <w:snapToGrid w:val="0"/>
                    <w:spacing w:before="0" w:beforeAutospacing="0" w:after="0" w:afterAutospacing="0" w:line="240" w:lineRule="auto"/>
                    <w:ind w:firstLine="0" w:firstLineChars="0"/>
                    <w:jc w:val="center"/>
                    <w:rPr>
                      <w:rFonts w:ascii="Times New Roman" w:hAnsi="Times New Roman"/>
                      <w:snapToGrid w:val="0"/>
                      <w:color w:val="auto"/>
                      <w:sz w:val="21"/>
                      <w:szCs w:val="21"/>
                    </w:rPr>
                  </w:pPr>
                  <w:r>
                    <w:rPr>
                      <w:rFonts w:ascii="Times New Roman" w:hAnsi="Times New Roman"/>
                      <w:color w:val="auto"/>
                      <w:sz w:val="21"/>
                      <w:szCs w:val="21"/>
                    </w:rPr>
                    <w:t>本项目用地性质为工业用地，不在国家《自然资源要素支撑产业高质量发展指导目录（2024年本）》中</w:t>
                  </w:r>
                </w:p>
              </w:tc>
              <w:tc>
                <w:tcPr>
                  <w:tcW w:w="582" w:type="pct"/>
                  <w:tcBorders>
                    <w:tl2br w:val="nil"/>
                    <w:tr2bl w:val="nil"/>
                  </w:tcBorders>
                  <w:vAlign w:val="center"/>
                </w:tcPr>
                <w:p w14:paraId="5C51CE9B">
                  <w:pPr>
                    <w:pStyle w:val="116"/>
                    <w:adjustRightInd w:val="0"/>
                    <w:snapToGrid w:val="0"/>
                    <w:spacing w:before="0" w:after="0" w:line="240" w:lineRule="auto"/>
                    <w:ind w:left="0" w:firstLine="0" w:firstLineChars="0"/>
                    <w:rPr>
                      <w:color w:val="auto"/>
                      <w:szCs w:val="21"/>
                    </w:rPr>
                  </w:pPr>
                  <w:r>
                    <w:rPr>
                      <w:color w:val="auto"/>
                      <w:szCs w:val="21"/>
                    </w:rPr>
                    <w:t>符合</w:t>
                  </w:r>
                </w:p>
              </w:tc>
            </w:tr>
            <w:tr w14:paraId="7D276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7F1B68B0">
                  <w:pPr>
                    <w:pStyle w:val="116"/>
                    <w:adjustRightInd w:val="0"/>
                    <w:snapToGrid w:val="0"/>
                    <w:spacing w:before="0" w:after="0" w:line="240" w:lineRule="auto"/>
                    <w:ind w:left="0" w:firstLine="0" w:firstLineChars="0"/>
                    <w:rPr>
                      <w:color w:val="auto"/>
                      <w:szCs w:val="21"/>
                    </w:rPr>
                  </w:pPr>
                  <w:r>
                    <w:rPr>
                      <w:color w:val="auto"/>
                      <w:szCs w:val="21"/>
                    </w:rPr>
                    <w:t>3</w:t>
                  </w:r>
                </w:p>
              </w:tc>
              <w:tc>
                <w:tcPr>
                  <w:tcW w:w="1627" w:type="pct"/>
                  <w:tcBorders>
                    <w:tl2br w:val="nil"/>
                    <w:tr2bl w:val="nil"/>
                  </w:tcBorders>
                  <w:vAlign w:val="center"/>
                </w:tcPr>
                <w:p w14:paraId="3C6D8EBA">
                  <w:pPr>
                    <w:pStyle w:val="116"/>
                    <w:adjustRightInd w:val="0"/>
                    <w:snapToGrid w:val="0"/>
                    <w:spacing w:before="0" w:after="0" w:line="240" w:lineRule="auto"/>
                    <w:ind w:left="0" w:firstLine="0" w:firstLineChars="0"/>
                    <w:rPr>
                      <w:color w:val="auto"/>
                      <w:szCs w:val="21"/>
                    </w:rPr>
                  </w:pPr>
                  <w:r>
                    <w:rPr>
                      <w:color w:val="auto"/>
                      <w:szCs w:val="21"/>
                    </w:rPr>
                    <w:t>《市场准入负面清单（202</w:t>
                  </w:r>
                  <w:r>
                    <w:rPr>
                      <w:rFonts w:hint="eastAsia"/>
                      <w:color w:val="auto"/>
                      <w:szCs w:val="21"/>
                      <w:lang w:val="en-US" w:eastAsia="zh-CN"/>
                    </w:rPr>
                    <w:t>5</w:t>
                  </w:r>
                  <w:r>
                    <w:rPr>
                      <w:color w:val="auto"/>
                      <w:szCs w:val="21"/>
                    </w:rPr>
                    <w:t>年版）》</w:t>
                  </w:r>
                </w:p>
              </w:tc>
              <w:tc>
                <w:tcPr>
                  <w:tcW w:w="2389" w:type="pct"/>
                  <w:tcBorders>
                    <w:tl2br w:val="nil"/>
                    <w:tr2bl w:val="nil"/>
                  </w:tcBorders>
                  <w:vAlign w:val="center"/>
                </w:tcPr>
                <w:p w14:paraId="647336C9">
                  <w:pPr>
                    <w:pStyle w:val="116"/>
                    <w:adjustRightInd w:val="0"/>
                    <w:snapToGrid w:val="0"/>
                    <w:spacing w:before="0" w:after="0" w:line="240" w:lineRule="auto"/>
                    <w:ind w:left="0" w:firstLine="0" w:firstLineChars="0"/>
                    <w:rPr>
                      <w:color w:val="auto"/>
                      <w:szCs w:val="21"/>
                    </w:rPr>
                  </w:pPr>
                  <w:r>
                    <w:rPr>
                      <w:color w:val="auto"/>
                      <w:szCs w:val="21"/>
                    </w:rPr>
                    <w:t>不属于禁止准入类项目。</w:t>
                  </w:r>
                </w:p>
              </w:tc>
              <w:tc>
                <w:tcPr>
                  <w:tcW w:w="582" w:type="pct"/>
                  <w:tcBorders>
                    <w:tl2br w:val="nil"/>
                    <w:tr2bl w:val="nil"/>
                  </w:tcBorders>
                  <w:vAlign w:val="center"/>
                </w:tcPr>
                <w:p w14:paraId="532562A6">
                  <w:pPr>
                    <w:pStyle w:val="116"/>
                    <w:adjustRightInd w:val="0"/>
                    <w:snapToGrid w:val="0"/>
                    <w:spacing w:before="0" w:after="0" w:line="240" w:lineRule="auto"/>
                    <w:ind w:left="0" w:firstLine="0" w:firstLineChars="0"/>
                    <w:rPr>
                      <w:color w:val="auto"/>
                      <w:szCs w:val="21"/>
                    </w:rPr>
                  </w:pPr>
                  <w:r>
                    <w:rPr>
                      <w:color w:val="auto"/>
                      <w:szCs w:val="21"/>
                    </w:rPr>
                    <w:t>符合</w:t>
                  </w:r>
                </w:p>
              </w:tc>
            </w:tr>
          </w:tbl>
          <w:p w14:paraId="1590EB2E">
            <w:pPr>
              <w:autoSpaceDE w:val="0"/>
              <w:autoSpaceDN w:val="0"/>
              <w:adjustRightInd w:val="0"/>
              <w:snapToGrid w:val="0"/>
              <w:spacing w:before="120" w:beforeLines="50" w:line="360" w:lineRule="auto"/>
              <w:ind w:left="0" w:leftChars="0" w:firstLine="482" w:firstLineChars="200"/>
            </w:pPr>
            <w:r>
              <w:rPr>
                <w:rFonts w:hint="eastAsia"/>
                <w:b/>
                <w:bCs/>
                <w:color w:val="auto"/>
                <w:sz w:val="24"/>
                <w:lang w:val="en-US" w:eastAsia="zh-CN"/>
              </w:rPr>
              <w:t>④</w:t>
            </w:r>
            <w:r>
              <w:rPr>
                <w:rFonts w:hint="eastAsia"/>
                <w:b/>
                <w:bCs/>
                <w:color w:val="auto"/>
                <w:sz w:val="24"/>
              </w:rPr>
              <w:t>本项目与泗阳县新袁镇工业园区生态环境准入清单相符性分析，见表1-7</w:t>
            </w:r>
            <w:r>
              <w:rPr>
                <w:b/>
                <w:bCs/>
                <w:color w:val="auto"/>
                <w:sz w:val="24"/>
              </w:rPr>
              <w:t>。</w:t>
            </w:r>
          </w:p>
          <w:p w14:paraId="1A7C1B4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rPr>
            </w:pPr>
            <w:r>
              <w:rPr>
                <w:b/>
                <w:bCs/>
                <w:color w:val="auto"/>
              </w:rPr>
              <w:t>表1-</w:t>
            </w:r>
            <w:r>
              <w:rPr>
                <w:rFonts w:hint="eastAsia"/>
                <w:b/>
                <w:bCs/>
                <w:color w:val="auto"/>
                <w:lang w:val="en-US" w:eastAsia="zh-CN"/>
              </w:rPr>
              <w:t>7</w:t>
            </w:r>
            <w:r>
              <w:rPr>
                <w:rFonts w:hint="eastAsia"/>
                <w:b/>
                <w:bCs/>
                <w:color w:val="auto"/>
              </w:rPr>
              <w:t>本项目与泗阳县</w:t>
            </w:r>
            <w:r>
              <w:rPr>
                <w:rFonts w:hint="eastAsia"/>
                <w:b/>
                <w:bCs/>
                <w:color w:val="auto"/>
                <w:lang w:val="en-US" w:eastAsia="zh-CN"/>
              </w:rPr>
              <w:t>新袁</w:t>
            </w:r>
            <w:r>
              <w:rPr>
                <w:rFonts w:hint="eastAsia"/>
                <w:b/>
                <w:bCs/>
                <w:color w:val="auto"/>
              </w:rPr>
              <w:t>镇工业</w:t>
            </w:r>
            <w:r>
              <w:rPr>
                <w:rFonts w:hint="eastAsia"/>
                <w:b/>
                <w:bCs/>
                <w:color w:val="auto"/>
                <w:lang w:val="en-US" w:eastAsia="zh-CN"/>
              </w:rPr>
              <w:t>园区</w:t>
            </w:r>
            <w:r>
              <w:rPr>
                <w:rFonts w:hint="eastAsia"/>
                <w:b/>
                <w:bCs/>
                <w:color w:val="auto"/>
              </w:rPr>
              <w:t>生态环境准入清单相符性分析</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545"/>
              <w:gridCol w:w="4464"/>
              <w:gridCol w:w="3141"/>
              <w:gridCol w:w="826"/>
            </w:tblGrid>
            <w:tr w14:paraId="4A8FE3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4" w:type="pct"/>
                  <w:tcBorders>
                    <w:tl2br w:val="nil"/>
                    <w:tr2bl w:val="nil"/>
                  </w:tcBorders>
                  <w:tcMar>
                    <w:top w:w="28" w:type="dxa"/>
                    <w:left w:w="28" w:type="dxa"/>
                    <w:bottom w:w="28" w:type="dxa"/>
                    <w:right w:w="28" w:type="dxa"/>
                  </w:tcMar>
                  <w:vAlign w:val="center"/>
                </w:tcPr>
                <w:p w14:paraId="1171C8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rFonts w:hint="eastAsia"/>
                      <w:b/>
                      <w:bCs/>
                      <w:color w:val="auto"/>
                      <w:sz w:val="21"/>
                      <w:szCs w:val="21"/>
                    </w:rPr>
                    <w:t>类别</w:t>
                  </w:r>
                </w:p>
              </w:tc>
              <w:tc>
                <w:tcPr>
                  <w:tcW w:w="2486" w:type="pct"/>
                  <w:tcBorders>
                    <w:tl2br w:val="nil"/>
                    <w:tr2bl w:val="nil"/>
                  </w:tcBorders>
                  <w:tcMar>
                    <w:top w:w="28" w:type="dxa"/>
                    <w:left w:w="28" w:type="dxa"/>
                    <w:bottom w:w="28" w:type="dxa"/>
                    <w:right w:w="28" w:type="dxa"/>
                  </w:tcMar>
                  <w:vAlign w:val="center"/>
                </w:tcPr>
                <w:p w14:paraId="7E6EFDA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rFonts w:hint="eastAsia"/>
                      <w:b/>
                      <w:bCs/>
                      <w:color w:val="auto"/>
                      <w:sz w:val="21"/>
                      <w:szCs w:val="21"/>
                    </w:rPr>
                    <w:t>准入内容</w:t>
                  </w:r>
                </w:p>
              </w:tc>
              <w:tc>
                <w:tcPr>
                  <w:tcW w:w="1749" w:type="pct"/>
                  <w:tcBorders>
                    <w:tl2br w:val="nil"/>
                    <w:tr2bl w:val="nil"/>
                  </w:tcBorders>
                  <w:tcMar>
                    <w:top w:w="28" w:type="dxa"/>
                    <w:left w:w="28" w:type="dxa"/>
                    <w:bottom w:w="28" w:type="dxa"/>
                    <w:right w:w="28" w:type="dxa"/>
                  </w:tcMar>
                  <w:vAlign w:val="center"/>
                </w:tcPr>
                <w:p w14:paraId="5FF5C0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rFonts w:hint="eastAsia"/>
                      <w:b/>
                      <w:bCs/>
                      <w:color w:val="auto"/>
                      <w:sz w:val="21"/>
                      <w:szCs w:val="21"/>
                    </w:rPr>
                    <w:t>本项目情况</w:t>
                  </w:r>
                </w:p>
              </w:tc>
              <w:tc>
                <w:tcPr>
                  <w:tcW w:w="460" w:type="pct"/>
                  <w:tcBorders>
                    <w:tl2br w:val="nil"/>
                    <w:tr2bl w:val="nil"/>
                  </w:tcBorders>
                  <w:tcMar>
                    <w:top w:w="28" w:type="dxa"/>
                    <w:left w:w="28" w:type="dxa"/>
                    <w:bottom w:w="28" w:type="dxa"/>
                    <w:right w:w="28" w:type="dxa"/>
                  </w:tcMar>
                  <w:vAlign w:val="center"/>
                </w:tcPr>
                <w:p w14:paraId="1AAF16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rFonts w:hint="eastAsia"/>
                      <w:b/>
                      <w:bCs/>
                      <w:color w:val="auto"/>
                      <w:sz w:val="21"/>
                      <w:szCs w:val="21"/>
                    </w:rPr>
                    <w:t>符合性</w:t>
                  </w:r>
                </w:p>
              </w:tc>
            </w:tr>
            <w:tr w14:paraId="5FFC02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tcBorders>
                    <w:tl2br w:val="nil"/>
                    <w:tr2bl w:val="nil"/>
                  </w:tcBorders>
                  <w:tcMar>
                    <w:top w:w="28" w:type="dxa"/>
                    <w:left w:w="28" w:type="dxa"/>
                    <w:bottom w:w="28" w:type="dxa"/>
                    <w:right w:w="28" w:type="dxa"/>
                  </w:tcMar>
                  <w:vAlign w:val="center"/>
                </w:tcPr>
                <w:p w14:paraId="1EA91C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产业</w:t>
                  </w:r>
                </w:p>
                <w:p w14:paraId="096E7A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定位</w:t>
                  </w:r>
                </w:p>
              </w:tc>
              <w:tc>
                <w:tcPr>
                  <w:tcW w:w="2486" w:type="pct"/>
                  <w:tcBorders>
                    <w:tl2br w:val="nil"/>
                    <w:tr2bl w:val="nil"/>
                  </w:tcBorders>
                  <w:tcMar>
                    <w:top w:w="28" w:type="dxa"/>
                    <w:left w:w="28" w:type="dxa"/>
                    <w:bottom w:w="28" w:type="dxa"/>
                    <w:right w:w="28" w:type="dxa"/>
                  </w:tcMar>
                  <w:vAlign w:val="center"/>
                </w:tcPr>
                <w:p w14:paraId="0F34C6ED">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color w:val="auto"/>
                      <w:sz w:val="21"/>
                      <w:szCs w:val="21"/>
                      <w:lang w:eastAsia="zh-CN"/>
                    </w:rPr>
                  </w:pPr>
                  <w:r>
                    <w:rPr>
                      <w:rFonts w:hint="eastAsia" w:ascii="Times New Roman" w:hAnsi="Times New Roman" w:cs="Times New Roman"/>
                      <w:color w:val="auto"/>
                      <w:sz w:val="21"/>
                      <w:szCs w:val="21"/>
                      <w:lang w:eastAsia="zh-CN"/>
                    </w:rPr>
                    <w:t>化纤织造、机械加工、食品饮料（不含发酵）及其他无污染和低污染项目。</w:t>
                  </w:r>
                </w:p>
              </w:tc>
              <w:tc>
                <w:tcPr>
                  <w:tcW w:w="1749" w:type="pct"/>
                  <w:vMerge w:val="restart"/>
                  <w:tcBorders>
                    <w:tl2br w:val="nil"/>
                    <w:tr2bl w:val="nil"/>
                  </w:tcBorders>
                  <w:shd w:val="clear" w:color="auto" w:fill="auto"/>
                  <w:tcMar>
                    <w:top w:w="28" w:type="dxa"/>
                    <w:left w:w="28" w:type="dxa"/>
                    <w:bottom w:w="28" w:type="dxa"/>
                    <w:right w:w="28" w:type="dxa"/>
                  </w:tcMar>
                  <w:vAlign w:val="center"/>
                </w:tcPr>
                <w:p w14:paraId="6C8589C8">
                  <w:pPr>
                    <w:keepNext w:val="0"/>
                    <w:keepLines w:val="0"/>
                    <w:pageBreakBefore w:val="0"/>
                    <w:kinsoku/>
                    <w:wordWrap/>
                    <w:overflowPunct/>
                    <w:topLinePunct w:val="0"/>
                    <w:bidi w:val="0"/>
                    <w:adjustRightInd w:val="0"/>
                    <w:snapToGrid w:val="0"/>
                    <w:spacing w:line="240" w:lineRule="auto"/>
                    <w:ind w:firstLine="0" w:firstLineChars="0"/>
                    <w:rPr>
                      <w:rFonts w:ascii="Times New Roman" w:hAnsi="Times New Roman" w:eastAsia="宋体" w:cs="Times New Roman"/>
                      <w:color w:val="auto"/>
                      <w:kern w:val="2"/>
                      <w:sz w:val="21"/>
                      <w:szCs w:val="21"/>
                      <w:lang w:val="en-US" w:eastAsia="zh-CN" w:bidi="ar-SA"/>
                    </w:rPr>
                  </w:pPr>
                  <w:r>
                    <w:rPr>
                      <w:rFonts w:hint="eastAsia"/>
                      <w:color w:val="auto"/>
                      <w:sz w:val="21"/>
                      <w:szCs w:val="21"/>
                    </w:rPr>
                    <w:t>本项目位于</w:t>
                  </w:r>
                  <w:r>
                    <w:rPr>
                      <w:rFonts w:hint="eastAsia"/>
                      <w:color w:val="auto"/>
                      <w:sz w:val="21"/>
                      <w:szCs w:val="21"/>
                      <w:lang w:eastAsia="zh-CN"/>
                    </w:rPr>
                    <w:t>宿迁市泗阳县新袁镇仁和路东侧、新河路南侧（3）2#厂房</w:t>
                  </w:r>
                  <w:r>
                    <w:rPr>
                      <w:rFonts w:hint="eastAsia"/>
                      <w:color w:val="auto"/>
                      <w:sz w:val="21"/>
                      <w:szCs w:val="21"/>
                    </w:rPr>
                    <w:t>，在新袁镇工业园区规划范围内。</w:t>
                  </w:r>
                  <w:r>
                    <w:rPr>
                      <w:color w:val="auto"/>
                      <w:sz w:val="21"/>
                      <w:szCs w:val="21"/>
                    </w:rPr>
                    <w:t>本项目为</w:t>
                  </w:r>
                  <w:r>
                    <w:rPr>
                      <w:rFonts w:hint="eastAsia"/>
                      <w:color w:val="auto"/>
                      <w:sz w:val="21"/>
                      <w:szCs w:val="21"/>
                      <w:lang w:val="en-US" w:eastAsia="zh-CN"/>
                    </w:rPr>
                    <w:t>化纤织造项目</w:t>
                  </w:r>
                  <w:r>
                    <w:rPr>
                      <w:color w:val="auto"/>
                      <w:sz w:val="21"/>
                      <w:szCs w:val="21"/>
                    </w:rPr>
                    <w:t>，</w:t>
                  </w:r>
                  <w:r>
                    <w:rPr>
                      <w:rFonts w:hint="eastAsia"/>
                      <w:color w:val="auto"/>
                      <w:sz w:val="21"/>
                      <w:szCs w:val="21"/>
                      <w:lang w:val="en-US" w:eastAsia="zh-CN"/>
                    </w:rPr>
                    <w:t>属于园区主导产业定位，</w:t>
                  </w:r>
                  <w:r>
                    <w:rPr>
                      <w:rFonts w:hint="eastAsia"/>
                      <w:color w:val="auto"/>
                      <w:sz w:val="21"/>
                      <w:szCs w:val="21"/>
                    </w:rPr>
                    <w:t>符合园区的产业定位要求</w:t>
                  </w:r>
                  <w:r>
                    <w:rPr>
                      <w:color w:val="auto"/>
                      <w:sz w:val="21"/>
                      <w:szCs w:val="21"/>
                    </w:rPr>
                    <w:t>。</w:t>
                  </w:r>
                </w:p>
              </w:tc>
              <w:tc>
                <w:tcPr>
                  <w:tcW w:w="460" w:type="pct"/>
                  <w:vMerge w:val="restart"/>
                  <w:tcBorders>
                    <w:tl2br w:val="nil"/>
                    <w:tr2bl w:val="nil"/>
                  </w:tcBorders>
                  <w:tcMar>
                    <w:top w:w="28" w:type="dxa"/>
                    <w:left w:w="28" w:type="dxa"/>
                    <w:bottom w:w="28" w:type="dxa"/>
                    <w:right w:w="28" w:type="dxa"/>
                  </w:tcMar>
                  <w:vAlign w:val="center"/>
                </w:tcPr>
                <w:p w14:paraId="7707E68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符合</w:t>
                  </w:r>
                </w:p>
              </w:tc>
            </w:tr>
            <w:tr w14:paraId="1AC65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tcBorders>
                    <w:tl2br w:val="nil"/>
                    <w:tr2bl w:val="nil"/>
                  </w:tcBorders>
                  <w:tcMar>
                    <w:top w:w="28" w:type="dxa"/>
                    <w:left w:w="28" w:type="dxa"/>
                    <w:bottom w:w="28" w:type="dxa"/>
                    <w:right w:w="28" w:type="dxa"/>
                  </w:tcMar>
                  <w:vAlign w:val="center"/>
                </w:tcPr>
                <w:p w14:paraId="065914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优先</w:t>
                  </w:r>
                </w:p>
                <w:p w14:paraId="275DA60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引入类项目</w:t>
                  </w:r>
                </w:p>
              </w:tc>
              <w:tc>
                <w:tcPr>
                  <w:tcW w:w="2486" w:type="pct"/>
                  <w:tcBorders>
                    <w:tl2br w:val="nil"/>
                    <w:tr2bl w:val="nil"/>
                  </w:tcBorders>
                  <w:tcMar>
                    <w:top w:w="28" w:type="dxa"/>
                    <w:left w:w="28" w:type="dxa"/>
                    <w:bottom w:w="28" w:type="dxa"/>
                    <w:right w:w="28" w:type="dxa"/>
                  </w:tcMar>
                  <w:vAlign w:val="center"/>
                </w:tcPr>
                <w:p w14:paraId="2326E846">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1.污染严重的与园区主导产业不相符项目。</w:t>
                  </w:r>
                </w:p>
                <w:p w14:paraId="141D52D3">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2.新建产生或排放放射性物质的项目。</w:t>
                  </w:r>
                </w:p>
                <w:p w14:paraId="3BC38F64">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3.新建废水含难降解有机物或工艺废气中含三致、有毒有害物质无法达标排放的项目。</w:t>
                  </w:r>
                </w:p>
                <w:p w14:paraId="476603DA">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4.新建产生的危险废物无法妥善处置的项目。</w:t>
                  </w:r>
                </w:p>
                <w:p w14:paraId="718071CE">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5.新建环境保护综合名录所列高污染、高环境风险产品生产的项目。</w:t>
                  </w:r>
                </w:p>
                <w:p w14:paraId="2EB7020D">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6.新建对规划区外生态保护红线区域产生明显不良环境和生态影响的项目。</w:t>
                  </w:r>
                </w:p>
                <w:p w14:paraId="55C0D407">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7.建设生产和使用不符合《胶粘剂挥发性有机化合物限量》（GB33372-2020）、《油墨中可挥发性有机化合物（VOCs）含量的限值》（GB380507-2020）、《低挥发性有机化合物含量涂料产品技术要求》（GB/T38597-2020）等相关文件要求的高VOCs含量溶剂型涂料、油墨、胶粘剂等项目。</w:t>
                  </w:r>
                </w:p>
                <w:p w14:paraId="59A304DE">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8.新建、扩建燃用高污染燃料的项目和设施，已建成的应逐步或依法限期改用天然气、电或者其他清洁能源。采用落后的生产工艺或生产设备，高水耗、高物耗、高能耗，清洁生产低于国家清洁生产先进水平或行业先进水平的项目。</w:t>
                  </w:r>
                </w:p>
                <w:p w14:paraId="30AF623C">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9.涉及《危险化学品目录》所列剧毒物质排放的项目。</w:t>
                  </w:r>
                </w:p>
                <w:p w14:paraId="1EEDEEDE">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color w:val="auto"/>
                      <w:sz w:val="21"/>
                      <w:szCs w:val="21"/>
                      <w:lang w:eastAsia="zh-CN"/>
                    </w:rPr>
                  </w:pPr>
                  <w:r>
                    <w:rPr>
                      <w:rFonts w:hint="eastAsia" w:ascii="Times New Roman" w:hAnsi="Times New Roman" w:cs="Times New Roman"/>
                      <w:color w:val="auto"/>
                      <w:sz w:val="21"/>
                      <w:szCs w:val="21"/>
                      <w:lang w:eastAsia="zh-CN"/>
                    </w:rPr>
                    <w:t>10.新建、改扩建产生高污染印染废水排放的化纤织造项目</w:t>
                  </w:r>
                  <w:r>
                    <w:rPr>
                      <w:rFonts w:ascii="Times New Roman" w:hAnsi="Times New Roman" w:cs="Times New Roman"/>
                      <w:color w:val="auto"/>
                      <w:sz w:val="21"/>
                      <w:szCs w:val="21"/>
                      <w:lang w:eastAsia="zh-CN"/>
                    </w:rPr>
                    <w:t>。</w:t>
                  </w:r>
                </w:p>
              </w:tc>
              <w:tc>
                <w:tcPr>
                  <w:tcW w:w="1749" w:type="pct"/>
                  <w:vMerge w:val="continue"/>
                  <w:tcBorders>
                    <w:tl2br w:val="nil"/>
                    <w:tr2bl w:val="nil"/>
                  </w:tcBorders>
                  <w:tcMar>
                    <w:top w:w="28" w:type="dxa"/>
                    <w:left w:w="28" w:type="dxa"/>
                    <w:bottom w:w="28" w:type="dxa"/>
                    <w:right w:w="28" w:type="dxa"/>
                  </w:tcMar>
                  <w:vAlign w:val="center"/>
                </w:tcPr>
                <w:p w14:paraId="58C538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p>
              </w:tc>
              <w:tc>
                <w:tcPr>
                  <w:tcW w:w="460" w:type="pct"/>
                  <w:vMerge w:val="continue"/>
                  <w:tcBorders>
                    <w:tl2br w:val="nil"/>
                    <w:tr2bl w:val="nil"/>
                  </w:tcBorders>
                  <w:tcMar>
                    <w:top w:w="28" w:type="dxa"/>
                    <w:left w:w="28" w:type="dxa"/>
                    <w:bottom w:w="28" w:type="dxa"/>
                    <w:right w:w="28" w:type="dxa"/>
                  </w:tcMar>
                  <w:vAlign w:val="center"/>
                </w:tcPr>
                <w:p w14:paraId="1C0D1B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p>
              </w:tc>
            </w:tr>
            <w:tr w14:paraId="43BC6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tcBorders>
                    <w:tl2br w:val="nil"/>
                    <w:tr2bl w:val="nil"/>
                  </w:tcBorders>
                  <w:tcMar>
                    <w:top w:w="28" w:type="dxa"/>
                    <w:left w:w="28" w:type="dxa"/>
                    <w:bottom w:w="28" w:type="dxa"/>
                    <w:right w:w="28" w:type="dxa"/>
                  </w:tcMar>
                  <w:vAlign w:val="center"/>
                </w:tcPr>
                <w:p w14:paraId="601F3A0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限制</w:t>
                  </w:r>
                </w:p>
                <w:p w14:paraId="17FF38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引入类项目</w:t>
                  </w:r>
                </w:p>
              </w:tc>
              <w:tc>
                <w:tcPr>
                  <w:tcW w:w="2486" w:type="pct"/>
                  <w:tcBorders>
                    <w:tl2br w:val="nil"/>
                    <w:tr2bl w:val="nil"/>
                  </w:tcBorders>
                  <w:tcMar>
                    <w:top w:w="28" w:type="dxa"/>
                    <w:left w:w="28" w:type="dxa"/>
                    <w:bottom w:w="28" w:type="dxa"/>
                    <w:right w:w="28" w:type="dxa"/>
                  </w:tcMar>
                  <w:vAlign w:val="center"/>
                </w:tcPr>
                <w:p w14:paraId="0A59EE8B">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限制引入《产业结构调整指导目录（2019年本）》（2021年修订）中的化纤制造、机械加工、食品饮料行业限制类项目。</w:t>
                  </w:r>
                </w:p>
              </w:tc>
              <w:tc>
                <w:tcPr>
                  <w:tcW w:w="1749" w:type="pct"/>
                  <w:vMerge w:val="continue"/>
                  <w:tcBorders>
                    <w:tl2br w:val="nil"/>
                    <w:tr2bl w:val="nil"/>
                  </w:tcBorders>
                  <w:tcMar>
                    <w:top w:w="28" w:type="dxa"/>
                    <w:left w:w="28" w:type="dxa"/>
                    <w:bottom w:w="28" w:type="dxa"/>
                    <w:right w:w="28" w:type="dxa"/>
                  </w:tcMar>
                  <w:vAlign w:val="center"/>
                </w:tcPr>
                <w:p w14:paraId="23DFF0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p>
              </w:tc>
              <w:tc>
                <w:tcPr>
                  <w:tcW w:w="460" w:type="pct"/>
                  <w:vMerge w:val="continue"/>
                  <w:tcBorders>
                    <w:tl2br w:val="nil"/>
                    <w:tr2bl w:val="nil"/>
                  </w:tcBorders>
                  <w:tcMar>
                    <w:top w:w="28" w:type="dxa"/>
                    <w:left w:w="28" w:type="dxa"/>
                    <w:bottom w:w="28" w:type="dxa"/>
                    <w:right w:w="28" w:type="dxa"/>
                  </w:tcMar>
                  <w:vAlign w:val="center"/>
                </w:tcPr>
                <w:p w14:paraId="6225EF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p>
              </w:tc>
            </w:tr>
            <w:tr w14:paraId="2BFC3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vMerge w:val="restart"/>
                  <w:tcBorders>
                    <w:tl2br w:val="nil"/>
                    <w:tr2bl w:val="nil"/>
                  </w:tcBorders>
                  <w:tcMar>
                    <w:top w:w="28" w:type="dxa"/>
                    <w:left w:w="28" w:type="dxa"/>
                    <w:bottom w:w="28" w:type="dxa"/>
                    <w:right w:w="28" w:type="dxa"/>
                  </w:tcMar>
                  <w:vAlign w:val="center"/>
                </w:tcPr>
                <w:p w14:paraId="01263E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空间布局约束</w:t>
                  </w:r>
                </w:p>
              </w:tc>
              <w:tc>
                <w:tcPr>
                  <w:tcW w:w="2486" w:type="pct"/>
                  <w:tcBorders>
                    <w:tl2br w:val="nil"/>
                    <w:tr2bl w:val="nil"/>
                  </w:tcBorders>
                  <w:tcMar>
                    <w:top w:w="28" w:type="dxa"/>
                    <w:left w:w="28" w:type="dxa"/>
                    <w:bottom w:w="28" w:type="dxa"/>
                    <w:right w:w="28" w:type="dxa"/>
                  </w:tcMar>
                  <w:vAlign w:val="center"/>
                </w:tcPr>
                <w:p w14:paraId="311E4B81">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color w:val="auto"/>
                      <w:sz w:val="21"/>
                      <w:szCs w:val="21"/>
                      <w:lang w:eastAsia="zh-CN"/>
                    </w:rPr>
                  </w:pPr>
                  <w:r>
                    <w:rPr>
                      <w:rFonts w:hint="eastAsia" w:ascii="Times New Roman" w:hAnsi="Times New Roman" w:cs="Times New Roman"/>
                      <w:color w:val="auto"/>
                      <w:sz w:val="21"/>
                      <w:szCs w:val="21"/>
                      <w:lang w:eastAsia="zh-CN"/>
                    </w:rPr>
                    <w:t>禁止开发利用规划区内的水域、河流和绿地，严格限制转变为其他用地性质；</w:t>
                  </w:r>
                </w:p>
              </w:tc>
              <w:tc>
                <w:tcPr>
                  <w:tcW w:w="1749" w:type="pct"/>
                  <w:vMerge w:val="restart"/>
                  <w:tcBorders>
                    <w:tl2br w:val="nil"/>
                    <w:tr2bl w:val="nil"/>
                  </w:tcBorders>
                  <w:tcMar>
                    <w:top w:w="28" w:type="dxa"/>
                    <w:left w:w="28" w:type="dxa"/>
                    <w:bottom w:w="28" w:type="dxa"/>
                    <w:right w:w="28" w:type="dxa"/>
                  </w:tcMar>
                  <w:vAlign w:val="center"/>
                </w:tcPr>
                <w:p w14:paraId="47E109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r>
                    <w:rPr>
                      <w:rFonts w:hint="eastAsia"/>
                      <w:color w:val="auto"/>
                      <w:sz w:val="21"/>
                      <w:szCs w:val="21"/>
                    </w:rPr>
                    <w:t>本项目选址位于园区规划的工业用地范围内，不占用基本农田，不涉及生态敏感区。</w:t>
                  </w:r>
                </w:p>
              </w:tc>
              <w:tc>
                <w:tcPr>
                  <w:tcW w:w="460" w:type="pct"/>
                  <w:vMerge w:val="restart"/>
                  <w:tcBorders>
                    <w:tl2br w:val="nil"/>
                    <w:tr2bl w:val="nil"/>
                  </w:tcBorders>
                  <w:tcMar>
                    <w:top w:w="28" w:type="dxa"/>
                    <w:left w:w="28" w:type="dxa"/>
                    <w:bottom w:w="28" w:type="dxa"/>
                    <w:right w:w="28" w:type="dxa"/>
                  </w:tcMar>
                  <w:vAlign w:val="center"/>
                </w:tcPr>
                <w:p w14:paraId="653FD2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符合</w:t>
                  </w:r>
                </w:p>
              </w:tc>
            </w:tr>
            <w:tr w14:paraId="424CCA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vMerge w:val="continue"/>
                  <w:tcBorders>
                    <w:tl2br w:val="nil"/>
                    <w:tr2bl w:val="nil"/>
                  </w:tcBorders>
                  <w:tcMar>
                    <w:top w:w="28" w:type="dxa"/>
                    <w:left w:w="28" w:type="dxa"/>
                    <w:bottom w:w="28" w:type="dxa"/>
                    <w:right w:w="28" w:type="dxa"/>
                  </w:tcMar>
                  <w:vAlign w:val="center"/>
                </w:tcPr>
                <w:p w14:paraId="49B6C8D8">
                  <w:pPr>
                    <w:pStyle w:val="22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p>
              </w:tc>
              <w:tc>
                <w:tcPr>
                  <w:tcW w:w="2486" w:type="pct"/>
                  <w:tcBorders>
                    <w:tl2br w:val="nil"/>
                    <w:tr2bl w:val="nil"/>
                  </w:tcBorders>
                  <w:tcMar>
                    <w:top w:w="28" w:type="dxa"/>
                    <w:left w:w="28" w:type="dxa"/>
                    <w:bottom w:w="28" w:type="dxa"/>
                    <w:right w:w="28" w:type="dxa"/>
                  </w:tcMar>
                  <w:vAlign w:val="center"/>
                </w:tcPr>
                <w:p w14:paraId="01359E44">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规划范围内土地利用需要严格按照要求对有条件、限制建设区实施开发，不符合规划的部分，需取得用地指标后方可开发利用。对于占用一般农用地，需按照“占一补一”的原则进行占补平衡，且需取得自然资源和规划局相关手续后，方可进行开发建设。禁止占用基本农田。</w:t>
                  </w:r>
                </w:p>
              </w:tc>
              <w:tc>
                <w:tcPr>
                  <w:tcW w:w="1749" w:type="pct"/>
                  <w:vMerge w:val="continue"/>
                  <w:tcBorders>
                    <w:tl2br w:val="nil"/>
                    <w:tr2bl w:val="nil"/>
                  </w:tcBorders>
                  <w:tcMar>
                    <w:top w:w="28" w:type="dxa"/>
                    <w:left w:w="28" w:type="dxa"/>
                    <w:bottom w:w="28" w:type="dxa"/>
                    <w:right w:w="28" w:type="dxa"/>
                  </w:tcMar>
                  <w:vAlign w:val="center"/>
                </w:tcPr>
                <w:p w14:paraId="2DB588D8">
                  <w:pPr>
                    <w:pStyle w:val="22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s="Times New Roman"/>
                      <w:color w:val="auto"/>
                      <w:sz w:val="21"/>
                      <w:szCs w:val="21"/>
                      <w:lang w:eastAsia="zh-CN"/>
                    </w:rPr>
                  </w:pPr>
                </w:p>
              </w:tc>
              <w:tc>
                <w:tcPr>
                  <w:tcW w:w="460" w:type="pct"/>
                  <w:vMerge w:val="continue"/>
                  <w:tcBorders>
                    <w:tl2br w:val="nil"/>
                    <w:tr2bl w:val="nil"/>
                  </w:tcBorders>
                  <w:tcMar>
                    <w:top w:w="28" w:type="dxa"/>
                    <w:left w:w="28" w:type="dxa"/>
                    <w:bottom w:w="28" w:type="dxa"/>
                    <w:right w:w="28" w:type="dxa"/>
                  </w:tcMar>
                  <w:vAlign w:val="center"/>
                </w:tcPr>
                <w:p w14:paraId="6E2C390E">
                  <w:pPr>
                    <w:pStyle w:val="22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s="Times New Roman"/>
                      <w:color w:val="auto"/>
                      <w:sz w:val="21"/>
                      <w:szCs w:val="21"/>
                      <w:lang w:eastAsia="zh-CN"/>
                    </w:rPr>
                  </w:pPr>
                </w:p>
              </w:tc>
            </w:tr>
            <w:tr w14:paraId="2CF52D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vMerge w:val="continue"/>
                  <w:tcBorders>
                    <w:tl2br w:val="nil"/>
                    <w:tr2bl w:val="nil"/>
                  </w:tcBorders>
                  <w:tcMar>
                    <w:top w:w="28" w:type="dxa"/>
                    <w:left w:w="28" w:type="dxa"/>
                    <w:bottom w:w="28" w:type="dxa"/>
                    <w:right w:w="28" w:type="dxa"/>
                  </w:tcMar>
                  <w:vAlign w:val="center"/>
                </w:tcPr>
                <w:p w14:paraId="7565598B">
                  <w:pPr>
                    <w:pStyle w:val="22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s="Times New Roman"/>
                      <w:color w:val="auto"/>
                      <w:sz w:val="21"/>
                      <w:szCs w:val="21"/>
                      <w:lang w:eastAsia="zh-CN"/>
                    </w:rPr>
                  </w:pPr>
                </w:p>
              </w:tc>
              <w:tc>
                <w:tcPr>
                  <w:tcW w:w="2486" w:type="pct"/>
                  <w:tcBorders>
                    <w:tl2br w:val="nil"/>
                    <w:tr2bl w:val="nil"/>
                  </w:tcBorders>
                  <w:tcMar>
                    <w:top w:w="28" w:type="dxa"/>
                    <w:left w:w="28" w:type="dxa"/>
                    <w:bottom w:w="28" w:type="dxa"/>
                    <w:right w:w="28" w:type="dxa"/>
                  </w:tcMar>
                  <w:vAlign w:val="center"/>
                </w:tcPr>
                <w:p w14:paraId="5B49F564">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邻近工业用地的二类居住用地周边应设置不少于50米的空间防护距离。居住用地100m范围内不得布置排放恶臭气体的排放源。二类居住用地周边的生产型企业，应优化厂内布局，生产车间尽量远离居住用地。严格控制涉及恶臭异味物质、《有毒有害大气污染物名录》所列大气污染物、《危险化学品目录》所列剧毒物质排放的项目。公共管理与公共服务设施用地周边的生产型企业，应优化厂内布局，生产车间尽量远离公共管理与公共服务设施用地。办公区周边设置不少于10米的绿化带。商业服务业设施用地周边的生产型企业，应优化厂内布局，生产车间尽量远离公共管理与公共服务设施用地。商业用地周边设置不少于10米的绿化带</w:t>
                  </w:r>
                  <w:r>
                    <w:rPr>
                      <w:color w:val="auto"/>
                      <w:sz w:val="21"/>
                      <w:szCs w:val="21"/>
                      <w:lang w:eastAsia="zh-CN"/>
                    </w:rPr>
                    <w:t>。</w:t>
                  </w:r>
                </w:p>
              </w:tc>
              <w:tc>
                <w:tcPr>
                  <w:tcW w:w="1749" w:type="pct"/>
                  <w:vMerge w:val="continue"/>
                  <w:tcBorders>
                    <w:tl2br w:val="nil"/>
                    <w:tr2bl w:val="nil"/>
                  </w:tcBorders>
                  <w:tcMar>
                    <w:top w:w="28" w:type="dxa"/>
                    <w:left w:w="28" w:type="dxa"/>
                    <w:bottom w:w="28" w:type="dxa"/>
                    <w:right w:w="28" w:type="dxa"/>
                  </w:tcMar>
                  <w:vAlign w:val="center"/>
                </w:tcPr>
                <w:p w14:paraId="1475E6C1">
                  <w:pPr>
                    <w:pStyle w:val="22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s="Times New Roman"/>
                      <w:color w:val="auto"/>
                      <w:sz w:val="21"/>
                      <w:szCs w:val="21"/>
                      <w:lang w:eastAsia="zh-CN"/>
                    </w:rPr>
                  </w:pPr>
                </w:p>
              </w:tc>
              <w:tc>
                <w:tcPr>
                  <w:tcW w:w="460" w:type="pct"/>
                  <w:vMerge w:val="continue"/>
                  <w:tcBorders>
                    <w:tl2br w:val="nil"/>
                    <w:tr2bl w:val="nil"/>
                  </w:tcBorders>
                  <w:tcMar>
                    <w:top w:w="28" w:type="dxa"/>
                    <w:left w:w="28" w:type="dxa"/>
                    <w:bottom w:w="28" w:type="dxa"/>
                    <w:right w:w="28" w:type="dxa"/>
                  </w:tcMar>
                  <w:vAlign w:val="center"/>
                </w:tcPr>
                <w:p w14:paraId="7236DFC9">
                  <w:pPr>
                    <w:pStyle w:val="22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s="Times New Roman"/>
                      <w:color w:val="auto"/>
                      <w:sz w:val="21"/>
                      <w:szCs w:val="21"/>
                      <w:lang w:eastAsia="zh-CN"/>
                    </w:rPr>
                  </w:pPr>
                </w:p>
              </w:tc>
            </w:tr>
            <w:tr w14:paraId="2D3FE6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tcBorders>
                    <w:tl2br w:val="nil"/>
                    <w:tr2bl w:val="nil"/>
                  </w:tcBorders>
                  <w:tcMar>
                    <w:top w:w="28" w:type="dxa"/>
                    <w:left w:w="28" w:type="dxa"/>
                    <w:bottom w:w="28" w:type="dxa"/>
                    <w:right w:w="28" w:type="dxa"/>
                  </w:tcMar>
                  <w:vAlign w:val="center"/>
                </w:tcPr>
                <w:p w14:paraId="2BF107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污染物排放</w:t>
                  </w:r>
                </w:p>
                <w:p w14:paraId="43D7B7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管控</w:t>
                  </w:r>
                </w:p>
              </w:tc>
              <w:tc>
                <w:tcPr>
                  <w:tcW w:w="2486" w:type="pct"/>
                  <w:tcBorders>
                    <w:tl2br w:val="nil"/>
                    <w:tr2bl w:val="nil"/>
                  </w:tcBorders>
                  <w:tcMar>
                    <w:top w:w="28" w:type="dxa"/>
                    <w:left w:w="28" w:type="dxa"/>
                    <w:bottom w:w="28" w:type="dxa"/>
                    <w:right w:w="28" w:type="dxa"/>
                  </w:tcMar>
                  <w:vAlign w:val="center"/>
                </w:tcPr>
                <w:p w14:paraId="3EEAA8A6">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1.严格实施污染物总量控制制度，根据区域环境质量改善目标，采取有效措施减少主要污染物排放总量，确保区域环境质量持续改善。严格实施污染物总量控制制度，根据区域环境质量改善目标，采取有效措施减少主要污染物排放总量，确保区域环境质量持续改善。</w:t>
                  </w:r>
                </w:p>
                <w:p w14:paraId="5DBC7C33">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color w:val="auto"/>
                      <w:sz w:val="21"/>
                      <w:szCs w:val="21"/>
                      <w:lang w:eastAsia="zh-CN"/>
                    </w:rPr>
                  </w:pPr>
                  <w:r>
                    <w:rPr>
                      <w:rFonts w:hint="eastAsia" w:ascii="Times New Roman" w:hAnsi="Times New Roman" w:cs="Times New Roman"/>
                      <w:color w:val="auto"/>
                      <w:sz w:val="21"/>
                      <w:szCs w:val="21"/>
                      <w:lang w:eastAsia="zh-CN"/>
                    </w:rPr>
                    <w:t>2.规划期末，园区大气污染物：SO</w:t>
                  </w:r>
                  <w:r>
                    <w:rPr>
                      <w:rFonts w:hint="eastAsia" w:ascii="Times New Roman" w:hAnsi="Times New Roman" w:cs="Times New Roman"/>
                      <w:color w:val="auto"/>
                      <w:sz w:val="21"/>
                      <w:szCs w:val="21"/>
                      <w:vertAlign w:val="subscript"/>
                      <w:lang w:eastAsia="zh-CN"/>
                    </w:rPr>
                    <w:t>2</w:t>
                  </w:r>
                  <w:r>
                    <w:rPr>
                      <w:rFonts w:hint="eastAsia" w:ascii="Times New Roman" w:hAnsi="Times New Roman" w:cs="Times New Roman"/>
                      <w:color w:val="auto"/>
                      <w:sz w:val="21"/>
                      <w:szCs w:val="21"/>
                      <w:lang w:eastAsia="zh-CN"/>
                    </w:rPr>
                    <w:t>、NOx、颗粒物、非甲烷总烃排放量不得超过12.145吨/年、24.147吨/年、18.634吨/年、13.229吨/年。园区工业废水污染物（排放量）：废水量、COD、氨氮、总磷、总氮排放量不得超过910220吨/年、45.512吨/年、3.641吨/年、0.455吨/年、10.923吨/年</w:t>
                  </w:r>
                  <w:r>
                    <w:rPr>
                      <w:rFonts w:ascii="Times New Roman" w:hAnsi="Times New Roman" w:cs="Times New Roman"/>
                      <w:color w:val="auto"/>
                      <w:sz w:val="21"/>
                      <w:szCs w:val="21"/>
                      <w:lang w:eastAsia="zh-CN"/>
                    </w:rPr>
                    <w:t>。</w:t>
                  </w:r>
                </w:p>
              </w:tc>
              <w:tc>
                <w:tcPr>
                  <w:tcW w:w="1749" w:type="pct"/>
                  <w:tcBorders>
                    <w:tl2br w:val="nil"/>
                    <w:tr2bl w:val="nil"/>
                  </w:tcBorders>
                  <w:tcMar>
                    <w:top w:w="28" w:type="dxa"/>
                    <w:left w:w="28" w:type="dxa"/>
                    <w:bottom w:w="28" w:type="dxa"/>
                    <w:right w:w="28" w:type="dxa"/>
                  </w:tcMar>
                  <w:vAlign w:val="center"/>
                </w:tcPr>
                <w:p w14:paraId="43B67520">
                  <w:pPr>
                    <w:pStyle w:val="19"/>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本项目污染物排放情况如下：</w:t>
                  </w:r>
                </w:p>
                <w:p w14:paraId="2DA3C957">
                  <w:pPr>
                    <w:pStyle w:val="19"/>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废气：</w:t>
                  </w:r>
                  <w:r>
                    <w:rPr>
                      <w:rFonts w:hint="default" w:ascii="Times New Roman" w:hAnsi="Times New Roman" w:eastAsia="宋体" w:cs="Times New Roman"/>
                      <w:bCs/>
                      <w:color w:val="auto"/>
                      <w:sz w:val="21"/>
                      <w:szCs w:val="21"/>
                      <w:lang w:val="en-US" w:eastAsia="zh-CN"/>
                    </w:rPr>
                    <w:t>VOCs（以非甲烷总烃表征）</w:t>
                  </w:r>
                  <w:r>
                    <w:rPr>
                      <w:rFonts w:hint="default" w:ascii="Times New Roman" w:hAnsi="Times New Roman" w:eastAsia="宋体" w:cs="Times New Roman"/>
                      <w:bCs/>
                      <w:color w:val="auto"/>
                      <w:sz w:val="21"/>
                      <w:szCs w:val="21"/>
                    </w:rPr>
                    <w:t>≤</w:t>
                  </w:r>
                  <w:r>
                    <w:rPr>
                      <w:rFonts w:hint="eastAsia" w:ascii="Times New Roman" w:hAnsi="Times New Roman" w:cs="Times New Roman"/>
                      <w:bCs/>
                      <w:color w:val="auto"/>
                      <w:sz w:val="21"/>
                      <w:szCs w:val="21"/>
                      <w:lang w:val="en-US" w:eastAsia="zh-CN"/>
                    </w:rPr>
                    <w:t>0.235</w:t>
                  </w:r>
                  <w:r>
                    <w:rPr>
                      <w:rFonts w:hint="default" w:ascii="Times New Roman" w:hAnsi="Times New Roman" w:eastAsia="宋体" w:cs="Times New Roman"/>
                      <w:bCs/>
                      <w:color w:val="auto"/>
                      <w:sz w:val="21"/>
                      <w:szCs w:val="21"/>
                    </w:rPr>
                    <w:t>t/a；</w:t>
                  </w:r>
                </w:p>
                <w:p w14:paraId="363D362A">
                  <w:pPr>
                    <w:pStyle w:val="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w:t>
                  </w:r>
                  <w:r>
                    <w:rPr>
                      <w:rFonts w:hint="default" w:ascii="Times New Roman" w:hAnsi="Times New Roman" w:eastAsia="宋体" w:cs="Times New Roman"/>
                      <w:bCs/>
                      <w:color w:val="auto"/>
                      <w:sz w:val="21"/>
                      <w:szCs w:val="21"/>
                      <w:lang w:val="en-US" w:eastAsia="zh-CN"/>
                    </w:rPr>
                    <w:t>VOCs（以非甲烷总烃表征）</w:t>
                  </w:r>
                  <w:r>
                    <w:rPr>
                      <w:rFonts w:hint="default" w:ascii="Times New Roman" w:hAnsi="Times New Roman" w:eastAsia="宋体" w:cs="Times New Roman"/>
                      <w:color w:val="auto"/>
                      <w:sz w:val="21"/>
                      <w:szCs w:val="21"/>
                    </w:rPr>
                    <w:t>排放总量从泗阳县总量库中进行平衡。</w:t>
                  </w:r>
                </w:p>
                <w:p w14:paraId="03A2F2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废水：接管考核量：废水总量≤</w:t>
                  </w:r>
                  <w:r>
                    <w:rPr>
                      <w:rFonts w:hint="eastAsia" w:cs="Times New Roman"/>
                      <w:color w:val="auto"/>
                      <w:sz w:val="21"/>
                      <w:szCs w:val="21"/>
                      <w:lang w:val="en-US" w:eastAsia="zh-CN"/>
                    </w:rPr>
                    <w:t>60</w:t>
                  </w:r>
                  <w:r>
                    <w:rPr>
                      <w:rFonts w:hint="default" w:ascii="Times New Roman" w:hAnsi="Times New Roman" w:eastAsia="宋体" w:cs="Times New Roman"/>
                      <w:color w:val="auto"/>
                      <w:sz w:val="21"/>
                      <w:szCs w:val="21"/>
                    </w:rPr>
                    <w:t>0m³/a</w:t>
                  </w:r>
                  <w:r>
                    <w:rPr>
                      <w:rFonts w:hint="default" w:ascii="Times New Roman" w:hAnsi="Times New Roman" w:eastAsia="宋体" w:cs="Times New Roman"/>
                      <w:bCs/>
                      <w:color w:val="auto"/>
                      <w:sz w:val="21"/>
                      <w:szCs w:val="21"/>
                    </w:rPr>
                    <w:t>、COD≤</w:t>
                  </w:r>
                  <w:r>
                    <w:rPr>
                      <w:rFonts w:hint="eastAsia" w:cs="Times New Roman"/>
                      <w:bCs/>
                      <w:color w:val="auto"/>
                      <w:sz w:val="21"/>
                      <w:szCs w:val="21"/>
                      <w:lang w:val="en-US" w:eastAsia="zh-CN"/>
                    </w:rPr>
                    <w:t>0.168</w:t>
                  </w:r>
                  <w:r>
                    <w:rPr>
                      <w:rFonts w:hint="default" w:ascii="Times New Roman" w:hAnsi="Times New Roman" w:eastAsia="宋体" w:cs="Times New Roman"/>
                      <w:bCs/>
                      <w:color w:val="auto"/>
                      <w:sz w:val="21"/>
                      <w:szCs w:val="21"/>
                    </w:rPr>
                    <w:t>t/a、</w:t>
                  </w:r>
                  <w:r>
                    <w:rPr>
                      <w:rFonts w:hint="eastAsia" w:cs="Times New Roman"/>
                      <w:bCs/>
                      <w:color w:val="auto"/>
                      <w:sz w:val="21"/>
                      <w:szCs w:val="21"/>
                      <w:lang w:val="en-US" w:eastAsia="zh-CN"/>
                    </w:rPr>
                    <w:t>B</w:t>
                  </w:r>
                  <w:r>
                    <w:rPr>
                      <w:rFonts w:hint="default" w:ascii="Times New Roman" w:hAnsi="Times New Roman" w:eastAsia="宋体" w:cs="Times New Roman"/>
                      <w:bCs/>
                      <w:color w:val="auto"/>
                      <w:sz w:val="21"/>
                      <w:szCs w:val="21"/>
                    </w:rPr>
                    <w:t>OD</w:t>
                  </w:r>
                  <w:r>
                    <w:rPr>
                      <w:rFonts w:hint="eastAsia" w:cs="Times New Roman"/>
                      <w:bCs/>
                      <w:color w:val="auto"/>
                      <w:sz w:val="21"/>
                      <w:szCs w:val="21"/>
                      <w:vertAlign w:val="subscript"/>
                      <w:lang w:val="en-US" w:eastAsia="zh-CN"/>
                    </w:rPr>
                    <w:t>5</w:t>
                  </w:r>
                  <w:r>
                    <w:rPr>
                      <w:rFonts w:hint="default" w:ascii="Times New Roman" w:hAnsi="Times New Roman" w:eastAsia="宋体" w:cs="Times New Roman"/>
                      <w:bCs/>
                      <w:color w:val="auto"/>
                      <w:sz w:val="21"/>
                      <w:szCs w:val="21"/>
                    </w:rPr>
                    <w:t>≤</w:t>
                  </w:r>
                  <w:r>
                    <w:rPr>
                      <w:rFonts w:hint="eastAsia" w:cs="Times New Roman"/>
                      <w:bCs/>
                      <w:color w:val="auto"/>
                      <w:sz w:val="21"/>
                      <w:szCs w:val="21"/>
                      <w:lang w:val="en-US" w:eastAsia="zh-CN"/>
                    </w:rPr>
                    <w:t>0.096</w:t>
                  </w:r>
                  <w:r>
                    <w:rPr>
                      <w:rFonts w:hint="default" w:ascii="Times New Roman" w:hAnsi="Times New Roman" w:eastAsia="宋体" w:cs="Times New Roman"/>
                      <w:bCs/>
                      <w:color w:val="auto"/>
                      <w:sz w:val="21"/>
                      <w:szCs w:val="21"/>
                    </w:rPr>
                    <w:t>t/a</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SS≤</w:t>
                  </w:r>
                  <w:r>
                    <w:rPr>
                      <w:rFonts w:hint="default" w:ascii="Times New Roman" w:hAnsi="Times New Roman" w:eastAsia="宋体" w:cs="Times New Roman"/>
                      <w:color w:val="auto"/>
                      <w:sz w:val="21"/>
                      <w:szCs w:val="21"/>
                    </w:rPr>
                    <w:t>0.</w:t>
                  </w:r>
                  <w:r>
                    <w:rPr>
                      <w:rFonts w:hint="eastAsia" w:cs="Times New Roman"/>
                      <w:color w:val="auto"/>
                      <w:sz w:val="21"/>
                      <w:szCs w:val="21"/>
                      <w:lang w:val="en-US" w:eastAsia="zh-CN"/>
                    </w:rPr>
                    <w:t>096</w:t>
                  </w:r>
                  <w:r>
                    <w:rPr>
                      <w:rFonts w:hint="default" w:ascii="Times New Roman" w:hAnsi="Times New Roman" w:eastAsia="宋体" w:cs="Times New Roman"/>
                      <w:bCs/>
                      <w:color w:val="auto"/>
                      <w:sz w:val="21"/>
                      <w:szCs w:val="21"/>
                    </w:rPr>
                    <w:t>t/a、氨氮≤</w:t>
                  </w:r>
                  <w:r>
                    <w:rPr>
                      <w:rFonts w:hint="default" w:ascii="Times New Roman" w:hAnsi="Times New Roman" w:eastAsia="宋体" w:cs="Times New Roman"/>
                      <w:color w:val="auto"/>
                      <w:sz w:val="21"/>
                      <w:szCs w:val="21"/>
                    </w:rPr>
                    <w:t>0.</w:t>
                  </w:r>
                  <w:r>
                    <w:rPr>
                      <w:rFonts w:hint="eastAsia" w:cs="Times New Roman"/>
                      <w:color w:val="auto"/>
                      <w:sz w:val="21"/>
                      <w:szCs w:val="21"/>
                      <w:lang w:val="en-US" w:eastAsia="zh-CN"/>
                    </w:rPr>
                    <w:t>018</w:t>
                  </w:r>
                  <w:r>
                    <w:rPr>
                      <w:rFonts w:hint="default" w:ascii="Times New Roman" w:hAnsi="Times New Roman" w:eastAsia="宋体" w:cs="Times New Roman"/>
                      <w:bCs/>
                      <w:color w:val="auto"/>
                      <w:sz w:val="21"/>
                      <w:szCs w:val="21"/>
                    </w:rPr>
                    <w:t>t/a、总氮≤</w:t>
                  </w:r>
                  <w:r>
                    <w:rPr>
                      <w:rFonts w:hint="eastAsia" w:cs="Times New Roman"/>
                      <w:color w:val="auto"/>
                      <w:sz w:val="21"/>
                      <w:szCs w:val="21"/>
                      <w:lang w:val="en-US" w:eastAsia="zh-CN"/>
                    </w:rPr>
                    <w:t>0.024</w:t>
                  </w:r>
                  <w:r>
                    <w:rPr>
                      <w:rFonts w:hint="default" w:ascii="Times New Roman" w:hAnsi="Times New Roman" w:eastAsia="宋体" w:cs="Times New Roman"/>
                      <w:bCs/>
                      <w:color w:val="auto"/>
                      <w:sz w:val="21"/>
                      <w:szCs w:val="21"/>
                    </w:rPr>
                    <w:t>t/a、总磷≤0.</w:t>
                  </w:r>
                  <w:r>
                    <w:rPr>
                      <w:rFonts w:hint="eastAsia" w:cs="Times New Roman"/>
                      <w:bCs/>
                      <w:color w:val="auto"/>
                      <w:sz w:val="21"/>
                      <w:szCs w:val="21"/>
                      <w:lang w:val="en-US" w:eastAsia="zh-CN"/>
                    </w:rPr>
                    <w:t>0012</w:t>
                  </w:r>
                  <w:r>
                    <w:rPr>
                      <w:rFonts w:hint="default" w:ascii="Times New Roman" w:hAnsi="Times New Roman" w:eastAsia="宋体" w:cs="Times New Roman"/>
                      <w:bCs/>
                      <w:color w:val="auto"/>
                      <w:sz w:val="21"/>
                      <w:szCs w:val="21"/>
                    </w:rPr>
                    <w:t>t/a；进入环境量：废水总量≤</w:t>
                  </w:r>
                  <w:r>
                    <w:rPr>
                      <w:rFonts w:hint="eastAsia" w:cs="Times New Roman"/>
                      <w:color w:val="auto"/>
                      <w:sz w:val="21"/>
                      <w:szCs w:val="21"/>
                      <w:lang w:val="en-US" w:eastAsia="zh-CN"/>
                    </w:rPr>
                    <w:t>60</w:t>
                  </w:r>
                  <w:r>
                    <w:rPr>
                      <w:rFonts w:hint="default" w:ascii="Times New Roman" w:hAnsi="Times New Roman" w:eastAsia="宋体" w:cs="Times New Roman"/>
                      <w:color w:val="auto"/>
                      <w:sz w:val="21"/>
                      <w:szCs w:val="21"/>
                    </w:rPr>
                    <w:t>0m³/a</w:t>
                  </w:r>
                  <w:r>
                    <w:rPr>
                      <w:rFonts w:hint="default" w:ascii="Times New Roman" w:hAnsi="Times New Roman" w:eastAsia="宋体" w:cs="Times New Roman"/>
                      <w:bCs/>
                      <w:color w:val="auto"/>
                      <w:sz w:val="21"/>
                      <w:szCs w:val="21"/>
                    </w:rPr>
                    <w:t>、COD≤</w:t>
                  </w:r>
                  <w:r>
                    <w:rPr>
                      <w:rFonts w:hint="eastAsia" w:cs="Times New Roman"/>
                      <w:bCs/>
                      <w:color w:val="auto"/>
                      <w:sz w:val="21"/>
                      <w:szCs w:val="21"/>
                      <w:lang w:val="en-US" w:eastAsia="zh-CN"/>
                    </w:rPr>
                    <w:t>0.03</w:t>
                  </w:r>
                  <w:r>
                    <w:rPr>
                      <w:rFonts w:hint="default" w:ascii="Times New Roman" w:hAnsi="Times New Roman" w:eastAsia="宋体" w:cs="Times New Roman"/>
                      <w:bCs/>
                      <w:color w:val="auto"/>
                      <w:sz w:val="21"/>
                      <w:szCs w:val="21"/>
                    </w:rPr>
                    <w:t>t/a、</w:t>
                  </w:r>
                  <w:r>
                    <w:rPr>
                      <w:rFonts w:hint="eastAsia" w:cs="Times New Roman"/>
                      <w:bCs/>
                      <w:color w:val="auto"/>
                      <w:sz w:val="21"/>
                      <w:szCs w:val="21"/>
                      <w:lang w:val="en-US" w:eastAsia="zh-CN"/>
                    </w:rPr>
                    <w:t>B</w:t>
                  </w:r>
                  <w:r>
                    <w:rPr>
                      <w:rFonts w:hint="default" w:ascii="Times New Roman" w:hAnsi="Times New Roman" w:eastAsia="宋体" w:cs="Times New Roman"/>
                      <w:bCs/>
                      <w:color w:val="auto"/>
                      <w:sz w:val="21"/>
                      <w:szCs w:val="21"/>
                    </w:rPr>
                    <w:t>OD</w:t>
                  </w:r>
                  <w:r>
                    <w:rPr>
                      <w:rFonts w:hint="eastAsia" w:cs="Times New Roman"/>
                      <w:bCs/>
                      <w:color w:val="auto"/>
                      <w:sz w:val="21"/>
                      <w:szCs w:val="21"/>
                      <w:vertAlign w:val="subscript"/>
                      <w:lang w:val="en-US" w:eastAsia="zh-CN"/>
                    </w:rPr>
                    <w:t>5</w:t>
                  </w:r>
                  <w:r>
                    <w:rPr>
                      <w:rFonts w:hint="default" w:ascii="Times New Roman" w:hAnsi="Times New Roman" w:eastAsia="宋体" w:cs="Times New Roman"/>
                      <w:bCs/>
                      <w:color w:val="auto"/>
                      <w:sz w:val="21"/>
                      <w:szCs w:val="21"/>
                    </w:rPr>
                    <w:t>≤</w:t>
                  </w:r>
                  <w:r>
                    <w:rPr>
                      <w:rFonts w:hint="eastAsia" w:cs="Times New Roman"/>
                      <w:bCs/>
                      <w:color w:val="auto"/>
                      <w:sz w:val="21"/>
                      <w:szCs w:val="21"/>
                      <w:lang w:val="en-US" w:eastAsia="zh-CN"/>
                    </w:rPr>
                    <w:t>0.006</w:t>
                  </w:r>
                  <w:r>
                    <w:rPr>
                      <w:rFonts w:hint="default" w:ascii="Times New Roman" w:hAnsi="Times New Roman" w:eastAsia="宋体" w:cs="Times New Roman"/>
                      <w:bCs/>
                      <w:color w:val="auto"/>
                      <w:sz w:val="21"/>
                      <w:szCs w:val="21"/>
                    </w:rPr>
                    <w:t>t/a</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SS≤</w:t>
                  </w:r>
                  <w:r>
                    <w:rPr>
                      <w:rFonts w:hint="eastAsia" w:cs="Times New Roman"/>
                      <w:color w:val="auto"/>
                      <w:sz w:val="21"/>
                      <w:szCs w:val="21"/>
                      <w:lang w:val="en-US" w:eastAsia="zh-CN"/>
                    </w:rPr>
                    <w:t>0.006</w:t>
                  </w:r>
                  <w:r>
                    <w:rPr>
                      <w:rFonts w:hint="default" w:ascii="Times New Roman" w:hAnsi="Times New Roman" w:eastAsia="宋体" w:cs="Times New Roman"/>
                      <w:bCs/>
                      <w:color w:val="auto"/>
                      <w:sz w:val="21"/>
                      <w:szCs w:val="21"/>
                    </w:rPr>
                    <w:t>t/a、氨氮≤</w:t>
                  </w:r>
                  <w:r>
                    <w:rPr>
                      <w:rFonts w:hint="eastAsia" w:cs="Times New Roman"/>
                      <w:color w:val="auto"/>
                      <w:sz w:val="21"/>
                      <w:szCs w:val="21"/>
                      <w:lang w:val="en-US" w:eastAsia="zh-CN"/>
                    </w:rPr>
                    <w:t>0.003</w:t>
                  </w:r>
                  <w:r>
                    <w:rPr>
                      <w:rFonts w:hint="default" w:ascii="Times New Roman" w:hAnsi="Times New Roman" w:eastAsia="宋体" w:cs="Times New Roman"/>
                      <w:bCs/>
                      <w:color w:val="auto"/>
                      <w:sz w:val="21"/>
                      <w:szCs w:val="21"/>
                    </w:rPr>
                    <w:t>t/a、总氮≤</w:t>
                  </w:r>
                  <w:r>
                    <w:rPr>
                      <w:rFonts w:hint="eastAsia" w:cs="Times New Roman"/>
                      <w:color w:val="auto"/>
                      <w:sz w:val="21"/>
                      <w:szCs w:val="21"/>
                      <w:lang w:val="en-US" w:eastAsia="zh-CN"/>
                    </w:rPr>
                    <w:t>0.009</w:t>
                  </w:r>
                  <w:r>
                    <w:rPr>
                      <w:rFonts w:hint="default" w:ascii="Times New Roman" w:hAnsi="Times New Roman" w:eastAsia="宋体" w:cs="Times New Roman"/>
                      <w:bCs/>
                      <w:color w:val="auto"/>
                      <w:sz w:val="21"/>
                      <w:szCs w:val="21"/>
                    </w:rPr>
                    <w:t>t/a、总磷≤0</w:t>
                  </w:r>
                  <w:r>
                    <w:rPr>
                      <w:rFonts w:hint="eastAsia" w:cs="Times New Roman"/>
                      <w:bCs/>
                      <w:color w:val="auto"/>
                      <w:sz w:val="21"/>
                      <w:szCs w:val="21"/>
                      <w:lang w:val="en-US" w:eastAsia="zh-CN"/>
                    </w:rPr>
                    <w:t>.0003</w:t>
                  </w:r>
                  <w:r>
                    <w:rPr>
                      <w:rFonts w:hint="default" w:ascii="Times New Roman" w:hAnsi="Times New Roman" w:eastAsia="宋体" w:cs="Times New Roman"/>
                      <w:bCs/>
                      <w:color w:val="auto"/>
                      <w:sz w:val="21"/>
                      <w:szCs w:val="21"/>
                    </w:rPr>
                    <w:t>t/a；</w:t>
                  </w:r>
                </w:p>
                <w:p w14:paraId="6922C8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r>
                    <w:rPr>
                      <w:rFonts w:hint="default" w:ascii="Times New Roman" w:hAnsi="Times New Roman" w:eastAsia="宋体" w:cs="Times New Roman"/>
                      <w:bCs/>
                      <w:color w:val="auto"/>
                      <w:sz w:val="21"/>
                      <w:szCs w:val="21"/>
                    </w:rPr>
                    <w:t>固废：零排放。</w:t>
                  </w:r>
                </w:p>
              </w:tc>
              <w:tc>
                <w:tcPr>
                  <w:tcW w:w="460" w:type="pct"/>
                  <w:tcBorders>
                    <w:tl2br w:val="nil"/>
                    <w:tr2bl w:val="nil"/>
                  </w:tcBorders>
                  <w:tcMar>
                    <w:top w:w="28" w:type="dxa"/>
                    <w:left w:w="28" w:type="dxa"/>
                    <w:bottom w:w="28" w:type="dxa"/>
                    <w:right w:w="28" w:type="dxa"/>
                  </w:tcMar>
                  <w:vAlign w:val="center"/>
                </w:tcPr>
                <w:p w14:paraId="57D7C67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符合</w:t>
                  </w:r>
                </w:p>
              </w:tc>
            </w:tr>
            <w:tr w14:paraId="0469F5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tcBorders>
                    <w:tl2br w:val="nil"/>
                    <w:tr2bl w:val="nil"/>
                  </w:tcBorders>
                  <w:tcMar>
                    <w:top w:w="28" w:type="dxa"/>
                    <w:left w:w="28" w:type="dxa"/>
                    <w:bottom w:w="28" w:type="dxa"/>
                    <w:right w:w="28" w:type="dxa"/>
                  </w:tcMar>
                  <w:vAlign w:val="center"/>
                </w:tcPr>
                <w:p w14:paraId="49DEFF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环境风险防控</w:t>
                  </w:r>
                </w:p>
              </w:tc>
              <w:tc>
                <w:tcPr>
                  <w:tcW w:w="2486" w:type="pct"/>
                  <w:tcBorders>
                    <w:tl2br w:val="nil"/>
                    <w:tr2bl w:val="nil"/>
                  </w:tcBorders>
                  <w:tcMar>
                    <w:top w:w="28" w:type="dxa"/>
                    <w:left w:w="28" w:type="dxa"/>
                    <w:bottom w:w="28" w:type="dxa"/>
                    <w:right w:w="28" w:type="dxa"/>
                  </w:tcMar>
                  <w:vAlign w:val="center"/>
                </w:tcPr>
                <w:p w14:paraId="2D0902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r>
                    <w:rPr>
                      <w:rFonts w:hint="eastAsia"/>
                      <w:color w:val="auto"/>
                      <w:sz w:val="21"/>
                      <w:szCs w:val="21"/>
                      <w:lang w:eastAsia="zh-CN"/>
                    </w:rPr>
                    <w:t>1.</w:t>
                  </w:r>
                  <w:r>
                    <w:rPr>
                      <w:rFonts w:hint="eastAsia"/>
                      <w:color w:val="auto"/>
                      <w:sz w:val="21"/>
                      <w:szCs w:val="21"/>
                    </w:rPr>
                    <w:t>园区建立环境应急体系，完善事故应急救援体系加强应急物资装备储备，修编突发环境事件应急预案，定期开展演练。</w:t>
                  </w:r>
                </w:p>
                <w:p w14:paraId="13978F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r>
                    <w:rPr>
                      <w:rFonts w:hint="eastAsia"/>
                      <w:color w:val="auto"/>
                      <w:sz w:val="21"/>
                      <w:szCs w:val="21"/>
                      <w:lang w:eastAsia="zh-CN"/>
                    </w:rPr>
                    <w:t>2.</w:t>
                  </w:r>
                  <w:r>
                    <w:rPr>
                      <w:rFonts w:hint="eastAsia"/>
                      <w:color w:val="auto"/>
                      <w:sz w:val="21"/>
                      <w:szCs w:val="21"/>
                    </w:rPr>
                    <w:t>生产、使用、储存危险化学品或其他存在环境风险的企事业单位，应当制定风险防范措施，编制完善突发环境事件应急预案，防止发生环境污染事故。</w:t>
                  </w:r>
                </w:p>
                <w:p w14:paraId="039685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r>
                    <w:rPr>
                      <w:rFonts w:hint="eastAsia"/>
                      <w:color w:val="auto"/>
                      <w:sz w:val="21"/>
                      <w:szCs w:val="21"/>
                      <w:lang w:eastAsia="zh-CN"/>
                    </w:rPr>
                    <w:t>3.</w:t>
                  </w:r>
                  <w:r>
                    <w:rPr>
                      <w:rFonts w:hint="eastAsia"/>
                      <w:color w:val="auto"/>
                      <w:sz w:val="21"/>
                      <w:szCs w:val="21"/>
                    </w:rPr>
                    <w:t>加强环境影响跟踪监测，建立健全各环境要素监控体系，完善并落实园区日常环境监测与污染源监控计划。</w:t>
                  </w:r>
                </w:p>
              </w:tc>
              <w:tc>
                <w:tcPr>
                  <w:tcW w:w="1749" w:type="pct"/>
                  <w:tcBorders>
                    <w:tl2br w:val="nil"/>
                    <w:tr2bl w:val="nil"/>
                  </w:tcBorders>
                  <w:tcMar>
                    <w:top w:w="28" w:type="dxa"/>
                    <w:left w:w="28" w:type="dxa"/>
                    <w:bottom w:w="28" w:type="dxa"/>
                    <w:right w:w="28" w:type="dxa"/>
                  </w:tcMar>
                  <w:vAlign w:val="center"/>
                </w:tcPr>
                <w:p w14:paraId="2036F90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auto"/>
                      <w:sz w:val="21"/>
                      <w:szCs w:val="21"/>
                    </w:rPr>
                  </w:pPr>
                  <w:r>
                    <w:rPr>
                      <w:rFonts w:hint="eastAsia"/>
                      <w:color w:val="auto"/>
                      <w:sz w:val="21"/>
                      <w:szCs w:val="21"/>
                    </w:rPr>
                    <w:t>本项目将落实环境风险防范措施，并针对可能发生的物料泄漏和火灾爆炸等事故进行定期演练，防止和减轻事故危害</w:t>
                  </w:r>
                  <w:r>
                    <w:rPr>
                      <w:color w:val="auto"/>
                      <w:sz w:val="21"/>
                      <w:szCs w:val="21"/>
                    </w:rPr>
                    <w:t>。</w:t>
                  </w:r>
                </w:p>
              </w:tc>
              <w:tc>
                <w:tcPr>
                  <w:tcW w:w="460" w:type="pct"/>
                  <w:tcBorders>
                    <w:tl2br w:val="nil"/>
                    <w:tr2bl w:val="nil"/>
                  </w:tcBorders>
                  <w:tcMar>
                    <w:top w:w="28" w:type="dxa"/>
                    <w:left w:w="28" w:type="dxa"/>
                    <w:bottom w:w="28" w:type="dxa"/>
                    <w:right w:w="28" w:type="dxa"/>
                  </w:tcMar>
                  <w:vAlign w:val="center"/>
                </w:tcPr>
                <w:p w14:paraId="394B8A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符合</w:t>
                  </w:r>
                </w:p>
              </w:tc>
            </w:tr>
            <w:tr w14:paraId="6DBB19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4" w:type="pct"/>
                  <w:tcBorders>
                    <w:tl2br w:val="nil"/>
                    <w:tr2bl w:val="nil"/>
                  </w:tcBorders>
                  <w:tcMar>
                    <w:top w:w="28" w:type="dxa"/>
                    <w:left w:w="28" w:type="dxa"/>
                    <w:bottom w:w="28" w:type="dxa"/>
                    <w:right w:w="28" w:type="dxa"/>
                  </w:tcMar>
                  <w:vAlign w:val="center"/>
                </w:tcPr>
                <w:p w14:paraId="26BB16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资源</w:t>
                  </w:r>
                </w:p>
                <w:p w14:paraId="4F551CC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开发</w:t>
                  </w:r>
                </w:p>
                <w:p w14:paraId="42544A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利用</w:t>
                  </w:r>
                </w:p>
                <w:p w14:paraId="47A1CB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要求</w:t>
                  </w:r>
                </w:p>
              </w:tc>
              <w:tc>
                <w:tcPr>
                  <w:tcW w:w="2486" w:type="pct"/>
                  <w:tcBorders>
                    <w:tl2br w:val="nil"/>
                    <w:tr2bl w:val="nil"/>
                  </w:tcBorders>
                  <w:tcMar>
                    <w:top w:w="28" w:type="dxa"/>
                    <w:left w:w="28" w:type="dxa"/>
                    <w:bottom w:w="28" w:type="dxa"/>
                    <w:right w:w="28" w:type="dxa"/>
                  </w:tcMar>
                  <w:vAlign w:val="center"/>
                </w:tcPr>
                <w:p w14:paraId="33E8F128">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1.新建高耗能项目单位产品（产值）能耗要达到国际先进水平。</w:t>
                  </w:r>
                </w:p>
                <w:p w14:paraId="6F0AE927">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2.按照国家和省能耗及水耗限额标准执行。</w:t>
                  </w:r>
                </w:p>
                <w:p w14:paraId="0301B216">
                  <w:pPr>
                    <w:pStyle w:val="224"/>
                    <w:keepNext w:val="0"/>
                    <w:keepLines w:val="0"/>
                    <w:pageBreakBefore w:val="0"/>
                    <w:widowControl w:val="0"/>
                    <w:kinsoku/>
                    <w:wordWrap/>
                    <w:overflowPunct/>
                    <w:topLinePunct w:val="0"/>
                    <w:autoSpaceDE/>
                    <w:autoSpaceDN/>
                    <w:bidi w:val="0"/>
                    <w:adjustRightInd w:val="0"/>
                    <w:snapToGrid w:val="0"/>
                    <w:spacing w:after="0" w:line="240" w:lineRule="auto"/>
                    <w:ind w:left="0" w:right="0" w:firstLine="0" w:firstLineChars="0"/>
                    <w:textAlignment w:val="auto"/>
                    <w:rPr>
                      <w:rFonts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3.强化企业清洁生产改造，推进节水型企业、节水型园区建设，提高资源能源利用效率</w:t>
                  </w:r>
                  <w:r>
                    <w:rPr>
                      <w:rFonts w:ascii="Times New Roman" w:hAnsi="Times New Roman" w:cs="Times New Roman"/>
                      <w:color w:val="auto"/>
                      <w:sz w:val="21"/>
                      <w:szCs w:val="21"/>
                      <w:lang w:eastAsia="zh-CN"/>
                    </w:rPr>
                    <w:t>。</w:t>
                  </w:r>
                </w:p>
              </w:tc>
              <w:tc>
                <w:tcPr>
                  <w:tcW w:w="1749" w:type="pct"/>
                  <w:tcBorders>
                    <w:tl2br w:val="nil"/>
                    <w:tr2bl w:val="nil"/>
                  </w:tcBorders>
                  <w:shd w:val="clear" w:color="auto" w:fill="auto"/>
                  <w:tcMar>
                    <w:top w:w="28" w:type="dxa"/>
                    <w:left w:w="28" w:type="dxa"/>
                    <w:bottom w:w="28" w:type="dxa"/>
                    <w:right w:w="28" w:type="dxa"/>
                  </w:tcMar>
                  <w:vAlign w:val="center"/>
                </w:tcPr>
                <w:p w14:paraId="25EA97C8">
                  <w:pPr>
                    <w:keepNext w:val="0"/>
                    <w:keepLines w:val="0"/>
                    <w:pageBreakBefore w:val="0"/>
                    <w:kinsoku/>
                    <w:wordWrap/>
                    <w:overflowPunct/>
                    <w:topLinePunct w:val="0"/>
                    <w:bidi w:val="0"/>
                    <w:adjustRightInd w:val="0"/>
                    <w:snapToGrid w:val="0"/>
                    <w:spacing w:line="240" w:lineRule="auto"/>
                    <w:ind w:firstLine="0" w:firstLineChars="0"/>
                    <w:rPr>
                      <w:rFonts w:ascii="Times New Roman" w:hAnsi="Times New Roman" w:eastAsia="宋体" w:cs="Times New Roman"/>
                      <w:color w:val="auto"/>
                      <w:kern w:val="2"/>
                      <w:sz w:val="21"/>
                      <w:szCs w:val="21"/>
                      <w:lang w:val="en-US" w:eastAsia="zh-CN" w:bidi="ar-SA"/>
                    </w:rPr>
                  </w:pPr>
                  <w:r>
                    <w:rPr>
                      <w:rFonts w:hint="eastAsia"/>
                      <w:color w:val="auto"/>
                      <w:sz w:val="21"/>
                      <w:szCs w:val="21"/>
                    </w:rPr>
                    <w:t>本项目</w:t>
                  </w:r>
                  <w:r>
                    <w:rPr>
                      <w:rFonts w:hint="eastAsia"/>
                      <w:color w:val="auto"/>
                      <w:sz w:val="21"/>
                      <w:szCs w:val="21"/>
                      <w:lang w:val="en-US" w:eastAsia="zh-CN"/>
                    </w:rPr>
                    <w:t>生产过程中无生产废水排放，废气经收集处理后有组织排放</w:t>
                  </w:r>
                  <w:r>
                    <w:rPr>
                      <w:rFonts w:hint="eastAsia"/>
                      <w:color w:val="auto"/>
                      <w:sz w:val="21"/>
                      <w:szCs w:val="21"/>
                    </w:rPr>
                    <w:t>，符合循环经济理念和清洁生产原则；项目使用清洁能源电能，生产工艺注重密闭化、自动化、连续化，属于先进的生产工艺。</w:t>
                  </w:r>
                </w:p>
              </w:tc>
              <w:tc>
                <w:tcPr>
                  <w:tcW w:w="460" w:type="pct"/>
                  <w:tcBorders>
                    <w:tl2br w:val="nil"/>
                    <w:tr2bl w:val="nil"/>
                  </w:tcBorders>
                  <w:tcMar>
                    <w:top w:w="28" w:type="dxa"/>
                    <w:left w:w="28" w:type="dxa"/>
                    <w:bottom w:w="28" w:type="dxa"/>
                    <w:right w:w="28" w:type="dxa"/>
                  </w:tcMar>
                  <w:vAlign w:val="center"/>
                </w:tcPr>
                <w:p w14:paraId="6DD459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符合</w:t>
                  </w:r>
                </w:p>
              </w:tc>
            </w:tr>
          </w:tbl>
          <w:p w14:paraId="0EC9233F">
            <w:pPr>
              <w:autoSpaceDE w:val="0"/>
              <w:autoSpaceDN w:val="0"/>
              <w:adjustRightInd w:val="0"/>
              <w:snapToGrid w:val="0"/>
              <w:spacing w:before="120" w:beforeLines="50" w:line="360" w:lineRule="auto"/>
              <w:ind w:firstLine="480" w:firstLineChars="200"/>
              <w:jc w:val="left"/>
              <w:rPr>
                <w:color w:val="auto"/>
                <w:sz w:val="24"/>
              </w:rPr>
            </w:pPr>
            <w:r>
              <w:rPr>
                <w:color w:val="auto"/>
                <w:sz w:val="24"/>
              </w:rPr>
              <w:t>综上所述，本项目符合</w:t>
            </w:r>
            <w:r>
              <w:rPr>
                <w:rFonts w:hint="eastAsia" w:ascii="宋体" w:hAnsi="宋体" w:cs="宋体"/>
                <w:color w:val="auto"/>
                <w:sz w:val="24"/>
              </w:rPr>
              <w:t>“</w:t>
            </w:r>
            <w:r>
              <w:rPr>
                <w:color w:val="auto"/>
                <w:sz w:val="24"/>
              </w:rPr>
              <w:t>三线一单</w:t>
            </w:r>
            <w:r>
              <w:rPr>
                <w:rFonts w:hint="eastAsia" w:ascii="宋体" w:hAnsi="宋体" w:cs="宋体"/>
                <w:color w:val="auto"/>
                <w:sz w:val="24"/>
              </w:rPr>
              <w:t>”</w:t>
            </w:r>
            <w:r>
              <w:rPr>
                <w:color w:val="auto"/>
                <w:sz w:val="24"/>
              </w:rPr>
              <w:t>的要求</w:t>
            </w:r>
            <w:r>
              <w:rPr>
                <w:rFonts w:hint="eastAsia"/>
                <w:color w:val="auto"/>
                <w:sz w:val="24"/>
              </w:rPr>
              <w:t>。</w:t>
            </w:r>
          </w:p>
          <w:p w14:paraId="50ED291C">
            <w:pPr>
              <w:pStyle w:val="35"/>
              <w:snapToGrid w:val="0"/>
              <w:spacing w:line="360" w:lineRule="auto"/>
              <w:ind w:firstLine="482" w:firstLineChars="200"/>
              <w:outlineLvl w:val="9"/>
              <w:rPr>
                <w:rFonts w:ascii="Times New Roman" w:hAnsi="Times New Roman" w:cs="Times New Roman"/>
                <w:color w:val="auto"/>
              </w:rPr>
            </w:pPr>
            <w:r>
              <w:rPr>
                <w:rFonts w:hint="eastAsia" w:ascii="Times New Roman" w:hAnsi="Times New Roman" w:cs="Times New Roman"/>
                <w:color w:val="auto"/>
                <w:lang w:eastAsia="zh-CN"/>
              </w:rPr>
              <w:t>3.</w:t>
            </w:r>
            <w:r>
              <w:rPr>
                <w:rFonts w:hint="default" w:ascii="Times New Roman" w:hAnsi="Times New Roman" w:eastAsia="宋体" w:cs="Times New Roman"/>
                <w:b/>
                <w:bCs/>
                <w:color w:val="auto"/>
              </w:rPr>
              <w:t>与其他相关环保政策相符性分析</w:t>
            </w:r>
          </w:p>
          <w:p w14:paraId="7A392E6E">
            <w:pPr>
              <w:adjustRightInd w:val="0"/>
              <w:snapToGrid w:val="0"/>
              <w:spacing w:line="360" w:lineRule="auto"/>
              <w:ind w:firstLine="480"/>
              <w:rPr>
                <w:rFonts w:hint="eastAsia"/>
                <w:color w:val="auto"/>
              </w:rPr>
            </w:pPr>
            <w:r>
              <w:rPr>
                <w:rFonts w:hint="default"/>
                <w:color w:val="auto"/>
              </w:rPr>
              <w:t>①</w:t>
            </w:r>
            <w:r>
              <w:rPr>
                <w:rFonts w:hint="eastAsia"/>
                <w:color w:val="auto"/>
              </w:rPr>
              <w:t>《江苏省挥发性有机物污染防治管理办法》</w:t>
            </w:r>
            <w:r>
              <w:rPr>
                <w:rFonts w:hint="eastAsia"/>
                <w:color w:val="auto"/>
                <w:lang w:eastAsia="zh-CN"/>
              </w:rPr>
              <w:t>（</w:t>
            </w:r>
            <w:r>
              <w:rPr>
                <w:rFonts w:hint="eastAsia"/>
                <w:color w:val="auto"/>
              </w:rPr>
              <w:t>江苏省人民政府令第119号</w:t>
            </w:r>
            <w:r>
              <w:rPr>
                <w:rFonts w:hint="eastAsia"/>
                <w:color w:val="auto"/>
                <w:lang w:eastAsia="zh-CN"/>
              </w:rPr>
              <w:t>）</w:t>
            </w:r>
            <w:r>
              <w:rPr>
                <w:rFonts w:hint="eastAsia"/>
                <w:color w:val="auto"/>
              </w:rPr>
              <w:t>相符性分析</w:t>
            </w:r>
          </w:p>
          <w:p w14:paraId="24D680A8">
            <w:pPr>
              <w:adjustRightInd w:val="0"/>
              <w:snapToGrid w:val="0"/>
              <w:spacing w:line="360" w:lineRule="auto"/>
              <w:ind w:firstLine="480"/>
              <w:rPr>
                <w:rFonts w:hint="eastAsia"/>
                <w:color w:val="auto"/>
              </w:rPr>
            </w:pPr>
            <w:r>
              <w:rPr>
                <w:rFonts w:hint="eastAsia"/>
                <w:color w:val="auto"/>
              </w:rPr>
              <w:t>《江苏省挥发性有机物污染防治管理办法》</w:t>
            </w:r>
            <w:r>
              <w:rPr>
                <w:rFonts w:hint="eastAsia"/>
                <w:color w:val="auto"/>
                <w:lang w:eastAsia="zh-CN"/>
              </w:rPr>
              <w:t>（</w:t>
            </w:r>
            <w:r>
              <w:rPr>
                <w:rFonts w:hint="eastAsia"/>
                <w:color w:val="auto"/>
              </w:rPr>
              <w:t>江苏省人民政府令第119号</w:t>
            </w:r>
            <w:r>
              <w:rPr>
                <w:rFonts w:hint="eastAsia"/>
                <w:color w:val="auto"/>
                <w:lang w:eastAsia="zh-CN"/>
              </w:rPr>
              <w:t>）</w:t>
            </w:r>
            <w:r>
              <w:rPr>
                <w:rFonts w:hint="eastAsia"/>
                <w:color w:val="auto"/>
              </w:rPr>
              <w:t>第二十一条</w:t>
            </w:r>
            <w:r>
              <w:rPr>
                <w:rFonts w:hint="eastAsia"/>
                <w:color w:val="auto"/>
                <w:lang w:eastAsia="zh-CN"/>
              </w:rPr>
              <w:t>：</w:t>
            </w:r>
            <w:r>
              <w:rPr>
                <w:rFonts w:hint="eastAsia"/>
                <w:color w:val="auto"/>
              </w:rPr>
              <w:t>“产生挥发性有机物废气的生产经营活动应当在密闭空间或者密闭设备中进行。生产场所、生产设备应当按照环境保护和安全生产等要求设计、安装和有效运行挥发性有机物回收或者净化设施</w:t>
            </w:r>
            <w:r>
              <w:rPr>
                <w:rFonts w:hint="eastAsia"/>
                <w:color w:val="auto"/>
                <w:lang w:eastAsia="zh-CN"/>
              </w:rPr>
              <w:t>；</w:t>
            </w:r>
            <w:r>
              <w:rPr>
                <w:rFonts w:hint="eastAsia"/>
                <w:color w:val="auto"/>
              </w:rPr>
              <w:t>固体废物、废水、废气处理系统产生的废气应当收集和处理</w:t>
            </w:r>
            <w:r>
              <w:rPr>
                <w:rFonts w:hint="eastAsia"/>
                <w:color w:val="auto"/>
                <w:lang w:eastAsia="zh-CN"/>
              </w:rPr>
              <w:t>；</w:t>
            </w:r>
            <w:r>
              <w:rPr>
                <w:rFonts w:hint="eastAsia"/>
                <w:color w:val="auto"/>
              </w:rPr>
              <w:t>含有挥发性有机物的物料应当密闭储存、运输、装卸，禁止敞口和露天放置。无法在密闭空间进行的生产经营活动应当采取有效措施，减少挥发性有机物排放量。</w:t>
            </w:r>
          </w:p>
          <w:p w14:paraId="2ACD3193">
            <w:pPr>
              <w:adjustRightInd w:val="0"/>
              <w:snapToGrid w:val="0"/>
              <w:spacing w:line="360" w:lineRule="auto"/>
              <w:ind w:firstLine="480"/>
              <w:rPr>
                <w:rFonts w:hint="default"/>
                <w:color w:val="auto"/>
              </w:rPr>
            </w:pPr>
            <w:r>
              <w:rPr>
                <w:rFonts w:hint="eastAsia"/>
                <w:color w:val="auto"/>
              </w:rPr>
              <w:t>本项目生产设备按照环境保护和安全生产要求设计、安装。本项目使用</w:t>
            </w:r>
            <w:r>
              <w:rPr>
                <w:rFonts w:hint="eastAsia"/>
                <w:color w:val="auto"/>
                <w:lang w:val="en-US" w:eastAsia="zh-CN"/>
              </w:rPr>
              <w:t>油剂</w:t>
            </w:r>
            <w:r>
              <w:rPr>
                <w:rFonts w:hint="eastAsia"/>
                <w:color w:val="auto"/>
              </w:rPr>
              <w:t>均妥善保存在厂房内，不露天储存。因此，本项目符合《江苏省挥发性有机物污染防治管理办法》</w:t>
            </w:r>
            <w:r>
              <w:rPr>
                <w:rFonts w:hint="eastAsia"/>
                <w:color w:val="auto"/>
                <w:lang w:eastAsia="zh-CN"/>
              </w:rPr>
              <w:t>（</w:t>
            </w:r>
            <w:r>
              <w:rPr>
                <w:rFonts w:hint="eastAsia"/>
                <w:color w:val="auto"/>
              </w:rPr>
              <w:t>江苏省人民政府令第119号</w:t>
            </w:r>
            <w:r>
              <w:rPr>
                <w:rFonts w:hint="eastAsia"/>
                <w:color w:val="auto"/>
                <w:lang w:eastAsia="zh-CN"/>
              </w:rPr>
              <w:t>）</w:t>
            </w:r>
            <w:r>
              <w:rPr>
                <w:rFonts w:hint="eastAsia"/>
                <w:color w:val="auto"/>
              </w:rPr>
              <w:t>中相关规定。</w:t>
            </w:r>
          </w:p>
          <w:p w14:paraId="52889264">
            <w:pPr>
              <w:adjustRightInd w:val="0"/>
              <w:snapToGrid w:val="0"/>
              <w:spacing w:line="360" w:lineRule="auto"/>
              <w:ind w:firstLine="480"/>
              <w:rPr>
                <w:rFonts w:hint="default"/>
                <w:color w:val="auto"/>
              </w:rPr>
            </w:pPr>
            <w:r>
              <w:rPr>
                <w:rFonts w:hint="default"/>
                <w:color w:val="auto"/>
              </w:rPr>
              <w:t xml:space="preserve">②与《挥发性有机物无组织排放控制标准》（GB37822-2019）和《关于印发〈挥发性有机物无组织排放控制标准〉 (GB37822-2019)  的通知》 </w:t>
            </w:r>
            <w:r>
              <w:rPr>
                <w:rFonts w:hint="eastAsia"/>
                <w:color w:val="auto"/>
                <w:lang w:eastAsia="zh-CN"/>
              </w:rPr>
              <w:t>（</w:t>
            </w:r>
            <w:r>
              <w:rPr>
                <w:rFonts w:hint="default"/>
                <w:color w:val="auto"/>
              </w:rPr>
              <w:t xml:space="preserve">宿污防指办[2019|55 号 </w:t>
            </w:r>
            <w:r>
              <w:rPr>
                <w:rFonts w:hint="eastAsia"/>
                <w:color w:val="auto"/>
                <w:lang w:eastAsia="zh-CN"/>
              </w:rPr>
              <w:t>）</w:t>
            </w:r>
            <w:r>
              <w:rPr>
                <w:rFonts w:hint="default"/>
                <w:color w:val="auto"/>
              </w:rPr>
              <w:t xml:space="preserve"> 相符性分析</w:t>
            </w:r>
          </w:p>
          <w:p w14:paraId="35DB5EFB">
            <w:pPr>
              <w:adjustRightInd w:val="0"/>
              <w:snapToGrid w:val="0"/>
              <w:spacing w:line="360" w:lineRule="auto"/>
              <w:ind w:firstLine="480"/>
              <w:jc w:val="center"/>
              <w:rPr>
                <w:rFonts w:hint="default"/>
                <w:b/>
                <w:bCs/>
                <w:color w:val="auto"/>
              </w:rPr>
            </w:pPr>
            <w:r>
              <w:rPr>
                <w:rFonts w:hint="default"/>
                <w:b/>
                <w:bCs/>
                <w:color w:val="auto"/>
              </w:rPr>
              <w:t>表1-</w:t>
            </w:r>
            <w:r>
              <w:rPr>
                <w:rFonts w:hint="eastAsia"/>
                <w:b/>
                <w:bCs/>
                <w:color w:val="auto"/>
                <w:lang w:val="en-US" w:eastAsia="zh-CN"/>
              </w:rPr>
              <w:t>8</w:t>
            </w:r>
            <w:r>
              <w:rPr>
                <w:rFonts w:hint="default"/>
                <w:b/>
                <w:bCs/>
                <w:color w:val="auto"/>
              </w:rPr>
              <w:t xml:space="preserve"> 与《挥发性有机物无组织排放控制标准》和《关于印发 </w:t>
            </w:r>
            <w:r>
              <w:rPr>
                <w:rFonts w:hint="eastAsia"/>
                <w:b/>
                <w:bCs/>
                <w:color w:val="auto"/>
                <w:lang w:eastAsia="zh-CN"/>
              </w:rPr>
              <w:t>〈</w:t>
            </w:r>
            <w:r>
              <w:rPr>
                <w:rFonts w:hint="default"/>
                <w:b/>
                <w:bCs/>
                <w:color w:val="auto"/>
              </w:rPr>
              <w:t>挥发性有机物无组织排放控制标准〉</w:t>
            </w:r>
            <w:r>
              <w:rPr>
                <w:rFonts w:hint="eastAsia"/>
                <w:b/>
                <w:bCs/>
                <w:color w:val="auto"/>
                <w:lang w:eastAsia="zh-CN"/>
              </w:rPr>
              <w:t>（</w:t>
            </w:r>
            <w:r>
              <w:rPr>
                <w:rFonts w:hint="default"/>
                <w:b/>
                <w:bCs/>
                <w:color w:val="auto"/>
              </w:rPr>
              <w:t>GB7822-20l9</w:t>
            </w:r>
            <w:r>
              <w:rPr>
                <w:rFonts w:hint="eastAsia"/>
                <w:b/>
                <w:bCs/>
                <w:color w:val="auto"/>
                <w:lang w:eastAsia="zh-CN"/>
              </w:rPr>
              <w:t>）</w:t>
            </w:r>
            <w:r>
              <w:rPr>
                <w:rFonts w:hint="default"/>
                <w:b/>
                <w:bCs/>
                <w:color w:val="auto"/>
              </w:rPr>
              <w:t>的通知》相符性分析</w:t>
            </w:r>
          </w:p>
          <w:tbl>
            <w:tblPr>
              <w:tblStyle w:val="3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4615"/>
              <w:gridCol w:w="2700"/>
              <w:gridCol w:w="938"/>
            </w:tblGrid>
            <w:tr w14:paraId="36F837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468FE15D">
                  <w:pPr>
                    <w:pStyle w:val="14"/>
                    <w:adjustRightInd w:val="0"/>
                    <w:spacing w:before="0" w:after="0" w:line="240" w:lineRule="auto"/>
                    <w:ind w:right="0"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序号</w:t>
                  </w:r>
                </w:p>
              </w:tc>
              <w:tc>
                <w:tcPr>
                  <w:tcW w:w="2572" w:type="pct"/>
                  <w:tcBorders>
                    <w:tl2br w:val="nil"/>
                    <w:tr2bl w:val="nil"/>
                  </w:tcBorders>
                  <w:vAlign w:val="center"/>
                </w:tcPr>
                <w:p w14:paraId="00762497">
                  <w:pPr>
                    <w:pStyle w:val="14"/>
                    <w:adjustRightInd w:val="0"/>
                    <w:spacing w:before="0" w:after="0" w:line="240" w:lineRule="auto"/>
                    <w:ind w:right="0"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要求</w:t>
                  </w:r>
                </w:p>
              </w:tc>
              <w:tc>
                <w:tcPr>
                  <w:tcW w:w="1505" w:type="pct"/>
                  <w:tcBorders>
                    <w:tl2br w:val="nil"/>
                    <w:tr2bl w:val="nil"/>
                  </w:tcBorders>
                  <w:vAlign w:val="center"/>
                </w:tcPr>
                <w:p w14:paraId="2F4A1CA1">
                  <w:pPr>
                    <w:pStyle w:val="14"/>
                    <w:adjustRightInd w:val="0"/>
                    <w:spacing w:before="0" w:after="0" w:line="240" w:lineRule="auto"/>
                    <w:ind w:right="0"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企业情况</w:t>
                  </w:r>
                </w:p>
              </w:tc>
              <w:tc>
                <w:tcPr>
                  <w:tcW w:w="522" w:type="pct"/>
                  <w:tcBorders>
                    <w:tl2br w:val="nil"/>
                    <w:tr2bl w:val="nil"/>
                  </w:tcBorders>
                  <w:vAlign w:val="center"/>
                </w:tcPr>
                <w:p w14:paraId="51BBD1C4">
                  <w:pPr>
                    <w:pStyle w:val="14"/>
                    <w:adjustRightInd w:val="0"/>
                    <w:spacing w:before="0" w:after="0" w:line="240" w:lineRule="auto"/>
                    <w:ind w:right="0" w:firstLine="0" w:firstLineChars="0"/>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相符性</w:t>
                  </w:r>
                </w:p>
              </w:tc>
            </w:tr>
            <w:tr w14:paraId="7A28FC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vAlign w:val="center"/>
                </w:tcPr>
                <w:p w14:paraId="3B697A64">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《挥发性有机物无组织排放控制标准》</w:t>
                  </w:r>
                  <w:r>
                    <w:rPr>
                      <w:rFonts w:hint="eastAsia" w:cs="Times New Roman"/>
                      <w:b w:val="0"/>
                      <w:bCs w:val="0"/>
                      <w:color w:val="auto"/>
                      <w:sz w:val="21"/>
                      <w:szCs w:val="21"/>
                      <w:lang w:eastAsia="zh-CN"/>
                    </w:rPr>
                    <w:t>（</w:t>
                  </w:r>
                  <w:r>
                    <w:rPr>
                      <w:rFonts w:hint="eastAsia" w:ascii="Times New Roman" w:hAnsi="Times New Roman" w:eastAsia="宋体" w:cs="Times New Roman"/>
                      <w:b w:val="0"/>
                      <w:bCs w:val="0"/>
                      <w:color w:val="auto"/>
                      <w:sz w:val="21"/>
                      <w:szCs w:val="21"/>
                    </w:rPr>
                    <w:t>GB37822-2019</w:t>
                  </w:r>
                  <w:r>
                    <w:rPr>
                      <w:rFonts w:hint="eastAsia" w:cs="Times New Roman"/>
                      <w:b w:val="0"/>
                      <w:bCs w:val="0"/>
                      <w:color w:val="auto"/>
                      <w:sz w:val="21"/>
                      <w:szCs w:val="21"/>
                      <w:lang w:eastAsia="zh-CN"/>
                    </w:rPr>
                    <w:t>）</w:t>
                  </w:r>
                </w:p>
              </w:tc>
            </w:tr>
            <w:tr w14:paraId="1C6D61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587BDB60">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1</w:t>
                  </w:r>
                </w:p>
              </w:tc>
              <w:tc>
                <w:tcPr>
                  <w:tcW w:w="2572" w:type="pct"/>
                  <w:tcBorders>
                    <w:tl2br w:val="nil"/>
                    <w:tr2bl w:val="nil"/>
                  </w:tcBorders>
                  <w:vAlign w:val="center"/>
                </w:tcPr>
                <w:p w14:paraId="7D0FA908">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企业应建立台账，记录含VOCs 原辅材料和含VOCs产品的名称、使用量、回收量、废弃量、去向以及VOCs含量等信息。台账保存期限不少于3年。</w:t>
                  </w:r>
                </w:p>
              </w:tc>
              <w:tc>
                <w:tcPr>
                  <w:tcW w:w="1505" w:type="pct"/>
                  <w:tcBorders>
                    <w:tl2br w:val="nil"/>
                    <w:tr2bl w:val="nil"/>
                  </w:tcBorders>
                  <w:vAlign w:val="center"/>
                </w:tcPr>
                <w:p w14:paraId="5304EF59">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企业建成后将记录含VOCs原辅材料名称、使用量、废弃量、去向等，台账保存期限不少于5年。</w:t>
                  </w:r>
                </w:p>
              </w:tc>
              <w:tc>
                <w:tcPr>
                  <w:tcW w:w="522" w:type="pct"/>
                  <w:tcBorders>
                    <w:tl2br w:val="nil"/>
                    <w:tr2bl w:val="nil"/>
                  </w:tcBorders>
                  <w:vAlign w:val="center"/>
                </w:tcPr>
                <w:p w14:paraId="5F966D5C">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相符</w:t>
                  </w:r>
                </w:p>
              </w:tc>
            </w:tr>
            <w:tr w14:paraId="447B64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4ED8B4A0">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2</w:t>
                  </w:r>
                </w:p>
              </w:tc>
              <w:tc>
                <w:tcPr>
                  <w:tcW w:w="2572" w:type="pct"/>
                  <w:tcBorders>
                    <w:tl2br w:val="nil"/>
                    <w:tr2bl w:val="nil"/>
                  </w:tcBorders>
                  <w:vAlign w:val="center"/>
                </w:tcPr>
                <w:p w14:paraId="4F55A464">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VOCs</w:t>
                  </w:r>
                  <w:r>
                    <w:rPr>
                      <w:rFonts w:hint="eastAsia" w:cs="Times New Roman"/>
                      <w:b w:val="0"/>
                      <w:bCs w:val="0"/>
                      <w:color w:val="auto"/>
                      <w:sz w:val="21"/>
                      <w:szCs w:val="21"/>
                      <w:lang w:eastAsia="zh-CN"/>
                    </w:rPr>
                    <w:t>物料</w:t>
                  </w:r>
                  <w:r>
                    <w:rPr>
                      <w:rFonts w:hint="default" w:ascii="Times New Roman" w:hAnsi="Times New Roman" w:eastAsia="宋体" w:cs="Times New Roman"/>
                      <w:b w:val="0"/>
                      <w:bCs w:val="0"/>
                      <w:color w:val="auto"/>
                      <w:sz w:val="21"/>
                      <w:szCs w:val="21"/>
                    </w:rPr>
                    <w:t>应储存于密闭的容器、包装袋 、储罐、储库、料仓中；盛装VOCs物料的容器或包装袋应存放于室内，或存放于设置有雨棚、遮阳和防渗设施的专用场地。</w:t>
                  </w:r>
                </w:p>
              </w:tc>
              <w:tc>
                <w:tcPr>
                  <w:tcW w:w="1505" w:type="pct"/>
                  <w:tcBorders>
                    <w:tl2br w:val="nil"/>
                    <w:tr2bl w:val="nil"/>
                  </w:tcBorders>
                  <w:vAlign w:val="center"/>
                </w:tcPr>
                <w:p w14:paraId="6A7002BF">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本项目涉及VOCs物料</w:t>
                  </w:r>
                </w:p>
                <w:p w14:paraId="4082F01D">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为液态，存储于密封桶中，本项目VOCs物料存储在专门的原料仓库中</w:t>
                  </w:r>
                  <w:r>
                    <w:rPr>
                      <w:rFonts w:hint="eastAsia" w:ascii="Times New Roman" w:hAnsi="Times New Roman" w:eastAsia="宋体"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 xml:space="preserve"> </w:t>
                  </w:r>
                </w:p>
              </w:tc>
              <w:tc>
                <w:tcPr>
                  <w:tcW w:w="522" w:type="pct"/>
                  <w:tcBorders>
                    <w:tl2br w:val="nil"/>
                    <w:tr2bl w:val="nil"/>
                  </w:tcBorders>
                  <w:vAlign w:val="center"/>
                </w:tcPr>
                <w:p w14:paraId="0EE774B2">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相符</w:t>
                  </w:r>
                </w:p>
              </w:tc>
            </w:tr>
            <w:tr w14:paraId="2FB1A3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4DA9DB95">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3</w:t>
                  </w:r>
                </w:p>
              </w:tc>
              <w:tc>
                <w:tcPr>
                  <w:tcW w:w="2572" w:type="pct"/>
                  <w:tcBorders>
                    <w:tl2br w:val="nil"/>
                    <w:tr2bl w:val="nil"/>
                  </w:tcBorders>
                  <w:vAlign w:val="center"/>
                </w:tcPr>
                <w:p w14:paraId="7718119C">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液态VOCs物料应采用密闭管道输送方式；粉状、粒料VOCs物料应采用气力输送方式投加，无法密闭的应采取局部气体收集措施，废气应排放至 VOCs废气收集处理系统</w:t>
                  </w:r>
                  <w:r>
                    <w:rPr>
                      <w:rFonts w:hint="eastAsia" w:ascii="Times New Roman" w:hAnsi="Times New Roman" w:eastAsia="宋体" w:cs="Times New Roman"/>
                      <w:b w:val="0"/>
                      <w:bCs w:val="0"/>
                      <w:color w:val="auto"/>
                      <w:sz w:val="21"/>
                      <w:szCs w:val="21"/>
                      <w:lang w:eastAsia="zh-CN"/>
                    </w:rPr>
                    <w:t>。</w:t>
                  </w:r>
                </w:p>
              </w:tc>
              <w:tc>
                <w:tcPr>
                  <w:tcW w:w="1505" w:type="pct"/>
                  <w:tcBorders>
                    <w:tl2br w:val="nil"/>
                    <w:tr2bl w:val="nil"/>
                  </w:tcBorders>
                  <w:vAlign w:val="center"/>
                </w:tcPr>
                <w:p w14:paraId="4ADCB068">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本项目液态VOCs物料</w:t>
                  </w:r>
                </w:p>
                <w:p w14:paraId="4AC58E70">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采用密闭管道输送方式；本项目加弹废气通过静电油烟净化器处理后高空排放。</w:t>
                  </w:r>
                </w:p>
              </w:tc>
              <w:tc>
                <w:tcPr>
                  <w:tcW w:w="522" w:type="pct"/>
                  <w:tcBorders>
                    <w:tl2br w:val="nil"/>
                    <w:tr2bl w:val="nil"/>
                  </w:tcBorders>
                  <w:vAlign w:val="center"/>
                </w:tcPr>
                <w:p w14:paraId="216F5138">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相符</w:t>
                  </w:r>
                </w:p>
              </w:tc>
            </w:tr>
            <w:tr w14:paraId="61B56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7CAC8AA9">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4</w:t>
                  </w:r>
                </w:p>
              </w:tc>
              <w:tc>
                <w:tcPr>
                  <w:tcW w:w="2572" w:type="pct"/>
                  <w:tcBorders>
                    <w:tl2br w:val="nil"/>
                    <w:tr2bl w:val="nil"/>
                  </w:tcBorders>
                  <w:vAlign w:val="center"/>
                </w:tcPr>
                <w:p w14:paraId="0E3B79E8">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通风生产设备、操作工位、车间厂房等应在符合安全生产、职业卫生相关规定的前提下，根据行业作业规程与标准、工业建筑及洁净厂房通风设计规范</w:t>
                  </w:r>
                  <w:r>
                    <w:rPr>
                      <w:rFonts w:hint="eastAsia" w:cs="Times New Roman"/>
                      <w:b w:val="0"/>
                      <w:bCs w:val="0"/>
                      <w:color w:val="auto"/>
                      <w:sz w:val="21"/>
                      <w:szCs w:val="21"/>
                      <w:lang w:eastAsia="zh-CN"/>
                    </w:rPr>
                    <w:t>等</w:t>
                  </w:r>
                  <w:r>
                    <w:rPr>
                      <w:rFonts w:hint="default" w:ascii="Times New Roman" w:hAnsi="Times New Roman" w:eastAsia="宋体" w:cs="Times New Roman"/>
                      <w:b w:val="0"/>
                      <w:bCs w:val="0"/>
                      <w:color w:val="auto"/>
                      <w:sz w:val="21"/>
                      <w:szCs w:val="21"/>
                    </w:rPr>
                    <w:t>要求，采用合理的通风量</w:t>
                  </w:r>
                  <w:r>
                    <w:rPr>
                      <w:rFonts w:hint="eastAsia" w:ascii="Times New Roman" w:hAnsi="Times New Roman" w:eastAsia="宋体" w:cs="Times New Roman"/>
                      <w:b w:val="0"/>
                      <w:bCs w:val="0"/>
                      <w:color w:val="auto"/>
                      <w:sz w:val="21"/>
                      <w:szCs w:val="21"/>
                      <w:lang w:eastAsia="zh-CN"/>
                    </w:rPr>
                    <w:t>。</w:t>
                  </w:r>
                </w:p>
              </w:tc>
              <w:tc>
                <w:tcPr>
                  <w:tcW w:w="1505" w:type="pct"/>
                  <w:tcBorders>
                    <w:tl2br w:val="nil"/>
                    <w:tr2bl w:val="nil"/>
                  </w:tcBorders>
                  <w:vAlign w:val="center"/>
                </w:tcPr>
                <w:p w14:paraId="68A635D0">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厂房、仓库等均符合设计要求，厂房、仓库均设有换气扇等，保持车间通风。</w:t>
                  </w:r>
                </w:p>
              </w:tc>
              <w:tc>
                <w:tcPr>
                  <w:tcW w:w="522" w:type="pct"/>
                  <w:tcBorders>
                    <w:tl2br w:val="nil"/>
                    <w:tr2bl w:val="nil"/>
                  </w:tcBorders>
                  <w:vAlign w:val="center"/>
                </w:tcPr>
                <w:p w14:paraId="18DA443E">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相符</w:t>
                  </w:r>
                </w:p>
              </w:tc>
            </w:tr>
            <w:tr w14:paraId="2243B0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4A2830AE">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5</w:t>
                  </w:r>
                </w:p>
              </w:tc>
              <w:tc>
                <w:tcPr>
                  <w:tcW w:w="2572" w:type="pct"/>
                  <w:tcBorders>
                    <w:tl2br w:val="nil"/>
                    <w:tr2bl w:val="nil"/>
                  </w:tcBorders>
                  <w:vAlign w:val="center"/>
                </w:tcPr>
                <w:p w14:paraId="43F91DFC">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xml:space="preserve">废气收集系统排风罩 </w:t>
                  </w:r>
                  <w:r>
                    <w:rPr>
                      <w:rFonts w:hint="eastAsia"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集气罩</w:t>
                  </w:r>
                  <w:r>
                    <w:rPr>
                      <w:rFonts w:hint="eastAsia"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 xml:space="preserve"> 的设置应符合GB/T</w:t>
                  </w:r>
                  <w:r>
                    <w:rPr>
                      <w:rFonts w:hint="eastAsia" w:cs="Times New Roman"/>
                      <w:b w:val="0"/>
                      <w:bCs w:val="0"/>
                      <w:color w:val="auto"/>
                      <w:sz w:val="21"/>
                      <w:szCs w:val="21"/>
                      <w:lang w:val="en-US" w:eastAsia="zh-CN"/>
                    </w:rPr>
                    <w:t xml:space="preserve"> </w:t>
                  </w:r>
                  <w:r>
                    <w:rPr>
                      <w:rFonts w:hint="default" w:ascii="Times New Roman" w:hAnsi="Times New Roman" w:eastAsia="宋体" w:cs="Times New Roman"/>
                      <w:b w:val="0"/>
                      <w:bCs w:val="0"/>
                      <w:color w:val="auto"/>
                      <w:sz w:val="21"/>
                      <w:szCs w:val="21"/>
                    </w:rPr>
                    <w:t>16758</w:t>
                  </w:r>
                  <w:r>
                    <w:rPr>
                      <w:rFonts w:hint="eastAsia" w:cs="Times New Roman"/>
                      <w:b w:val="0"/>
                      <w:bCs w:val="0"/>
                      <w:color w:val="auto"/>
                      <w:sz w:val="21"/>
                      <w:szCs w:val="21"/>
                      <w:lang w:val="en-US" w:eastAsia="zh-CN"/>
                    </w:rPr>
                    <w:t>-2008</w:t>
                  </w:r>
                  <w:r>
                    <w:rPr>
                      <w:rFonts w:hint="default" w:ascii="Times New Roman" w:hAnsi="Times New Roman" w:eastAsia="宋体" w:cs="Times New Roman"/>
                      <w:b w:val="0"/>
                      <w:bCs w:val="0"/>
                      <w:color w:val="auto"/>
                      <w:sz w:val="21"/>
                      <w:szCs w:val="21"/>
                    </w:rPr>
                    <w:t>的规定。采用外部排风罩的，应按GB/T</w:t>
                  </w:r>
                  <w:r>
                    <w:rPr>
                      <w:rFonts w:hint="eastAsia" w:cs="Times New Roman"/>
                      <w:b w:val="0"/>
                      <w:bCs w:val="0"/>
                      <w:color w:val="auto"/>
                      <w:sz w:val="21"/>
                      <w:szCs w:val="21"/>
                      <w:lang w:val="en-US" w:eastAsia="zh-CN"/>
                    </w:rPr>
                    <w:t xml:space="preserve"> </w:t>
                  </w:r>
                  <w:r>
                    <w:rPr>
                      <w:rFonts w:hint="default" w:ascii="Times New Roman" w:hAnsi="Times New Roman" w:eastAsia="宋体" w:cs="Times New Roman"/>
                      <w:b w:val="0"/>
                      <w:bCs w:val="0"/>
                      <w:color w:val="auto"/>
                      <w:sz w:val="21"/>
                      <w:szCs w:val="21"/>
                    </w:rPr>
                    <w:t>16758</w:t>
                  </w:r>
                  <w:r>
                    <w:rPr>
                      <w:rFonts w:hint="eastAsia" w:cs="Times New Roman"/>
                      <w:b w:val="0"/>
                      <w:bCs w:val="0"/>
                      <w:color w:val="auto"/>
                      <w:sz w:val="21"/>
                      <w:szCs w:val="21"/>
                      <w:lang w:val="en-US" w:eastAsia="zh-CN"/>
                    </w:rPr>
                    <w:t>-2008</w:t>
                  </w:r>
                  <w:r>
                    <w:rPr>
                      <w:rFonts w:hint="default" w:ascii="Times New Roman" w:hAnsi="Times New Roman" w:eastAsia="宋体" w:cs="Times New Roman"/>
                      <w:b w:val="0"/>
                      <w:bCs w:val="0"/>
                      <w:color w:val="auto"/>
                      <w:sz w:val="21"/>
                      <w:szCs w:val="21"/>
                    </w:rPr>
                    <w:t>、AQ/T</w:t>
                  </w:r>
                  <w:r>
                    <w:rPr>
                      <w:rFonts w:hint="eastAsia" w:cs="Times New Roman"/>
                      <w:b w:val="0"/>
                      <w:bCs w:val="0"/>
                      <w:color w:val="auto"/>
                      <w:sz w:val="21"/>
                      <w:szCs w:val="21"/>
                      <w:lang w:val="en-US" w:eastAsia="zh-CN"/>
                    </w:rPr>
                    <w:t xml:space="preserve"> </w:t>
                  </w:r>
                  <w:r>
                    <w:rPr>
                      <w:rFonts w:hint="default" w:ascii="Times New Roman" w:hAnsi="Times New Roman" w:eastAsia="宋体" w:cs="Times New Roman"/>
                      <w:b w:val="0"/>
                      <w:bCs w:val="0"/>
                      <w:color w:val="auto"/>
                      <w:sz w:val="21"/>
                      <w:szCs w:val="21"/>
                    </w:rPr>
                    <w:t xml:space="preserve">4274-2016规定的方法测量控制风速，测量点应选择在距排风罩开口面最远处的VOCs 无组织排放位置，控制风速不应低于0.3m/s </w:t>
                  </w:r>
                  <w:r>
                    <w:rPr>
                      <w:rFonts w:hint="eastAsia"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行业相关规范有具体规定的，按相关规定执行</w:t>
                  </w:r>
                  <w:r>
                    <w:rPr>
                      <w:rFonts w:hint="eastAsia"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 xml:space="preserve"> 。</w:t>
                  </w:r>
                </w:p>
              </w:tc>
              <w:tc>
                <w:tcPr>
                  <w:tcW w:w="1505" w:type="pct"/>
                  <w:tcBorders>
                    <w:tl2br w:val="nil"/>
                    <w:tr2bl w:val="nil"/>
                  </w:tcBorders>
                  <w:vAlign w:val="center"/>
                </w:tcPr>
                <w:p w14:paraId="27FF5F2A">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本项目</w:t>
                  </w:r>
                  <w:r>
                    <w:rPr>
                      <w:rFonts w:hint="eastAsia" w:ascii="Times New Roman" w:hAnsi="Times New Roman" w:eastAsia="宋体" w:cs="Times New Roman"/>
                      <w:b w:val="0"/>
                      <w:bCs w:val="0"/>
                      <w:color w:val="auto"/>
                      <w:sz w:val="21"/>
                      <w:szCs w:val="21"/>
                      <w:lang w:val="en-US" w:eastAsia="zh-CN"/>
                    </w:rPr>
                    <w:t>为管道收集，不设置集气罩，提高废气收集效率。</w:t>
                  </w:r>
                </w:p>
              </w:tc>
              <w:tc>
                <w:tcPr>
                  <w:tcW w:w="522" w:type="pct"/>
                  <w:tcBorders>
                    <w:tl2br w:val="nil"/>
                    <w:tr2bl w:val="nil"/>
                  </w:tcBorders>
                  <w:vAlign w:val="center"/>
                </w:tcPr>
                <w:p w14:paraId="151AAEB3">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相符</w:t>
                  </w:r>
                </w:p>
              </w:tc>
            </w:tr>
            <w:tr w14:paraId="08C20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44FC8FB6">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w:t>
                  </w:r>
                </w:p>
              </w:tc>
              <w:tc>
                <w:tcPr>
                  <w:tcW w:w="2572" w:type="pct"/>
                  <w:tcBorders>
                    <w:tl2br w:val="nil"/>
                    <w:tr2bl w:val="nil"/>
                  </w:tcBorders>
                  <w:vAlign w:val="center"/>
                </w:tcPr>
                <w:p w14:paraId="043DA7A9">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干燥单元操作应采用密闭干燥设备，干燥废气应排至VOCs废气处理系统。未采用密闭设备的，应在密闭空间内操作，或进行局部气体收集，废气应排至VOCs废气收集处理系统。</w:t>
                  </w:r>
                </w:p>
              </w:tc>
              <w:tc>
                <w:tcPr>
                  <w:tcW w:w="1505" w:type="pct"/>
                  <w:tcBorders>
                    <w:tl2br w:val="nil"/>
                    <w:tr2bl w:val="nil"/>
                  </w:tcBorders>
                  <w:vAlign w:val="center"/>
                </w:tcPr>
                <w:p w14:paraId="13F5ACE1">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项目生产设备均在密闭车间内操作，产生的非甲烷总烃废气均设置了收集装置和废气处理装置</w:t>
                  </w:r>
                  <w:r>
                    <w:rPr>
                      <w:rFonts w:hint="eastAsia" w:ascii="Times New Roman" w:hAnsi="Times New Roman" w:eastAsia="宋体" w:cs="Times New Roman"/>
                      <w:b w:val="0"/>
                      <w:bCs w:val="0"/>
                      <w:color w:val="auto"/>
                      <w:sz w:val="21"/>
                      <w:szCs w:val="21"/>
                      <w:lang w:eastAsia="zh-CN"/>
                    </w:rPr>
                    <w:t>。</w:t>
                  </w:r>
                </w:p>
              </w:tc>
              <w:tc>
                <w:tcPr>
                  <w:tcW w:w="522" w:type="pct"/>
                  <w:tcBorders>
                    <w:tl2br w:val="nil"/>
                    <w:tr2bl w:val="nil"/>
                  </w:tcBorders>
                  <w:shd w:val="clear" w:color="auto" w:fill="auto"/>
                  <w:vAlign w:val="center"/>
                </w:tcPr>
                <w:p w14:paraId="405843F1">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lang w:val="en-US" w:eastAsia="zh-CN"/>
                    </w:rPr>
                  </w:pPr>
                  <w:r>
                    <w:rPr>
                      <w:rFonts w:ascii="Times New Roman" w:hAnsi="Times New Roman" w:eastAsia="宋体" w:cs="Times New Roman"/>
                      <w:b w:val="0"/>
                      <w:bCs w:val="0"/>
                      <w:color w:val="auto"/>
                      <w:sz w:val="21"/>
                      <w:szCs w:val="21"/>
                    </w:rPr>
                    <w:t>相符</w:t>
                  </w:r>
                </w:p>
              </w:tc>
            </w:tr>
            <w:tr w14:paraId="62040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3CE90274">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w:t>
                  </w:r>
                </w:p>
              </w:tc>
              <w:tc>
                <w:tcPr>
                  <w:tcW w:w="2572" w:type="pct"/>
                  <w:tcBorders>
                    <w:tl2br w:val="nil"/>
                    <w:tr2bl w:val="nil"/>
                  </w:tcBorders>
                  <w:vAlign w:val="center"/>
                </w:tcPr>
                <w:p w14:paraId="2DD7D02D">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VOCs废气收集处理系统污染物排放应符合GB</w:t>
                  </w:r>
                  <w:r>
                    <w:rPr>
                      <w:rFonts w:hint="eastAsia" w:cs="Times New Roman"/>
                      <w:b w:val="0"/>
                      <w:bCs w:val="0"/>
                      <w:color w:val="auto"/>
                      <w:sz w:val="21"/>
                      <w:szCs w:val="21"/>
                      <w:lang w:val="en-US" w:eastAsia="zh-CN"/>
                    </w:rPr>
                    <w:t xml:space="preserve"> </w:t>
                  </w:r>
                  <w:r>
                    <w:rPr>
                      <w:rFonts w:hint="default" w:ascii="Times New Roman" w:hAnsi="Times New Roman" w:eastAsia="宋体" w:cs="Times New Roman"/>
                      <w:b w:val="0"/>
                      <w:bCs w:val="0"/>
                      <w:color w:val="auto"/>
                      <w:sz w:val="21"/>
                      <w:szCs w:val="21"/>
                    </w:rPr>
                    <w:t>16297</w:t>
                  </w:r>
                  <w:r>
                    <w:rPr>
                      <w:rFonts w:hint="eastAsia" w:cs="Times New Roman"/>
                      <w:b w:val="0"/>
                      <w:bCs w:val="0"/>
                      <w:color w:val="auto"/>
                      <w:sz w:val="21"/>
                      <w:szCs w:val="21"/>
                      <w:lang w:val="en-US" w:eastAsia="zh-CN"/>
                    </w:rPr>
                    <w:t>-1996</w:t>
                  </w:r>
                  <w:r>
                    <w:rPr>
                      <w:rFonts w:hint="default" w:ascii="Times New Roman" w:hAnsi="Times New Roman" w:eastAsia="宋体" w:cs="Times New Roman"/>
                      <w:b w:val="0"/>
                      <w:bCs w:val="0"/>
                      <w:color w:val="auto"/>
                      <w:sz w:val="21"/>
                      <w:szCs w:val="21"/>
                    </w:rPr>
                    <w:t>或相关行业排放标准的规定。</w:t>
                  </w:r>
                </w:p>
              </w:tc>
              <w:tc>
                <w:tcPr>
                  <w:tcW w:w="1505" w:type="pct"/>
                  <w:tcBorders>
                    <w:tl2br w:val="nil"/>
                    <w:tr2bl w:val="nil"/>
                  </w:tcBorders>
                  <w:vAlign w:val="center"/>
                </w:tcPr>
                <w:p w14:paraId="66C14CD1">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本项目有机废气经处理</w:t>
                  </w:r>
                </w:p>
                <w:p w14:paraId="5C513585">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后可以达标排放</w:t>
                  </w:r>
                  <w:r>
                    <w:rPr>
                      <w:rFonts w:hint="eastAsia" w:ascii="Times New Roman" w:hAnsi="Times New Roman" w:eastAsia="宋体" w:cs="Times New Roman"/>
                      <w:b w:val="0"/>
                      <w:bCs w:val="0"/>
                      <w:color w:val="auto"/>
                      <w:sz w:val="21"/>
                      <w:szCs w:val="21"/>
                      <w:lang w:eastAsia="zh-CN"/>
                    </w:rPr>
                    <w:t>。</w:t>
                  </w:r>
                </w:p>
              </w:tc>
              <w:tc>
                <w:tcPr>
                  <w:tcW w:w="522" w:type="pct"/>
                  <w:tcBorders>
                    <w:tl2br w:val="nil"/>
                    <w:tr2bl w:val="nil"/>
                  </w:tcBorders>
                  <w:shd w:val="clear" w:color="auto" w:fill="auto"/>
                  <w:vAlign w:val="center"/>
                </w:tcPr>
                <w:p w14:paraId="18E78384">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lang w:val="en-US" w:eastAsia="zh-CN"/>
                    </w:rPr>
                  </w:pPr>
                  <w:r>
                    <w:rPr>
                      <w:rFonts w:ascii="Times New Roman" w:hAnsi="Times New Roman" w:eastAsia="宋体" w:cs="Times New Roman"/>
                      <w:b w:val="0"/>
                      <w:bCs w:val="0"/>
                      <w:color w:val="auto"/>
                      <w:sz w:val="21"/>
                      <w:szCs w:val="21"/>
                    </w:rPr>
                    <w:t>相符</w:t>
                  </w:r>
                </w:p>
              </w:tc>
            </w:tr>
            <w:tr w14:paraId="5DE58A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76AE2400">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8</w:t>
                  </w:r>
                </w:p>
              </w:tc>
              <w:tc>
                <w:tcPr>
                  <w:tcW w:w="2572" w:type="pct"/>
                  <w:tcBorders>
                    <w:tl2br w:val="nil"/>
                    <w:tr2bl w:val="nil"/>
                  </w:tcBorders>
                  <w:vAlign w:val="center"/>
                </w:tcPr>
                <w:p w14:paraId="16AF74DA">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收集的废气中NMHC初始排放速率≥3kg/h时，应配置VOCs处理设施，处理效率不应低于80%</w:t>
                  </w:r>
                  <w:r>
                    <w:rPr>
                      <w:rFonts w:hint="eastAsia" w:ascii="Times New Roman" w:hAnsi="Times New Roman" w:eastAsia="宋体"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对于重点地区，收集的废气中 NMHC初始排放速率≥2kg/h时，应配置VOCs处理设施，处理效率不应低于80%</w:t>
                  </w:r>
                  <w:r>
                    <w:rPr>
                      <w:rFonts w:hint="eastAsia" w:ascii="Times New Roman" w:hAnsi="Times New Roman" w:eastAsia="宋体" w:cs="Times New Roman"/>
                      <w:b w:val="0"/>
                      <w:bCs w:val="0"/>
                      <w:color w:val="auto"/>
                      <w:sz w:val="21"/>
                      <w:szCs w:val="21"/>
                      <w:lang w:eastAsia="zh-CN"/>
                    </w:rPr>
                    <w:t>。</w:t>
                  </w:r>
                </w:p>
              </w:tc>
              <w:tc>
                <w:tcPr>
                  <w:tcW w:w="1505" w:type="pct"/>
                  <w:tcBorders>
                    <w:tl2br w:val="nil"/>
                    <w:tr2bl w:val="nil"/>
                  </w:tcBorders>
                  <w:vAlign w:val="center"/>
                </w:tcPr>
                <w:p w14:paraId="7364B06F">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本项目非甲烷总烃的初</w:t>
                  </w:r>
                </w:p>
                <w:p w14:paraId="2D9B27F1">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始排放速率小于2kg/h</w:t>
                  </w:r>
                  <w:r>
                    <w:rPr>
                      <w:rFonts w:hint="eastAsia" w:ascii="Times New Roman" w:hAnsi="Times New Roman" w:eastAsia="宋体"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本项目加弹废气通过静电油烟净化器处理，处理效率</w:t>
                  </w:r>
                  <w:r>
                    <w:rPr>
                      <w:rFonts w:hint="eastAsia" w:ascii="Times New Roman" w:hAnsi="Times New Roman" w:eastAsia="宋体" w:cs="Times New Roman"/>
                      <w:b w:val="0"/>
                      <w:bCs w:val="0"/>
                      <w:color w:val="auto"/>
                      <w:sz w:val="21"/>
                      <w:szCs w:val="21"/>
                      <w:lang w:val="en-US" w:eastAsia="zh-CN"/>
                    </w:rPr>
                    <w:t>以90</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计</w:t>
                  </w:r>
                  <w:r>
                    <w:rPr>
                      <w:rFonts w:hint="default" w:ascii="Times New Roman" w:hAnsi="Times New Roman" w:eastAsia="宋体" w:cs="Times New Roman"/>
                      <w:b w:val="0"/>
                      <w:bCs w:val="0"/>
                      <w:color w:val="auto"/>
                      <w:sz w:val="21"/>
                      <w:szCs w:val="21"/>
                    </w:rPr>
                    <w:t>。</w:t>
                  </w:r>
                </w:p>
              </w:tc>
              <w:tc>
                <w:tcPr>
                  <w:tcW w:w="522" w:type="pct"/>
                  <w:tcBorders>
                    <w:tl2br w:val="nil"/>
                    <w:tr2bl w:val="nil"/>
                  </w:tcBorders>
                  <w:shd w:val="clear" w:color="auto" w:fill="auto"/>
                  <w:vAlign w:val="center"/>
                </w:tcPr>
                <w:p w14:paraId="1F35A634">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lang w:val="en-US" w:eastAsia="zh-CN"/>
                    </w:rPr>
                  </w:pPr>
                  <w:r>
                    <w:rPr>
                      <w:rFonts w:ascii="Times New Roman" w:hAnsi="Times New Roman" w:eastAsia="宋体" w:cs="Times New Roman"/>
                      <w:b w:val="0"/>
                      <w:bCs w:val="0"/>
                      <w:color w:val="auto"/>
                      <w:sz w:val="21"/>
                      <w:szCs w:val="21"/>
                    </w:rPr>
                    <w:t>相符</w:t>
                  </w:r>
                </w:p>
              </w:tc>
            </w:tr>
            <w:tr w14:paraId="524506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7F1A1B7F">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9</w:t>
                  </w:r>
                </w:p>
              </w:tc>
              <w:tc>
                <w:tcPr>
                  <w:tcW w:w="2572" w:type="pct"/>
                  <w:tcBorders>
                    <w:tl2br w:val="nil"/>
                    <w:tr2bl w:val="nil"/>
                  </w:tcBorders>
                  <w:vAlign w:val="center"/>
                </w:tcPr>
                <w:p w14:paraId="2F656EE6">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排气筒高度不低于15m，具体高度以及与周围建筑的相对高度关系应根据环境影响评价文件确定。</w:t>
                  </w:r>
                </w:p>
              </w:tc>
              <w:tc>
                <w:tcPr>
                  <w:tcW w:w="1505" w:type="pct"/>
                  <w:tcBorders>
                    <w:tl2br w:val="nil"/>
                    <w:tr2bl w:val="nil"/>
                  </w:tcBorders>
                  <w:vAlign w:val="center"/>
                </w:tcPr>
                <w:p w14:paraId="0E4F9F84">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rPr>
                    <w:t>本项目排放非甲烷总烃废气的排气筒高度不</w:t>
                  </w:r>
                  <w:r>
                    <w:rPr>
                      <w:rFonts w:hint="eastAsia" w:cs="Times New Roman"/>
                      <w:b w:val="0"/>
                      <w:bCs w:val="0"/>
                      <w:color w:val="auto"/>
                      <w:sz w:val="21"/>
                      <w:szCs w:val="21"/>
                      <w:lang w:eastAsia="zh-CN"/>
                    </w:rPr>
                    <w:t>低于</w:t>
                  </w:r>
                  <w:r>
                    <w:rPr>
                      <w:rFonts w:hint="default" w:ascii="Times New Roman" w:hAnsi="Times New Roman" w:eastAsia="宋体" w:cs="Times New Roman"/>
                      <w:b w:val="0"/>
                      <w:bCs w:val="0"/>
                      <w:color w:val="auto"/>
                      <w:sz w:val="21"/>
                      <w:szCs w:val="21"/>
                    </w:rPr>
                    <w:t>15米</w:t>
                  </w:r>
                  <w:r>
                    <w:rPr>
                      <w:rFonts w:hint="eastAsia" w:ascii="Times New Roman" w:hAnsi="Times New Roman" w:eastAsia="宋体" w:cs="Times New Roman"/>
                      <w:b w:val="0"/>
                      <w:bCs w:val="0"/>
                      <w:color w:val="auto"/>
                      <w:sz w:val="21"/>
                      <w:szCs w:val="21"/>
                      <w:lang w:eastAsia="zh-CN"/>
                    </w:rPr>
                    <w:t>。</w:t>
                  </w:r>
                </w:p>
              </w:tc>
              <w:tc>
                <w:tcPr>
                  <w:tcW w:w="522" w:type="pct"/>
                  <w:tcBorders>
                    <w:tl2br w:val="nil"/>
                    <w:tr2bl w:val="nil"/>
                  </w:tcBorders>
                  <w:shd w:val="clear" w:color="auto" w:fill="auto"/>
                  <w:vAlign w:val="center"/>
                </w:tcPr>
                <w:p w14:paraId="1C75E75D">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lang w:val="en-US" w:eastAsia="zh-CN"/>
                    </w:rPr>
                  </w:pPr>
                  <w:r>
                    <w:rPr>
                      <w:rFonts w:ascii="Times New Roman" w:hAnsi="Times New Roman" w:eastAsia="宋体" w:cs="Times New Roman"/>
                      <w:b w:val="0"/>
                      <w:bCs w:val="0"/>
                      <w:color w:val="auto"/>
                      <w:sz w:val="21"/>
                      <w:szCs w:val="21"/>
                    </w:rPr>
                    <w:t>相符</w:t>
                  </w:r>
                </w:p>
              </w:tc>
            </w:tr>
            <w:tr w14:paraId="576DC8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44308595">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w:t>
                  </w:r>
                </w:p>
              </w:tc>
              <w:tc>
                <w:tcPr>
                  <w:tcW w:w="2572" w:type="pct"/>
                  <w:tcBorders>
                    <w:tl2br w:val="nil"/>
                    <w:tr2bl w:val="nil"/>
                  </w:tcBorders>
                  <w:vAlign w:val="center"/>
                </w:tcPr>
                <w:p w14:paraId="33550D1D">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记录要求：企业应建立台账，记录废气收集系统、VOCs 处理设施的主要运行和维护信息，如运行时间、废气处理量、操作温度、停留时间、吸附剂再生/更换周期和更换量、催化剂更换周期和更换量、吸收液 pH 值等关键运行参数。台账保存期不少于3年。</w:t>
                  </w:r>
                </w:p>
              </w:tc>
              <w:tc>
                <w:tcPr>
                  <w:tcW w:w="1505" w:type="pct"/>
                  <w:tcBorders>
                    <w:tl2br w:val="nil"/>
                    <w:tr2bl w:val="nil"/>
                  </w:tcBorders>
                  <w:vAlign w:val="center"/>
                </w:tcPr>
                <w:p w14:paraId="59091FB6">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本次环评要求企业按要求对废气收集系统、非甲烷总烃处理设施的主要运行和维护信息进行记录，台账保存期不少于5年。</w:t>
                  </w:r>
                </w:p>
              </w:tc>
              <w:tc>
                <w:tcPr>
                  <w:tcW w:w="522" w:type="pct"/>
                  <w:tcBorders>
                    <w:tl2br w:val="nil"/>
                    <w:tr2bl w:val="nil"/>
                  </w:tcBorders>
                  <w:shd w:val="clear" w:color="auto" w:fill="auto"/>
                  <w:vAlign w:val="center"/>
                </w:tcPr>
                <w:p w14:paraId="790FDF6B">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lang w:val="en-US" w:eastAsia="zh-CN"/>
                    </w:rPr>
                  </w:pPr>
                  <w:r>
                    <w:rPr>
                      <w:rFonts w:ascii="Times New Roman" w:hAnsi="Times New Roman" w:eastAsia="宋体" w:cs="Times New Roman"/>
                      <w:b w:val="0"/>
                      <w:bCs w:val="0"/>
                      <w:color w:val="auto"/>
                      <w:sz w:val="21"/>
                      <w:szCs w:val="21"/>
                    </w:rPr>
                    <w:t>相符</w:t>
                  </w:r>
                </w:p>
              </w:tc>
            </w:tr>
            <w:tr w14:paraId="66CFF3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l2br w:val="nil"/>
                    <w:tr2bl w:val="nil"/>
                  </w:tcBorders>
                  <w:vAlign w:val="center"/>
                </w:tcPr>
                <w:p w14:paraId="4595ED72">
                  <w:pPr>
                    <w:pStyle w:val="14"/>
                    <w:adjustRightInd w:val="0"/>
                    <w:spacing w:before="0" w:after="0" w:line="240" w:lineRule="auto"/>
                    <w:ind w:right="0" w:firstLine="0" w:firstLineChars="0"/>
                    <w:jc w:val="center"/>
                    <w:rPr>
                      <w:rFonts w:hint="eastAsia"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《关于印发〈挥发性有机物无组织排放控制标准〉（GB37822-2019）的通知》（宿</w:t>
                  </w:r>
                </w:p>
                <w:p w14:paraId="48830E9D">
                  <w:pPr>
                    <w:pStyle w:val="14"/>
                    <w:adjustRightInd w:val="0"/>
                    <w:spacing w:before="0" w:after="0" w:line="240" w:lineRule="auto"/>
                    <w:ind w:right="0" w:firstLine="0" w:firstLineChars="0"/>
                    <w:jc w:val="center"/>
                    <w:rPr>
                      <w:rFonts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rPr>
                    <w:t>污防指办</w:t>
                  </w:r>
                  <w:r>
                    <w:rPr>
                      <w:rFonts w:hint="eastAsia" w:cs="Times New Roman"/>
                      <w:b w:val="0"/>
                      <w:bCs w:val="0"/>
                      <w:color w:val="auto"/>
                      <w:sz w:val="21"/>
                      <w:szCs w:val="21"/>
                      <w:lang w:eastAsia="zh-CN"/>
                    </w:rPr>
                    <w:t>〔2019〕55号</w:t>
                  </w:r>
                  <w:r>
                    <w:rPr>
                      <w:rFonts w:hint="eastAsia" w:ascii="Times New Roman" w:hAnsi="Times New Roman" w:eastAsia="宋体" w:cs="Times New Roman"/>
                      <w:b w:val="0"/>
                      <w:bCs w:val="0"/>
                      <w:color w:val="auto"/>
                      <w:sz w:val="21"/>
                      <w:szCs w:val="21"/>
                    </w:rPr>
                    <w:t>）</w:t>
                  </w:r>
                </w:p>
              </w:tc>
            </w:tr>
            <w:tr w14:paraId="79179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1D0A9876">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w:t>
                  </w:r>
                </w:p>
              </w:tc>
              <w:tc>
                <w:tcPr>
                  <w:tcW w:w="2572" w:type="pct"/>
                  <w:tcBorders>
                    <w:tl2br w:val="nil"/>
                    <w:tr2bl w:val="nil"/>
                  </w:tcBorders>
                  <w:vAlign w:val="center"/>
                </w:tcPr>
                <w:p w14:paraId="6F672F94">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0B89ACC5">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收集的废气中非甲烷总烃（NMHC）初始排放</w:t>
                  </w:r>
                </w:p>
                <w:p w14:paraId="6519DE8D">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速率≥2kg/h 的各相关企业，按照“分类收集、</w:t>
                  </w:r>
                </w:p>
                <w:p w14:paraId="0F31D9FB">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集中处理”的原则，强化 VOCs 无组织废气收</w:t>
                  </w:r>
                </w:p>
                <w:p w14:paraId="13155974">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集处理，配套 VOCs 高效治理设施，原则上应</w:t>
                  </w:r>
                </w:p>
                <w:p w14:paraId="1AD86163">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采用催化燃烧（RCO）、蓄热式热氧化炉（RTO）</w:t>
                  </w:r>
                </w:p>
                <w:p w14:paraId="689F201C">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等处理技术。其中，高浓度有机废气（VOCs</w:t>
                  </w:r>
                </w:p>
                <w:p w14:paraId="11F8FC7A">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初始浓度≥5000ppm）的废气应优先进行溶剂回</w:t>
                  </w:r>
                </w:p>
                <w:p w14:paraId="24A14140">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收，低浓度有机废气（VOCs 初始浓度</w:t>
                  </w:r>
                </w:p>
                <w:p w14:paraId="721DF8C9">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≤1000ppm），宜采用减风增浓技术提高 VOCs</w:t>
                  </w:r>
                </w:p>
                <w:p w14:paraId="7EEAA882">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浓度后</w:t>
                  </w:r>
                  <w:r>
                    <w:rPr>
                      <w:rFonts w:hint="eastAsia" w:cs="Times New Roman"/>
                      <w:b w:val="0"/>
                      <w:bCs w:val="0"/>
                      <w:color w:val="auto"/>
                      <w:sz w:val="21"/>
                      <w:szCs w:val="21"/>
                      <w:lang w:eastAsia="zh-CN"/>
                    </w:rPr>
                    <w:t>再</w:t>
                  </w:r>
                  <w:r>
                    <w:rPr>
                      <w:rFonts w:hint="default" w:ascii="Times New Roman" w:hAnsi="Times New Roman" w:eastAsia="宋体" w:cs="Times New Roman"/>
                      <w:b w:val="0"/>
                      <w:bCs w:val="0"/>
                      <w:color w:val="auto"/>
                      <w:sz w:val="21"/>
                      <w:szCs w:val="21"/>
                    </w:rPr>
                    <w:t>处理。</w:t>
                  </w:r>
                </w:p>
              </w:tc>
              <w:tc>
                <w:tcPr>
                  <w:tcW w:w="1505" w:type="pct"/>
                  <w:tcBorders>
                    <w:tl2br w:val="nil"/>
                    <w:tr2bl w:val="nil"/>
                  </w:tcBorders>
                  <w:vAlign w:val="center"/>
                </w:tcPr>
                <w:p w14:paraId="54C7D50A">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本项目非甲烷总烃的初始排放速率小于2kg/h ，本项目加弹废气通过静电油烟净化器处理，处理效率</w:t>
                  </w:r>
                  <w:r>
                    <w:rPr>
                      <w:rFonts w:hint="eastAsia" w:ascii="Times New Roman" w:hAnsi="Times New Roman" w:eastAsia="宋体" w:cs="Times New Roman"/>
                      <w:b w:val="0"/>
                      <w:bCs w:val="0"/>
                      <w:color w:val="auto"/>
                      <w:sz w:val="21"/>
                      <w:szCs w:val="21"/>
                      <w:lang w:val="en-US" w:eastAsia="zh-CN"/>
                    </w:rPr>
                    <w:t>以</w:t>
                  </w:r>
                  <w:r>
                    <w:rPr>
                      <w:rFonts w:hint="default" w:ascii="Times New Roman" w:hAnsi="Times New Roman" w:eastAsia="宋体" w:cs="Times New Roman"/>
                      <w:b w:val="0"/>
                      <w:bCs w:val="0"/>
                      <w:color w:val="auto"/>
                      <w:sz w:val="21"/>
                      <w:szCs w:val="21"/>
                    </w:rPr>
                    <w:t>90%</w:t>
                  </w:r>
                  <w:r>
                    <w:rPr>
                      <w:rFonts w:hint="eastAsia" w:ascii="Times New Roman" w:hAnsi="Times New Roman" w:eastAsia="宋体" w:cs="Times New Roman"/>
                      <w:b w:val="0"/>
                      <w:bCs w:val="0"/>
                      <w:color w:val="auto"/>
                      <w:sz w:val="21"/>
                      <w:szCs w:val="21"/>
                      <w:lang w:val="en-US" w:eastAsia="zh-CN"/>
                    </w:rPr>
                    <w:t>计</w:t>
                  </w:r>
                  <w:r>
                    <w:rPr>
                      <w:rFonts w:hint="default" w:ascii="Times New Roman" w:hAnsi="Times New Roman" w:eastAsia="宋体" w:cs="Times New Roman"/>
                      <w:b w:val="0"/>
                      <w:bCs w:val="0"/>
                      <w:color w:val="auto"/>
                      <w:sz w:val="21"/>
                      <w:szCs w:val="21"/>
                    </w:rPr>
                    <w:t>。</w:t>
                  </w:r>
                </w:p>
              </w:tc>
              <w:tc>
                <w:tcPr>
                  <w:tcW w:w="522" w:type="pct"/>
                  <w:tcBorders>
                    <w:tl2br w:val="nil"/>
                    <w:tr2bl w:val="nil"/>
                  </w:tcBorders>
                  <w:shd w:val="clear" w:color="auto" w:fill="auto"/>
                  <w:vAlign w:val="top"/>
                </w:tcPr>
                <w:p w14:paraId="09683649">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58BBBB19">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22EA6408">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717C31AD">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515C90F5">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7B93FD4F">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1A0ACE70">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符合</w:t>
                  </w:r>
                </w:p>
              </w:tc>
            </w:tr>
            <w:tr w14:paraId="270FB1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0" w:type="pct"/>
                  <w:tcBorders>
                    <w:tl2br w:val="nil"/>
                    <w:tr2bl w:val="nil"/>
                  </w:tcBorders>
                  <w:vAlign w:val="center"/>
                </w:tcPr>
                <w:p w14:paraId="221ABBA3">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w:t>
                  </w:r>
                </w:p>
              </w:tc>
              <w:tc>
                <w:tcPr>
                  <w:tcW w:w="2572" w:type="pct"/>
                  <w:tcBorders>
                    <w:tl2br w:val="nil"/>
                    <w:tr2bl w:val="nil"/>
                  </w:tcBorders>
                  <w:vAlign w:val="center"/>
                </w:tcPr>
                <w:p w14:paraId="3E109B92">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 …对全厂 VOCs 物料的储存、转移和输送、</w:t>
                  </w:r>
                </w:p>
                <w:p w14:paraId="76C4C256">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工艺过程等无组织排放源全部实施密闭（封）</w:t>
                  </w:r>
                </w:p>
                <w:p w14:paraId="30281C60">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处理 … … 从源头减少 VOCs 产生量。确实无法</w:t>
                  </w:r>
                </w:p>
                <w:p w14:paraId="0793EE3B">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密闭（封）或不能实施密闭（封）作业的，应</w:t>
                  </w:r>
                </w:p>
                <w:p w14:paraId="52678F95">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在密闭空间内操作或进行局部气体收集处理。</w:t>
                  </w:r>
                </w:p>
                <w:p w14:paraId="3FB01850">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家具制造、包装、印刷、工业涂装、人造板制</w:t>
                  </w:r>
                </w:p>
                <w:p w14:paraId="7FF7A13F">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造等行业的相关企业，VOCs 物料全部采取密</w:t>
                  </w:r>
                </w:p>
                <w:p w14:paraId="4B9625D7">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闭储存，VOCs 物料转移、输送、配料、使用</w:t>
                  </w:r>
                </w:p>
                <w:p w14:paraId="6D7E2799">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等作业环节应采取密闭设备或在密闭空间内</w:t>
                  </w:r>
                </w:p>
                <w:p w14:paraId="1E2D8843">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操作。塑料、橡胶等行业的相关企业，混合/</w:t>
                  </w:r>
                </w:p>
                <w:p w14:paraId="4D4C713F">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混炼、塑炼/塑化/熔化、加工成型等作业环节，</w:t>
                  </w:r>
                </w:p>
                <w:p w14:paraId="3B1D2F38">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应采取密闭设备或在密闭空间内操作。</w:t>
                  </w:r>
                </w:p>
              </w:tc>
              <w:tc>
                <w:tcPr>
                  <w:tcW w:w="1505" w:type="pct"/>
                  <w:tcBorders>
                    <w:tl2br w:val="nil"/>
                    <w:tr2bl w:val="nil"/>
                  </w:tcBorders>
                  <w:vAlign w:val="center"/>
                </w:tcPr>
                <w:p w14:paraId="13EB6D33">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本项目涉及VOCs物料为液态，含非甲烷总烃物料存储在密封桶中；项目涉及非甲烷总烃的工艺均在密闭的空间内进行。</w:t>
                  </w:r>
                </w:p>
              </w:tc>
              <w:tc>
                <w:tcPr>
                  <w:tcW w:w="522" w:type="pct"/>
                  <w:tcBorders>
                    <w:tl2br w:val="nil"/>
                    <w:tr2bl w:val="nil"/>
                  </w:tcBorders>
                  <w:shd w:val="clear" w:color="auto" w:fill="auto"/>
                  <w:vAlign w:val="top"/>
                </w:tcPr>
                <w:p w14:paraId="7B3773B5">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3EC59060">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429691B4">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616AE0E1">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499C647F">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41313275">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p>
                <w:p w14:paraId="0A3D6BFA">
                  <w:pPr>
                    <w:pStyle w:val="14"/>
                    <w:adjustRightInd w:val="0"/>
                    <w:spacing w:before="0" w:after="0" w:line="240" w:lineRule="auto"/>
                    <w:ind w:right="0" w:firstLine="0" w:firstLineChars="0"/>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符合</w:t>
                  </w:r>
                </w:p>
              </w:tc>
            </w:tr>
          </w:tbl>
          <w:p w14:paraId="6770F1E6">
            <w:pPr>
              <w:adjustRightInd w:val="0"/>
              <w:snapToGrid w:val="0"/>
              <w:spacing w:line="360" w:lineRule="auto"/>
              <w:ind w:firstLine="480"/>
              <w:rPr>
                <w:color w:val="auto"/>
              </w:rPr>
            </w:pPr>
            <w:r>
              <w:rPr>
                <w:rFonts w:hint="default" w:ascii="Times New Roman" w:hAnsi="Times New Roman" w:cs="Times New Roman"/>
                <w:color w:val="auto"/>
              </w:rPr>
              <w:t>③</w:t>
            </w:r>
            <w:r>
              <w:rPr>
                <w:color w:val="auto"/>
              </w:rPr>
              <w:t>本项目与《加强喷水织造企业环境管理的工作意见》（泗环发〔2021〕51号）文件相符性分析：</w:t>
            </w:r>
          </w:p>
          <w:p w14:paraId="61095480">
            <w:pPr>
              <w:pStyle w:val="14"/>
              <w:adjustRightInd w:val="0"/>
              <w:spacing w:before="0" w:after="0" w:line="240" w:lineRule="auto"/>
              <w:ind w:right="0" w:firstLine="0" w:firstLineChars="0"/>
              <w:jc w:val="center"/>
              <w:rPr>
                <w:b/>
                <w:bCs/>
                <w:color w:val="auto"/>
                <w:sz w:val="24"/>
                <w:szCs w:val="28"/>
              </w:rPr>
            </w:pPr>
            <w:r>
              <w:rPr>
                <w:b/>
                <w:bCs/>
                <w:color w:val="auto"/>
                <w:sz w:val="24"/>
                <w:szCs w:val="40"/>
              </w:rPr>
              <w:t>表1-</w:t>
            </w:r>
            <w:r>
              <w:rPr>
                <w:rFonts w:hint="eastAsia"/>
                <w:b/>
                <w:bCs/>
                <w:color w:val="auto"/>
                <w:sz w:val="24"/>
                <w:szCs w:val="40"/>
                <w:lang w:val="en-US" w:eastAsia="zh-CN"/>
              </w:rPr>
              <w:t>9</w:t>
            </w:r>
            <w:r>
              <w:rPr>
                <w:b/>
                <w:bCs/>
                <w:color w:val="auto"/>
                <w:sz w:val="24"/>
                <w:szCs w:val="40"/>
              </w:rPr>
              <w:t>建设项目与泗环发〔2021〕51号相符性分析</w:t>
            </w:r>
          </w:p>
          <w:tbl>
            <w:tblPr>
              <w:tblStyle w:val="39"/>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0"/>
              <w:gridCol w:w="5605"/>
              <w:gridCol w:w="2443"/>
              <w:gridCol w:w="476"/>
            </w:tblGrid>
            <w:tr w14:paraId="52224B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1" w:type="pct"/>
                  <w:tcBorders>
                    <w:tl2br w:val="nil"/>
                    <w:tr2bl w:val="nil"/>
                  </w:tcBorders>
                  <w:vAlign w:val="center"/>
                </w:tcPr>
                <w:p w14:paraId="49B78D54">
                  <w:pPr>
                    <w:pStyle w:val="14"/>
                    <w:adjustRightInd w:val="0"/>
                    <w:spacing w:before="0" w:after="0" w:line="240" w:lineRule="auto"/>
                    <w:ind w:right="0" w:firstLine="0" w:firstLineChars="0"/>
                    <w:jc w:val="center"/>
                    <w:rPr>
                      <w:b/>
                      <w:bCs/>
                      <w:color w:val="auto"/>
                      <w:sz w:val="21"/>
                      <w:szCs w:val="21"/>
                    </w:rPr>
                  </w:pPr>
                  <w:r>
                    <w:rPr>
                      <w:b/>
                      <w:bCs/>
                      <w:color w:val="auto"/>
                      <w:sz w:val="21"/>
                      <w:szCs w:val="21"/>
                    </w:rPr>
                    <w:t>序号</w:t>
                  </w:r>
                </w:p>
              </w:tc>
              <w:tc>
                <w:tcPr>
                  <w:tcW w:w="3122" w:type="pct"/>
                  <w:tcBorders>
                    <w:tl2br w:val="nil"/>
                    <w:tr2bl w:val="nil"/>
                  </w:tcBorders>
                  <w:vAlign w:val="center"/>
                </w:tcPr>
                <w:p w14:paraId="7CF72332">
                  <w:pPr>
                    <w:pStyle w:val="14"/>
                    <w:adjustRightInd w:val="0"/>
                    <w:spacing w:before="0" w:after="0" w:line="240" w:lineRule="auto"/>
                    <w:ind w:right="0" w:firstLine="0" w:firstLineChars="0"/>
                    <w:jc w:val="center"/>
                    <w:rPr>
                      <w:b/>
                      <w:bCs/>
                      <w:color w:val="auto"/>
                      <w:sz w:val="21"/>
                      <w:szCs w:val="21"/>
                    </w:rPr>
                  </w:pPr>
                  <w:r>
                    <w:rPr>
                      <w:b/>
                      <w:bCs/>
                      <w:color w:val="auto"/>
                      <w:sz w:val="21"/>
                      <w:szCs w:val="21"/>
                    </w:rPr>
                    <w:t>要求</w:t>
                  </w:r>
                </w:p>
              </w:tc>
              <w:tc>
                <w:tcPr>
                  <w:tcW w:w="1361" w:type="pct"/>
                  <w:tcBorders>
                    <w:tl2br w:val="nil"/>
                    <w:tr2bl w:val="nil"/>
                  </w:tcBorders>
                  <w:vAlign w:val="center"/>
                </w:tcPr>
                <w:p w14:paraId="7C985587">
                  <w:pPr>
                    <w:pStyle w:val="14"/>
                    <w:adjustRightInd w:val="0"/>
                    <w:spacing w:before="0" w:after="0" w:line="240" w:lineRule="auto"/>
                    <w:ind w:right="0" w:firstLine="0" w:firstLineChars="0"/>
                    <w:jc w:val="center"/>
                    <w:rPr>
                      <w:b/>
                      <w:bCs/>
                      <w:color w:val="auto"/>
                      <w:sz w:val="21"/>
                      <w:szCs w:val="21"/>
                    </w:rPr>
                  </w:pPr>
                  <w:r>
                    <w:rPr>
                      <w:b/>
                      <w:bCs/>
                      <w:color w:val="auto"/>
                      <w:sz w:val="21"/>
                      <w:szCs w:val="21"/>
                    </w:rPr>
                    <w:t>企业情况</w:t>
                  </w:r>
                </w:p>
              </w:tc>
              <w:tc>
                <w:tcPr>
                  <w:tcW w:w="265" w:type="pct"/>
                  <w:tcBorders>
                    <w:tl2br w:val="nil"/>
                    <w:tr2bl w:val="nil"/>
                  </w:tcBorders>
                  <w:vAlign w:val="center"/>
                </w:tcPr>
                <w:p w14:paraId="0D3E006C">
                  <w:pPr>
                    <w:pStyle w:val="14"/>
                    <w:adjustRightInd w:val="0"/>
                    <w:spacing w:before="0" w:after="0" w:line="240" w:lineRule="auto"/>
                    <w:ind w:right="0" w:firstLine="0" w:firstLineChars="0"/>
                    <w:jc w:val="center"/>
                    <w:rPr>
                      <w:b/>
                      <w:bCs/>
                      <w:color w:val="auto"/>
                      <w:sz w:val="21"/>
                      <w:szCs w:val="21"/>
                    </w:rPr>
                  </w:pPr>
                  <w:r>
                    <w:rPr>
                      <w:b/>
                      <w:bCs/>
                      <w:color w:val="auto"/>
                      <w:sz w:val="21"/>
                      <w:szCs w:val="21"/>
                    </w:rPr>
                    <w:t>相符性</w:t>
                  </w:r>
                </w:p>
              </w:tc>
            </w:tr>
            <w:tr w14:paraId="6E921D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1" w:type="pct"/>
                  <w:tcBorders>
                    <w:tl2br w:val="nil"/>
                    <w:tr2bl w:val="nil"/>
                  </w:tcBorders>
                  <w:vAlign w:val="center"/>
                </w:tcPr>
                <w:p w14:paraId="61DC550E">
                  <w:pPr>
                    <w:pStyle w:val="14"/>
                    <w:adjustRightInd w:val="0"/>
                    <w:spacing w:before="0" w:after="0" w:line="240" w:lineRule="auto"/>
                    <w:ind w:right="0" w:firstLine="0" w:firstLineChars="0"/>
                    <w:jc w:val="center"/>
                    <w:rPr>
                      <w:color w:val="auto"/>
                      <w:sz w:val="21"/>
                      <w:szCs w:val="21"/>
                    </w:rPr>
                  </w:pPr>
                  <w:r>
                    <w:rPr>
                      <w:color w:val="auto"/>
                      <w:sz w:val="21"/>
                      <w:szCs w:val="21"/>
                    </w:rPr>
                    <w:t>1</w:t>
                  </w:r>
                </w:p>
              </w:tc>
              <w:tc>
                <w:tcPr>
                  <w:tcW w:w="3122" w:type="pct"/>
                  <w:tcBorders>
                    <w:tl2br w:val="nil"/>
                    <w:tr2bl w:val="nil"/>
                  </w:tcBorders>
                  <w:vAlign w:val="center"/>
                </w:tcPr>
                <w:p w14:paraId="7CE196C4">
                  <w:pPr>
                    <w:pStyle w:val="14"/>
                    <w:adjustRightInd w:val="0"/>
                    <w:spacing w:before="0" w:after="0" w:line="240" w:lineRule="auto"/>
                    <w:ind w:right="0" w:firstLine="0" w:firstLineChars="0"/>
                    <w:jc w:val="center"/>
                    <w:rPr>
                      <w:color w:val="auto"/>
                      <w:sz w:val="21"/>
                      <w:szCs w:val="21"/>
                    </w:rPr>
                  </w:pPr>
                  <w:r>
                    <w:rPr>
                      <w:color w:val="auto"/>
                      <w:sz w:val="21"/>
                      <w:szCs w:val="21"/>
                    </w:rPr>
                    <w:t>针对前期环评批复废水“零排放”的喷水织造企业，根据企业实际情况，如确实需要排放废水，依据省生态环境厅《关于加强涉变动项目环评与排污许可管理衔接的通知》</w:t>
                  </w:r>
                  <w:r>
                    <w:rPr>
                      <w:rFonts w:hint="eastAsia"/>
                      <w:color w:val="auto"/>
                      <w:sz w:val="21"/>
                      <w:szCs w:val="21"/>
                      <w:lang w:eastAsia="zh-CN"/>
                    </w:rPr>
                    <w:t>（</w:t>
                  </w:r>
                  <w:r>
                    <w:rPr>
                      <w:color w:val="auto"/>
                      <w:sz w:val="21"/>
                      <w:szCs w:val="21"/>
                    </w:rPr>
                    <w:t>苏环办〔2021〕122号</w:t>
                  </w:r>
                  <w:r>
                    <w:rPr>
                      <w:rFonts w:hint="eastAsia"/>
                      <w:color w:val="auto"/>
                      <w:sz w:val="21"/>
                      <w:szCs w:val="21"/>
                      <w:lang w:eastAsia="zh-CN"/>
                    </w:rPr>
                    <w:t>）</w:t>
                  </w:r>
                  <w:r>
                    <w:rPr>
                      <w:color w:val="auto"/>
                      <w:sz w:val="21"/>
                      <w:szCs w:val="21"/>
                    </w:rPr>
                    <w:t>文件要求，进一步完善环评和排污许可等手续。所排废水经预处理达到《纺织染整工业水污染物排放标准》（GB4287-2012）表2中间接排放标准后接管排入属地污水处理厂进行深度处理。</w:t>
                  </w:r>
                </w:p>
              </w:tc>
              <w:tc>
                <w:tcPr>
                  <w:tcW w:w="1361" w:type="pct"/>
                  <w:tcBorders>
                    <w:tl2br w:val="nil"/>
                    <w:tr2bl w:val="nil"/>
                  </w:tcBorders>
                  <w:vAlign w:val="center"/>
                </w:tcPr>
                <w:p w14:paraId="22C8FE72">
                  <w:pPr>
                    <w:pStyle w:val="14"/>
                    <w:adjustRightInd w:val="0"/>
                    <w:spacing w:before="0" w:after="0" w:line="240" w:lineRule="auto"/>
                    <w:ind w:right="0" w:firstLine="0" w:firstLineChars="0"/>
                    <w:jc w:val="center"/>
                    <w:rPr>
                      <w:color w:val="auto"/>
                      <w:sz w:val="21"/>
                      <w:szCs w:val="21"/>
                    </w:rPr>
                  </w:pPr>
                  <w:r>
                    <w:rPr>
                      <w:color w:val="auto"/>
                      <w:sz w:val="21"/>
                      <w:szCs w:val="21"/>
                    </w:rPr>
                    <w:t>本项目正在进行环评手续，环评完成后</w:t>
                  </w:r>
                  <w:r>
                    <w:rPr>
                      <w:rFonts w:hint="eastAsia"/>
                      <w:color w:val="auto"/>
                      <w:sz w:val="21"/>
                      <w:szCs w:val="21"/>
                      <w:lang w:val="en-US" w:eastAsia="zh-CN"/>
                    </w:rPr>
                    <w:t>将办理</w:t>
                  </w:r>
                  <w:r>
                    <w:rPr>
                      <w:color w:val="auto"/>
                      <w:sz w:val="21"/>
                      <w:szCs w:val="21"/>
                    </w:rPr>
                    <w:t>排污许可申领等手续。项目建成后织造废水经厂区污水处理站处理</w:t>
                  </w:r>
                  <w:r>
                    <w:rPr>
                      <w:rFonts w:hint="eastAsia"/>
                      <w:color w:val="auto"/>
                      <w:sz w:val="21"/>
                      <w:szCs w:val="21"/>
                      <w:lang w:eastAsia="zh-CN"/>
                    </w:rPr>
                    <w:t>达到</w:t>
                  </w:r>
                  <w:r>
                    <w:rPr>
                      <w:color w:val="auto"/>
                      <w:sz w:val="21"/>
                      <w:szCs w:val="21"/>
                    </w:rPr>
                    <w:t>回用标准后全部回用至生产</w:t>
                  </w:r>
                  <w:r>
                    <w:rPr>
                      <w:rFonts w:hint="eastAsia"/>
                      <w:color w:val="auto"/>
                      <w:sz w:val="21"/>
                      <w:szCs w:val="21"/>
                      <w:lang w:eastAsia="zh-CN"/>
                    </w:rPr>
                    <w:t>，</w:t>
                  </w:r>
                  <w:r>
                    <w:rPr>
                      <w:rFonts w:hint="eastAsia"/>
                      <w:color w:val="auto"/>
                      <w:sz w:val="21"/>
                      <w:szCs w:val="21"/>
                      <w:lang w:val="en-US" w:eastAsia="zh-CN"/>
                    </w:rPr>
                    <w:t>不外排</w:t>
                  </w:r>
                  <w:r>
                    <w:rPr>
                      <w:color w:val="auto"/>
                      <w:sz w:val="21"/>
                      <w:szCs w:val="21"/>
                    </w:rPr>
                    <w:t>。</w:t>
                  </w:r>
                </w:p>
              </w:tc>
              <w:tc>
                <w:tcPr>
                  <w:tcW w:w="265" w:type="pct"/>
                  <w:tcBorders>
                    <w:tl2br w:val="nil"/>
                    <w:tr2bl w:val="nil"/>
                  </w:tcBorders>
                  <w:vAlign w:val="center"/>
                </w:tcPr>
                <w:p w14:paraId="2295315B">
                  <w:pPr>
                    <w:pStyle w:val="14"/>
                    <w:adjustRightInd w:val="0"/>
                    <w:spacing w:before="0" w:after="0" w:line="240" w:lineRule="auto"/>
                    <w:ind w:right="0" w:firstLine="0" w:firstLineChars="0"/>
                    <w:jc w:val="center"/>
                    <w:rPr>
                      <w:color w:val="auto"/>
                      <w:sz w:val="21"/>
                      <w:szCs w:val="21"/>
                    </w:rPr>
                  </w:pPr>
                  <w:r>
                    <w:rPr>
                      <w:color w:val="auto"/>
                      <w:sz w:val="21"/>
                      <w:szCs w:val="21"/>
                    </w:rPr>
                    <w:t>相符</w:t>
                  </w:r>
                </w:p>
              </w:tc>
            </w:tr>
            <w:tr w14:paraId="30BCE9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1" w:type="pct"/>
                  <w:tcBorders>
                    <w:tl2br w:val="nil"/>
                    <w:tr2bl w:val="nil"/>
                  </w:tcBorders>
                  <w:vAlign w:val="center"/>
                </w:tcPr>
                <w:p w14:paraId="229DC8E6">
                  <w:pPr>
                    <w:pStyle w:val="14"/>
                    <w:adjustRightInd w:val="0"/>
                    <w:spacing w:before="0" w:after="0" w:line="240" w:lineRule="auto"/>
                    <w:ind w:right="0" w:firstLine="0" w:firstLineChars="0"/>
                    <w:jc w:val="center"/>
                    <w:rPr>
                      <w:color w:val="auto"/>
                      <w:sz w:val="21"/>
                      <w:szCs w:val="21"/>
                    </w:rPr>
                  </w:pPr>
                  <w:r>
                    <w:rPr>
                      <w:color w:val="auto"/>
                      <w:sz w:val="21"/>
                      <w:szCs w:val="21"/>
                    </w:rPr>
                    <w:t>2</w:t>
                  </w:r>
                </w:p>
              </w:tc>
              <w:tc>
                <w:tcPr>
                  <w:tcW w:w="3122" w:type="pct"/>
                  <w:tcBorders>
                    <w:tl2br w:val="nil"/>
                    <w:tr2bl w:val="nil"/>
                  </w:tcBorders>
                  <w:vAlign w:val="center"/>
                </w:tcPr>
                <w:p w14:paraId="0F7F8884">
                  <w:pPr>
                    <w:pStyle w:val="14"/>
                    <w:adjustRightInd w:val="0"/>
                    <w:spacing w:before="0" w:after="0" w:line="240" w:lineRule="auto"/>
                    <w:ind w:right="0" w:firstLine="0" w:firstLineChars="0"/>
                    <w:jc w:val="center"/>
                    <w:rPr>
                      <w:color w:val="auto"/>
                      <w:sz w:val="21"/>
                      <w:szCs w:val="21"/>
                    </w:rPr>
                  </w:pPr>
                  <w:r>
                    <w:rPr>
                      <w:color w:val="auto"/>
                      <w:sz w:val="21"/>
                      <w:szCs w:val="21"/>
                    </w:rPr>
                    <w:t>企业重新梳理污水处理工艺的合理性，结合产生污水的特点，遵照化纤织造废水污染防治可行技术（①格栅/筛网-调节池+②混凝-气浮，三级排放；①格栅/筛网-调节池+②混凝-气浮+③好氧生物，二级排放；①格栅/筛网-调节池+②混凝-气浮+③好氧生物；①格栅/筛网-调节池+②混凝-气浮+③好氧生物+混凝-气浮或沉淀，一级排放。），根据企业实际情况合理选择废水处理工艺。未经充分合理论证非必要不建议盲目增设废水生化处理工艺。</w:t>
                  </w:r>
                </w:p>
              </w:tc>
              <w:tc>
                <w:tcPr>
                  <w:tcW w:w="1361" w:type="pct"/>
                  <w:tcBorders>
                    <w:tl2br w:val="nil"/>
                    <w:tr2bl w:val="nil"/>
                  </w:tcBorders>
                  <w:vAlign w:val="center"/>
                </w:tcPr>
                <w:p w14:paraId="03E7C7C5">
                  <w:pPr>
                    <w:pStyle w:val="14"/>
                    <w:adjustRightInd w:val="0"/>
                    <w:spacing w:before="0" w:after="0" w:line="240" w:lineRule="auto"/>
                    <w:ind w:right="0" w:firstLine="0" w:firstLineChars="0"/>
                    <w:jc w:val="center"/>
                    <w:rPr>
                      <w:color w:val="auto"/>
                      <w:sz w:val="21"/>
                      <w:szCs w:val="21"/>
                    </w:rPr>
                  </w:pPr>
                  <w:r>
                    <w:rPr>
                      <w:color w:val="auto"/>
                      <w:sz w:val="21"/>
                      <w:szCs w:val="21"/>
                    </w:rPr>
                    <w:t>本项目根据厂区实际情况</w:t>
                  </w:r>
                  <w:r>
                    <w:rPr>
                      <w:rFonts w:hint="eastAsia"/>
                      <w:color w:val="auto"/>
                      <w:sz w:val="21"/>
                      <w:szCs w:val="21"/>
                      <w:lang w:eastAsia="zh-CN"/>
                    </w:rPr>
                    <w:t>，</w:t>
                  </w:r>
                  <w:r>
                    <w:rPr>
                      <w:color w:val="auto"/>
                      <w:sz w:val="21"/>
                      <w:szCs w:val="21"/>
                    </w:rPr>
                    <w:t>采取的织造废水处理工艺为调节+混凝气浮</w:t>
                  </w:r>
                  <w:r>
                    <w:rPr>
                      <w:rFonts w:hint="eastAsia"/>
                      <w:color w:val="auto"/>
                      <w:sz w:val="21"/>
                      <w:szCs w:val="21"/>
                      <w:lang w:val="en-US" w:eastAsia="zh-CN"/>
                    </w:rPr>
                    <w:t>+接触氧化</w:t>
                  </w:r>
                  <w:r>
                    <w:rPr>
                      <w:color w:val="auto"/>
                      <w:sz w:val="21"/>
                      <w:szCs w:val="21"/>
                    </w:rPr>
                    <w:t>+二沉</w:t>
                  </w:r>
                  <w:r>
                    <w:rPr>
                      <w:rFonts w:hint="eastAsia"/>
                      <w:color w:val="auto"/>
                      <w:sz w:val="21"/>
                      <w:szCs w:val="21"/>
                      <w:lang w:val="en-US" w:eastAsia="zh-CN"/>
                    </w:rPr>
                    <w:t>+</w:t>
                  </w:r>
                  <w:r>
                    <w:rPr>
                      <w:color w:val="auto"/>
                      <w:sz w:val="21"/>
                      <w:szCs w:val="21"/>
                    </w:rPr>
                    <w:t>砂滤、</w:t>
                  </w:r>
                  <w:r>
                    <w:rPr>
                      <w:rFonts w:hint="eastAsia"/>
                      <w:color w:val="auto"/>
                      <w:sz w:val="21"/>
                      <w:szCs w:val="21"/>
                      <w:lang w:val="en-US" w:eastAsia="zh-CN"/>
                    </w:rPr>
                    <w:t>炭</w:t>
                  </w:r>
                  <w:r>
                    <w:rPr>
                      <w:color w:val="auto"/>
                      <w:sz w:val="21"/>
                      <w:szCs w:val="21"/>
                    </w:rPr>
                    <w:t>滤</w:t>
                  </w:r>
                </w:p>
              </w:tc>
              <w:tc>
                <w:tcPr>
                  <w:tcW w:w="265" w:type="pct"/>
                  <w:tcBorders>
                    <w:tl2br w:val="nil"/>
                    <w:tr2bl w:val="nil"/>
                  </w:tcBorders>
                  <w:vAlign w:val="center"/>
                </w:tcPr>
                <w:p w14:paraId="14B2061C">
                  <w:pPr>
                    <w:adjustRightInd w:val="0"/>
                    <w:snapToGrid w:val="0"/>
                    <w:spacing w:line="240" w:lineRule="auto"/>
                    <w:ind w:firstLine="0" w:firstLineChars="0"/>
                    <w:jc w:val="center"/>
                    <w:rPr>
                      <w:color w:val="auto"/>
                      <w:sz w:val="21"/>
                      <w:szCs w:val="21"/>
                    </w:rPr>
                  </w:pPr>
                  <w:r>
                    <w:rPr>
                      <w:color w:val="auto"/>
                      <w:sz w:val="21"/>
                      <w:szCs w:val="21"/>
                    </w:rPr>
                    <w:t>相符</w:t>
                  </w:r>
                </w:p>
              </w:tc>
            </w:tr>
            <w:tr w14:paraId="5B9104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1" w:type="pct"/>
                  <w:tcBorders>
                    <w:tl2br w:val="nil"/>
                    <w:tr2bl w:val="nil"/>
                  </w:tcBorders>
                  <w:vAlign w:val="center"/>
                </w:tcPr>
                <w:p w14:paraId="763D0256">
                  <w:pPr>
                    <w:pStyle w:val="14"/>
                    <w:adjustRightInd w:val="0"/>
                    <w:spacing w:before="0" w:after="0" w:line="240" w:lineRule="auto"/>
                    <w:ind w:right="0" w:firstLine="0" w:firstLineChars="0"/>
                    <w:jc w:val="center"/>
                    <w:rPr>
                      <w:color w:val="auto"/>
                      <w:sz w:val="21"/>
                      <w:szCs w:val="21"/>
                    </w:rPr>
                  </w:pPr>
                  <w:r>
                    <w:rPr>
                      <w:color w:val="auto"/>
                      <w:sz w:val="21"/>
                      <w:szCs w:val="21"/>
                    </w:rPr>
                    <w:t>3</w:t>
                  </w:r>
                </w:p>
              </w:tc>
              <w:tc>
                <w:tcPr>
                  <w:tcW w:w="3122" w:type="pct"/>
                  <w:tcBorders>
                    <w:tl2br w:val="nil"/>
                    <w:tr2bl w:val="nil"/>
                  </w:tcBorders>
                  <w:vAlign w:val="center"/>
                </w:tcPr>
                <w:p w14:paraId="50A361DB">
                  <w:pPr>
                    <w:pStyle w:val="14"/>
                    <w:adjustRightInd w:val="0"/>
                    <w:spacing w:before="0" w:after="0" w:line="240" w:lineRule="auto"/>
                    <w:ind w:right="0" w:firstLine="0" w:firstLineChars="0"/>
                    <w:jc w:val="center"/>
                    <w:rPr>
                      <w:color w:val="auto"/>
                      <w:sz w:val="21"/>
                      <w:szCs w:val="21"/>
                    </w:rPr>
                  </w:pPr>
                  <w:r>
                    <w:rPr>
                      <w:color w:val="auto"/>
                      <w:sz w:val="21"/>
                      <w:szCs w:val="21"/>
                    </w:rPr>
                    <w:t>部分含造粒、上浆涂层工艺需要对产生的工艺废气进行收集处理，大部分仅喷水织造的企业不涉及有组织废气排放。涉及VOCs排放的宜采用喷淋洗涤+（除湿）+活性炭吸附方式处理，治理设施定期维护保养，做好记录，活性炭定期更换，保留采购发票、合格证、检验报告等材料备查。按排污许可证载明的各类污染因子和频次开展自行检测，依据检测结果及时评估废气治理设施运行状态。对于VOCs无组织排放情况应在密闭空间作业，保证设备正常运转，提高收集效率，贯彻落实《挥发性有机物无组织排放控制标准》（GB37822-2019）要求。对于污水处理站产生的臭气浓度、氨、硫化氢等污染物必要时宜加盖密封，防止污染物外逸，符合《恶臭污染物排放标准》</w:t>
                  </w:r>
                  <w:r>
                    <w:rPr>
                      <w:rFonts w:hint="eastAsia"/>
                      <w:color w:val="auto"/>
                      <w:sz w:val="21"/>
                      <w:szCs w:val="21"/>
                      <w:lang w:eastAsia="zh-CN"/>
                    </w:rPr>
                    <w:t>（</w:t>
                  </w:r>
                  <w:r>
                    <w:rPr>
                      <w:color w:val="auto"/>
                      <w:sz w:val="21"/>
                      <w:szCs w:val="21"/>
                    </w:rPr>
                    <w:t>GB14554-93</w:t>
                  </w:r>
                  <w:r>
                    <w:rPr>
                      <w:rFonts w:hint="eastAsia"/>
                      <w:color w:val="auto"/>
                      <w:sz w:val="21"/>
                      <w:szCs w:val="21"/>
                      <w:lang w:eastAsia="zh-CN"/>
                    </w:rPr>
                    <w:t>）</w:t>
                  </w:r>
                  <w:r>
                    <w:rPr>
                      <w:color w:val="auto"/>
                      <w:sz w:val="21"/>
                      <w:szCs w:val="21"/>
                    </w:rPr>
                    <w:t>表1中相应限值。</w:t>
                  </w:r>
                </w:p>
              </w:tc>
              <w:tc>
                <w:tcPr>
                  <w:tcW w:w="1361" w:type="pct"/>
                  <w:tcBorders>
                    <w:tl2br w:val="nil"/>
                    <w:tr2bl w:val="nil"/>
                  </w:tcBorders>
                  <w:vAlign w:val="center"/>
                </w:tcPr>
                <w:p w14:paraId="62017205">
                  <w:pPr>
                    <w:pStyle w:val="14"/>
                    <w:adjustRightInd w:val="0"/>
                    <w:spacing w:before="0" w:after="0" w:line="240" w:lineRule="auto"/>
                    <w:ind w:right="0" w:firstLine="0" w:firstLineChars="0"/>
                    <w:jc w:val="center"/>
                    <w:rPr>
                      <w:color w:val="auto"/>
                      <w:sz w:val="21"/>
                      <w:szCs w:val="21"/>
                    </w:rPr>
                  </w:pPr>
                  <w:r>
                    <w:rPr>
                      <w:color w:val="auto"/>
                      <w:sz w:val="21"/>
                      <w:szCs w:val="21"/>
                    </w:rPr>
                    <w:t>本项目完成后，加弹油烟经密闭收集后通过</w:t>
                  </w:r>
                  <w:r>
                    <w:rPr>
                      <w:rFonts w:hint="eastAsia"/>
                      <w:color w:val="auto"/>
                      <w:sz w:val="21"/>
                      <w:szCs w:val="21"/>
                      <w:lang w:val="en-US" w:eastAsia="zh-CN"/>
                    </w:rPr>
                    <w:t>1</w:t>
                  </w:r>
                  <w:r>
                    <w:rPr>
                      <w:color w:val="auto"/>
                      <w:sz w:val="21"/>
                      <w:szCs w:val="21"/>
                    </w:rPr>
                    <w:t>套静电式油烟净化器处置</w:t>
                  </w:r>
                  <w:r>
                    <w:rPr>
                      <w:bCs/>
                      <w:color w:val="auto"/>
                      <w:sz w:val="21"/>
                      <w:szCs w:val="21"/>
                    </w:rPr>
                    <w:t>，</w:t>
                  </w:r>
                  <w:r>
                    <w:rPr>
                      <w:color w:val="auto"/>
                      <w:sz w:val="21"/>
                      <w:szCs w:val="21"/>
                    </w:rPr>
                    <w:t>处理效率达到90%。</w:t>
                  </w:r>
                </w:p>
              </w:tc>
              <w:tc>
                <w:tcPr>
                  <w:tcW w:w="265" w:type="pct"/>
                  <w:tcBorders>
                    <w:tl2br w:val="nil"/>
                    <w:tr2bl w:val="nil"/>
                  </w:tcBorders>
                  <w:vAlign w:val="center"/>
                </w:tcPr>
                <w:p w14:paraId="530D3DE2">
                  <w:pPr>
                    <w:adjustRightInd w:val="0"/>
                    <w:snapToGrid w:val="0"/>
                    <w:spacing w:line="240" w:lineRule="auto"/>
                    <w:ind w:firstLine="0" w:firstLineChars="0"/>
                    <w:jc w:val="center"/>
                    <w:rPr>
                      <w:color w:val="auto"/>
                      <w:sz w:val="21"/>
                      <w:szCs w:val="21"/>
                    </w:rPr>
                  </w:pPr>
                  <w:r>
                    <w:rPr>
                      <w:color w:val="auto"/>
                      <w:sz w:val="21"/>
                      <w:szCs w:val="21"/>
                    </w:rPr>
                    <w:t>相符</w:t>
                  </w:r>
                </w:p>
              </w:tc>
            </w:tr>
            <w:tr w14:paraId="401E1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1" w:type="pct"/>
                  <w:tcBorders>
                    <w:tl2br w:val="nil"/>
                    <w:tr2bl w:val="nil"/>
                  </w:tcBorders>
                  <w:vAlign w:val="center"/>
                </w:tcPr>
                <w:p w14:paraId="5503FD79">
                  <w:pPr>
                    <w:pStyle w:val="14"/>
                    <w:adjustRightInd w:val="0"/>
                    <w:spacing w:before="0" w:after="0" w:line="240" w:lineRule="auto"/>
                    <w:ind w:right="0" w:firstLine="0" w:firstLineChars="0"/>
                    <w:jc w:val="center"/>
                    <w:rPr>
                      <w:color w:val="auto"/>
                      <w:sz w:val="21"/>
                      <w:szCs w:val="21"/>
                    </w:rPr>
                  </w:pPr>
                  <w:r>
                    <w:rPr>
                      <w:color w:val="auto"/>
                      <w:sz w:val="21"/>
                      <w:szCs w:val="21"/>
                    </w:rPr>
                    <w:t>4</w:t>
                  </w:r>
                </w:p>
              </w:tc>
              <w:tc>
                <w:tcPr>
                  <w:tcW w:w="3122" w:type="pct"/>
                  <w:tcBorders>
                    <w:tl2br w:val="nil"/>
                    <w:tr2bl w:val="nil"/>
                  </w:tcBorders>
                  <w:vAlign w:val="center"/>
                </w:tcPr>
                <w:p w14:paraId="7EEEF392">
                  <w:pPr>
                    <w:pStyle w:val="14"/>
                    <w:adjustRightInd w:val="0"/>
                    <w:spacing w:before="0" w:after="0" w:line="240" w:lineRule="auto"/>
                    <w:ind w:right="0" w:firstLine="0" w:firstLineChars="0"/>
                    <w:jc w:val="center"/>
                    <w:rPr>
                      <w:color w:val="auto"/>
                      <w:sz w:val="21"/>
                      <w:szCs w:val="21"/>
                    </w:rPr>
                  </w:pPr>
                  <w:r>
                    <w:rPr>
                      <w:color w:val="auto"/>
                      <w:sz w:val="21"/>
                      <w:szCs w:val="21"/>
                    </w:rPr>
                    <w:t>《国家危险废物名录》含油废水处理中隔油、气浮、沉淀等处理过程中产生的浮油、浮渣和污（油）泥属于危险废物，应按危险废物要求进行规范化管理，交有资质单位处置或利用，鼓励产废单位使用高效压滤设备最大程度降低污泥含水率，实施“减量化”操作。遵照化纤织造废水污染防治可行技术产生的生化污泥属于一般固废；未按可行技术设置污水处理工艺，依据《国家危险废物名录》生化过程产生的污泥不在名录内，但生化污泥是否具有危险特性尚不明确，建议按照国家规定的危险废物鉴别标准和鉴别方法对生化污泥予以认定，根据鉴别结论属于危险废物的根据其主要有害成分和危险特性确定所属废物类别，按危险废物进行规范化管理，排除危险特性后属于一般固废的按一般固废管理。根据《危险废物鉴别标准通则》（GB5085.7-2019）：列入《国家危险废物名录》的固体废物，属于危险废物，不需要进行危险特性鉴别。</w:t>
                  </w:r>
                </w:p>
              </w:tc>
              <w:tc>
                <w:tcPr>
                  <w:tcW w:w="1361" w:type="pct"/>
                  <w:tcBorders>
                    <w:tl2br w:val="nil"/>
                    <w:tr2bl w:val="nil"/>
                  </w:tcBorders>
                  <w:vAlign w:val="center"/>
                </w:tcPr>
                <w:p w14:paraId="43877375">
                  <w:pPr>
                    <w:pStyle w:val="14"/>
                    <w:adjustRightInd w:val="0"/>
                    <w:spacing w:before="0" w:after="0" w:line="240" w:lineRule="auto"/>
                    <w:ind w:right="0" w:firstLine="0" w:firstLineChars="0"/>
                    <w:jc w:val="center"/>
                    <w:rPr>
                      <w:rFonts w:hint="eastAsia" w:eastAsia="宋体"/>
                      <w:color w:val="auto"/>
                      <w:sz w:val="21"/>
                      <w:szCs w:val="21"/>
                      <w:lang w:eastAsia="zh-CN"/>
                    </w:rPr>
                  </w:pPr>
                  <w:r>
                    <w:rPr>
                      <w:color w:val="auto"/>
                      <w:sz w:val="21"/>
                      <w:szCs w:val="21"/>
                    </w:rPr>
                    <w:t>本项目废水处理中气浮混凝等处理过程中产生的</w:t>
                  </w:r>
                  <w:r>
                    <w:rPr>
                      <w:rFonts w:hint="eastAsia"/>
                      <w:color w:val="auto"/>
                      <w:sz w:val="21"/>
                      <w:szCs w:val="21"/>
                      <w:lang w:val="en-US" w:eastAsia="zh-CN"/>
                    </w:rPr>
                    <w:t>污（</w:t>
                  </w:r>
                  <w:r>
                    <w:rPr>
                      <w:rFonts w:hint="eastAsia"/>
                      <w:color w:val="auto"/>
                      <w:sz w:val="21"/>
                      <w:szCs w:val="21"/>
                    </w:rPr>
                    <w:t>油</w:t>
                  </w:r>
                  <w:r>
                    <w:rPr>
                      <w:rFonts w:hint="eastAsia"/>
                      <w:color w:val="auto"/>
                      <w:sz w:val="21"/>
                      <w:szCs w:val="21"/>
                      <w:lang w:eastAsia="zh-CN"/>
                    </w:rPr>
                    <w:t>）</w:t>
                  </w:r>
                  <w:r>
                    <w:rPr>
                      <w:rFonts w:hint="eastAsia"/>
                      <w:color w:val="auto"/>
                      <w:sz w:val="21"/>
                      <w:szCs w:val="21"/>
                    </w:rPr>
                    <w:t>泥</w:t>
                  </w:r>
                  <w:r>
                    <w:rPr>
                      <w:color w:val="auto"/>
                      <w:sz w:val="21"/>
                      <w:szCs w:val="21"/>
                    </w:rPr>
                    <w:t>属于危险废物，按危险废物要求进行规范化管理，</w:t>
                  </w:r>
                  <w:r>
                    <w:rPr>
                      <w:rFonts w:hint="eastAsia"/>
                      <w:color w:val="auto"/>
                      <w:sz w:val="21"/>
                      <w:szCs w:val="21"/>
                      <w:lang w:eastAsia="zh-CN"/>
                    </w:rPr>
                    <w:t>交由</w:t>
                  </w:r>
                  <w:r>
                    <w:rPr>
                      <w:color w:val="auto"/>
                      <w:sz w:val="21"/>
                      <w:szCs w:val="21"/>
                    </w:rPr>
                    <w:t>资质单位处置。</w:t>
                  </w:r>
                  <w:r>
                    <w:rPr>
                      <w:rFonts w:hint="eastAsia"/>
                      <w:color w:val="auto"/>
                      <w:sz w:val="21"/>
                      <w:szCs w:val="16"/>
                    </w:rPr>
                    <w:t>生化污泥依据</w:t>
                  </w:r>
                  <w:r>
                    <w:rPr>
                      <w:rFonts w:hint="eastAsia"/>
                      <w:color w:val="auto"/>
                      <w:sz w:val="21"/>
                      <w:szCs w:val="16"/>
                      <w:lang w:eastAsia="zh-CN"/>
                    </w:rPr>
                    <w:t>鉴别</w:t>
                  </w:r>
                  <w:r>
                    <w:rPr>
                      <w:rFonts w:hint="eastAsia"/>
                      <w:color w:val="auto"/>
                      <w:sz w:val="21"/>
                      <w:szCs w:val="16"/>
                    </w:rPr>
                    <w:t>后的固废属性进行管理，废过滤介质参照生化污泥的</w:t>
                  </w:r>
                  <w:r>
                    <w:rPr>
                      <w:rFonts w:hint="eastAsia"/>
                      <w:color w:val="auto"/>
                      <w:sz w:val="21"/>
                      <w:szCs w:val="16"/>
                      <w:lang w:eastAsia="zh-CN"/>
                    </w:rPr>
                    <w:t>鉴别</w:t>
                  </w:r>
                  <w:r>
                    <w:rPr>
                      <w:rFonts w:hint="eastAsia"/>
                      <w:color w:val="auto"/>
                      <w:sz w:val="21"/>
                      <w:szCs w:val="16"/>
                    </w:rPr>
                    <w:t>结论进行管理，未</w:t>
                  </w:r>
                  <w:r>
                    <w:rPr>
                      <w:rFonts w:hint="eastAsia"/>
                      <w:color w:val="auto"/>
                      <w:sz w:val="21"/>
                      <w:szCs w:val="16"/>
                      <w:lang w:eastAsia="zh-CN"/>
                    </w:rPr>
                    <w:t>鉴别</w:t>
                  </w:r>
                  <w:r>
                    <w:rPr>
                      <w:rFonts w:hint="eastAsia"/>
                      <w:color w:val="auto"/>
                      <w:sz w:val="21"/>
                      <w:szCs w:val="16"/>
                    </w:rPr>
                    <w:t>前，统一按危险废物从严管理</w:t>
                  </w:r>
                  <w:r>
                    <w:rPr>
                      <w:rFonts w:hint="eastAsia"/>
                      <w:color w:val="auto"/>
                      <w:sz w:val="21"/>
                      <w:szCs w:val="16"/>
                      <w:lang w:eastAsia="zh-CN"/>
                    </w:rPr>
                    <w:t>。</w:t>
                  </w:r>
                </w:p>
              </w:tc>
              <w:tc>
                <w:tcPr>
                  <w:tcW w:w="265" w:type="pct"/>
                  <w:tcBorders>
                    <w:tl2br w:val="nil"/>
                    <w:tr2bl w:val="nil"/>
                  </w:tcBorders>
                  <w:vAlign w:val="center"/>
                </w:tcPr>
                <w:p w14:paraId="108A9058">
                  <w:pPr>
                    <w:adjustRightInd w:val="0"/>
                    <w:snapToGrid w:val="0"/>
                    <w:spacing w:line="240" w:lineRule="auto"/>
                    <w:ind w:firstLine="0" w:firstLineChars="0"/>
                    <w:jc w:val="center"/>
                    <w:rPr>
                      <w:color w:val="auto"/>
                      <w:sz w:val="21"/>
                      <w:szCs w:val="21"/>
                    </w:rPr>
                  </w:pPr>
                  <w:r>
                    <w:rPr>
                      <w:color w:val="auto"/>
                      <w:sz w:val="21"/>
                      <w:szCs w:val="21"/>
                    </w:rPr>
                    <w:t>相符</w:t>
                  </w:r>
                </w:p>
              </w:tc>
            </w:tr>
            <w:tr w14:paraId="0E1DAB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1" w:type="pct"/>
                  <w:tcBorders>
                    <w:tl2br w:val="nil"/>
                    <w:tr2bl w:val="nil"/>
                  </w:tcBorders>
                  <w:vAlign w:val="center"/>
                </w:tcPr>
                <w:p w14:paraId="51E5673F">
                  <w:pPr>
                    <w:pStyle w:val="14"/>
                    <w:adjustRightInd w:val="0"/>
                    <w:spacing w:before="0" w:after="0" w:line="240" w:lineRule="auto"/>
                    <w:ind w:right="0" w:firstLine="0" w:firstLineChars="0"/>
                    <w:jc w:val="center"/>
                    <w:rPr>
                      <w:color w:val="auto"/>
                      <w:sz w:val="21"/>
                      <w:szCs w:val="21"/>
                    </w:rPr>
                  </w:pPr>
                  <w:r>
                    <w:rPr>
                      <w:color w:val="auto"/>
                      <w:sz w:val="21"/>
                      <w:szCs w:val="21"/>
                    </w:rPr>
                    <w:t>5</w:t>
                  </w:r>
                </w:p>
              </w:tc>
              <w:tc>
                <w:tcPr>
                  <w:tcW w:w="3122" w:type="pct"/>
                  <w:tcBorders>
                    <w:tl2br w:val="nil"/>
                    <w:tr2bl w:val="nil"/>
                  </w:tcBorders>
                  <w:vAlign w:val="center"/>
                </w:tcPr>
                <w:p w14:paraId="4898089E">
                  <w:pPr>
                    <w:pStyle w:val="14"/>
                    <w:adjustRightInd w:val="0"/>
                    <w:spacing w:before="0" w:after="0" w:line="240" w:lineRule="auto"/>
                    <w:ind w:right="0" w:firstLine="0" w:firstLineChars="0"/>
                    <w:jc w:val="center"/>
                    <w:rPr>
                      <w:color w:val="auto"/>
                      <w:sz w:val="21"/>
                      <w:szCs w:val="21"/>
                    </w:rPr>
                  </w:pPr>
                  <w:r>
                    <w:rPr>
                      <w:color w:val="auto"/>
                      <w:sz w:val="21"/>
                      <w:szCs w:val="21"/>
                    </w:rPr>
                    <w:t>喷水织造企业产生的一般固体废物主要有废丝废布，优先采用资源化利用方式，贮存设施符合《一般工业固体废物贮存和填埋污染控制标准》（GB18599-2020）。废矿物油及含废矿物油废物等危险废物，应委托有资质单位进行利用处置，危废贮存设施符合《危险废物贮存污染控制标准》（GB18597-2023）。各有关企业认真落实省生态环境厅《关于进一步加强危险废物污染防治工作的实施意见》（苏环办﹝2019﹞327号）和《关于进一步加强危险废物环境管理工作的通知》（苏环办﹝2021﹞207号），全面使用危险废物全生命周期监控系统，进行实时申报。</w:t>
                  </w:r>
                </w:p>
              </w:tc>
              <w:tc>
                <w:tcPr>
                  <w:tcW w:w="1361" w:type="pct"/>
                  <w:tcBorders>
                    <w:tl2br w:val="nil"/>
                    <w:tr2bl w:val="nil"/>
                  </w:tcBorders>
                  <w:vAlign w:val="center"/>
                </w:tcPr>
                <w:p w14:paraId="40BB9E85">
                  <w:pPr>
                    <w:pStyle w:val="14"/>
                    <w:adjustRightInd w:val="0"/>
                    <w:spacing w:before="0" w:after="0" w:line="240" w:lineRule="auto"/>
                    <w:ind w:right="0" w:firstLine="0" w:firstLineChars="0"/>
                    <w:jc w:val="center"/>
                    <w:rPr>
                      <w:rFonts w:hint="eastAsia" w:eastAsia="宋体"/>
                      <w:color w:val="auto"/>
                      <w:sz w:val="21"/>
                      <w:szCs w:val="21"/>
                      <w:lang w:eastAsia="zh-CN"/>
                    </w:rPr>
                  </w:pPr>
                  <w:r>
                    <w:rPr>
                      <w:color w:val="auto"/>
                      <w:sz w:val="21"/>
                      <w:szCs w:val="21"/>
                    </w:rPr>
                    <w:t>本项目完成后，正常营运期间产生的固体废物主要为：</w:t>
                  </w:r>
                  <w:r>
                    <w:rPr>
                      <w:rFonts w:hint="eastAsia"/>
                      <w:color w:val="auto"/>
                      <w:sz w:val="21"/>
                      <w:szCs w:val="21"/>
                    </w:rPr>
                    <w:t>生化污泥</w:t>
                  </w:r>
                  <w:r>
                    <w:rPr>
                      <w:color w:val="auto"/>
                      <w:sz w:val="21"/>
                      <w:szCs w:val="21"/>
                    </w:rPr>
                    <w:t>、废丝</w:t>
                  </w:r>
                  <w:r>
                    <w:rPr>
                      <w:rFonts w:hint="eastAsia"/>
                      <w:color w:val="auto"/>
                      <w:sz w:val="21"/>
                      <w:szCs w:val="21"/>
                      <w:lang w:eastAsia="zh-CN"/>
                    </w:rPr>
                    <w:t>、废布</w:t>
                  </w:r>
                  <w:r>
                    <w:rPr>
                      <w:color w:val="auto"/>
                      <w:sz w:val="21"/>
                      <w:szCs w:val="21"/>
                    </w:rPr>
                    <w:t>、</w:t>
                  </w:r>
                  <w:r>
                    <w:rPr>
                      <w:rFonts w:hint="eastAsia"/>
                      <w:color w:val="auto"/>
                      <w:sz w:val="21"/>
                      <w:szCs w:val="21"/>
                      <w:lang w:val="en-US" w:eastAsia="zh-CN"/>
                    </w:rPr>
                    <w:t>污（油）泥、</w:t>
                  </w:r>
                  <w:r>
                    <w:rPr>
                      <w:color w:val="auto"/>
                      <w:sz w:val="21"/>
                      <w:szCs w:val="21"/>
                    </w:rPr>
                    <w:t>废油桶、废机油</w:t>
                  </w:r>
                  <w:r>
                    <w:rPr>
                      <w:rFonts w:hint="eastAsia"/>
                      <w:color w:val="auto"/>
                      <w:sz w:val="21"/>
                      <w:szCs w:val="21"/>
                      <w:lang w:eastAsia="zh-CN"/>
                    </w:rPr>
                    <w:t>、</w:t>
                  </w:r>
                  <w:r>
                    <w:rPr>
                      <w:rFonts w:hint="eastAsia"/>
                      <w:color w:val="auto"/>
                      <w:sz w:val="21"/>
                      <w:szCs w:val="21"/>
                      <w:lang w:val="en-US" w:eastAsia="zh-CN"/>
                    </w:rPr>
                    <w:t>油烟净化器废油、废过滤介质等</w:t>
                  </w:r>
                  <w:r>
                    <w:rPr>
                      <w:color w:val="auto"/>
                      <w:sz w:val="21"/>
                      <w:szCs w:val="21"/>
                    </w:rPr>
                    <w:t>。所有废物均</w:t>
                  </w:r>
                  <w:r>
                    <w:rPr>
                      <w:rFonts w:hint="eastAsia"/>
                      <w:color w:val="auto"/>
                      <w:sz w:val="21"/>
                      <w:szCs w:val="21"/>
                      <w:lang w:val="en-US" w:eastAsia="zh-CN"/>
                    </w:rPr>
                    <w:t>在厂内危废仓库安全暂存，</w:t>
                  </w:r>
                  <w:r>
                    <w:rPr>
                      <w:rFonts w:hint="eastAsia"/>
                      <w:color w:val="auto"/>
                      <w:sz w:val="21"/>
                      <w:szCs w:val="21"/>
                    </w:rPr>
                    <w:t>安全合</w:t>
                  </w:r>
                  <w:r>
                    <w:rPr>
                      <w:color w:val="auto"/>
                      <w:sz w:val="21"/>
                      <w:szCs w:val="21"/>
                    </w:rPr>
                    <w:t>理处置</w:t>
                  </w:r>
                  <w:r>
                    <w:rPr>
                      <w:rFonts w:hint="eastAsia"/>
                      <w:color w:val="auto"/>
                      <w:sz w:val="21"/>
                      <w:szCs w:val="21"/>
                      <w:lang w:eastAsia="zh-CN"/>
                    </w:rPr>
                    <w:t>。</w:t>
                  </w:r>
                </w:p>
              </w:tc>
              <w:tc>
                <w:tcPr>
                  <w:tcW w:w="265" w:type="pct"/>
                  <w:tcBorders>
                    <w:tl2br w:val="nil"/>
                    <w:tr2bl w:val="nil"/>
                  </w:tcBorders>
                  <w:vAlign w:val="center"/>
                </w:tcPr>
                <w:p w14:paraId="28648870">
                  <w:pPr>
                    <w:adjustRightInd w:val="0"/>
                    <w:snapToGrid w:val="0"/>
                    <w:spacing w:line="240" w:lineRule="auto"/>
                    <w:ind w:firstLine="0" w:firstLineChars="0"/>
                    <w:jc w:val="center"/>
                    <w:rPr>
                      <w:color w:val="auto"/>
                      <w:sz w:val="21"/>
                      <w:szCs w:val="21"/>
                    </w:rPr>
                  </w:pPr>
                  <w:r>
                    <w:rPr>
                      <w:color w:val="auto"/>
                      <w:sz w:val="21"/>
                      <w:szCs w:val="21"/>
                    </w:rPr>
                    <w:t>相符</w:t>
                  </w:r>
                </w:p>
              </w:tc>
            </w:tr>
          </w:tbl>
          <w:p w14:paraId="73F827AA">
            <w:pPr>
              <w:pStyle w:val="15"/>
              <w:numPr>
                <w:ilvl w:val="0"/>
                <w:numId w:val="0"/>
              </w:numPr>
              <w:rPr>
                <w:color w:val="auto"/>
              </w:rPr>
            </w:pPr>
          </w:p>
        </w:tc>
      </w:tr>
    </w:tbl>
    <w:p w14:paraId="26A42EB7">
      <w:pPr>
        <w:spacing w:line="360" w:lineRule="auto"/>
        <w:ind w:firstLine="600"/>
        <w:rPr>
          <w:color w:val="auto"/>
          <w:sz w:val="30"/>
        </w:rPr>
        <w:sectPr>
          <w:footerReference r:id="rId13" w:type="default"/>
          <w:pgSz w:w="11906" w:h="16838"/>
          <w:pgMar w:top="1304" w:right="1304" w:bottom="1304" w:left="1304" w:header="851" w:footer="454" w:gutter="0"/>
          <w:pgBorders>
            <w:top w:val="none" w:sz="0" w:space="0"/>
            <w:left w:val="none" w:sz="0" w:space="0"/>
            <w:bottom w:val="none" w:sz="0" w:space="0"/>
            <w:right w:val="none" w:sz="0" w:space="0"/>
          </w:pgBorders>
          <w:pgNumType w:fmt="decimal" w:start="1"/>
          <w:cols w:space="720" w:num="1"/>
          <w:docGrid w:linePitch="326" w:charSpace="0"/>
        </w:sectPr>
      </w:pPr>
    </w:p>
    <w:p w14:paraId="253824A1">
      <w:pPr>
        <w:pStyle w:val="30"/>
        <w:spacing w:before="0" w:beforeAutospacing="0" w:after="0" w:afterAutospacing="0" w:line="500" w:lineRule="exact"/>
        <w:ind w:firstLine="0" w:firstLineChars="0"/>
        <w:jc w:val="center"/>
        <w:outlineLvl w:val="0"/>
        <w:rPr>
          <w:rFonts w:ascii="Times New Roman" w:hAnsi="Times New Roman"/>
          <w:b/>
          <w:snapToGrid w:val="0"/>
          <w:color w:val="auto"/>
          <w:sz w:val="30"/>
          <w:szCs w:val="30"/>
        </w:rPr>
      </w:pPr>
      <w:bookmarkStart w:id="2" w:name="_Toc29845"/>
      <w:r>
        <w:rPr>
          <w:rFonts w:ascii="Times New Roman" w:hAnsi="Times New Roman"/>
          <w:b/>
          <w:snapToGrid w:val="0"/>
          <w:color w:val="auto"/>
          <w:sz w:val="30"/>
          <w:szCs w:val="30"/>
        </w:rPr>
        <w:t>二、建设项目工程分析</w:t>
      </w:r>
      <w:bookmarkEnd w:id="2"/>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9"/>
        <w:gridCol w:w="8945"/>
      </w:tblGrid>
      <w:tr w14:paraId="00B328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581" w:hRule="atLeast"/>
          <w:jc w:val="center"/>
        </w:trPr>
        <w:tc>
          <w:tcPr>
            <w:tcW w:w="569" w:type="dxa"/>
            <w:tcBorders>
              <w:bottom w:val="single" w:color="auto" w:sz="8" w:space="0"/>
            </w:tcBorders>
            <w:vAlign w:val="center"/>
          </w:tcPr>
          <w:p w14:paraId="7200C72F">
            <w:pPr>
              <w:pStyle w:val="30"/>
              <w:adjustRightInd w:val="0"/>
              <w:snapToGrid w:val="0"/>
              <w:spacing w:before="0" w:beforeAutospacing="0" w:after="0" w:afterAutospacing="0"/>
              <w:ind w:firstLine="0" w:firstLineChars="0"/>
              <w:jc w:val="center"/>
              <w:rPr>
                <w:rFonts w:ascii="Times New Roman" w:hAnsi="Times New Roman"/>
                <w:color w:val="auto"/>
                <w:sz w:val="21"/>
                <w:szCs w:val="21"/>
              </w:rPr>
            </w:pPr>
            <w:r>
              <w:rPr>
                <w:rFonts w:ascii="Times New Roman" w:hAnsi="Times New Roman"/>
                <w:color w:val="auto"/>
                <w:sz w:val="21"/>
                <w:szCs w:val="21"/>
              </w:rPr>
              <w:t>建设内容</w:t>
            </w:r>
          </w:p>
        </w:tc>
        <w:tc>
          <w:tcPr>
            <w:tcW w:w="8945" w:type="dxa"/>
            <w:tcBorders>
              <w:bottom w:val="single" w:color="auto" w:sz="8" w:space="0"/>
            </w:tcBorders>
          </w:tcPr>
          <w:p w14:paraId="43831684">
            <w:pPr>
              <w:adjustRightInd w:val="0"/>
              <w:snapToGrid w:val="0"/>
              <w:spacing w:before="120" w:beforeLines="50" w:line="360" w:lineRule="auto"/>
              <w:ind w:firstLine="482"/>
              <w:rPr>
                <w:rFonts w:hint="eastAsia" w:eastAsia="宋体"/>
                <w:b/>
                <w:color w:val="auto"/>
                <w:kern w:val="0"/>
                <w:lang w:eastAsia="zh-CN"/>
              </w:rPr>
            </w:pPr>
            <w:r>
              <w:rPr>
                <w:rFonts w:hint="eastAsia"/>
                <w:b/>
                <w:color w:val="auto"/>
                <w:kern w:val="0"/>
                <w:lang w:eastAsia="zh-CN"/>
              </w:rPr>
              <w:t>1.</w:t>
            </w:r>
            <w:r>
              <w:rPr>
                <w:rFonts w:hint="eastAsia"/>
                <w:b/>
                <w:color w:val="auto"/>
                <w:kern w:val="0"/>
                <w:lang w:val="en-US" w:eastAsia="zh-CN"/>
              </w:rPr>
              <w:t>基本情况</w:t>
            </w:r>
          </w:p>
          <w:p w14:paraId="3D4441B6">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auto"/>
              <w:rPr>
                <w:color w:val="auto"/>
                <w:sz w:val="24"/>
                <w:szCs w:val="24"/>
              </w:rPr>
            </w:pPr>
            <w:r>
              <w:rPr>
                <w:rFonts w:hint="eastAsia"/>
                <w:color w:val="auto"/>
                <w:sz w:val="24"/>
                <w:szCs w:val="24"/>
                <w:lang w:eastAsia="zh-CN"/>
              </w:rPr>
              <w:t>江苏青煊纺织有限公司</w:t>
            </w:r>
            <w:r>
              <w:rPr>
                <w:rFonts w:hint="eastAsia"/>
                <w:color w:val="auto"/>
                <w:sz w:val="24"/>
                <w:szCs w:val="24"/>
                <w:lang w:val="en-US" w:eastAsia="zh-CN"/>
              </w:rPr>
              <w:t>成立</w:t>
            </w:r>
            <w:r>
              <w:rPr>
                <w:color w:val="auto"/>
                <w:sz w:val="24"/>
                <w:szCs w:val="24"/>
              </w:rPr>
              <w:t>于2025年</w:t>
            </w:r>
            <w:r>
              <w:rPr>
                <w:rFonts w:hint="eastAsia"/>
                <w:color w:val="auto"/>
                <w:sz w:val="24"/>
                <w:szCs w:val="24"/>
                <w:lang w:val="en-US" w:eastAsia="zh-CN"/>
              </w:rPr>
              <w:t>5</w:t>
            </w:r>
            <w:r>
              <w:rPr>
                <w:color w:val="auto"/>
                <w:sz w:val="24"/>
                <w:szCs w:val="24"/>
              </w:rPr>
              <w:t>月</w:t>
            </w:r>
            <w:r>
              <w:rPr>
                <w:rFonts w:hint="eastAsia"/>
                <w:color w:val="auto"/>
                <w:sz w:val="24"/>
                <w:szCs w:val="24"/>
                <w:lang w:val="en-US" w:eastAsia="zh-CN"/>
              </w:rPr>
              <w:t>29日</w:t>
            </w:r>
            <w:r>
              <w:rPr>
                <w:rFonts w:hint="eastAsia"/>
                <w:color w:val="auto"/>
                <w:sz w:val="24"/>
                <w:szCs w:val="24"/>
                <w:lang w:eastAsia="zh-CN"/>
              </w:rPr>
              <w:t>，</w:t>
            </w:r>
            <w:r>
              <w:rPr>
                <w:color w:val="auto"/>
                <w:sz w:val="24"/>
                <w:szCs w:val="24"/>
              </w:rPr>
              <w:t>拟投资</w:t>
            </w:r>
            <w:r>
              <w:rPr>
                <w:rFonts w:hint="eastAsia"/>
                <w:color w:val="auto"/>
                <w:sz w:val="24"/>
                <w:szCs w:val="24"/>
                <w:lang w:val="en-US" w:eastAsia="zh-CN"/>
              </w:rPr>
              <w:t>12000万</w:t>
            </w:r>
            <w:r>
              <w:rPr>
                <w:color w:val="auto"/>
                <w:sz w:val="24"/>
                <w:szCs w:val="24"/>
              </w:rPr>
              <w:t>元租赁</w:t>
            </w:r>
            <w:r>
              <w:rPr>
                <w:rFonts w:hint="eastAsia"/>
                <w:color w:val="auto"/>
                <w:sz w:val="24"/>
                <w:szCs w:val="24"/>
                <w:lang w:val="en-US" w:eastAsia="zh-CN"/>
              </w:rPr>
              <w:t>宿迁市泗阳县新袁镇仁和路东侧、新河路南侧（3）2#厂房</w:t>
            </w:r>
            <w:r>
              <w:rPr>
                <w:color w:val="auto"/>
                <w:kern w:val="0"/>
                <w:sz w:val="24"/>
                <w:szCs w:val="24"/>
                <w:lang w:bidi="ar"/>
              </w:rPr>
              <w:t>建设</w:t>
            </w:r>
            <w:r>
              <w:rPr>
                <w:rFonts w:hint="eastAsia" w:cs="Times New Roman"/>
                <w:color w:val="auto"/>
                <w:sz w:val="24"/>
                <w:szCs w:val="24"/>
                <w:lang w:eastAsia="zh-CN"/>
              </w:rPr>
              <w:t>年产3000万米化纤面料项目</w:t>
            </w:r>
            <w:r>
              <w:rPr>
                <w:color w:val="auto"/>
                <w:kern w:val="0"/>
                <w:sz w:val="24"/>
                <w:szCs w:val="24"/>
                <w:lang w:bidi="ar"/>
              </w:rPr>
              <w:t>。项目用地面积约</w:t>
            </w:r>
            <w:r>
              <w:rPr>
                <w:rFonts w:hint="eastAsia"/>
                <w:color w:val="auto"/>
                <w:kern w:val="0"/>
                <w:sz w:val="24"/>
                <w:szCs w:val="24"/>
                <w:lang w:val="en-US" w:eastAsia="zh-CN" w:bidi="ar"/>
              </w:rPr>
              <w:t>10800</w:t>
            </w:r>
            <w:r>
              <w:rPr>
                <w:color w:val="auto"/>
                <w:kern w:val="0"/>
                <w:sz w:val="24"/>
                <w:szCs w:val="24"/>
                <w:lang w:bidi="ar"/>
              </w:rPr>
              <w:t>平方米，</w:t>
            </w:r>
            <w:r>
              <w:rPr>
                <w:rFonts w:hint="eastAsia"/>
                <w:color w:val="auto"/>
                <w:kern w:val="0"/>
                <w:sz w:val="24"/>
                <w:szCs w:val="24"/>
                <w:lang w:bidi="ar"/>
              </w:rPr>
              <w:t>新增喷水织机、加弹机、牵经车、验布机、空压机、环保设备、变压器等先进设备。原辅料为POY预取向丝、加弹油剂等；项目建成后，预计可年产3000万米化纤面料。 本项目符合国家政策，后续将按规定办理节能、安全等相关审批手续，具备条件后方可实施</w:t>
            </w:r>
            <w:r>
              <w:rPr>
                <w:color w:val="auto"/>
                <w:sz w:val="24"/>
                <w:szCs w:val="24"/>
              </w:rPr>
              <w:t>。</w:t>
            </w:r>
            <w:r>
              <w:rPr>
                <w:color w:val="auto"/>
                <w:kern w:val="0"/>
                <w:sz w:val="24"/>
                <w:szCs w:val="24"/>
                <w:lang w:bidi="ar"/>
              </w:rPr>
              <w:t>目前本项目仍在筹备阶段，不涉及未批先建。项目已取得</w:t>
            </w:r>
            <w:r>
              <w:rPr>
                <w:rFonts w:hint="eastAsia"/>
                <w:color w:val="auto"/>
                <w:kern w:val="0"/>
                <w:sz w:val="24"/>
                <w:szCs w:val="24"/>
                <w:lang w:eastAsia="zh-CN" w:bidi="ar"/>
              </w:rPr>
              <w:t>宿迁泗阳县数据局</w:t>
            </w:r>
            <w:r>
              <w:rPr>
                <w:color w:val="auto"/>
                <w:kern w:val="0"/>
                <w:sz w:val="24"/>
                <w:szCs w:val="24"/>
                <w:lang w:bidi="ar"/>
              </w:rPr>
              <w:t>的备案文件（</w:t>
            </w:r>
            <w:r>
              <w:rPr>
                <w:rFonts w:hint="eastAsia"/>
                <w:color w:val="auto"/>
                <w:kern w:val="0"/>
                <w:sz w:val="24"/>
                <w:szCs w:val="24"/>
                <w:lang w:eastAsia="zh-CN" w:bidi="ar"/>
              </w:rPr>
              <w:t>泗阳数据备〔2025〕1942号</w:t>
            </w:r>
            <w:r>
              <w:rPr>
                <w:color w:val="auto"/>
                <w:kern w:val="0"/>
                <w:sz w:val="24"/>
                <w:szCs w:val="24"/>
                <w:lang w:bidi="ar"/>
              </w:rPr>
              <w:t>），项目备案号为</w:t>
            </w:r>
            <w:r>
              <w:rPr>
                <w:rFonts w:hint="eastAsia"/>
                <w:color w:val="auto"/>
                <w:kern w:val="0"/>
                <w:sz w:val="24"/>
                <w:szCs w:val="24"/>
                <w:lang w:eastAsia="zh-CN" w:bidi="ar"/>
              </w:rPr>
              <w:t>2510-321323-89-01-516360</w:t>
            </w:r>
            <w:r>
              <w:rPr>
                <w:color w:val="auto"/>
                <w:kern w:val="0"/>
                <w:sz w:val="24"/>
                <w:szCs w:val="24"/>
                <w:lang w:bidi="ar"/>
              </w:rPr>
              <w:t>。</w:t>
            </w:r>
          </w:p>
          <w:p w14:paraId="6689EEEA">
            <w:pPr>
              <w:adjustRightInd w:val="0"/>
              <w:snapToGrid w:val="0"/>
              <w:spacing w:line="360" w:lineRule="auto"/>
              <w:ind w:firstLine="480"/>
              <w:rPr>
                <w:color w:val="auto"/>
              </w:rPr>
            </w:pPr>
            <w:r>
              <w:rPr>
                <w:rFonts w:hint="eastAsia"/>
                <w:color w:val="auto"/>
              </w:rPr>
              <w:t>根据《国民经济行业分类》（</w:t>
            </w:r>
            <w:r>
              <w:rPr>
                <w:color w:val="auto"/>
              </w:rPr>
              <w:t>GB/T4754-2017</w:t>
            </w:r>
            <w:r>
              <w:rPr>
                <w:rFonts w:hint="eastAsia"/>
                <w:color w:val="auto"/>
              </w:rPr>
              <w:t>）及第</w:t>
            </w:r>
            <w:r>
              <w:rPr>
                <w:color w:val="auto"/>
              </w:rPr>
              <w:t>1</w:t>
            </w:r>
            <w:r>
              <w:rPr>
                <w:rFonts w:hint="eastAsia"/>
                <w:color w:val="auto"/>
              </w:rPr>
              <w:t>号修改单、</w:t>
            </w:r>
            <w:r>
              <w:rPr>
                <w:color w:val="auto"/>
              </w:rPr>
              <w:t>《建设项目环境影响评价分类管理名录》（</w:t>
            </w:r>
            <w:r>
              <w:rPr>
                <w:rFonts w:hint="eastAsia"/>
                <w:color w:val="auto"/>
              </w:rPr>
              <w:t>2021年版</w:t>
            </w:r>
            <w:r>
              <w:rPr>
                <w:color w:val="auto"/>
              </w:rPr>
              <w:t>）</w:t>
            </w:r>
            <w:r>
              <w:rPr>
                <w:rFonts w:hint="eastAsia"/>
                <w:color w:val="auto"/>
              </w:rPr>
              <w:t>，建设项目环境影响评价文件类别判定过程见表2-1。</w:t>
            </w:r>
          </w:p>
          <w:p w14:paraId="309E3865">
            <w:pPr>
              <w:adjustRightInd w:val="0"/>
              <w:snapToGrid w:val="0"/>
              <w:spacing w:line="240" w:lineRule="auto"/>
              <w:ind w:firstLine="0" w:firstLineChars="0"/>
              <w:jc w:val="center"/>
              <w:rPr>
                <w:b/>
                <w:color w:val="auto"/>
              </w:rPr>
            </w:pPr>
            <w:r>
              <w:rPr>
                <w:b/>
                <w:color w:val="auto"/>
              </w:rPr>
              <w:t>表</w:t>
            </w:r>
            <w:r>
              <w:rPr>
                <w:rFonts w:hint="eastAsia"/>
                <w:b/>
                <w:color w:val="auto"/>
              </w:rPr>
              <w:t>2-1</w:t>
            </w:r>
            <w:r>
              <w:rPr>
                <w:b/>
                <w:color w:val="auto"/>
              </w:rPr>
              <w:t>建设项目环境影响评价文件类别判定表</w:t>
            </w:r>
          </w:p>
          <w:tbl>
            <w:tblPr>
              <w:tblStyle w:val="38"/>
              <w:tblW w:w="5000"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autofit"/>
              <w:tblCellMar>
                <w:top w:w="0" w:type="dxa"/>
                <w:left w:w="28" w:type="dxa"/>
                <w:bottom w:w="0" w:type="dxa"/>
                <w:right w:w="28" w:type="dxa"/>
              </w:tblCellMar>
            </w:tblPr>
            <w:tblGrid>
              <w:gridCol w:w="314"/>
              <w:gridCol w:w="396"/>
              <w:gridCol w:w="873"/>
              <w:gridCol w:w="1303"/>
              <w:gridCol w:w="2765"/>
              <w:gridCol w:w="2316"/>
              <w:gridCol w:w="362"/>
              <w:gridCol w:w="400"/>
            </w:tblGrid>
            <w:tr w14:paraId="2EBF00FE">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80" w:type="pct"/>
                  <w:tcBorders>
                    <w:top w:val="single" w:color="auto" w:sz="12" w:space="0"/>
                    <w:left w:val="nil"/>
                    <w:bottom w:val="single" w:color="auto" w:sz="4" w:space="0"/>
                    <w:right w:val="single" w:color="auto" w:sz="4" w:space="0"/>
                  </w:tcBorders>
                  <w:shd w:val="clear" w:color="auto" w:fill="auto"/>
                  <w:vAlign w:val="center"/>
                </w:tcPr>
                <w:p w14:paraId="0D3A41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序号</w:t>
                  </w:r>
                </w:p>
              </w:tc>
              <w:tc>
                <w:tcPr>
                  <w:tcW w:w="227" w:type="pct"/>
                  <w:tcBorders>
                    <w:top w:val="single" w:color="auto" w:sz="12" w:space="0"/>
                    <w:left w:val="single" w:color="auto" w:sz="4" w:space="0"/>
                    <w:bottom w:val="single" w:color="auto" w:sz="4" w:space="0"/>
                    <w:right w:val="single" w:color="auto" w:sz="4" w:space="0"/>
                  </w:tcBorders>
                  <w:shd w:val="clear" w:color="auto" w:fill="auto"/>
                  <w:vAlign w:val="center"/>
                </w:tcPr>
                <w:p w14:paraId="280B14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产品</w:t>
                  </w:r>
                </w:p>
              </w:tc>
              <w:tc>
                <w:tcPr>
                  <w:tcW w:w="500" w:type="pct"/>
                  <w:tcBorders>
                    <w:top w:val="single" w:color="auto" w:sz="12" w:space="0"/>
                    <w:left w:val="single" w:color="auto" w:sz="4" w:space="0"/>
                    <w:bottom w:val="single" w:color="auto" w:sz="4" w:space="0"/>
                    <w:right w:val="single" w:color="auto" w:sz="4" w:space="0"/>
                  </w:tcBorders>
                  <w:shd w:val="clear" w:color="auto" w:fill="auto"/>
                  <w:vAlign w:val="center"/>
                </w:tcPr>
                <w:p w14:paraId="5F6B62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主要生产工艺</w:t>
                  </w:r>
                </w:p>
              </w:tc>
              <w:tc>
                <w:tcPr>
                  <w:tcW w:w="3862" w:type="pct"/>
                  <w:gridSpan w:val="4"/>
                  <w:tcBorders>
                    <w:top w:val="single" w:color="auto" w:sz="12" w:space="0"/>
                    <w:left w:val="single" w:color="auto" w:sz="4" w:space="0"/>
                    <w:bottom w:val="single" w:color="auto" w:sz="4" w:space="0"/>
                    <w:right w:val="single" w:color="auto" w:sz="4" w:space="0"/>
                  </w:tcBorders>
                  <w:shd w:val="clear" w:color="auto" w:fill="auto"/>
                  <w:vAlign w:val="center"/>
                </w:tcPr>
                <w:p w14:paraId="4EFC928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《建设项目环境影响评价分类管理名录（2021版）》</w:t>
                  </w:r>
                </w:p>
              </w:tc>
              <w:tc>
                <w:tcPr>
                  <w:tcW w:w="229" w:type="pct"/>
                  <w:tcBorders>
                    <w:top w:val="single" w:color="auto" w:sz="12" w:space="0"/>
                    <w:left w:val="single" w:color="auto" w:sz="4" w:space="0"/>
                    <w:bottom w:val="single" w:color="auto" w:sz="4" w:space="0"/>
                    <w:right w:val="nil"/>
                  </w:tcBorders>
                  <w:shd w:val="clear" w:color="auto" w:fill="auto"/>
                  <w:vAlign w:val="center"/>
                </w:tcPr>
                <w:p w14:paraId="228FDBC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编制类别</w:t>
                  </w:r>
                </w:p>
              </w:tc>
            </w:tr>
            <w:tr w14:paraId="42ADB8D1">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180" w:type="pct"/>
                  <w:vMerge w:val="restart"/>
                  <w:tcBorders>
                    <w:top w:val="single" w:color="auto" w:sz="4" w:space="0"/>
                    <w:left w:val="nil"/>
                    <w:bottom w:val="single" w:color="auto" w:sz="12" w:space="0"/>
                    <w:right w:val="single" w:color="auto" w:sz="4" w:space="0"/>
                  </w:tcBorders>
                  <w:shd w:val="clear" w:color="auto" w:fill="auto"/>
                  <w:vAlign w:val="center"/>
                </w:tcPr>
                <w:p w14:paraId="0F6694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1</w:t>
                  </w:r>
                </w:p>
              </w:tc>
              <w:tc>
                <w:tcPr>
                  <w:tcW w:w="227" w:type="pct"/>
                  <w:vMerge w:val="restart"/>
                  <w:tcBorders>
                    <w:top w:val="single" w:color="auto" w:sz="4" w:space="0"/>
                    <w:left w:val="single" w:color="auto" w:sz="4" w:space="0"/>
                    <w:bottom w:val="single" w:color="auto" w:sz="12" w:space="0"/>
                    <w:right w:val="single" w:color="auto" w:sz="4" w:space="0"/>
                  </w:tcBorders>
                  <w:shd w:val="clear" w:color="auto" w:fill="auto"/>
                  <w:vAlign w:val="center"/>
                </w:tcPr>
                <w:p w14:paraId="383C20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纺织面料</w:t>
                  </w:r>
                </w:p>
              </w:tc>
              <w:tc>
                <w:tcPr>
                  <w:tcW w:w="500" w:type="pct"/>
                  <w:vMerge w:val="restart"/>
                  <w:tcBorders>
                    <w:top w:val="single" w:color="auto" w:sz="4" w:space="0"/>
                    <w:left w:val="single" w:color="auto" w:sz="4" w:space="0"/>
                    <w:bottom w:val="single" w:color="auto" w:sz="12" w:space="0"/>
                    <w:right w:val="single" w:color="auto" w:sz="4" w:space="0"/>
                  </w:tcBorders>
                  <w:shd w:val="clear" w:color="auto" w:fill="auto"/>
                  <w:vAlign w:val="center"/>
                </w:tcPr>
                <w:p w14:paraId="1CFBF6F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加弹、织造等</w:t>
                  </w:r>
                </w:p>
              </w:tc>
              <w:tc>
                <w:tcPr>
                  <w:tcW w:w="746" w:type="pct"/>
                  <w:vMerge w:val="restart"/>
                  <w:tcBorders>
                    <w:top w:val="single" w:color="auto" w:sz="4" w:space="0"/>
                    <w:left w:val="single" w:color="auto" w:sz="4" w:space="0"/>
                    <w:bottom w:val="single" w:color="auto" w:sz="12" w:space="0"/>
                    <w:right w:val="single" w:color="auto" w:sz="4" w:space="0"/>
                  </w:tcBorders>
                  <w:shd w:val="clear" w:color="auto" w:fill="auto"/>
                  <w:vAlign w:val="center"/>
                </w:tcPr>
                <w:p w14:paraId="4825E3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十四、纺织业17</w:t>
                  </w:r>
                  <w:r>
                    <w:rPr>
                      <w:rFonts w:hint="eastAsia" w:cs="Times New Roman"/>
                      <w:color w:val="auto"/>
                      <w:sz w:val="21"/>
                      <w:szCs w:val="21"/>
                      <w:lang w:eastAsia="zh-CN" w:bidi="ar"/>
                    </w:rPr>
                    <w:t>:</w:t>
                  </w:r>
                  <w:r>
                    <w:rPr>
                      <w:rFonts w:hint="default" w:ascii="Times New Roman" w:hAnsi="Times New Roman" w:eastAsia="宋体" w:cs="Times New Roman"/>
                      <w:color w:val="auto"/>
                      <w:sz w:val="21"/>
                      <w:szCs w:val="21"/>
                      <w:lang w:bidi="ar"/>
                    </w:rPr>
                    <w:t>28、化纤织造及印染精加工175</w:t>
                  </w:r>
                </w:p>
              </w:tc>
              <w:tc>
                <w:tcPr>
                  <w:tcW w:w="1583" w:type="pct"/>
                  <w:tcBorders>
                    <w:top w:val="single" w:color="auto" w:sz="4" w:space="0"/>
                    <w:left w:val="single" w:color="auto" w:sz="4" w:space="0"/>
                    <w:bottom w:val="single" w:color="auto" w:sz="4" w:space="0"/>
                    <w:right w:val="single" w:color="auto" w:sz="4" w:space="0"/>
                  </w:tcBorders>
                  <w:shd w:val="clear" w:color="auto" w:fill="auto"/>
                  <w:vAlign w:val="center"/>
                </w:tcPr>
                <w:p w14:paraId="7E97F7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报告书</w:t>
                  </w:r>
                </w:p>
              </w:tc>
              <w:tc>
                <w:tcPr>
                  <w:tcW w:w="1326" w:type="pct"/>
                  <w:tcBorders>
                    <w:top w:val="single" w:color="auto" w:sz="4" w:space="0"/>
                    <w:left w:val="single" w:color="auto" w:sz="4" w:space="0"/>
                    <w:bottom w:val="single" w:color="auto" w:sz="4" w:space="0"/>
                    <w:right w:val="single" w:color="auto" w:sz="4" w:space="0"/>
                  </w:tcBorders>
                  <w:shd w:val="clear" w:color="auto" w:fill="auto"/>
                  <w:vAlign w:val="center"/>
                </w:tcPr>
                <w:p w14:paraId="7B7626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报告表</w:t>
                  </w:r>
                </w:p>
              </w:tc>
              <w:tc>
                <w:tcPr>
                  <w:tcW w:w="206" w:type="pct"/>
                  <w:tcBorders>
                    <w:top w:val="single" w:color="auto" w:sz="4" w:space="0"/>
                    <w:left w:val="single" w:color="auto" w:sz="4" w:space="0"/>
                    <w:bottom w:val="single" w:color="auto" w:sz="4" w:space="0"/>
                    <w:right w:val="single" w:color="auto" w:sz="4" w:space="0"/>
                  </w:tcBorders>
                  <w:shd w:val="clear" w:color="auto" w:fill="auto"/>
                  <w:vAlign w:val="center"/>
                </w:tcPr>
                <w:p w14:paraId="655BFB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登记表</w:t>
                  </w:r>
                </w:p>
              </w:tc>
              <w:tc>
                <w:tcPr>
                  <w:tcW w:w="229" w:type="pct"/>
                  <w:vMerge w:val="restart"/>
                  <w:tcBorders>
                    <w:top w:val="single" w:color="auto" w:sz="4" w:space="0"/>
                    <w:left w:val="single" w:color="auto" w:sz="4" w:space="0"/>
                    <w:bottom w:val="single" w:color="auto" w:sz="12" w:space="0"/>
                    <w:right w:val="nil"/>
                  </w:tcBorders>
                  <w:shd w:val="clear" w:color="auto" w:fill="auto"/>
                  <w:vAlign w:val="center"/>
                </w:tcPr>
                <w:p w14:paraId="360C73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报告表</w:t>
                  </w:r>
                </w:p>
              </w:tc>
            </w:tr>
            <w:tr w14:paraId="34714535">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180" w:type="pct"/>
                  <w:vMerge w:val="continue"/>
                  <w:tcBorders>
                    <w:top w:val="single" w:color="auto" w:sz="4" w:space="0"/>
                    <w:left w:val="nil"/>
                    <w:bottom w:val="single" w:color="auto" w:sz="12" w:space="0"/>
                    <w:right w:val="single" w:color="auto" w:sz="4" w:space="0"/>
                  </w:tcBorders>
                  <w:shd w:val="clear" w:color="auto" w:fill="auto"/>
                  <w:vAlign w:val="center"/>
                </w:tcPr>
                <w:p w14:paraId="112234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227"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46C833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500"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1FC01F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746" w:type="pct"/>
                  <w:vMerge w:val="continue"/>
                  <w:tcBorders>
                    <w:top w:val="single" w:color="auto" w:sz="4" w:space="0"/>
                    <w:left w:val="single" w:color="auto" w:sz="4" w:space="0"/>
                    <w:bottom w:val="single" w:color="auto" w:sz="12" w:space="0"/>
                    <w:right w:val="single" w:color="auto" w:sz="4" w:space="0"/>
                  </w:tcBorders>
                  <w:shd w:val="clear" w:color="auto" w:fill="auto"/>
                  <w:vAlign w:val="center"/>
                </w:tcPr>
                <w:p w14:paraId="5835A2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1583" w:type="pct"/>
                  <w:tcBorders>
                    <w:top w:val="single" w:color="auto" w:sz="4" w:space="0"/>
                    <w:left w:val="single" w:color="auto" w:sz="4" w:space="0"/>
                    <w:bottom w:val="single" w:color="auto" w:sz="12" w:space="0"/>
                    <w:right w:val="single" w:color="auto" w:sz="4" w:space="0"/>
                  </w:tcBorders>
                  <w:shd w:val="clear" w:color="auto" w:fill="auto"/>
                  <w:vAlign w:val="center"/>
                </w:tcPr>
                <w:p w14:paraId="246EB7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有洗毛、脱胶、缫丝工艺的；染整工艺有前处理、染色、印花（喷墨印花和数码印花的除外）工序的；有使用有机溶剂的涂层工艺的</w:t>
                  </w:r>
                </w:p>
              </w:tc>
              <w:tc>
                <w:tcPr>
                  <w:tcW w:w="1326" w:type="pct"/>
                  <w:tcBorders>
                    <w:top w:val="single" w:color="auto" w:sz="4" w:space="0"/>
                    <w:left w:val="single" w:color="auto" w:sz="4" w:space="0"/>
                    <w:bottom w:val="single" w:color="auto" w:sz="12" w:space="0"/>
                    <w:right w:val="single" w:color="auto" w:sz="4" w:space="0"/>
                  </w:tcBorders>
                  <w:shd w:val="clear" w:color="auto" w:fill="auto"/>
                  <w:vAlign w:val="center"/>
                </w:tcPr>
                <w:p w14:paraId="271F835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有喷墨印花或数码印花工艺的；后整理工序涉及有机溶剂的；</w:t>
                  </w:r>
                  <w:r>
                    <w:rPr>
                      <w:rFonts w:hint="default" w:ascii="Times New Roman" w:hAnsi="Times New Roman" w:eastAsia="宋体" w:cs="Times New Roman"/>
                      <w:b/>
                      <w:bCs/>
                      <w:color w:val="auto"/>
                      <w:sz w:val="21"/>
                      <w:szCs w:val="21"/>
                      <w:lang w:bidi="ar"/>
                    </w:rPr>
                    <w:t>有喷水织造工艺的</w:t>
                  </w:r>
                  <w:r>
                    <w:rPr>
                      <w:rFonts w:hint="default" w:ascii="Times New Roman" w:hAnsi="Times New Roman" w:eastAsia="宋体" w:cs="Times New Roman"/>
                      <w:color w:val="auto"/>
                      <w:sz w:val="21"/>
                      <w:szCs w:val="21"/>
                      <w:lang w:bidi="ar"/>
                    </w:rPr>
                    <w:t>；有水刺无纺布织造工艺的</w:t>
                  </w:r>
                </w:p>
              </w:tc>
              <w:tc>
                <w:tcPr>
                  <w:tcW w:w="206" w:type="pct"/>
                  <w:tcBorders>
                    <w:top w:val="single" w:color="auto" w:sz="4" w:space="0"/>
                    <w:left w:val="single" w:color="auto" w:sz="4" w:space="0"/>
                    <w:bottom w:val="single" w:color="auto" w:sz="12" w:space="0"/>
                    <w:right w:val="single" w:color="auto" w:sz="4" w:space="0"/>
                  </w:tcBorders>
                  <w:shd w:val="clear" w:color="auto" w:fill="auto"/>
                  <w:vAlign w:val="center"/>
                </w:tcPr>
                <w:p w14:paraId="06BC6D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w:t>
                  </w:r>
                </w:p>
              </w:tc>
              <w:tc>
                <w:tcPr>
                  <w:tcW w:w="229" w:type="pct"/>
                  <w:vMerge w:val="continue"/>
                  <w:tcBorders>
                    <w:top w:val="single" w:color="auto" w:sz="4" w:space="0"/>
                    <w:left w:val="single" w:color="auto" w:sz="4" w:space="0"/>
                    <w:bottom w:val="single" w:color="auto" w:sz="12" w:space="0"/>
                    <w:right w:val="nil"/>
                  </w:tcBorders>
                  <w:shd w:val="clear" w:color="auto" w:fill="auto"/>
                  <w:vAlign w:val="center"/>
                </w:tcPr>
                <w:p w14:paraId="3EF09C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r>
          </w:tbl>
          <w:p w14:paraId="13A09C8F">
            <w:pPr>
              <w:adjustRightInd w:val="0"/>
              <w:snapToGrid w:val="0"/>
              <w:spacing w:line="360" w:lineRule="auto"/>
              <w:ind w:firstLine="480"/>
              <w:rPr>
                <w:color w:val="auto"/>
                <w:lang w:bidi="ar"/>
              </w:rPr>
            </w:pPr>
            <w:r>
              <w:rPr>
                <w:color w:val="auto"/>
              </w:rPr>
              <w:t>据此，建设单位委托</w:t>
            </w:r>
            <w:r>
              <w:rPr>
                <w:rFonts w:hint="eastAsia"/>
                <w:color w:val="auto"/>
              </w:rPr>
              <w:t>江苏国态环保集团有限公司</w:t>
            </w:r>
            <w:r>
              <w:rPr>
                <w:color w:val="auto"/>
              </w:rPr>
              <w:t>对该项目进行环境影响报告表的编制工作。</w:t>
            </w:r>
            <w:r>
              <w:rPr>
                <w:rFonts w:hint="eastAsia"/>
                <w:color w:val="auto"/>
                <w:lang w:eastAsia="zh-CN"/>
              </w:rPr>
              <w:t>江苏国态环保集团有限公司</w:t>
            </w:r>
            <w:r>
              <w:rPr>
                <w:color w:val="auto"/>
              </w:rPr>
              <w:t>接受委托后，立即开展了详细的现场调查、资料收集工作，并对该项目的有关文件进行研究，在此基础上，</w:t>
            </w:r>
            <w:r>
              <w:rPr>
                <w:rFonts w:hint="eastAsia"/>
                <w:color w:val="auto"/>
                <w:lang w:eastAsia="zh-CN"/>
              </w:rPr>
              <w:t>江苏国态环保集团有限公司</w:t>
            </w:r>
            <w:r>
              <w:rPr>
                <w:color w:val="auto"/>
              </w:rPr>
              <w:t>依照</w:t>
            </w:r>
            <w:r>
              <w:rPr>
                <w:color w:val="auto"/>
                <w:kern w:val="0"/>
              </w:rPr>
              <w:t>《建设项目环境影响报告表编制技术指南》（污染影响类）（试行）中的相关</w:t>
            </w:r>
            <w:r>
              <w:rPr>
                <w:color w:val="auto"/>
              </w:rPr>
              <w:t>要求编制完成了该项目的环境影响评价报告表，呈报当地生态环境行政主管部门。</w:t>
            </w:r>
          </w:p>
          <w:p w14:paraId="7E07CF5B">
            <w:pPr>
              <w:adjustRightInd w:val="0"/>
              <w:snapToGrid w:val="0"/>
              <w:spacing w:before="120" w:beforeLines="50" w:line="360" w:lineRule="auto"/>
              <w:ind w:left="0" w:leftChars="0" w:firstLine="482" w:firstLineChars="200"/>
              <w:rPr>
                <w:b/>
                <w:color w:val="auto"/>
              </w:rPr>
            </w:pPr>
            <w:r>
              <w:rPr>
                <w:rFonts w:hint="eastAsia"/>
                <w:b/>
                <w:color w:val="auto"/>
                <w:lang w:val="en-US" w:eastAsia="zh-CN"/>
              </w:rPr>
              <w:t>2.</w:t>
            </w:r>
            <w:r>
              <w:rPr>
                <w:b/>
                <w:color w:val="auto"/>
              </w:rPr>
              <w:t>职工人数及工作制度</w:t>
            </w:r>
          </w:p>
          <w:p w14:paraId="514071A9">
            <w:pPr>
              <w:adjustRightInd w:val="0"/>
              <w:snapToGrid w:val="0"/>
              <w:spacing w:line="360" w:lineRule="auto"/>
              <w:ind w:firstLine="477" w:firstLineChars="199"/>
              <w:rPr>
                <w:rFonts w:hint="eastAsia"/>
                <w:b/>
                <w:color w:val="auto"/>
                <w:kern w:val="0"/>
                <w:lang w:val="en-US" w:eastAsia="zh-CN"/>
              </w:rPr>
            </w:pPr>
            <w:r>
              <w:rPr>
                <w:color w:val="auto"/>
              </w:rPr>
              <w:t>项目职工</w:t>
            </w:r>
            <w:r>
              <w:rPr>
                <w:rFonts w:hint="eastAsia"/>
                <w:color w:val="auto"/>
              </w:rPr>
              <w:t>定员</w:t>
            </w:r>
            <w:r>
              <w:rPr>
                <w:rFonts w:hint="eastAsia"/>
                <w:color w:val="auto"/>
                <w:lang w:val="en-US" w:eastAsia="zh-CN"/>
              </w:rPr>
              <w:t>5</w:t>
            </w:r>
            <w:r>
              <w:rPr>
                <w:color w:val="auto"/>
              </w:rPr>
              <w:t>0人，</w:t>
            </w:r>
            <w:r>
              <w:rPr>
                <w:rFonts w:hint="eastAsia"/>
                <w:color w:val="auto"/>
              </w:rPr>
              <w:t>年运行3</w:t>
            </w:r>
            <w:r>
              <w:rPr>
                <w:color w:val="auto"/>
              </w:rPr>
              <w:t>00</w:t>
            </w:r>
            <w:r>
              <w:rPr>
                <w:rFonts w:hint="eastAsia"/>
                <w:color w:val="auto"/>
              </w:rPr>
              <w:t>天，</w:t>
            </w:r>
            <w:r>
              <w:rPr>
                <w:rFonts w:hint="eastAsia"/>
                <w:color w:val="auto"/>
                <w:lang w:val="en-US" w:eastAsia="zh-CN"/>
              </w:rPr>
              <w:t>3</w:t>
            </w:r>
            <w:r>
              <w:rPr>
                <w:rFonts w:hint="eastAsia"/>
                <w:color w:val="auto"/>
              </w:rPr>
              <w:t>班制生产，每班8小时</w:t>
            </w:r>
            <w:r>
              <w:rPr>
                <w:color w:val="auto"/>
              </w:rPr>
              <w:t>，</w:t>
            </w:r>
            <w:r>
              <w:rPr>
                <w:rFonts w:hint="eastAsia"/>
                <w:color w:val="auto"/>
              </w:rPr>
              <w:t>年运行时间</w:t>
            </w:r>
            <w:r>
              <w:rPr>
                <w:rFonts w:hint="eastAsia"/>
                <w:color w:val="auto"/>
                <w:lang w:val="en-US" w:eastAsia="zh-CN"/>
              </w:rPr>
              <w:t>72</w:t>
            </w:r>
            <w:r>
              <w:rPr>
                <w:color w:val="auto"/>
              </w:rPr>
              <w:t>00</w:t>
            </w:r>
            <w:r>
              <w:rPr>
                <w:rFonts w:hint="eastAsia"/>
                <w:color w:val="auto"/>
              </w:rPr>
              <w:t>小时。</w:t>
            </w:r>
          </w:p>
          <w:p w14:paraId="26A58888">
            <w:pPr>
              <w:adjustRightInd w:val="0"/>
              <w:snapToGrid w:val="0"/>
              <w:spacing w:line="360" w:lineRule="auto"/>
              <w:ind w:firstLine="472" w:firstLineChars="196"/>
              <w:rPr>
                <w:b/>
                <w:color w:val="auto"/>
                <w:kern w:val="0"/>
              </w:rPr>
            </w:pPr>
            <w:r>
              <w:rPr>
                <w:rFonts w:hint="eastAsia"/>
                <w:b/>
                <w:color w:val="auto"/>
                <w:kern w:val="0"/>
                <w:lang w:val="en-US" w:eastAsia="zh-CN"/>
              </w:rPr>
              <w:t>3.</w:t>
            </w:r>
            <w:r>
              <w:rPr>
                <w:rFonts w:hint="eastAsia"/>
                <w:b/>
                <w:color w:val="auto"/>
              </w:rPr>
              <w:t>建设规模与</w:t>
            </w:r>
            <w:r>
              <w:rPr>
                <w:b/>
                <w:color w:val="auto"/>
              </w:rPr>
              <w:t>产品方案</w:t>
            </w:r>
          </w:p>
          <w:p w14:paraId="41E865DE">
            <w:pPr>
              <w:adjustRightInd w:val="0"/>
              <w:snapToGrid w:val="0"/>
              <w:spacing w:line="360" w:lineRule="auto"/>
              <w:ind w:firstLine="480"/>
              <w:rPr>
                <w:color w:val="auto"/>
              </w:rPr>
            </w:pPr>
            <w:r>
              <w:rPr>
                <w:color w:val="auto"/>
              </w:rPr>
              <w:t>本项目主体工程及产品方案见下表。</w:t>
            </w:r>
          </w:p>
          <w:p w14:paraId="564FEC10">
            <w:pPr>
              <w:adjustRightInd w:val="0"/>
              <w:snapToGrid w:val="0"/>
              <w:spacing w:line="240" w:lineRule="auto"/>
              <w:ind w:firstLine="0" w:firstLineChars="0"/>
              <w:jc w:val="center"/>
              <w:rPr>
                <w:b/>
                <w:color w:val="auto"/>
              </w:rPr>
            </w:pPr>
            <w:r>
              <w:rPr>
                <w:b/>
                <w:color w:val="auto"/>
              </w:rPr>
              <w:t>表</w:t>
            </w:r>
            <w:r>
              <w:rPr>
                <w:rFonts w:hint="eastAsia"/>
                <w:b/>
                <w:color w:val="auto"/>
              </w:rPr>
              <w:t>2</w:t>
            </w:r>
            <w:r>
              <w:rPr>
                <w:b/>
                <w:color w:val="auto"/>
              </w:rPr>
              <w:t>-2产品方案表</w:t>
            </w:r>
          </w:p>
          <w:tbl>
            <w:tblPr>
              <w:tblStyle w:val="3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2181"/>
              <w:gridCol w:w="1743"/>
              <w:gridCol w:w="1748"/>
              <w:gridCol w:w="1748"/>
            </w:tblGrid>
            <w:tr w14:paraId="1D874B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25" w:type="dxa"/>
                  <w:tcBorders>
                    <w:tl2br w:val="nil"/>
                    <w:tr2bl w:val="nil"/>
                  </w:tcBorders>
                  <w:vAlign w:val="center"/>
                </w:tcPr>
                <w:p w14:paraId="02617AC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color w:val="auto"/>
                      <w:sz w:val="21"/>
                      <w:szCs w:val="21"/>
                      <w:vertAlign w:val="baseline"/>
                      <w:lang w:val="en-US" w:eastAsia="zh-CN"/>
                    </w:rPr>
                  </w:pPr>
                  <w:r>
                    <w:rPr>
                      <w:rFonts w:hint="eastAsia"/>
                      <w:b/>
                      <w:color w:val="auto"/>
                      <w:sz w:val="21"/>
                      <w:szCs w:val="21"/>
                      <w:vertAlign w:val="baseline"/>
                      <w:lang w:val="en-US" w:eastAsia="zh-CN"/>
                    </w:rPr>
                    <w:t>序号</w:t>
                  </w:r>
                </w:p>
              </w:tc>
              <w:tc>
                <w:tcPr>
                  <w:tcW w:w="2222" w:type="dxa"/>
                  <w:tcBorders>
                    <w:tl2br w:val="nil"/>
                    <w:tr2bl w:val="nil"/>
                  </w:tcBorders>
                  <w:vAlign w:val="center"/>
                </w:tcPr>
                <w:p w14:paraId="34BBB2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color w:val="auto"/>
                      <w:sz w:val="21"/>
                      <w:szCs w:val="21"/>
                      <w:vertAlign w:val="baseline"/>
                      <w:lang w:val="en-US" w:eastAsia="zh-CN"/>
                    </w:rPr>
                  </w:pPr>
                  <w:r>
                    <w:rPr>
                      <w:rFonts w:hint="eastAsia"/>
                      <w:b/>
                      <w:color w:val="auto"/>
                      <w:sz w:val="21"/>
                      <w:szCs w:val="21"/>
                      <w:vertAlign w:val="baseline"/>
                      <w:lang w:val="en-US" w:eastAsia="zh-CN"/>
                    </w:rPr>
                    <w:t>工程名称</w:t>
                  </w:r>
                </w:p>
              </w:tc>
              <w:tc>
                <w:tcPr>
                  <w:tcW w:w="1774" w:type="dxa"/>
                  <w:tcBorders>
                    <w:tl2br w:val="nil"/>
                    <w:tr2bl w:val="nil"/>
                  </w:tcBorders>
                  <w:vAlign w:val="center"/>
                </w:tcPr>
                <w:p w14:paraId="72375C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color w:val="auto"/>
                      <w:sz w:val="21"/>
                      <w:szCs w:val="21"/>
                      <w:vertAlign w:val="baseline"/>
                      <w:lang w:val="en-US" w:eastAsia="zh-CN"/>
                    </w:rPr>
                  </w:pPr>
                  <w:r>
                    <w:rPr>
                      <w:rFonts w:hint="eastAsia"/>
                      <w:b/>
                      <w:color w:val="auto"/>
                      <w:sz w:val="21"/>
                      <w:szCs w:val="21"/>
                      <w:vertAlign w:val="baseline"/>
                      <w:lang w:val="en-US" w:eastAsia="zh-CN"/>
                    </w:rPr>
                    <w:t>产品名称</w:t>
                  </w:r>
                </w:p>
              </w:tc>
              <w:tc>
                <w:tcPr>
                  <w:tcW w:w="1774" w:type="dxa"/>
                  <w:tcBorders>
                    <w:tl2br w:val="nil"/>
                    <w:tr2bl w:val="nil"/>
                  </w:tcBorders>
                  <w:vAlign w:val="center"/>
                </w:tcPr>
                <w:p w14:paraId="3452FD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color w:val="auto"/>
                      <w:sz w:val="21"/>
                      <w:szCs w:val="21"/>
                      <w:vertAlign w:val="baseline"/>
                      <w:lang w:val="en-US" w:eastAsia="zh-CN"/>
                    </w:rPr>
                  </w:pPr>
                  <w:r>
                    <w:rPr>
                      <w:rFonts w:hint="eastAsia"/>
                      <w:b/>
                      <w:color w:val="auto"/>
                      <w:sz w:val="21"/>
                      <w:szCs w:val="21"/>
                      <w:vertAlign w:val="baseline"/>
                      <w:lang w:val="en-US" w:eastAsia="zh-CN"/>
                    </w:rPr>
                    <w:t>设计产能</w:t>
                  </w:r>
                </w:p>
              </w:tc>
              <w:tc>
                <w:tcPr>
                  <w:tcW w:w="1774" w:type="dxa"/>
                  <w:tcBorders>
                    <w:tl2br w:val="nil"/>
                    <w:tr2bl w:val="nil"/>
                  </w:tcBorders>
                  <w:vAlign w:val="center"/>
                </w:tcPr>
                <w:p w14:paraId="6C34AD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color w:val="auto"/>
                      <w:sz w:val="21"/>
                      <w:szCs w:val="21"/>
                      <w:vertAlign w:val="baseline"/>
                      <w:lang w:val="en-US" w:eastAsia="zh-CN"/>
                    </w:rPr>
                  </w:pPr>
                  <w:r>
                    <w:rPr>
                      <w:rFonts w:hint="eastAsia"/>
                      <w:b/>
                      <w:color w:val="auto"/>
                      <w:sz w:val="21"/>
                      <w:szCs w:val="21"/>
                      <w:vertAlign w:val="baseline"/>
                      <w:lang w:val="en-US" w:eastAsia="zh-CN"/>
                    </w:rPr>
                    <w:t>年运行时数</w:t>
                  </w:r>
                </w:p>
              </w:tc>
            </w:tr>
            <w:tr w14:paraId="69B0E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25" w:type="dxa"/>
                  <w:tcBorders>
                    <w:tl2br w:val="nil"/>
                    <w:tr2bl w:val="nil"/>
                  </w:tcBorders>
                  <w:vAlign w:val="center"/>
                </w:tcPr>
                <w:p w14:paraId="7ABA35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val="0"/>
                      <w:bCs/>
                      <w:color w:val="auto"/>
                      <w:sz w:val="21"/>
                      <w:szCs w:val="21"/>
                      <w:vertAlign w:val="baseline"/>
                      <w:lang w:val="en-US" w:eastAsia="zh-CN"/>
                    </w:rPr>
                  </w:pPr>
                  <w:r>
                    <w:rPr>
                      <w:rFonts w:hint="eastAsia"/>
                      <w:b w:val="0"/>
                      <w:bCs/>
                      <w:color w:val="auto"/>
                      <w:sz w:val="21"/>
                      <w:szCs w:val="21"/>
                      <w:vertAlign w:val="baseline"/>
                      <w:lang w:val="en-US" w:eastAsia="zh-CN"/>
                    </w:rPr>
                    <w:t>1</w:t>
                  </w:r>
                </w:p>
              </w:tc>
              <w:tc>
                <w:tcPr>
                  <w:tcW w:w="2222" w:type="dxa"/>
                  <w:tcBorders>
                    <w:tl2br w:val="nil"/>
                    <w:tr2bl w:val="nil"/>
                  </w:tcBorders>
                  <w:vAlign w:val="center"/>
                </w:tcPr>
                <w:p w14:paraId="16214F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val="0"/>
                      <w:bCs/>
                      <w:color w:val="auto"/>
                      <w:sz w:val="21"/>
                      <w:szCs w:val="21"/>
                      <w:vertAlign w:val="baseline"/>
                      <w:lang w:val="en-US"/>
                    </w:rPr>
                  </w:pPr>
                  <w:r>
                    <w:rPr>
                      <w:rFonts w:hint="eastAsia" w:cs="Times New Roman"/>
                      <w:b w:val="0"/>
                      <w:bCs/>
                      <w:color w:val="auto"/>
                      <w:sz w:val="21"/>
                      <w:szCs w:val="21"/>
                      <w:lang w:eastAsia="zh-CN"/>
                    </w:rPr>
                    <w:t>化纤面料生产</w:t>
                  </w:r>
                  <w:r>
                    <w:rPr>
                      <w:rFonts w:hint="eastAsia" w:ascii="Times New Roman" w:hAnsi="Times New Roman" w:eastAsia="宋体" w:cs="Times New Roman"/>
                      <w:b w:val="0"/>
                      <w:bCs/>
                      <w:color w:val="auto"/>
                      <w:sz w:val="21"/>
                      <w:szCs w:val="21"/>
                      <w:lang w:val="en-US" w:eastAsia="zh-CN"/>
                    </w:rPr>
                    <w:t>线</w:t>
                  </w:r>
                </w:p>
              </w:tc>
              <w:tc>
                <w:tcPr>
                  <w:tcW w:w="1774" w:type="dxa"/>
                  <w:tcBorders>
                    <w:tl2br w:val="nil"/>
                    <w:tr2bl w:val="nil"/>
                  </w:tcBorders>
                  <w:vAlign w:val="center"/>
                </w:tcPr>
                <w:p w14:paraId="255D0A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val="0"/>
                      <w:bCs/>
                      <w:color w:val="auto"/>
                      <w:sz w:val="21"/>
                      <w:szCs w:val="21"/>
                      <w:vertAlign w:val="baseline"/>
                      <w:lang w:val="en-US" w:eastAsia="zh-CN"/>
                    </w:rPr>
                  </w:pPr>
                  <w:r>
                    <w:rPr>
                      <w:rFonts w:hint="eastAsia"/>
                      <w:b w:val="0"/>
                      <w:bCs/>
                      <w:color w:val="auto"/>
                      <w:sz w:val="21"/>
                      <w:szCs w:val="21"/>
                      <w:vertAlign w:val="baseline"/>
                      <w:lang w:val="en-US" w:eastAsia="zh-CN"/>
                    </w:rPr>
                    <w:t>化纤面料</w:t>
                  </w:r>
                </w:p>
              </w:tc>
              <w:tc>
                <w:tcPr>
                  <w:tcW w:w="1774" w:type="dxa"/>
                  <w:tcBorders>
                    <w:tl2br w:val="nil"/>
                    <w:tr2bl w:val="nil"/>
                  </w:tcBorders>
                  <w:vAlign w:val="center"/>
                </w:tcPr>
                <w:p w14:paraId="022BE1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val="0"/>
                      <w:bCs/>
                      <w:color w:val="auto"/>
                      <w:sz w:val="21"/>
                      <w:szCs w:val="21"/>
                      <w:vertAlign w:val="baseline"/>
                      <w:lang w:val="en-US" w:eastAsia="zh-CN"/>
                    </w:rPr>
                  </w:pPr>
                  <w:r>
                    <w:rPr>
                      <w:rFonts w:hint="eastAsia"/>
                      <w:b w:val="0"/>
                      <w:bCs/>
                      <w:color w:val="auto"/>
                      <w:sz w:val="21"/>
                      <w:szCs w:val="21"/>
                      <w:vertAlign w:val="baseline"/>
                      <w:lang w:val="en-US" w:eastAsia="zh-CN"/>
                    </w:rPr>
                    <w:t>3000万米/年</w:t>
                  </w:r>
                </w:p>
              </w:tc>
              <w:tc>
                <w:tcPr>
                  <w:tcW w:w="1774" w:type="dxa"/>
                  <w:tcBorders>
                    <w:tl2br w:val="nil"/>
                    <w:tr2bl w:val="nil"/>
                  </w:tcBorders>
                  <w:vAlign w:val="center"/>
                </w:tcPr>
                <w:p w14:paraId="0927915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val="0"/>
                      <w:bCs/>
                      <w:color w:val="auto"/>
                      <w:sz w:val="21"/>
                      <w:szCs w:val="21"/>
                      <w:vertAlign w:val="baseline"/>
                      <w:lang w:val="en-US" w:eastAsia="zh-CN"/>
                    </w:rPr>
                  </w:pPr>
                  <w:r>
                    <w:rPr>
                      <w:rFonts w:hint="eastAsia"/>
                      <w:b w:val="0"/>
                      <w:bCs/>
                      <w:color w:val="auto"/>
                      <w:sz w:val="21"/>
                      <w:szCs w:val="21"/>
                      <w:vertAlign w:val="baseline"/>
                      <w:lang w:val="en-US" w:eastAsia="zh-CN"/>
                    </w:rPr>
                    <w:t>7200小时</w:t>
                  </w:r>
                </w:p>
              </w:tc>
            </w:tr>
          </w:tbl>
          <w:p w14:paraId="7ED5143C">
            <w:pPr>
              <w:keepNext w:val="0"/>
              <w:keepLines w:val="0"/>
              <w:pageBreakBefore w:val="0"/>
              <w:widowControl w:val="0"/>
              <w:kinsoku/>
              <w:wordWrap/>
              <w:overflowPunct/>
              <w:topLinePunct w:val="0"/>
              <w:autoSpaceDE/>
              <w:autoSpaceDN/>
              <w:bidi w:val="0"/>
              <w:adjustRightInd w:val="0"/>
              <w:snapToGrid w:val="0"/>
              <w:spacing w:before="120" w:beforeLines="50" w:line="360" w:lineRule="auto"/>
              <w:ind w:firstLine="472" w:firstLineChars="196"/>
              <w:textAlignment w:val="auto"/>
              <w:rPr>
                <w:b/>
                <w:color w:val="auto"/>
              </w:rPr>
            </w:pPr>
            <w:r>
              <w:rPr>
                <w:rFonts w:hint="eastAsia"/>
                <w:b/>
                <w:color w:val="auto"/>
                <w:lang w:val="en-US" w:eastAsia="zh-CN"/>
              </w:rPr>
              <w:t>4.</w:t>
            </w:r>
            <w:r>
              <w:rPr>
                <w:b/>
                <w:color w:val="auto"/>
              </w:rPr>
              <w:t>主要运营设备</w:t>
            </w:r>
          </w:p>
          <w:p w14:paraId="1E23C66F">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b/>
                <w:color w:val="auto"/>
              </w:rPr>
            </w:pPr>
            <w:r>
              <w:rPr>
                <w:color w:val="auto"/>
              </w:rPr>
              <w:t>本项目主要运营设备见表</w:t>
            </w:r>
            <w:r>
              <w:rPr>
                <w:rFonts w:hint="eastAsia"/>
                <w:color w:val="auto"/>
              </w:rPr>
              <w:t>2</w:t>
            </w:r>
            <w:r>
              <w:rPr>
                <w:color w:val="auto"/>
              </w:rPr>
              <w:t>-3。</w:t>
            </w:r>
            <w:bookmarkStart w:id="3" w:name="_Hlk106888778"/>
          </w:p>
          <w:p w14:paraId="3EE156A4">
            <w:pPr>
              <w:keepNext w:val="0"/>
              <w:keepLines w:val="0"/>
              <w:pageBreakBefore w:val="0"/>
              <w:widowControl w:val="0"/>
              <w:kinsoku/>
              <w:wordWrap/>
              <w:overflowPunct/>
              <w:topLinePunct w:val="0"/>
              <w:autoSpaceDE/>
              <w:autoSpaceDN/>
              <w:bidi w:val="0"/>
              <w:adjustRightInd w:val="0"/>
              <w:snapToGrid w:val="0"/>
              <w:spacing w:line="360" w:lineRule="auto"/>
              <w:ind w:firstLine="482"/>
              <w:jc w:val="center"/>
              <w:textAlignment w:val="auto"/>
              <w:rPr>
                <w:b/>
                <w:color w:val="auto"/>
              </w:rPr>
            </w:pPr>
            <w:r>
              <w:rPr>
                <w:b/>
                <w:color w:val="auto"/>
              </w:rPr>
              <w:t>表</w:t>
            </w:r>
            <w:r>
              <w:rPr>
                <w:rFonts w:hint="eastAsia"/>
                <w:b/>
                <w:color w:val="auto"/>
              </w:rPr>
              <w:t>2</w:t>
            </w:r>
            <w:r>
              <w:rPr>
                <w:b/>
                <w:color w:val="auto"/>
              </w:rPr>
              <w:t>-3项目运营设备一览表</w:t>
            </w:r>
          </w:p>
          <w:tbl>
            <w:tblPr>
              <w:tblStyle w:val="38"/>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87"/>
              <w:gridCol w:w="1155"/>
              <w:gridCol w:w="1832"/>
              <w:gridCol w:w="2058"/>
              <w:gridCol w:w="1501"/>
              <w:gridCol w:w="1296"/>
            </w:tblGrid>
            <w:tr w14:paraId="25A8EB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08" w:type="pct"/>
                  <w:vAlign w:val="center"/>
                </w:tcPr>
                <w:p w14:paraId="1501C39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序号</w:t>
                  </w:r>
                </w:p>
              </w:tc>
              <w:tc>
                <w:tcPr>
                  <w:tcW w:w="661" w:type="pct"/>
                  <w:shd w:val="clear" w:color="auto" w:fill="auto"/>
                  <w:vAlign w:val="center"/>
                </w:tcPr>
                <w:p w14:paraId="233734A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color w:val="auto"/>
                      <w:kern w:val="2"/>
                      <w:sz w:val="21"/>
                      <w:szCs w:val="21"/>
                      <w:lang w:val="en-US" w:eastAsia="zh-CN" w:bidi="ar-SA"/>
                    </w:rPr>
                  </w:pPr>
                  <w:r>
                    <w:rPr>
                      <w:rFonts w:hint="eastAsia"/>
                      <w:b/>
                      <w:color w:val="auto"/>
                      <w:sz w:val="21"/>
                      <w:szCs w:val="21"/>
                      <w:lang w:val="en-US" w:eastAsia="zh-CN"/>
                    </w:rPr>
                    <w:t>工艺</w:t>
                  </w:r>
                </w:p>
              </w:tc>
              <w:tc>
                <w:tcPr>
                  <w:tcW w:w="1049" w:type="pct"/>
                  <w:vAlign w:val="center"/>
                </w:tcPr>
                <w:p w14:paraId="5B37A66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设备名称</w:t>
                  </w:r>
                </w:p>
              </w:tc>
              <w:tc>
                <w:tcPr>
                  <w:tcW w:w="1178" w:type="pct"/>
                  <w:vAlign w:val="center"/>
                </w:tcPr>
                <w:p w14:paraId="6270C08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型号</w:t>
                  </w:r>
                  <w:r>
                    <w:rPr>
                      <w:rFonts w:hint="eastAsia"/>
                      <w:b/>
                      <w:color w:val="auto"/>
                      <w:sz w:val="21"/>
                      <w:szCs w:val="21"/>
                    </w:rPr>
                    <w:t>/规格</w:t>
                  </w:r>
                </w:p>
              </w:tc>
              <w:tc>
                <w:tcPr>
                  <w:tcW w:w="859" w:type="pct"/>
                  <w:vAlign w:val="center"/>
                </w:tcPr>
                <w:p w14:paraId="6AC8DAE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数量</w:t>
                  </w:r>
                </w:p>
              </w:tc>
              <w:tc>
                <w:tcPr>
                  <w:tcW w:w="742" w:type="pct"/>
                  <w:vAlign w:val="center"/>
                </w:tcPr>
                <w:p w14:paraId="3DF9D37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单位</w:t>
                  </w:r>
                </w:p>
              </w:tc>
            </w:tr>
            <w:tr w14:paraId="2E396B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08" w:type="pct"/>
                  <w:vAlign w:val="center"/>
                </w:tcPr>
                <w:p w14:paraId="6B6FC9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1</w:t>
                  </w:r>
                </w:p>
              </w:tc>
              <w:tc>
                <w:tcPr>
                  <w:tcW w:w="661" w:type="pct"/>
                  <w:shd w:val="clear" w:color="auto" w:fill="auto"/>
                  <w:vAlign w:val="center"/>
                </w:tcPr>
                <w:p w14:paraId="1F5BE17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织造</w:t>
                  </w:r>
                </w:p>
              </w:tc>
              <w:tc>
                <w:tcPr>
                  <w:tcW w:w="1049" w:type="pct"/>
                  <w:shd w:val="clear" w:color="auto" w:fill="auto"/>
                  <w:vAlign w:val="center"/>
                </w:tcPr>
                <w:p w14:paraId="2D8C565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喷水织机</w:t>
                  </w:r>
                </w:p>
              </w:tc>
              <w:tc>
                <w:tcPr>
                  <w:tcW w:w="1178" w:type="pct"/>
                  <w:shd w:val="clear" w:color="auto" w:fill="auto"/>
                  <w:vAlign w:val="center"/>
                </w:tcPr>
                <w:p w14:paraId="1ED5726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190-360型</w:t>
                  </w:r>
                </w:p>
              </w:tc>
              <w:tc>
                <w:tcPr>
                  <w:tcW w:w="859" w:type="pct"/>
                  <w:shd w:val="clear" w:color="auto" w:fill="auto"/>
                  <w:vAlign w:val="center"/>
                </w:tcPr>
                <w:p w14:paraId="6623D26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300</w:t>
                  </w:r>
                </w:p>
              </w:tc>
              <w:tc>
                <w:tcPr>
                  <w:tcW w:w="742" w:type="pct"/>
                  <w:vAlign w:val="center"/>
                </w:tcPr>
                <w:p w14:paraId="2BC654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台</w:t>
                  </w:r>
                </w:p>
              </w:tc>
            </w:tr>
            <w:tr w14:paraId="76914C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08" w:type="pct"/>
                  <w:vAlign w:val="center"/>
                </w:tcPr>
                <w:p w14:paraId="74D0230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2</w:t>
                  </w:r>
                </w:p>
              </w:tc>
              <w:tc>
                <w:tcPr>
                  <w:tcW w:w="661" w:type="pct"/>
                  <w:shd w:val="clear" w:color="auto" w:fill="auto"/>
                  <w:vAlign w:val="center"/>
                </w:tcPr>
                <w:p w14:paraId="2549874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加弹</w:t>
                  </w:r>
                </w:p>
              </w:tc>
              <w:tc>
                <w:tcPr>
                  <w:tcW w:w="1049" w:type="pct"/>
                  <w:shd w:val="clear" w:color="auto" w:fill="auto"/>
                  <w:vAlign w:val="center"/>
                </w:tcPr>
                <w:p w14:paraId="1B7A804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加弹机</w:t>
                  </w:r>
                </w:p>
              </w:tc>
              <w:tc>
                <w:tcPr>
                  <w:tcW w:w="1178" w:type="pct"/>
                  <w:shd w:val="clear" w:color="auto" w:fill="auto"/>
                  <w:vAlign w:val="center"/>
                </w:tcPr>
                <w:p w14:paraId="121BBCE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TY-830A</w:t>
                  </w:r>
                </w:p>
              </w:tc>
              <w:tc>
                <w:tcPr>
                  <w:tcW w:w="859" w:type="pct"/>
                  <w:shd w:val="clear" w:color="auto" w:fill="auto"/>
                  <w:vAlign w:val="center"/>
                </w:tcPr>
                <w:p w14:paraId="6C06DEC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6</w:t>
                  </w:r>
                </w:p>
              </w:tc>
              <w:tc>
                <w:tcPr>
                  <w:tcW w:w="742" w:type="pct"/>
                  <w:vAlign w:val="center"/>
                </w:tcPr>
                <w:p w14:paraId="721D43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台</w:t>
                  </w:r>
                </w:p>
              </w:tc>
            </w:tr>
            <w:tr w14:paraId="001248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08" w:type="pct"/>
                  <w:shd w:val="clear" w:color="auto" w:fill="auto"/>
                  <w:vAlign w:val="center"/>
                </w:tcPr>
                <w:p w14:paraId="22C8BD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1"/>
                      <w:lang w:val="en-US" w:eastAsia="zh-CN" w:bidi="ar-SA"/>
                    </w:rPr>
                  </w:pPr>
                  <w:r>
                    <w:rPr>
                      <w:rFonts w:hint="eastAsia"/>
                      <w:color w:val="auto"/>
                      <w:sz w:val="21"/>
                      <w:szCs w:val="21"/>
                    </w:rPr>
                    <w:t>3</w:t>
                  </w:r>
                </w:p>
              </w:tc>
              <w:tc>
                <w:tcPr>
                  <w:tcW w:w="661" w:type="pct"/>
                  <w:shd w:val="clear" w:color="auto" w:fill="auto"/>
                  <w:vAlign w:val="center"/>
                </w:tcPr>
                <w:p w14:paraId="766A6F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牵经</w:t>
                  </w:r>
                </w:p>
              </w:tc>
              <w:tc>
                <w:tcPr>
                  <w:tcW w:w="1049" w:type="pct"/>
                  <w:shd w:val="clear" w:color="auto" w:fill="auto"/>
                  <w:vAlign w:val="center"/>
                </w:tcPr>
                <w:p w14:paraId="47F0B65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牵经车</w:t>
                  </w:r>
                </w:p>
              </w:tc>
              <w:tc>
                <w:tcPr>
                  <w:tcW w:w="1178" w:type="pct"/>
                  <w:shd w:val="clear" w:color="auto" w:fill="auto"/>
                  <w:vAlign w:val="center"/>
                </w:tcPr>
                <w:p w14:paraId="022658E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260-360型</w:t>
                  </w:r>
                </w:p>
              </w:tc>
              <w:tc>
                <w:tcPr>
                  <w:tcW w:w="859" w:type="pct"/>
                  <w:shd w:val="clear" w:color="auto" w:fill="auto"/>
                  <w:vAlign w:val="center"/>
                </w:tcPr>
                <w:p w14:paraId="4B56EE1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w:t>
                  </w:r>
                </w:p>
              </w:tc>
              <w:tc>
                <w:tcPr>
                  <w:tcW w:w="742" w:type="pct"/>
                  <w:shd w:val="clear" w:color="auto" w:fill="auto"/>
                  <w:vAlign w:val="center"/>
                </w:tcPr>
                <w:p w14:paraId="4445D18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台</w:t>
                  </w:r>
                </w:p>
              </w:tc>
            </w:tr>
            <w:tr w14:paraId="7DE32E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01" w:hRule="atLeast"/>
              </w:trPr>
              <w:tc>
                <w:tcPr>
                  <w:tcW w:w="508" w:type="pct"/>
                  <w:shd w:val="clear" w:color="auto" w:fill="auto"/>
                  <w:vAlign w:val="center"/>
                </w:tcPr>
                <w:p w14:paraId="02C66D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1"/>
                      <w:lang w:val="en-US" w:eastAsia="zh-CN" w:bidi="ar-SA"/>
                    </w:rPr>
                  </w:pPr>
                  <w:r>
                    <w:rPr>
                      <w:rFonts w:hint="eastAsia"/>
                      <w:color w:val="auto"/>
                      <w:sz w:val="21"/>
                      <w:szCs w:val="21"/>
                    </w:rPr>
                    <w:t>4</w:t>
                  </w:r>
                </w:p>
              </w:tc>
              <w:tc>
                <w:tcPr>
                  <w:tcW w:w="661" w:type="pct"/>
                  <w:shd w:val="clear" w:color="auto" w:fill="auto"/>
                  <w:vAlign w:val="center"/>
                </w:tcPr>
                <w:p w14:paraId="14DB33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验布</w:t>
                  </w:r>
                </w:p>
              </w:tc>
              <w:tc>
                <w:tcPr>
                  <w:tcW w:w="1049" w:type="pct"/>
                  <w:shd w:val="clear" w:color="auto" w:fill="auto"/>
                  <w:vAlign w:val="center"/>
                </w:tcPr>
                <w:p w14:paraId="57C92B0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验布机</w:t>
                  </w:r>
                </w:p>
              </w:tc>
              <w:tc>
                <w:tcPr>
                  <w:tcW w:w="1178" w:type="pct"/>
                  <w:shd w:val="clear" w:color="auto" w:fill="auto"/>
                  <w:vAlign w:val="center"/>
                </w:tcPr>
                <w:p w14:paraId="0A2461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YFD-2100型</w:t>
                  </w:r>
                </w:p>
              </w:tc>
              <w:tc>
                <w:tcPr>
                  <w:tcW w:w="859" w:type="pct"/>
                  <w:shd w:val="clear" w:color="auto" w:fill="auto"/>
                  <w:vAlign w:val="center"/>
                </w:tcPr>
                <w:p w14:paraId="7E8E855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w:t>
                  </w:r>
                </w:p>
              </w:tc>
              <w:tc>
                <w:tcPr>
                  <w:tcW w:w="742" w:type="pct"/>
                  <w:vAlign w:val="center"/>
                </w:tcPr>
                <w:p w14:paraId="35500B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台</w:t>
                  </w:r>
                </w:p>
              </w:tc>
            </w:tr>
            <w:tr w14:paraId="588ED8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08" w:type="pct"/>
                  <w:shd w:val="clear" w:color="auto" w:fill="auto"/>
                  <w:vAlign w:val="center"/>
                </w:tcPr>
                <w:p w14:paraId="481E226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w:t>
                  </w:r>
                </w:p>
              </w:tc>
              <w:tc>
                <w:tcPr>
                  <w:tcW w:w="661" w:type="pct"/>
                  <w:vAlign w:val="center"/>
                </w:tcPr>
                <w:p w14:paraId="015204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共用</w:t>
                  </w:r>
                </w:p>
              </w:tc>
              <w:tc>
                <w:tcPr>
                  <w:tcW w:w="1049" w:type="pct"/>
                  <w:shd w:val="clear" w:color="auto" w:fill="auto"/>
                  <w:vAlign w:val="center"/>
                </w:tcPr>
                <w:p w14:paraId="64CABCC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空压机</w:t>
                  </w:r>
                </w:p>
              </w:tc>
              <w:tc>
                <w:tcPr>
                  <w:tcW w:w="1178" w:type="pct"/>
                  <w:shd w:val="clear" w:color="auto" w:fill="auto"/>
                  <w:vAlign w:val="center"/>
                </w:tcPr>
                <w:p w14:paraId="6F47C7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SA22A</w:t>
                  </w:r>
                </w:p>
              </w:tc>
              <w:tc>
                <w:tcPr>
                  <w:tcW w:w="859" w:type="pct"/>
                  <w:shd w:val="clear" w:color="auto" w:fill="auto"/>
                  <w:vAlign w:val="center"/>
                </w:tcPr>
                <w:p w14:paraId="3E6E638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2</w:t>
                  </w:r>
                </w:p>
              </w:tc>
              <w:tc>
                <w:tcPr>
                  <w:tcW w:w="742" w:type="pct"/>
                  <w:vAlign w:val="center"/>
                </w:tcPr>
                <w:p w14:paraId="3C44957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eastAsia="zh-CN"/>
                    </w:rPr>
                  </w:pPr>
                  <w:r>
                    <w:rPr>
                      <w:rFonts w:hint="eastAsia"/>
                      <w:color w:val="auto"/>
                      <w:sz w:val="21"/>
                      <w:szCs w:val="21"/>
                      <w:lang w:val="en-US" w:eastAsia="zh-CN"/>
                    </w:rPr>
                    <w:t>台</w:t>
                  </w:r>
                </w:p>
              </w:tc>
            </w:tr>
            <w:bookmarkEnd w:id="3"/>
          </w:tbl>
          <w:p w14:paraId="47793FC6">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b/>
                <w:color w:val="auto"/>
              </w:rPr>
            </w:pPr>
            <w:r>
              <w:rPr>
                <w:rFonts w:hint="eastAsia"/>
                <w:b/>
                <w:color w:val="auto"/>
                <w:lang w:val="en-US" w:eastAsia="zh-CN"/>
              </w:rPr>
              <w:t>5.</w:t>
            </w:r>
            <w:r>
              <w:rPr>
                <w:b/>
                <w:color w:val="auto"/>
              </w:rPr>
              <w:t>主要原辅材料</w:t>
            </w:r>
          </w:p>
          <w:p w14:paraId="7446CA24">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auto"/>
              </w:rPr>
            </w:pPr>
            <w:r>
              <w:rPr>
                <w:color w:val="auto"/>
              </w:rPr>
              <w:t>项目主要原辅材料见表</w:t>
            </w:r>
            <w:r>
              <w:rPr>
                <w:rFonts w:hint="eastAsia"/>
                <w:color w:val="auto"/>
              </w:rPr>
              <w:t>2</w:t>
            </w:r>
            <w:r>
              <w:rPr>
                <w:color w:val="auto"/>
              </w:rPr>
              <w:t>-4</w:t>
            </w:r>
            <w:r>
              <w:rPr>
                <w:rFonts w:hint="eastAsia"/>
                <w:color w:val="auto"/>
              </w:rPr>
              <w:t>，</w:t>
            </w:r>
            <w:r>
              <w:rPr>
                <w:color w:val="auto"/>
              </w:rPr>
              <w:t>主要物质的理化特性、毒性毒理</w:t>
            </w:r>
            <w:r>
              <w:rPr>
                <w:rFonts w:hint="eastAsia"/>
                <w:color w:val="auto"/>
              </w:rPr>
              <w:t>见表2-</w:t>
            </w:r>
            <w:r>
              <w:rPr>
                <w:rFonts w:hint="eastAsia"/>
                <w:color w:val="auto"/>
                <w:lang w:val="en-US" w:eastAsia="zh-CN"/>
              </w:rPr>
              <w:t>5</w:t>
            </w:r>
            <w:r>
              <w:rPr>
                <w:color w:val="auto"/>
              </w:rPr>
              <w:t>。</w:t>
            </w:r>
          </w:p>
          <w:p w14:paraId="7B2D333A">
            <w:pPr>
              <w:keepNext w:val="0"/>
              <w:keepLines w:val="0"/>
              <w:pageBreakBefore w:val="0"/>
              <w:widowControl w:val="0"/>
              <w:kinsoku/>
              <w:wordWrap/>
              <w:overflowPunct/>
              <w:topLinePunct w:val="0"/>
              <w:autoSpaceDE/>
              <w:autoSpaceDN/>
              <w:bidi w:val="0"/>
              <w:adjustRightInd/>
              <w:snapToGrid/>
              <w:spacing w:line="360" w:lineRule="auto"/>
              <w:ind w:firstLine="482"/>
              <w:jc w:val="center"/>
              <w:textAlignment w:val="auto"/>
              <w:rPr>
                <w:b/>
                <w:color w:val="auto"/>
              </w:rPr>
            </w:pPr>
            <w:r>
              <w:rPr>
                <w:b/>
                <w:color w:val="auto"/>
              </w:rPr>
              <w:t>表</w:t>
            </w:r>
            <w:r>
              <w:rPr>
                <w:rFonts w:hint="eastAsia"/>
                <w:b/>
                <w:color w:val="auto"/>
              </w:rPr>
              <w:t>2</w:t>
            </w:r>
            <w:r>
              <w:rPr>
                <w:b/>
                <w:color w:val="auto"/>
              </w:rPr>
              <w:t>-4主要原辅材料及消耗情况</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15" w:type="dxa"/>
                <w:left w:w="15" w:type="dxa"/>
                <w:bottom w:w="15" w:type="dxa"/>
                <w:right w:w="15" w:type="dxa"/>
              </w:tblCellMar>
            </w:tblPr>
            <w:tblGrid>
              <w:gridCol w:w="610"/>
              <w:gridCol w:w="1247"/>
              <w:gridCol w:w="942"/>
              <w:gridCol w:w="876"/>
              <w:gridCol w:w="1316"/>
              <w:gridCol w:w="932"/>
              <w:gridCol w:w="803"/>
              <w:gridCol w:w="996"/>
              <w:gridCol w:w="1002"/>
            </w:tblGrid>
            <w:tr w14:paraId="1EEEE3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50" w:type="pct"/>
                  <w:vAlign w:val="center"/>
                </w:tcPr>
                <w:p w14:paraId="3C02D223">
                  <w:pPr>
                    <w:snapToGrid w:val="0"/>
                    <w:spacing w:line="240" w:lineRule="auto"/>
                    <w:ind w:firstLine="0" w:firstLineChars="0"/>
                    <w:jc w:val="center"/>
                    <w:rPr>
                      <w:b/>
                      <w:color w:val="auto"/>
                      <w:sz w:val="21"/>
                      <w:szCs w:val="21"/>
                    </w:rPr>
                  </w:pPr>
                  <w:r>
                    <w:rPr>
                      <w:b/>
                      <w:color w:val="auto"/>
                      <w:sz w:val="21"/>
                      <w:szCs w:val="21"/>
                    </w:rPr>
                    <w:t>序号</w:t>
                  </w:r>
                </w:p>
              </w:tc>
              <w:tc>
                <w:tcPr>
                  <w:tcW w:w="715" w:type="pct"/>
                  <w:vAlign w:val="center"/>
                </w:tcPr>
                <w:p w14:paraId="6B515E48">
                  <w:pPr>
                    <w:snapToGrid w:val="0"/>
                    <w:spacing w:line="240" w:lineRule="auto"/>
                    <w:ind w:firstLine="0" w:firstLineChars="0"/>
                    <w:jc w:val="center"/>
                    <w:rPr>
                      <w:b/>
                      <w:color w:val="auto"/>
                      <w:sz w:val="21"/>
                      <w:szCs w:val="21"/>
                    </w:rPr>
                  </w:pPr>
                  <w:r>
                    <w:rPr>
                      <w:rFonts w:hint="eastAsia"/>
                      <w:b/>
                      <w:color w:val="auto"/>
                      <w:sz w:val="21"/>
                      <w:szCs w:val="21"/>
                    </w:rPr>
                    <w:t>名称</w:t>
                  </w:r>
                </w:p>
              </w:tc>
              <w:tc>
                <w:tcPr>
                  <w:tcW w:w="540" w:type="pct"/>
                  <w:vAlign w:val="center"/>
                </w:tcPr>
                <w:p w14:paraId="1D732C25">
                  <w:pPr>
                    <w:snapToGrid w:val="0"/>
                    <w:spacing w:line="240" w:lineRule="auto"/>
                    <w:ind w:firstLine="0" w:firstLineChars="0"/>
                    <w:jc w:val="center"/>
                    <w:rPr>
                      <w:b/>
                      <w:color w:val="auto"/>
                      <w:sz w:val="21"/>
                      <w:szCs w:val="21"/>
                    </w:rPr>
                  </w:pPr>
                  <w:r>
                    <w:rPr>
                      <w:b/>
                      <w:color w:val="auto"/>
                      <w:sz w:val="21"/>
                      <w:szCs w:val="21"/>
                    </w:rPr>
                    <w:t>年用量</w:t>
                  </w:r>
                  <w:r>
                    <w:rPr>
                      <w:rFonts w:hint="eastAsia"/>
                      <w:b/>
                      <w:color w:val="auto"/>
                      <w:sz w:val="21"/>
                      <w:szCs w:val="21"/>
                    </w:rPr>
                    <w:t>（t/a）</w:t>
                  </w:r>
                </w:p>
              </w:tc>
              <w:tc>
                <w:tcPr>
                  <w:tcW w:w="502" w:type="pct"/>
                  <w:vAlign w:val="center"/>
                </w:tcPr>
                <w:p w14:paraId="56E008A9">
                  <w:pPr>
                    <w:pStyle w:val="213"/>
                    <w:snapToGrid w:val="0"/>
                    <w:rPr>
                      <w:rFonts w:hint="eastAsia" w:eastAsia="宋体"/>
                      <w:b/>
                      <w:color w:val="auto"/>
                      <w:kern w:val="2"/>
                      <w:lang w:val="en-US" w:eastAsia="zh-CN"/>
                    </w:rPr>
                  </w:pPr>
                  <w:r>
                    <w:rPr>
                      <w:rFonts w:hint="eastAsia"/>
                      <w:b/>
                      <w:color w:val="auto"/>
                      <w:lang w:val="en-US" w:eastAsia="zh-CN"/>
                    </w:rPr>
                    <w:t>形态</w:t>
                  </w:r>
                </w:p>
              </w:tc>
              <w:tc>
                <w:tcPr>
                  <w:tcW w:w="754" w:type="pct"/>
                  <w:vAlign w:val="center"/>
                </w:tcPr>
                <w:p w14:paraId="5DB747C7">
                  <w:pPr>
                    <w:pStyle w:val="213"/>
                    <w:snapToGrid w:val="0"/>
                    <w:rPr>
                      <w:rFonts w:hint="eastAsia" w:eastAsia="宋体"/>
                      <w:b/>
                      <w:color w:val="auto"/>
                      <w:kern w:val="2"/>
                      <w:lang w:val="en-US" w:eastAsia="zh-CN"/>
                    </w:rPr>
                  </w:pPr>
                  <w:r>
                    <w:rPr>
                      <w:rFonts w:hint="eastAsia"/>
                      <w:b/>
                      <w:color w:val="auto"/>
                      <w:kern w:val="2"/>
                      <w:lang w:val="en-US" w:eastAsia="zh-CN"/>
                    </w:rPr>
                    <w:t>储存位置</w:t>
                  </w:r>
                </w:p>
              </w:tc>
              <w:tc>
                <w:tcPr>
                  <w:tcW w:w="534" w:type="pct"/>
                  <w:vAlign w:val="center"/>
                </w:tcPr>
                <w:p w14:paraId="5A1C295B">
                  <w:pPr>
                    <w:pStyle w:val="213"/>
                    <w:snapToGrid w:val="0"/>
                    <w:rPr>
                      <w:rFonts w:hint="default"/>
                      <w:b/>
                      <w:color w:val="auto"/>
                      <w:kern w:val="2"/>
                      <w:lang w:val="en-US" w:eastAsia="zh-CN"/>
                    </w:rPr>
                  </w:pPr>
                  <w:r>
                    <w:rPr>
                      <w:rFonts w:hint="eastAsia"/>
                      <w:b/>
                      <w:color w:val="auto"/>
                      <w:kern w:val="2"/>
                      <w:lang w:val="en-US" w:eastAsia="zh-CN"/>
                    </w:rPr>
                    <w:t>包装规格</w:t>
                  </w:r>
                </w:p>
              </w:tc>
              <w:tc>
                <w:tcPr>
                  <w:tcW w:w="460" w:type="pct"/>
                  <w:vAlign w:val="center"/>
                </w:tcPr>
                <w:p w14:paraId="47F8EB15">
                  <w:pPr>
                    <w:pStyle w:val="213"/>
                    <w:snapToGrid w:val="0"/>
                    <w:rPr>
                      <w:rFonts w:hint="eastAsia" w:eastAsia="宋体"/>
                      <w:b/>
                      <w:color w:val="auto"/>
                      <w:kern w:val="2"/>
                      <w:lang w:eastAsia="zh-CN"/>
                    </w:rPr>
                  </w:pPr>
                  <w:r>
                    <w:rPr>
                      <w:rFonts w:hint="eastAsia"/>
                      <w:b/>
                      <w:color w:val="auto"/>
                      <w:kern w:val="2"/>
                    </w:rPr>
                    <w:t>最大贮存量</w:t>
                  </w:r>
                  <w:r>
                    <w:rPr>
                      <w:rFonts w:hint="eastAsia"/>
                      <w:b/>
                      <w:color w:val="auto"/>
                      <w:kern w:val="2"/>
                      <w:lang w:eastAsia="zh-CN"/>
                    </w:rPr>
                    <w:t>（</w:t>
                  </w:r>
                  <w:r>
                    <w:rPr>
                      <w:rFonts w:hint="eastAsia"/>
                      <w:b/>
                      <w:color w:val="auto"/>
                      <w:kern w:val="2"/>
                      <w:lang w:val="en-US" w:eastAsia="zh-CN"/>
                    </w:rPr>
                    <w:t>t</w:t>
                  </w:r>
                  <w:r>
                    <w:rPr>
                      <w:rFonts w:hint="eastAsia"/>
                      <w:b/>
                      <w:color w:val="auto"/>
                      <w:kern w:val="2"/>
                      <w:lang w:eastAsia="zh-CN"/>
                    </w:rPr>
                    <w:t>）</w:t>
                  </w:r>
                </w:p>
              </w:tc>
              <w:tc>
                <w:tcPr>
                  <w:tcW w:w="571" w:type="pct"/>
                  <w:vAlign w:val="center"/>
                </w:tcPr>
                <w:p w14:paraId="3AB81C08">
                  <w:pPr>
                    <w:pStyle w:val="213"/>
                    <w:snapToGrid w:val="0"/>
                    <w:rPr>
                      <w:b/>
                      <w:color w:val="auto"/>
                      <w:kern w:val="2"/>
                    </w:rPr>
                  </w:pPr>
                  <w:r>
                    <w:rPr>
                      <w:rFonts w:hint="eastAsia"/>
                      <w:b/>
                      <w:color w:val="auto"/>
                      <w:kern w:val="2"/>
                    </w:rPr>
                    <w:t>备注</w:t>
                  </w:r>
                </w:p>
              </w:tc>
              <w:tc>
                <w:tcPr>
                  <w:tcW w:w="571" w:type="pct"/>
                  <w:vAlign w:val="center"/>
                </w:tcPr>
                <w:p w14:paraId="1688A481">
                  <w:pPr>
                    <w:pStyle w:val="213"/>
                    <w:snapToGrid w:val="0"/>
                    <w:rPr>
                      <w:rFonts w:hint="default" w:eastAsia="宋体"/>
                      <w:b/>
                      <w:color w:val="auto"/>
                      <w:kern w:val="2"/>
                      <w:lang w:val="en-US" w:eastAsia="zh-CN"/>
                    </w:rPr>
                  </w:pPr>
                  <w:r>
                    <w:rPr>
                      <w:rFonts w:hint="eastAsia"/>
                      <w:b/>
                      <w:color w:val="auto"/>
                      <w:kern w:val="2"/>
                      <w:lang w:val="en-US" w:eastAsia="zh-CN"/>
                    </w:rPr>
                    <w:t>对应工序</w:t>
                  </w:r>
                </w:p>
              </w:tc>
            </w:tr>
            <w:tr w14:paraId="3C793E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50" w:type="pct"/>
                  <w:vAlign w:val="center"/>
                </w:tcPr>
                <w:p w14:paraId="600433A7">
                  <w:pPr>
                    <w:snapToGrid w:val="0"/>
                    <w:spacing w:line="240" w:lineRule="auto"/>
                    <w:ind w:firstLine="0" w:firstLineChars="0"/>
                    <w:jc w:val="center"/>
                    <w:rPr>
                      <w:color w:val="auto"/>
                      <w:sz w:val="21"/>
                      <w:szCs w:val="21"/>
                    </w:rPr>
                  </w:pPr>
                  <w:r>
                    <w:rPr>
                      <w:color w:val="auto"/>
                      <w:sz w:val="21"/>
                      <w:szCs w:val="21"/>
                    </w:rPr>
                    <w:t>1</w:t>
                  </w:r>
                </w:p>
              </w:tc>
              <w:tc>
                <w:tcPr>
                  <w:tcW w:w="715" w:type="pct"/>
                  <w:shd w:val="clear" w:color="auto" w:fill="auto"/>
                  <w:vAlign w:val="center"/>
                </w:tcPr>
                <w:p w14:paraId="22F43E7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18"/>
                      <w:lang w:val="en-US" w:eastAsia="zh-CN" w:bidi="ar-SA"/>
                    </w:rPr>
                  </w:pPr>
                  <w:r>
                    <w:rPr>
                      <w:rFonts w:hint="default" w:ascii="Times New Roman" w:hAnsi="Times New Roman" w:eastAsia="宋体" w:cs="Times New Roman"/>
                      <w:color w:val="auto"/>
                      <w:sz w:val="21"/>
                      <w:szCs w:val="18"/>
                      <w:lang w:bidi="ar"/>
                    </w:rPr>
                    <w:t>POY</w:t>
                  </w:r>
                </w:p>
              </w:tc>
              <w:tc>
                <w:tcPr>
                  <w:tcW w:w="540" w:type="pct"/>
                  <w:vAlign w:val="center"/>
                </w:tcPr>
                <w:p w14:paraId="5FD27B0A">
                  <w:pPr>
                    <w:snapToGrid w:val="0"/>
                    <w:spacing w:line="240" w:lineRule="auto"/>
                    <w:ind w:firstLine="0" w:firstLineChars="0"/>
                    <w:jc w:val="center"/>
                    <w:rPr>
                      <w:rFonts w:hint="default"/>
                      <w:color w:val="auto"/>
                      <w:sz w:val="21"/>
                      <w:szCs w:val="21"/>
                      <w:lang w:val="en-US"/>
                    </w:rPr>
                  </w:pPr>
                  <w:r>
                    <w:rPr>
                      <w:rFonts w:hint="eastAsia"/>
                      <w:color w:val="auto"/>
                      <w:sz w:val="21"/>
                      <w:szCs w:val="21"/>
                      <w:lang w:val="en-US" w:eastAsia="zh-CN"/>
                    </w:rPr>
                    <w:t>6000</w:t>
                  </w:r>
                </w:p>
              </w:tc>
              <w:tc>
                <w:tcPr>
                  <w:tcW w:w="502" w:type="pct"/>
                  <w:vAlign w:val="center"/>
                </w:tcPr>
                <w:p w14:paraId="4610E911">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固态</w:t>
                  </w:r>
                </w:p>
              </w:tc>
              <w:tc>
                <w:tcPr>
                  <w:tcW w:w="754" w:type="pct"/>
                  <w:vAlign w:val="center"/>
                </w:tcPr>
                <w:p w14:paraId="73CC092E">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原料暂存区</w:t>
                  </w:r>
                </w:p>
              </w:tc>
              <w:tc>
                <w:tcPr>
                  <w:tcW w:w="534" w:type="pct"/>
                  <w:vAlign w:val="center"/>
                </w:tcPr>
                <w:p w14:paraId="0CF2BE53">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10kg/卷</w:t>
                  </w:r>
                </w:p>
              </w:tc>
              <w:tc>
                <w:tcPr>
                  <w:tcW w:w="460" w:type="pct"/>
                  <w:vAlign w:val="center"/>
                </w:tcPr>
                <w:p w14:paraId="2CB5C228">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500</w:t>
                  </w:r>
                </w:p>
              </w:tc>
              <w:tc>
                <w:tcPr>
                  <w:tcW w:w="571" w:type="pct"/>
                  <w:vAlign w:val="center"/>
                </w:tcPr>
                <w:p w14:paraId="0BC51F54">
                  <w:pPr>
                    <w:snapToGrid w:val="0"/>
                    <w:spacing w:line="240" w:lineRule="auto"/>
                    <w:ind w:firstLine="0" w:firstLineChars="0"/>
                    <w:jc w:val="center"/>
                    <w:rPr>
                      <w:color w:val="auto"/>
                      <w:sz w:val="21"/>
                      <w:szCs w:val="21"/>
                    </w:rPr>
                  </w:pPr>
                  <w:r>
                    <w:rPr>
                      <w:rFonts w:hint="eastAsia"/>
                      <w:color w:val="auto"/>
                      <w:sz w:val="21"/>
                      <w:szCs w:val="21"/>
                    </w:rPr>
                    <w:t>外购</w:t>
                  </w:r>
                  <w:r>
                    <w:rPr>
                      <w:rFonts w:hint="eastAsia"/>
                      <w:color w:val="auto"/>
                      <w:sz w:val="21"/>
                      <w:szCs w:val="21"/>
                      <w:lang w:eastAsia="zh-CN"/>
                    </w:rPr>
                    <w:t>、</w:t>
                  </w:r>
                  <w:r>
                    <w:rPr>
                      <w:rFonts w:hint="eastAsia"/>
                      <w:color w:val="auto"/>
                      <w:sz w:val="21"/>
                      <w:szCs w:val="21"/>
                    </w:rPr>
                    <w:t>汽运</w:t>
                  </w:r>
                </w:p>
              </w:tc>
              <w:tc>
                <w:tcPr>
                  <w:tcW w:w="571" w:type="pct"/>
                  <w:vAlign w:val="center"/>
                </w:tcPr>
                <w:p w14:paraId="432D8F30">
                  <w:pPr>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织造</w:t>
                  </w:r>
                </w:p>
              </w:tc>
            </w:tr>
            <w:tr w14:paraId="07A48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350" w:type="pct"/>
                  <w:vAlign w:val="center"/>
                </w:tcPr>
                <w:p w14:paraId="4A675617">
                  <w:pPr>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2</w:t>
                  </w:r>
                </w:p>
              </w:tc>
              <w:tc>
                <w:tcPr>
                  <w:tcW w:w="715" w:type="pct"/>
                  <w:shd w:val="clear" w:color="auto" w:fill="auto"/>
                  <w:vAlign w:val="center"/>
                </w:tcPr>
                <w:p w14:paraId="0C6D85B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18"/>
                      <w:lang w:val="en-US" w:eastAsia="zh-CN" w:bidi="ar-SA"/>
                    </w:rPr>
                  </w:pPr>
                  <w:r>
                    <w:rPr>
                      <w:rFonts w:hint="default" w:ascii="Times New Roman" w:hAnsi="Times New Roman" w:eastAsia="宋体" w:cs="Times New Roman"/>
                      <w:color w:val="auto"/>
                      <w:sz w:val="21"/>
                      <w:szCs w:val="18"/>
                      <w:lang w:bidi="ar"/>
                    </w:rPr>
                    <w:t>油剂</w:t>
                  </w:r>
                </w:p>
              </w:tc>
              <w:tc>
                <w:tcPr>
                  <w:tcW w:w="540" w:type="pct"/>
                  <w:vAlign w:val="center"/>
                </w:tcPr>
                <w:p w14:paraId="498C331A">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20</w:t>
                  </w:r>
                </w:p>
              </w:tc>
              <w:tc>
                <w:tcPr>
                  <w:tcW w:w="502" w:type="pct"/>
                  <w:vAlign w:val="center"/>
                </w:tcPr>
                <w:p w14:paraId="50173309">
                  <w:pPr>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液态</w:t>
                  </w:r>
                </w:p>
              </w:tc>
              <w:tc>
                <w:tcPr>
                  <w:tcW w:w="754" w:type="pct"/>
                  <w:vAlign w:val="center"/>
                </w:tcPr>
                <w:p w14:paraId="5AEA60CF">
                  <w:pPr>
                    <w:snapToGrid w:val="0"/>
                    <w:spacing w:line="240" w:lineRule="auto"/>
                    <w:ind w:firstLine="0" w:firstLineChars="0"/>
                    <w:jc w:val="center"/>
                    <w:rPr>
                      <w:color w:val="auto"/>
                      <w:sz w:val="21"/>
                      <w:szCs w:val="21"/>
                    </w:rPr>
                  </w:pPr>
                  <w:r>
                    <w:rPr>
                      <w:rFonts w:hint="eastAsia"/>
                      <w:color w:val="auto"/>
                      <w:sz w:val="21"/>
                      <w:szCs w:val="21"/>
                      <w:lang w:val="en-US" w:eastAsia="zh-CN"/>
                    </w:rPr>
                    <w:t>原料暂存区</w:t>
                  </w:r>
                </w:p>
              </w:tc>
              <w:tc>
                <w:tcPr>
                  <w:tcW w:w="534" w:type="pct"/>
                  <w:vAlign w:val="center"/>
                </w:tcPr>
                <w:p w14:paraId="79F06C14">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50kg/桶</w:t>
                  </w:r>
                </w:p>
              </w:tc>
              <w:tc>
                <w:tcPr>
                  <w:tcW w:w="460" w:type="pct"/>
                  <w:vAlign w:val="center"/>
                </w:tcPr>
                <w:p w14:paraId="61EB4EDD">
                  <w:pPr>
                    <w:snapToGrid w:val="0"/>
                    <w:spacing w:line="240" w:lineRule="auto"/>
                    <w:ind w:firstLine="0" w:firstLineChars="0"/>
                    <w:jc w:val="center"/>
                    <w:rPr>
                      <w:rFonts w:hint="default"/>
                      <w:bCs/>
                      <w:color w:val="auto"/>
                      <w:sz w:val="21"/>
                      <w:szCs w:val="21"/>
                      <w:lang w:val="en-US" w:eastAsia="zh-CN"/>
                    </w:rPr>
                  </w:pPr>
                  <w:r>
                    <w:rPr>
                      <w:rFonts w:hint="eastAsia"/>
                      <w:bCs/>
                      <w:color w:val="auto"/>
                      <w:sz w:val="21"/>
                      <w:szCs w:val="21"/>
                      <w:lang w:val="en-US" w:eastAsia="zh-CN"/>
                    </w:rPr>
                    <w:t>2</w:t>
                  </w:r>
                </w:p>
              </w:tc>
              <w:tc>
                <w:tcPr>
                  <w:tcW w:w="571" w:type="pct"/>
                  <w:vAlign w:val="center"/>
                </w:tcPr>
                <w:p w14:paraId="678B5413">
                  <w:pPr>
                    <w:snapToGrid w:val="0"/>
                    <w:spacing w:line="240" w:lineRule="auto"/>
                    <w:ind w:firstLine="0" w:firstLineChars="0"/>
                    <w:jc w:val="center"/>
                    <w:rPr>
                      <w:color w:val="auto"/>
                      <w:sz w:val="21"/>
                      <w:szCs w:val="21"/>
                    </w:rPr>
                  </w:pPr>
                  <w:r>
                    <w:rPr>
                      <w:rFonts w:hint="eastAsia"/>
                      <w:color w:val="auto"/>
                      <w:sz w:val="21"/>
                      <w:szCs w:val="21"/>
                    </w:rPr>
                    <w:t>外购</w:t>
                  </w:r>
                  <w:r>
                    <w:rPr>
                      <w:rFonts w:hint="eastAsia"/>
                      <w:color w:val="auto"/>
                      <w:sz w:val="21"/>
                      <w:szCs w:val="21"/>
                      <w:lang w:eastAsia="zh-CN"/>
                    </w:rPr>
                    <w:t>、</w:t>
                  </w:r>
                  <w:r>
                    <w:rPr>
                      <w:rFonts w:hint="eastAsia"/>
                      <w:color w:val="auto"/>
                      <w:sz w:val="21"/>
                      <w:szCs w:val="21"/>
                    </w:rPr>
                    <w:t>汽运</w:t>
                  </w:r>
                </w:p>
              </w:tc>
              <w:tc>
                <w:tcPr>
                  <w:tcW w:w="571" w:type="pct"/>
                  <w:vAlign w:val="center"/>
                </w:tcPr>
                <w:p w14:paraId="1DC68C94">
                  <w:pPr>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加弹</w:t>
                  </w:r>
                </w:p>
              </w:tc>
            </w:tr>
            <w:tr w14:paraId="24D2B7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50" w:type="pct"/>
                  <w:vAlign w:val="center"/>
                </w:tcPr>
                <w:p w14:paraId="3554B8D7">
                  <w:pPr>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3</w:t>
                  </w:r>
                </w:p>
              </w:tc>
              <w:tc>
                <w:tcPr>
                  <w:tcW w:w="715" w:type="pct"/>
                  <w:shd w:val="clear" w:color="auto" w:fill="auto"/>
                  <w:vAlign w:val="center"/>
                </w:tcPr>
                <w:p w14:paraId="2729462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18"/>
                      <w:lang w:val="en-US" w:eastAsia="zh-CN" w:bidi="ar-SA"/>
                    </w:rPr>
                  </w:pPr>
                  <w:r>
                    <w:rPr>
                      <w:rFonts w:hint="default" w:ascii="Times New Roman" w:hAnsi="Times New Roman" w:eastAsia="宋体" w:cs="Times New Roman"/>
                      <w:color w:val="auto"/>
                      <w:sz w:val="21"/>
                      <w:szCs w:val="18"/>
                      <w:lang w:bidi="ar"/>
                    </w:rPr>
                    <w:t>包装材料</w:t>
                  </w:r>
                </w:p>
              </w:tc>
              <w:tc>
                <w:tcPr>
                  <w:tcW w:w="540" w:type="pct"/>
                  <w:vAlign w:val="center"/>
                </w:tcPr>
                <w:p w14:paraId="3629D9E0">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w:t>
                  </w:r>
                </w:p>
              </w:tc>
              <w:tc>
                <w:tcPr>
                  <w:tcW w:w="502" w:type="pct"/>
                  <w:vAlign w:val="center"/>
                </w:tcPr>
                <w:p w14:paraId="44E48470">
                  <w:pPr>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固态</w:t>
                  </w:r>
                </w:p>
              </w:tc>
              <w:tc>
                <w:tcPr>
                  <w:tcW w:w="754" w:type="pct"/>
                  <w:vAlign w:val="center"/>
                </w:tcPr>
                <w:p w14:paraId="56CC6126">
                  <w:pPr>
                    <w:snapToGrid w:val="0"/>
                    <w:spacing w:line="240" w:lineRule="auto"/>
                    <w:ind w:firstLine="0" w:firstLineChars="0"/>
                    <w:jc w:val="center"/>
                    <w:rPr>
                      <w:color w:val="auto"/>
                      <w:sz w:val="21"/>
                      <w:szCs w:val="21"/>
                    </w:rPr>
                  </w:pPr>
                  <w:r>
                    <w:rPr>
                      <w:rFonts w:hint="eastAsia"/>
                      <w:color w:val="auto"/>
                      <w:sz w:val="21"/>
                      <w:szCs w:val="21"/>
                      <w:lang w:val="en-US" w:eastAsia="zh-CN"/>
                    </w:rPr>
                    <w:t>原料暂存区</w:t>
                  </w:r>
                </w:p>
              </w:tc>
              <w:tc>
                <w:tcPr>
                  <w:tcW w:w="534" w:type="pct"/>
                  <w:vAlign w:val="center"/>
                </w:tcPr>
                <w:p w14:paraId="489F8986">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箱装</w:t>
                  </w:r>
                </w:p>
              </w:tc>
              <w:tc>
                <w:tcPr>
                  <w:tcW w:w="460" w:type="pct"/>
                  <w:vAlign w:val="center"/>
                </w:tcPr>
                <w:p w14:paraId="6A3F0E4B">
                  <w:pPr>
                    <w:snapToGrid w:val="0"/>
                    <w:spacing w:line="240" w:lineRule="auto"/>
                    <w:ind w:firstLine="0" w:firstLineChars="0"/>
                    <w:jc w:val="center"/>
                    <w:rPr>
                      <w:rFonts w:hint="default"/>
                      <w:bCs/>
                      <w:color w:val="auto"/>
                      <w:sz w:val="21"/>
                      <w:szCs w:val="21"/>
                      <w:lang w:val="en-US" w:eastAsia="zh-CN"/>
                    </w:rPr>
                  </w:pPr>
                  <w:r>
                    <w:rPr>
                      <w:rFonts w:hint="eastAsia"/>
                      <w:bCs/>
                      <w:color w:val="auto"/>
                      <w:sz w:val="21"/>
                      <w:szCs w:val="21"/>
                      <w:lang w:val="en-US" w:eastAsia="zh-CN"/>
                    </w:rPr>
                    <w:t>2</w:t>
                  </w:r>
                </w:p>
              </w:tc>
              <w:tc>
                <w:tcPr>
                  <w:tcW w:w="571" w:type="pct"/>
                  <w:vAlign w:val="center"/>
                </w:tcPr>
                <w:p w14:paraId="7F08636D">
                  <w:pPr>
                    <w:snapToGrid w:val="0"/>
                    <w:spacing w:line="240" w:lineRule="auto"/>
                    <w:ind w:firstLine="0" w:firstLineChars="0"/>
                    <w:jc w:val="center"/>
                    <w:rPr>
                      <w:color w:val="auto"/>
                      <w:sz w:val="21"/>
                      <w:szCs w:val="21"/>
                    </w:rPr>
                  </w:pPr>
                  <w:r>
                    <w:rPr>
                      <w:rFonts w:hint="eastAsia"/>
                      <w:color w:val="auto"/>
                      <w:sz w:val="21"/>
                      <w:szCs w:val="21"/>
                    </w:rPr>
                    <w:t>外购</w:t>
                  </w:r>
                  <w:r>
                    <w:rPr>
                      <w:rFonts w:hint="eastAsia"/>
                      <w:color w:val="auto"/>
                      <w:sz w:val="21"/>
                      <w:szCs w:val="21"/>
                      <w:lang w:eastAsia="zh-CN"/>
                    </w:rPr>
                    <w:t>、</w:t>
                  </w:r>
                  <w:r>
                    <w:rPr>
                      <w:rFonts w:hint="eastAsia"/>
                      <w:color w:val="auto"/>
                      <w:sz w:val="21"/>
                      <w:szCs w:val="21"/>
                    </w:rPr>
                    <w:t>汽运</w:t>
                  </w:r>
                </w:p>
              </w:tc>
              <w:tc>
                <w:tcPr>
                  <w:tcW w:w="571" w:type="pct"/>
                  <w:vAlign w:val="center"/>
                </w:tcPr>
                <w:p w14:paraId="039129B7">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验布打卷</w:t>
                  </w:r>
                </w:p>
              </w:tc>
            </w:tr>
            <w:tr w14:paraId="29E99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50" w:type="pct"/>
                  <w:vAlign w:val="center"/>
                </w:tcPr>
                <w:p w14:paraId="0553B78F">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4</w:t>
                  </w:r>
                </w:p>
              </w:tc>
              <w:tc>
                <w:tcPr>
                  <w:tcW w:w="715" w:type="pct"/>
                  <w:shd w:val="clear" w:color="auto" w:fill="auto"/>
                  <w:vAlign w:val="center"/>
                </w:tcPr>
                <w:p w14:paraId="0ECF613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18"/>
                      <w:lang w:val="en-US" w:eastAsia="zh-CN" w:bidi="ar"/>
                    </w:rPr>
                  </w:pPr>
                  <w:r>
                    <w:rPr>
                      <w:rFonts w:hint="eastAsia" w:cs="Times New Roman"/>
                      <w:color w:val="auto"/>
                      <w:sz w:val="21"/>
                      <w:szCs w:val="18"/>
                      <w:lang w:val="en-US" w:eastAsia="zh-CN" w:bidi="ar"/>
                    </w:rPr>
                    <w:t>PAC</w:t>
                  </w:r>
                </w:p>
              </w:tc>
              <w:tc>
                <w:tcPr>
                  <w:tcW w:w="540" w:type="pct"/>
                  <w:vAlign w:val="center"/>
                </w:tcPr>
                <w:p w14:paraId="5E95EC93">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14.7</w:t>
                  </w:r>
                </w:p>
              </w:tc>
              <w:tc>
                <w:tcPr>
                  <w:tcW w:w="502" w:type="pct"/>
                  <w:vAlign w:val="center"/>
                </w:tcPr>
                <w:p w14:paraId="0E209AF8">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固态</w:t>
                  </w:r>
                </w:p>
              </w:tc>
              <w:tc>
                <w:tcPr>
                  <w:tcW w:w="754" w:type="pct"/>
                  <w:vAlign w:val="center"/>
                </w:tcPr>
                <w:p w14:paraId="606C6CC4">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污水处理站</w:t>
                  </w:r>
                </w:p>
              </w:tc>
              <w:tc>
                <w:tcPr>
                  <w:tcW w:w="534" w:type="pct"/>
                  <w:vAlign w:val="center"/>
                </w:tcPr>
                <w:p w14:paraId="6A4A929C">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25kg/袋</w:t>
                  </w:r>
                </w:p>
              </w:tc>
              <w:tc>
                <w:tcPr>
                  <w:tcW w:w="460" w:type="pct"/>
                  <w:vAlign w:val="center"/>
                </w:tcPr>
                <w:p w14:paraId="54D9D04A">
                  <w:pPr>
                    <w:snapToGrid w:val="0"/>
                    <w:spacing w:line="240" w:lineRule="auto"/>
                    <w:ind w:firstLine="0" w:firstLineChars="0"/>
                    <w:jc w:val="center"/>
                    <w:rPr>
                      <w:rFonts w:hint="default"/>
                      <w:bCs/>
                      <w:color w:val="auto"/>
                      <w:sz w:val="21"/>
                      <w:szCs w:val="21"/>
                      <w:lang w:val="en-US" w:eastAsia="zh-CN"/>
                    </w:rPr>
                  </w:pPr>
                  <w:r>
                    <w:rPr>
                      <w:rFonts w:hint="eastAsia"/>
                      <w:bCs/>
                      <w:color w:val="auto"/>
                      <w:sz w:val="21"/>
                      <w:szCs w:val="21"/>
                      <w:lang w:val="en-US" w:eastAsia="zh-CN"/>
                    </w:rPr>
                    <w:t>0.75</w:t>
                  </w:r>
                </w:p>
              </w:tc>
              <w:tc>
                <w:tcPr>
                  <w:tcW w:w="571" w:type="pct"/>
                  <w:vAlign w:val="center"/>
                </w:tcPr>
                <w:p w14:paraId="60C3E053">
                  <w:pPr>
                    <w:snapToGrid w:val="0"/>
                    <w:spacing w:line="240" w:lineRule="auto"/>
                    <w:ind w:left="0" w:leftChars="0" w:firstLine="0" w:firstLineChars="0"/>
                    <w:jc w:val="center"/>
                    <w:rPr>
                      <w:rFonts w:hint="eastAsia"/>
                      <w:color w:val="auto"/>
                      <w:sz w:val="21"/>
                      <w:szCs w:val="21"/>
                    </w:rPr>
                  </w:pPr>
                  <w:r>
                    <w:rPr>
                      <w:rFonts w:hint="eastAsia"/>
                      <w:color w:val="auto"/>
                      <w:sz w:val="21"/>
                      <w:szCs w:val="21"/>
                    </w:rPr>
                    <w:t>外购</w:t>
                  </w:r>
                  <w:r>
                    <w:rPr>
                      <w:rFonts w:hint="eastAsia"/>
                      <w:color w:val="auto"/>
                      <w:sz w:val="21"/>
                      <w:szCs w:val="21"/>
                      <w:lang w:eastAsia="zh-CN"/>
                    </w:rPr>
                    <w:t>、</w:t>
                  </w:r>
                  <w:r>
                    <w:rPr>
                      <w:rFonts w:hint="eastAsia"/>
                      <w:color w:val="auto"/>
                      <w:sz w:val="21"/>
                      <w:szCs w:val="21"/>
                    </w:rPr>
                    <w:t>汽运</w:t>
                  </w:r>
                </w:p>
              </w:tc>
              <w:tc>
                <w:tcPr>
                  <w:tcW w:w="571" w:type="pct"/>
                  <w:vMerge w:val="restart"/>
                  <w:vAlign w:val="center"/>
                </w:tcPr>
                <w:p w14:paraId="26539295">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污水处理站</w:t>
                  </w:r>
                </w:p>
              </w:tc>
            </w:tr>
            <w:tr w14:paraId="44DB82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50" w:type="pct"/>
                  <w:vAlign w:val="center"/>
                </w:tcPr>
                <w:p w14:paraId="13DA955D">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5</w:t>
                  </w:r>
                </w:p>
              </w:tc>
              <w:tc>
                <w:tcPr>
                  <w:tcW w:w="715" w:type="pct"/>
                  <w:shd w:val="clear" w:color="auto" w:fill="auto"/>
                  <w:vAlign w:val="center"/>
                </w:tcPr>
                <w:p w14:paraId="084767E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18"/>
                      <w:lang w:val="en-US" w:eastAsia="zh-CN" w:bidi="ar"/>
                    </w:rPr>
                  </w:pPr>
                  <w:r>
                    <w:rPr>
                      <w:rFonts w:hint="eastAsia" w:cs="Times New Roman"/>
                      <w:color w:val="auto"/>
                      <w:sz w:val="21"/>
                      <w:szCs w:val="18"/>
                      <w:lang w:val="en-US" w:eastAsia="zh-CN" w:bidi="ar"/>
                    </w:rPr>
                    <w:t>PAM</w:t>
                  </w:r>
                </w:p>
              </w:tc>
              <w:tc>
                <w:tcPr>
                  <w:tcW w:w="540" w:type="pct"/>
                  <w:vAlign w:val="center"/>
                </w:tcPr>
                <w:p w14:paraId="11C4E4CA">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0.2</w:t>
                  </w:r>
                </w:p>
              </w:tc>
              <w:tc>
                <w:tcPr>
                  <w:tcW w:w="502" w:type="pct"/>
                  <w:vAlign w:val="center"/>
                </w:tcPr>
                <w:p w14:paraId="647F2772">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固态</w:t>
                  </w:r>
                </w:p>
              </w:tc>
              <w:tc>
                <w:tcPr>
                  <w:tcW w:w="754" w:type="pct"/>
                  <w:vAlign w:val="center"/>
                </w:tcPr>
                <w:p w14:paraId="3FF9145D">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污水处理站</w:t>
                  </w:r>
                </w:p>
              </w:tc>
              <w:tc>
                <w:tcPr>
                  <w:tcW w:w="534" w:type="pct"/>
                  <w:vAlign w:val="center"/>
                </w:tcPr>
                <w:p w14:paraId="6B104953">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25kg/袋</w:t>
                  </w:r>
                </w:p>
              </w:tc>
              <w:tc>
                <w:tcPr>
                  <w:tcW w:w="460" w:type="pct"/>
                  <w:vAlign w:val="center"/>
                </w:tcPr>
                <w:p w14:paraId="5B4F911C">
                  <w:pPr>
                    <w:snapToGrid w:val="0"/>
                    <w:spacing w:line="240" w:lineRule="auto"/>
                    <w:ind w:firstLine="0" w:firstLineChars="0"/>
                    <w:jc w:val="center"/>
                    <w:rPr>
                      <w:rFonts w:hint="default"/>
                      <w:bCs/>
                      <w:color w:val="auto"/>
                      <w:sz w:val="21"/>
                      <w:szCs w:val="21"/>
                      <w:lang w:val="en-US" w:eastAsia="zh-CN"/>
                    </w:rPr>
                  </w:pPr>
                  <w:r>
                    <w:rPr>
                      <w:rFonts w:hint="eastAsia"/>
                      <w:bCs/>
                      <w:color w:val="auto"/>
                      <w:sz w:val="21"/>
                      <w:szCs w:val="21"/>
                      <w:lang w:val="en-US" w:eastAsia="zh-CN"/>
                    </w:rPr>
                    <w:t>0.025</w:t>
                  </w:r>
                </w:p>
              </w:tc>
              <w:tc>
                <w:tcPr>
                  <w:tcW w:w="571" w:type="pct"/>
                  <w:vAlign w:val="center"/>
                </w:tcPr>
                <w:p w14:paraId="55A784AF">
                  <w:pPr>
                    <w:snapToGrid w:val="0"/>
                    <w:spacing w:line="240" w:lineRule="auto"/>
                    <w:ind w:left="0" w:leftChars="0" w:firstLine="0" w:firstLineChars="0"/>
                    <w:jc w:val="center"/>
                    <w:rPr>
                      <w:rFonts w:hint="eastAsia"/>
                      <w:color w:val="auto"/>
                      <w:sz w:val="21"/>
                      <w:szCs w:val="21"/>
                    </w:rPr>
                  </w:pPr>
                  <w:r>
                    <w:rPr>
                      <w:rFonts w:hint="eastAsia"/>
                      <w:color w:val="auto"/>
                      <w:sz w:val="21"/>
                      <w:szCs w:val="21"/>
                    </w:rPr>
                    <w:t>外购</w:t>
                  </w:r>
                  <w:r>
                    <w:rPr>
                      <w:rFonts w:hint="eastAsia"/>
                      <w:color w:val="auto"/>
                      <w:sz w:val="21"/>
                      <w:szCs w:val="21"/>
                      <w:lang w:eastAsia="zh-CN"/>
                    </w:rPr>
                    <w:t>、</w:t>
                  </w:r>
                  <w:r>
                    <w:rPr>
                      <w:rFonts w:hint="eastAsia"/>
                      <w:color w:val="auto"/>
                      <w:sz w:val="21"/>
                      <w:szCs w:val="21"/>
                    </w:rPr>
                    <w:t>汽运</w:t>
                  </w:r>
                </w:p>
              </w:tc>
              <w:tc>
                <w:tcPr>
                  <w:tcW w:w="571" w:type="pct"/>
                  <w:vMerge w:val="continue"/>
                  <w:vAlign w:val="center"/>
                </w:tcPr>
                <w:p w14:paraId="188A4C9B">
                  <w:pPr>
                    <w:snapToGrid w:val="0"/>
                    <w:spacing w:line="240" w:lineRule="auto"/>
                    <w:ind w:firstLine="0" w:firstLineChars="0"/>
                    <w:jc w:val="center"/>
                    <w:rPr>
                      <w:rFonts w:hint="eastAsia"/>
                      <w:color w:val="auto"/>
                      <w:sz w:val="21"/>
                      <w:szCs w:val="21"/>
                    </w:rPr>
                  </w:pPr>
                </w:p>
              </w:tc>
            </w:tr>
            <w:tr w14:paraId="2FEA49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350" w:type="pct"/>
                  <w:vAlign w:val="center"/>
                </w:tcPr>
                <w:p w14:paraId="05BE5210">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6</w:t>
                  </w:r>
                </w:p>
              </w:tc>
              <w:tc>
                <w:tcPr>
                  <w:tcW w:w="715" w:type="pct"/>
                  <w:shd w:val="clear" w:color="auto" w:fill="auto"/>
                  <w:vAlign w:val="center"/>
                </w:tcPr>
                <w:p w14:paraId="486A2FD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18"/>
                      <w:lang w:val="en-US" w:eastAsia="zh-CN" w:bidi="ar"/>
                    </w:rPr>
                  </w:pPr>
                  <w:r>
                    <w:rPr>
                      <w:rFonts w:hint="eastAsia" w:cs="Times New Roman"/>
                      <w:color w:val="auto"/>
                      <w:sz w:val="21"/>
                      <w:szCs w:val="18"/>
                      <w:lang w:val="en-US" w:eastAsia="zh-CN" w:bidi="ar"/>
                    </w:rPr>
                    <w:t>机油</w:t>
                  </w:r>
                </w:p>
              </w:tc>
              <w:tc>
                <w:tcPr>
                  <w:tcW w:w="540" w:type="pct"/>
                  <w:vAlign w:val="center"/>
                </w:tcPr>
                <w:p w14:paraId="6239909C">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1.2</w:t>
                  </w:r>
                </w:p>
              </w:tc>
              <w:tc>
                <w:tcPr>
                  <w:tcW w:w="502" w:type="pct"/>
                  <w:vAlign w:val="center"/>
                </w:tcPr>
                <w:p w14:paraId="16E0E126">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液态</w:t>
                  </w:r>
                </w:p>
              </w:tc>
              <w:tc>
                <w:tcPr>
                  <w:tcW w:w="754" w:type="pct"/>
                  <w:vAlign w:val="center"/>
                </w:tcPr>
                <w:p w14:paraId="0610B35F">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车间</w:t>
                  </w:r>
                </w:p>
              </w:tc>
              <w:tc>
                <w:tcPr>
                  <w:tcW w:w="534" w:type="pct"/>
                  <w:vAlign w:val="center"/>
                </w:tcPr>
                <w:p w14:paraId="786A09F9">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170kg/桶</w:t>
                  </w:r>
                </w:p>
              </w:tc>
              <w:tc>
                <w:tcPr>
                  <w:tcW w:w="460" w:type="pct"/>
                  <w:vAlign w:val="center"/>
                </w:tcPr>
                <w:p w14:paraId="41FC7629">
                  <w:pPr>
                    <w:snapToGrid w:val="0"/>
                    <w:spacing w:line="240" w:lineRule="auto"/>
                    <w:ind w:firstLine="0" w:firstLineChars="0"/>
                    <w:jc w:val="center"/>
                    <w:rPr>
                      <w:rFonts w:hint="default"/>
                      <w:bCs/>
                      <w:color w:val="auto"/>
                      <w:sz w:val="21"/>
                      <w:szCs w:val="21"/>
                      <w:lang w:val="en-US" w:eastAsia="zh-CN"/>
                    </w:rPr>
                  </w:pPr>
                  <w:r>
                    <w:rPr>
                      <w:rFonts w:hint="eastAsia"/>
                      <w:bCs/>
                      <w:color w:val="auto"/>
                      <w:sz w:val="21"/>
                      <w:szCs w:val="21"/>
                      <w:lang w:val="en-US" w:eastAsia="zh-CN"/>
                    </w:rPr>
                    <w:t>0.17</w:t>
                  </w:r>
                </w:p>
              </w:tc>
              <w:tc>
                <w:tcPr>
                  <w:tcW w:w="571" w:type="pct"/>
                  <w:vAlign w:val="center"/>
                </w:tcPr>
                <w:p w14:paraId="1402AD09">
                  <w:pPr>
                    <w:snapToGrid w:val="0"/>
                    <w:spacing w:line="240" w:lineRule="auto"/>
                    <w:ind w:left="0" w:leftChars="0" w:firstLine="0" w:firstLineChars="0"/>
                    <w:jc w:val="center"/>
                    <w:rPr>
                      <w:rFonts w:hint="eastAsia"/>
                      <w:color w:val="auto"/>
                      <w:sz w:val="21"/>
                      <w:szCs w:val="21"/>
                    </w:rPr>
                  </w:pPr>
                  <w:r>
                    <w:rPr>
                      <w:rFonts w:hint="eastAsia"/>
                      <w:color w:val="auto"/>
                      <w:sz w:val="21"/>
                      <w:szCs w:val="21"/>
                    </w:rPr>
                    <w:t>外购</w:t>
                  </w:r>
                  <w:r>
                    <w:rPr>
                      <w:rFonts w:hint="eastAsia"/>
                      <w:color w:val="auto"/>
                      <w:sz w:val="21"/>
                      <w:szCs w:val="21"/>
                      <w:lang w:eastAsia="zh-CN"/>
                    </w:rPr>
                    <w:t>、</w:t>
                  </w:r>
                  <w:r>
                    <w:rPr>
                      <w:rFonts w:hint="eastAsia"/>
                      <w:color w:val="auto"/>
                      <w:sz w:val="21"/>
                      <w:szCs w:val="21"/>
                    </w:rPr>
                    <w:t>汽运</w:t>
                  </w:r>
                </w:p>
              </w:tc>
              <w:tc>
                <w:tcPr>
                  <w:tcW w:w="571" w:type="pct"/>
                  <w:vAlign w:val="center"/>
                </w:tcPr>
                <w:p w14:paraId="0670BC21">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设备润滑</w:t>
                  </w:r>
                </w:p>
              </w:tc>
            </w:tr>
            <w:tr w14:paraId="106119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000" w:type="pct"/>
                  <w:gridSpan w:val="9"/>
                  <w:vAlign w:val="center"/>
                </w:tcPr>
                <w:p w14:paraId="77E701A6">
                  <w:pPr>
                    <w:snapToGrid w:val="0"/>
                    <w:spacing w:line="240" w:lineRule="auto"/>
                    <w:ind w:firstLine="0" w:firstLineChars="0"/>
                    <w:jc w:val="both"/>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（1）根据《排污许可证申请与核发技术规范纺织印染工业》（HJ 861—2017），</w:t>
                  </w:r>
                  <w:r>
                    <w:rPr>
                      <w:rFonts w:hint="eastAsia" w:cs="Times New Roman" w:eastAsiaTheme="minorEastAsia"/>
                      <w:color w:val="000000" w:themeColor="text1"/>
                      <w:sz w:val="21"/>
                      <w:szCs w:val="21"/>
                      <w:lang w:val="en-US" w:eastAsia="zh-CN"/>
                      <w14:textFill>
                        <w14:solidFill>
                          <w14:schemeClr w14:val="tx1"/>
                        </w14:solidFill>
                      </w14:textFill>
                    </w:rPr>
                    <w:t>以</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涤纶为原料的排污单位，废水中含有总锑，本项目使用POY涤纶丝，因此废水中含有总锑。</w:t>
                  </w:r>
                </w:p>
                <w:p w14:paraId="4FACC620">
                  <w:pPr>
                    <w:snapToGrid w:val="0"/>
                    <w:spacing w:line="240" w:lineRule="auto"/>
                    <w:ind w:firstLine="0" w:firstLineChars="0"/>
                    <w:jc w:val="both"/>
                    <w:rPr>
                      <w:rFonts w:hint="default"/>
                      <w:color w:val="0000FF"/>
                      <w:sz w:val="21"/>
                      <w:szCs w:val="21"/>
                      <w:vertAlign w:val="baseline"/>
                      <w:lang w:val="en-US" w:eastAsia="zh-CN"/>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（2）化纤布克重约115</w:t>
                  </w:r>
                  <w:r>
                    <w:rPr>
                      <w:rFonts w:hint="eastAsia"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120g/m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，则百米布所需POY丝约0.0196</w:t>
                  </w:r>
                  <w:r>
                    <w:rPr>
                      <w:rFonts w:hint="eastAsia" w:cs="Times New Roman" w:eastAsiaTheme="minorEastAsia"/>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0.0204t，织造3000万米布，约需POY丝5880</w:t>
                  </w:r>
                  <w:r>
                    <w:rPr>
                      <w:rFonts w:hint="eastAsia" w:cs="Times New Roman" w:eastAsiaTheme="minorEastAsia"/>
                      <w:color w:val="000000" w:themeColor="text1"/>
                      <w:sz w:val="21"/>
                      <w:szCs w:val="21"/>
                      <w:vertAlign w:val="baseli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6120t，考虑有废丝、废布损耗，本项目POY丝用量在6000t在合理范围内</w:t>
                  </w:r>
                  <w:r>
                    <w:rPr>
                      <w:rFonts w:hint="eastAsia" w:asciiTheme="minorEastAsia" w:hAnsiTheme="minorEastAsia" w:eastAsiaTheme="minorEastAsia" w:cstheme="minorEastAsia"/>
                      <w:color w:val="000000" w:themeColor="text1"/>
                      <w:sz w:val="21"/>
                      <w:szCs w:val="21"/>
                      <w:vertAlign w:val="baseline"/>
                      <w:lang w:val="en-US" w:eastAsia="zh-CN"/>
                      <w14:textFill>
                        <w14:solidFill>
                          <w14:schemeClr w14:val="tx1"/>
                        </w14:solidFill>
                      </w14:textFill>
                    </w:rPr>
                    <w:t>。</w:t>
                  </w:r>
                </w:p>
              </w:tc>
            </w:tr>
          </w:tbl>
          <w:p w14:paraId="62E368B2">
            <w:pPr>
              <w:spacing w:line="240" w:lineRule="auto"/>
              <w:ind w:firstLine="0" w:firstLineChars="0"/>
              <w:jc w:val="center"/>
              <w:rPr>
                <w:b/>
                <w:color w:val="auto"/>
              </w:rPr>
            </w:pPr>
            <w:r>
              <w:rPr>
                <w:b/>
                <w:color w:val="auto"/>
              </w:rPr>
              <w:t>表</w:t>
            </w:r>
            <w:r>
              <w:rPr>
                <w:rFonts w:hint="eastAsia"/>
                <w:b/>
                <w:color w:val="auto"/>
              </w:rPr>
              <w:t>2-</w:t>
            </w:r>
            <w:r>
              <w:rPr>
                <w:rFonts w:hint="eastAsia"/>
                <w:b/>
                <w:color w:val="auto"/>
                <w:lang w:val="en-US" w:eastAsia="zh-CN"/>
              </w:rPr>
              <w:t>5</w:t>
            </w:r>
            <w:r>
              <w:rPr>
                <w:b/>
                <w:color w:val="auto"/>
              </w:rPr>
              <w:t>主要原辅</w:t>
            </w:r>
            <w:r>
              <w:rPr>
                <w:rFonts w:hint="eastAsia"/>
                <w:b/>
                <w:color w:val="auto"/>
              </w:rPr>
              <w:t>材料</w:t>
            </w:r>
            <w:r>
              <w:rPr>
                <w:b/>
                <w:color w:val="auto"/>
              </w:rPr>
              <w:t>理化性质</w:t>
            </w:r>
          </w:p>
          <w:tbl>
            <w:tblPr>
              <w:tblStyle w:val="3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5705"/>
              <w:gridCol w:w="1288"/>
              <w:gridCol w:w="1079"/>
            </w:tblGrid>
            <w:tr w14:paraId="1A31C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67" w:type="pct"/>
                  <w:tcBorders>
                    <w:tl2br w:val="nil"/>
                    <w:tr2bl w:val="nil"/>
                  </w:tcBorders>
                  <w:shd w:val="clear" w:color="auto" w:fill="auto"/>
                  <w:vAlign w:val="center"/>
                </w:tcPr>
                <w:p w14:paraId="22F107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18"/>
                      <w:lang w:val="en-US" w:eastAsia="zh-CN" w:bidi="ar-SA"/>
                    </w:rPr>
                  </w:pPr>
                  <w:r>
                    <w:rPr>
                      <w:rFonts w:hint="default" w:ascii="Times New Roman" w:hAnsi="Times New Roman" w:eastAsia="宋体" w:cs="Times New Roman"/>
                      <w:b/>
                      <w:bCs/>
                      <w:color w:val="auto"/>
                      <w:sz w:val="21"/>
                      <w:szCs w:val="18"/>
                      <w:lang w:bidi="ar"/>
                    </w:rPr>
                    <w:t>物料名称</w:t>
                  </w:r>
                </w:p>
              </w:tc>
              <w:tc>
                <w:tcPr>
                  <w:tcW w:w="3271" w:type="pct"/>
                  <w:tcBorders>
                    <w:tl2br w:val="nil"/>
                    <w:tr2bl w:val="nil"/>
                  </w:tcBorders>
                  <w:shd w:val="clear" w:color="auto" w:fill="auto"/>
                  <w:vAlign w:val="center"/>
                </w:tcPr>
                <w:p w14:paraId="70D6BC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18"/>
                      <w:lang w:val="en-US" w:eastAsia="zh-CN" w:bidi="ar-SA"/>
                    </w:rPr>
                  </w:pPr>
                  <w:r>
                    <w:rPr>
                      <w:rFonts w:hint="default" w:ascii="Times New Roman" w:hAnsi="Times New Roman" w:eastAsia="宋体" w:cs="Times New Roman"/>
                      <w:b/>
                      <w:bCs/>
                      <w:color w:val="auto"/>
                      <w:sz w:val="21"/>
                      <w:szCs w:val="18"/>
                      <w:lang w:bidi="ar"/>
                    </w:rPr>
                    <w:t>理化性质</w:t>
                  </w:r>
                </w:p>
              </w:tc>
              <w:tc>
                <w:tcPr>
                  <w:tcW w:w="740" w:type="pct"/>
                  <w:tcBorders>
                    <w:tl2br w:val="nil"/>
                    <w:tr2bl w:val="nil"/>
                  </w:tcBorders>
                  <w:shd w:val="clear" w:color="auto" w:fill="auto"/>
                  <w:vAlign w:val="center"/>
                </w:tcPr>
                <w:p w14:paraId="15A30F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18"/>
                      <w:lang w:bidi="ar"/>
                    </w:rPr>
                  </w:pPr>
                  <w:r>
                    <w:rPr>
                      <w:rFonts w:hint="default" w:ascii="Times New Roman" w:hAnsi="Times New Roman" w:eastAsia="宋体" w:cs="Times New Roman"/>
                      <w:b/>
                      <w:bCs/>
                      <w:color w:val="auto"/>
                      <w:sz w:val="21"/>
                      <w:szCs w:val="18"/>
                      <w:lang w:bidi="ar"/>
                    </w:rPr>
                    <w:t>燃烧爆炸性</w:t>
                  </w:r>
                </w:p>
              </w:tc>
              <w:tc>
                <w:tcPr>
                  <w:tcW w:w="620" w:type="pct"/>
                  <w:tcBorders>
                    <w:tl2br w:val="nil"/>
                    <w:tr2bl w:val="nil"/>
                  </w:tcBorders>
                  <w:shd w:val="clear" w:color="auto" w:fill="auto"/>
                  <w:vAlign w:val="center"/>
                </w:tcPr>
                <w:p w14:paraId="484935C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18"/>
                      <w:lang w:bidi="ar"/>
                    </w:rPr>
                  </w:pPr>
                  <w:r>
                    <w:rPr>
                      <w:rFonts w:hint="default" w:ascii="Times New Roman" w:hAnsi="Times New Roman" w:eastAsia="宋体" w:cs="Times New Roman"/>
                      <w:b/>
                      <w:bCs/>
                      <w:color w:val="auto"/>
                      <w:sz w:val="21"/>
                      <w:szCs w:val="18"/>
                      <w:lang w:bidi="ar"/>
                    </w:rPr>
                    <w:t>毒性毒理</w:t>
                  </w:r>
                </w:p>
              </w:tc>
            </w:tr>
            <w:tr w14:paraId="2304A4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7" w:type="pct"/>
                  <w:tcBorders>
                    <w:tl2br w:val="nil"/>
                    <w:tr2bl w:val="nil"/>
                  </w:tcBorders>
                  <w:shd w:val="clear" w:color="auto" w:fill="auto"/>
                  <w:vAlign w:val="center"/>
                </w:tcPr>
                <w:p w14:paraId="1707DA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18"/>
                      <w:lang w:bidi="ar"/>
                    </w:rPr>
                  </w:pPr>
                  <w:r>
                    <w:rPr>
                      <w:rFonts w:hint="default" w:ascii="Times New Roman" w:hAnsi="Times New Roman" w:eastAsia="宋体" w:cs="Times New Roman"/>
                      <w:bCs/>
                      <w:color w:val="auto"/>
                      <w:sz w:val="21"/>
                      <w:szCs w:val="18"/>
                      <w:lang w:bidi="ar"/>
                    </w:rPr>
                    <w:t>POY 丝</w:t>
                  </w:r>
                </w:p>
              </w:tc>
              <w:tc>
                <w:tcPr>
                  <w:tcW w:w="3271" w:type="pct"/>
                  <w:tcBorders>
                    <w:tl2br w:val="nil"/>
                    <w:tr2bl w:val="nil"/>
                  </w:tcBorders>
                  <w:shd w:val="clear" w:color="auto" w:fill="auto"/>
                  <w:vAlign w:val="center"/>
                </w:tcPr>
                <w:p w14:paraId="75F2418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1"/>
                      <w:szCs w:val="18"/>
                      <w:lang w:eastAsia="zh-CN" w:bidi="ar"/>
                    </w:rPr>
                  </w:pPr>
                  <w:r>
                    <w:rPr>
                      <w:rFonts w:hint="default" w:ascii="Times New Roman" w:hAnsi="Times New Roman" w:eastAsia="宋体" w:cs="Times New Roman"/>
                      <w:bCs/>
                      <w:color w:val="auto"/>
                      <w:sz w:val="21"/>
                      <w:szCs w:val="18"/>
                      <w:lang w:bidi="ar"/>
                    </w:rPr>
                    <w:t>又称涤纶预取向丝，为涤纶丝的一种，全称：Pre Oriented Yarn。指经高速纺丝获得的取向度在未取向丝和拉伸丝之间的未完全拉伸的化纤长丝。与未拉伸丝相比，它具有一定程度的取向，稳定性好，主要用于</w:t>
                  </w:r>
                  <w:r>
                    <w:rPr>
                      <w:rFonts w:hint="eastAsia" w:cs="Times New Roman"/>
                      <w:bCs/>
                      <w:color w:val="auto"/>
                      <w:sz w:val="21"/>
                      <w:szCs w:val="18"/>
                      <w:lang w:eastAsia="zh-CN" w:bidi="ar"/>
                    </w:rPr>
                    <w:t>用作</w:t>
                  </w:r>
                  <w:r>
                    <w:rPr>
                      <w:rFonts w:hint="default" w:ascii="Times New Roman" w:hAnsi="Times New Roman" w:eastAsia="宋体" w:cs="Times New Roman"/>
                      <w:bCs/>
                      <w:color w:val="auto"/>
                      <w:sz w:val="21"/>
                      <w:szCs w:val="18"/>
                      <w:lang w:bidi="ar"/>
                    </w:rPr>
                    <w:t>拉伸假捻变形丝</w:t>
                  </w:r>
                  <w:r>
                    <w:rPr>
                      <w:rFonts w:hint="eastAsia" w:cs="Times New Roman"/>
                      <w:bCs/>
                      <w:color w:val="auto"/>
                      <w:sz w:val="21"/>
                      <w:szCs w:val="18"/>
                      <w:lang w:eastAsia="zh-CN" w:bidi="ar"/>
                    </w:rPr>
                    <w:t>（</w:t>
                  </w:r>
                  <w:r>
                    <w:rPr>
                      <w:rFonts w:hint="default" w:ascii="Times New Roman" w:hAnsi="Times New Roman" w:eastAsia="宋体" w:cs="Times New Roman"/>
                      <w:bCs/>
                      <w:color w:val="auto"/>
                      <w:sz w:val="21"/>
                      <w:szCs w:val="18"/>
                      <w:lang w:bidi="ar"/>
                    </w:rPr>
                    <w:t>DTY</w:t>
                  </w:r>
                  <w:r>
                    <w:rPr>
                      <w:rFonts w:hint="eastAsia" w:cs="Times New Roman"/>
                      <w:bCs/>
                      <w:color w:val="auto"/>
                      <w:sz w:val="21"/>
                      <w:szCs w:val="18"/>
                      <w:lang w:eastAsia="zh-CN" w:bidi="ar"/>
                    </w:rPr>
                    <w:t>）</w:t>
                  </w:r>
                  <w:r>
                    <w:rPr>
                      <w:rFonts w:hint="default" w:ascii="Times New Roman" w:hAnsi="Times New Roman" w:eastAsia="宋体" w:cs="Times New Roman"/>
                      <w:bCs/>
                      <w:color w:val="auto"/>
                      <w:sz w:val="21"/>
                      <w:szCs w:val="18"/>
                      <w:lang w:bidi="ar"/>
                    </w:rPr>
                    <w:t>的专用丝</w:t>
                  </w:r>
                  <w:r>
                    <w:rPr>
                      <w:rFonts w:hint="eastAsia" w:cs="Times New Roman"/>
                      <w:bCs/>
                      <w:color w:val="auto"/>
                      <w:sz w:val="21"/>
                      <w:szCs w:val="18"/>
                      <w:lang w:eastAsia="zh-CN" w:bidi="ar"/>
                    </w:rPr>
                    <w:t>，</w:t>
                  </w:r>
                  <w:r>
                    <w:rPr>
                      <w:rFonts w:hint="default" w:ascii="Times New Roman" w:hAnsi="Times New Roman" w:eastAsia="宋体" w:cs="Times New Roman"/>
                      <w:bCs/>
                      <w:color w:val="auto"/>
                      <w:sz w:val="21"/>
                      <w:szCs w:val="18"/>
                      <w:lang w:bidi="ar"/>
                    </w:rPr>
                    <w:t>POY原丝含油率为0.3%</w:t>
                  </w:r>
                  <w:r>
                    <w:rPr>
                      <w:rFonts w:hint="eastAsia" w:cs="Times New Roman"/>
                      <w:bCs/>
                      <w:color w:val="auto"/>
                      <w:sz w:val="21"/>
                      <w:szCs w:val="18"/>
                      <w:lang w:eastAsia="zh-CN" w:bidi="ar"/>
                    </w:rPr>
                    <w:t>～</w:t>
                  </w:r>
                  <w:r>
                    <w:rPr>
                      <w:rFonts w:hint="default" w:ascii="Times New Roman" w:hAnsi="Times New Roman" w:eastAsia="宋体" w:cs="Times New Roman"/>
                      <w:bCs/>
                      <w:color w:val="auto"/>
                      <w:sz w:val="21"/>
                      <w:szCs w:val="18"/>
                      <w:lang w:bidi="ar"/>
                    </w:rPr>
                    <w:t>0.4%之间</w:t>
                  </w:r>
                  <w:r>
                    <w:rPr>
                      <w:rFonts w:hint="eastAsia" w:cs="Times New Roman"/>
                      <w:bCs/>
                      <w:color w:val="auto"/>
                      <w:sz w:val="21"/>
                      <w:szCs w:val="18"/>
                      <w:lang w:eastAsia="zh-CN" w:bidi="ar"/>
                    </w:rPr>
                    <w:t>。</w:t>
                  </w:r>
                </w:p>
              </w:tc>
              <w:tc>
                <w:tcPr>
                  <w:tcW w:w="740" w:type="pct"/>
                  <w:tcBorders>
                    <w:tl2br w:val="nil"/>
                    <w:tr2bl w:val="nil"/>
                  </w:tcBorders>
                  <w:shd w:val="clear" w:color="auto" w:fill="auto"/>
                  <w:vAlign w:val="center"/>
                </w:tcPr>
                <w:p w14:paraId="4B5CCE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易燃</w:t>
                  </w:r>
                </w:p>
              </w:tc>
              <w:tc>
                <w:tcPr>
                  <w:tcW w:w="620" w:type="pct"/>
                  <w:tcBorders>
                    <w:tl2br w:val="nil"/>
                    <w:tr2bl w:val="nil"/>
                  </w:tcBorders>
                  <w:shd w:val="clear" w:color="auto" w:fill="auto"/>
                  <w:vAlign w:val="center"/>
                </w:tcPr>
                <w:p w14:paraId="073C6DC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无毒</w:t>
                  </w:r>
                </w:p>
              </w:tc>
            </w:tr>
            <w:tr w14:paraId="1593C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7" w:type="pct"/>
                  <w:tcBorders>
                    <w:tl2br w:val="nil"/>
                    <w:tr2bl w:val="nil"/>
                  </w:tcBorders>
                  <w:shd w:val="clear" w:color="auto" w:fill="auto"/>
                  <w:vAlign w:val="center"/>
                </w:tcPr>
                <w:p w14:paraId="70A38B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18"/>
                      <w:lang w:val="en-US" w:eastAsia="zh-CN" w:bidi="ar-SA"/>
                    </w:rPr>
                  </w:pPr>
                  <w:r>
                    <w:rPr>
                      <w:rFonts w:hint="default" w:ascii="Times New Roman" w:hAnsi="Times New Roman" w:eastAsia="宋体" w:cs="Times New Roman"/>
                      <w:bCs/>
                      <w:color w:val="auto"/>
                      <w:sz w:val="21"/>
                      <w:szCs w:val="18"/>
                      <w:lang w:bidi="ar"/>
                    </w:rPr>
                    <w:t>油剂</w:t>
                  </w:r>
                </w:p>
              </w:tc>
              <w:tc>
                <w:tcPr>
                  <w:tcW w:w="3271" w:type="pct"/>
                  <w:tcBorders>
                    <w:tl2br w:val="nil"/>
                    <w:tr2bl w:val="nil"/>
                  </w:tcBorders>
                  <w:shd w:val="clear" w:color="auto" w:fill="auto"/>
                  <w:vAlign w:val="center"/>
                </w:tcPr>
                <w:p w14:paraId="1AE97B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18"/>
                      <w:lang w:val="en-US" w:eastAsia="zh-CN" w:bidi="ar-SA"/>
                    </w:rPr>
                  </w:pPr>
                  <w:r>
                    <w:rPr>
                      <w:rFonts w:hint="default" w:ascii="Times New Roman" w:hAnsi="Times New Roman" w:eastAsia="宋体" w:cs="Times New Roman"/>
                      <w:bCs/>
                      <w:color w:val="auto"/>
                      <w:sz w:val="21"/>
                      <w:szCs w:val="18"/>
                      <w:lang w:bidi="ar"/>
                    </w:rPr>
                    <w:t>无色至淡黄色带粘状透明油状液体，通常低粘度矿物油、表面活性剂组成，黏度10.0~13.0（40℃，mPa•S），PH=6.0~8.0（5%水溶液）。油剂采用桶装，厂内最大贮存量</w:t>
                  </w:r>
                  <w:r>
                    <w:rPr>
                      <w:rFonts w:hint="eastAsia" w:cs="Times New Roman"/>
                      <w:bCs/>
                      <w:color w:val="auto"/>
                      <w:sz w:val="21"/>
                      <w:szCs w:val="18"/>
                      <w:lang w:val="en-US" w:eastAsia="zh-CN" w:bidi="ar"/>
                    </w:rPr>
                    <w:t>2</w:t>
                  </w:r>
                  <w:r>
                    <w:rPr>
                      <w:rFonts w:hint="default" w:ascii="Times New Roman" w:hAnsi="Times New Roman" w:eastAsia="宋体" w:cs="Times New Roman"/>
                      <w:bCs/>
                      <w:color w:val="auto"/>
                      <w:sz w:val="21"/>
                      <w:szCs w:val="18"/>
                      <w:lang w:bidi="ar"/>
                    </w:rPr>
                    <w:t>t。</w:t>
                  </w:r>
                </w:p>
              </w:tc>
              <w:tc>
                <w:tcPr>
                  <w:tcW w:w="740" w:type="pct"/>
                  <w:tcBorders>
                    <w:tl2br w:val="nil"/>
                    <w:tr2bl w:val="nil"/>
                  </w:tcBorders>
                  <w:shd w:val="clear" w:color="auto" w:fill="auto"/>
                  <w:vAlign w:val="center"/>
                </w:tcPr>
                <w:p w14:paraId="2CEF94E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不燃</w:t>
                  </w:r>
                </w:p>
              </w:tc>
              <w:tc>
                <w:tcPr>
                  <w:tcW w:w="620" w:type="pct"/>
                  <w:tcBorders>
                    <w:tl2br w:val="nil"/>
                    <w:tr2bl w:val="nil"/>
                  </w:tcBorders>
                  <w:shd w:val="clear" w:color="auto" w:fill="auto"/>
                  <w:vAlign w:val="center"/>
                </w:tcPr>
                <w:p w14:paraId="23D719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无毒</w:t>
                  </w:r>
                </w:p>
              </w:tc>
            </w:tr>
            <w:tr w14:paraId="2D5A27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7" w:type="pct"/>
                  <w:tcBorders>
                    <w:tl2br w:val="nil"/>
                    <w:tr2bl w:val="nil"/>
                  </w:tcBorders>
                  <w:shd w:val="clear" w:color="auto" w:fill="auto"/>
                  <w:vAlign w:val="center"/>
                </w:tcPr>
                <w:p w14:paraId="4C7054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PAC</w:t>
                  </w:r>
                </w:p>
              </w:tc>
              <w:tc>
                <w:tcPr>
                  <w:tcW w:w="3271" w:type="pct"/>
                  <w:tcBorders>
                    <w:tl2br w:val="nil"/>
                    <w:tr2bl w:val="nil"/>
                  </w:tcBorders>
                  <w:shd w:val="clear" w:color="auto" w:fill="auto"/>
                  <w:vAlign w:val="center"/>
                </w:tcPr>
                <w:p w14:paraId="3D27D9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18"/>
                      <w:lang w:bidi="ar"/>
                    </w:rPr>
                  </w:pPr>
                  <w:r>
                    <w:rPr>
                      <w:rFonts w:hint="default" w:ascii="Times New Roman" w:hAnsi="Times New Roman" w:eastAsia="宋体" w:cs="Times New Roman"/>
                      <w:bCs/>
                      <w:color w:val="auto"/>
                      <w:sz w:val="21"/>
                      <w:szCs w:val="18"/>
                      <w:lang w:bidi="ar"/>
                    </w:rPr>
                    <w:t>无色或 黄色树脂状固体，溶液为无色或黄褐色透明液体。易溶于水。</w:t>
                  </w:r>
                </w:p>
              </w:tc>
              <w:tc>
                <w:tcPr>
                  <w:tcW w:w="740" w:type="pct"/>
                  <w:tcBorders>
                    <w:tl2br w:val="nil"/>
                    <w:tr2bl w:val="nil"/>
                  </w:tcBorders>
                  <w:shd w:val="clear" w:color="auto" w:fill="auto"/>
                  <w:vAlign w:val="center"/>
                </w:tcPr>
                <w:p w14:paraId="5B9D1A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w:t>
                  </w:r>
                </w:p>
              </w:tc>
              <w:tc>
                <w:tcPr>
                  <w:tcW w:w="620" w:type="pct"/>
                  <w:tcBorders>
                    <w:tl2br w:val="nil"/>
                    <w:tr2bl w:val="nil"/>
                  </w:tcBorders>
                  <w:shd w:val="clear" w:color="auto" w:fill="auto"/>
                  <w:vAlign w:val="center"/>
                </w:tcPr>
                <w:p w14:paraId="09CD5C7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Cs/>
                      <w:color w:val="auto"/>
                      <w:sz w:val="21"/>
                      <w:szCs w:val="18"/>
                      <w:lang w:bidi="ar"/>
                    </w:rPr>
                  </w:pPr>
                  <w:r>
                    <w:rPr>
                      <w:rFonts w:hint="eastAsia" w:cs="Times New Roman"/>
                      <w:bCs/>
                      <w:color w:val="auto"/>
                      <w:sz w:val="21"/>
                      <w:szCs w:val="18"/>
                      <w:lang w:val="en-US" w:eastAsia="zh-CN" w:bidi="ar"/>
                    </w:rPr>
                    <w:t>无毒</w:t>
                  </w:r>
                </w:p>
              </w:tc>
            </w:tr>
            <w:tr w14:paraId="7888EC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7" w:type="pct"/>
                  <w:tcBorders>
                    <w:tl2br w:val="nil"/>
                    <w:tr2bl w:val="nil"/>
                  </w:tcBorders>
                  <w:shd w:val="clear" w:color="auto" w:fill="auto"/>
                  <w:vAlign w:val="center"/>
                </w:tcPr>
                <w:p w14:paraId="6B90672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PAM</w:t>
                  </w:r>
                </w:p>
              </w:tc>
              <w:tc>
                <w:tcPr>
                  <w:tcW w:w="3271" w:type="pct"/>
                  <w:tcBorders>
                    <w:tl2br w:val="nil"/>
                    <w:tr2bl w:val="nil"/>
                  </w:tcBorders>
                  <w:shd w:val="clear" w:color="auto" w:fill="auto"/>
                  <w:vAlign w:val="center"/>
                </w:tcPr>
                <w:p w14:paraId="575C0A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18"/>
                      <w:lang w:bidi="ar"/>
                    </w:rPr>
                  </w:pPr>
                  <w:r>
                    <w:rPr>
                      <w:rFonts w:hint="default" w:ascii="Times New Roman" w:hAnsi="Times New Roman" w:eastAsia="宋体" w:cs="Times New Roman"/>
                      <w:bCs/>
                      <w:color w:val="auto"/>
                      <w:sz w:val="21"/>
                      <w:szCs w:val="18"/>
                      <w:lang w:bidi="ar"/>
                    </w:rPr>
                    <w:t>密度=1.3。PAM 在 50-60℃下溶于水，水解度为5%</w:t>
                  </w:r>
                  <w:r>
                    <w:rPr>
                      <w:rFonts w:hint="eastAsia" w:cs="Times New Roman"/>
                      <w:bCs/>
                      <w:color w:val="auto"/>
                      <w:sz w:val="21"/>
                      <w:szCs w:val="18"/>
                      <w:lang w:eastAsia="zh-CN" w:bidi="ar"/>
                    </w:rPr>
                    <w:t>～</w:t>
                  </w:r>
                  <w:r>
                    <w:rPr>
                      <w:rFonts w:hint="default" w:ascii="Times New Roman" w:hAnsi="Times New Roman" w:eastAsia="宋体" w:cs="Times New Roman"/>
                      <w:bCs/>
                      <w:color w:val="auto"/>
                      <w:sz w:val="21"/>
                      <w:szCs w:val="18"/>
                      <w:lang w:bidi="ar"/>
                    </w:rPr>
                    <w:t>35%，也溶于乙酸、丙酸、氯代乙酸、乙二醇、甘油和胺等有机溶剂。</w:t>
                  </w:r>
                </w:p>
              </w:tc>
              <w:tc>
                <w:tcPr>
                  <w:tcW w:w="740" w:type="pct"/>
                  <w:tcBorders>
                    <w:tl2br w:val="nil"/>
                    <w:tr2bl w:val="nil"/>
                  </w:tcBorders>
                  <w:shd w:val="clear" w:color="auto" w:fill="auto"/>
                  <w:vAlign w:val="center"/>
                </w:tcPr>
                <w:p w14:paraId="3D77FB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Cs/>
                      <w:color w:val="auto"/>
                      <w:sz w:val="21"/>
                      <w:szCs w:val="18"/>
                      <w:lang w:val="en-US" w:eastAsia="zh-CN" w:bidi="ar"/>
                    </w:rPr>
                  </w:pPr>
                  <w:r>
                    <w:rPr>
                      <w:rFonts w:hint="eastAsia" w:cs="Times New Roman"/>
                      <w:bCs/>
                      <w:color w:val="auto"/>
                      <w:sz w:val="21"/>
                      <w:szCs w:val="18"/>
                      <w:lang w:val="en-US" w:eastAsia="zh-CN" w:bidi="ar"/>
                    </w:rPr>
                    <w:t>/</w:t>
                  </w:r>
                </w:p>
              </w:tc>
              <w:tc>
                <w:tcPr>
                  <w:tcW w:w="620" w:type="pct"/>
                  <w:tcBorders>
                    <w:tl2br w:val="nil"/>
                    <w:tr2bl w:val="nil"/>
                  </w:tcBorders>
                  <w:shd w:val="clear" w:color="auto" w:fill="auto"/>
                  <w:vAlign w:val="center"/>
                </w:tcPr>
                <w:p w14:paraId="68AF5AE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Cs/>
                      <w:color w:val="auto"/>
                      <w:sz w:val="21"/>
                      <w:szCs w:val="18"/>
                      <w:lang w:bidi="ar"/>
                    </w:rPr>
                  </w:pPr>
                  <w:r>
                    <w:rPr>
                      <w:rFonts w:hint="eastAsia" w:cs="Times New Roman"/>
                      <w:bCs/>
                      <w:color w:val="auto"/>
                      <w:sz w:val="21"/>
                      <w:szCs w:val="18"/>
                      <w:lang w:val="en-US" w:eastAsia="zh-CN" w:bidi="ar"/>
                    </w:rPr>
                    <w:t>无毒</w:t>
                  </w:r>
                </w:p>
              </w:tc>
            </w:tr>
          </w:tbl>
          <w:p w14:paraId="16078239">
            <w:pPr>
              <w:adjustRightInd w:val="0"/>
              <w:snapToGrid w:val="0"/>
              <w:spacing w:before="120" w:beforeLines="50" w:line="360" w:lineRule="auto"/>
              <w:ind w:firstLine="482"/>
              <w:rPr>
                <w:b/>
                <w:color w:val="auto"/>
              </w:rPr>
            </w:pPr>
            <w:r>
              <w:rPr>
                <w:rFonts w:hint="eastAsia"/>
                <w:b/>
                <w:color w:val="auto"/>
                <w:lang w:val="en-US" w:eastAsia="zh-CN"/>
              </w:rPr>
              <w:t>6.</w:t>
            </w:r>
            <w:r>
              <w:rPr>
                <w:b/>
                <w:color w:val="auto"/>
              </w:rPr>
              <w:t>公用工程及辅助工程</w:t>
            </w:r>
          </w:p>
          <w:p w14:paraId="4F80ACAA">
            <w:pPr>
              <w:adjustRightInd w:val="0"/>
              <w:snapToGrid w:val="0"/>
              <w:spacing w:line="360" w:lineRule="auto"/>
              <w:ind w:firstLine="480"/>
              <w:rPr>
                <w:b/>
                <w:color w:val="auto"/>
              </w:rPr>
            </w:pPr>
            <w:r>
              <w:rPr>
                <w:color w:val="auto"/>
              </w:rPr>
              <w:t>项目公用及辅助工程详见表</w:t>
            </w:r>
            <w:r>
              <w:rPr>
                <w:rFonts w:hint="eastAsia"/>
                <w:color w:val="auto"/>
              </w:rPr>
              <w:t>2</w:t>
            </w:r>
            <w:r>
              <w:rPr>
                <w:color w:val="auto"/>
              </w:rPr>
              <w:t>-</w:t>
            </w:r>
            <w:r>
              <w:rPr>
                <w:rFonts w:hint="eastAsia"/>
                <w:color w:val="auto"/>
                <w:lang w:val="en-US" w:eastAsia="zh-CN"/>
              </w:rPr>
              <w:t>6</w:t>
            </w:r>
            <w:r>
              <w:rPr>
                <w:color w:val="auto"/>
              </w:rPr>
              <w:t>。</w:t>
            </w:r>
          </w:p>
          <w:p w14:paraId="1AE8F558">
            <w:pPr>
              <w:adjustRightInd w:val="0"/>
              <w:snapToGrid w:val="0"/>
              <w:spacing w:line="240" w:lineRule="auto"/>
              <w:ind w:firstLine="0" w:firstLineChars="0"/>
              <w:jc w:val="center"/>
              <w:rPr>
                <w:b/>
                <w:color w:val="auto"/>
              </w:rPr>
            </w:pPr>
            <w:r>
              <w:rPr>
                <w:b/>
                <w:color w:val="auto"/>
              </w:rPr>
              <w:t>表</w:t>
            </w:r>
            <w:r>
              <w:rPr>
                <w:rFonts w:hint="eastAsia"/>
                <w:b/>
                <w:color w:val="auto"/>
              </w:rPr>
              <w:t>2</w:t>
            </w:r>
            <w:r>
              <w:rPr>
                <w:b/>
                <w:color w:val="auto"/>
              </w:rPr>
              <w:t>-</w:t>
            </w:r>
            <w:r>
              <w:rPr>
                <w:rFonts w:hint="eastAsia"/>
                <w:b/>
                <w:color w:val="auto"/>
                <w:lang w:val="en-US" w:eastAsia="zh-CN"/>
              </w:rPr>
              <w:t>6</w:t>
            </w:r>
            <w:r>
              <w:rPr>
                <w:b/>
                <w:color w:val="auto"/>
              </w:rPr>
              <w:t>公用及辅助工程一览表</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202"/>
              <w:gridCol w:w="1549"/>
              <w:gridCol w:w="711"/>
              <w:gridCol w:w="714"/>
              <w:gridCol w:w="1418"/>
              <w:gridCol w:w="915"/>
              <w:gridCol w:w="1390"/>
              <w:gridCol w:w="830"/>
            </w:tblGrid>
            <w:tr w14:paraId="42112E5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Align w:val="center"/>
                </w:tcPr>
                <w:p w14:paraId="609DE717">
                  <w:pPr>
                    <w:adjustRightInd w:val="0"/>
                    <w:snapToGrid w:val="0"/>
                    <w:spacing w:line="240" w:lineRule="auto"/>
                    <w:ind w:firstLine="0" w:firstLineChars="0"/>
                    <w:jc w:val="center"/>
                    <w:rPr>
                      <w:b/>
                      <w:bCs/>
                      <w:color w:val="auto"/>
                      <w:sz w:val="21"/>
                      <w:szCs w:val="21"/>
                    </w:rPr>
                  </w:pPr>
                  <w:r>
                    <w:rPr>
                      <w:b/>
                      <w:bCs/>
                      <w:color w:val="auto"/>
                      <w:sz w:val="21"/>
                      <w:szCs w:val="21"/>
                    </w:rPr>
                    <w:t>类别</w:t>
                  </w:r>
                </w:p>
              </w:tc>
              <w:tc>
                <w:tcPr>
                  <w:tcW w:w="887" w:type="pct"/>
                  <w:vAlign w:val="center"/>
                </w:tcPr>
                <w:p w14:paraId="10AA2AA6">
                  <w:pPr>
                    <w:adjustRightInd w:val="0"/>
                    <w:snapToGrid w:val="0"/>
                    <w:spacing w:line="240" w:lineRule="auto"/>
                    <w:ind w:firstLine="0" w:firstLineChars="0"/>
                    <w:jc w:val="center"/>
                    <w:rPr>
                      <w:b/>
                      <w:bCs/>
                      <w:color w:val="auto"/>
                      <w:sz w:val="21"/>
                      <w:szCs w:val="21"/>
                    </w:rPr>
                  </w:pPr>
                  <w:r>
                    <w:rPr>
                      <w:b/>
                      <w:bCs/>
                      <w:color w:val="auto"/>
                      <w:sz w:val="21"/>
                      <w:szCs w:val="21"/>
                    </w:rPr>
                    <w:t>建设名称</w:t>
                  </w:r>
                </w:p>
              </w:tc>
              <w:tc>
                <w:tcPr>
                  <w:tcW w:w="2152" w:type="pct"/>
                  <w:gridSpan w:val="4"/>
                  <w:vAlign w:val="center"/>
                </w:tcPr>
                <w:p w14:paraId="4A59D709">
                  <w:pPr>
                    <w:adjustRightInd w:val="0"/>
                    <w:snapToGrid w:val="0"/>
                    <w:spacing w:line="240" w:lineRule="auto"/>
                    <w:ind w:firstLine="0" w:firstLineChars="0"/>
                    <w:jc w:val="center"/>
                    <w:rPr>
                      <w:b/>
                      <w:bCs/>
                      <w:color w:val="auto"/>
                      <w:sz w:val="21"/>
                      <w:szCs w:val="21"/>
                    </w:rPr>
                  </w:pPr>
                  <w:r>
                    <w:rPr>
                      <w:b/>
                      <w:bCs/>
                      <w:color w:val="auto"/>
                      <w:sz w:val="21"/>
                      <w:szCs w:val="21"/>
                    </w:rPr>
                    <w:t>设计能力</w:t>
                  </w:r>
                </w:p>
              </w:tc>
              <w:tc>
                <w:tcPr>
                  <w:tcW w:w="1271" w:type="pct"/>
                  <w:gridSpan w:val="2"/>
                  <w:vAlign w:val="center"/>
                </w:tcPr>
                <w:p w14:paraId="193FE17A">
                  <w:pPr>
                    <w:adjustRightInd w:val="0"/>
                    <w:snapToGrid w:val="0"/>
                    <w:spacing w:line="240" w:lineRule="auto"/>
                    <w:ind w:firstLine="0" w:firstLineChars="0"/>
                    <w:jc w:val="center"/>
                    <w:rPr>
                      <w:b/>
                      <w:bCs/>
                      <w:color w:val="auto"/>
                      <w:sz w:val="21"/>
                      <w:szCs w:val="21"/>
                    </w:rPr>
                  </w:pPr>
                  <w:r>
                    <w:rPr>
                      <w:b/>
                      <w:bCs/>
                      <w:color w:val="auto"/>
                      <w:sz w:val="21"/>
                      <w:szCs w:val="21"/>
                    </w:rPr>
                    <w:t>备注</w:t>
                  </w:r>
                </w:p>
              </w:tc>
            </w:tr>
            <w:tr w14:paraId="7090EDF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Align w:val="center"/>
                </w:tcPr>
                <w:p w14:paraId="6EF5CB60">
                  <w:pPr>
                    <w:adjustRightInd w:val="0"/>
                    <w:snapToGrid w:val="0"/>
                    <w:spacing w:line="240" w:lineRule="auto"/>
                    <w:ind w:firstLine="0" w:firstLineChars="0"/>
                    <w:jc w:val="center"/>
                    <w:rPr>
                      <w:color w:val="auto"/>
                      <w:sz w:val="21"/>
                      <w:szCs w:val="21"/>
                    </w:rPr>
                  </w:pPr>
                  <w:r>
                    <w:rPr>
                      <w:rFonts w:hint="eastAsia"/>
                      <w:color w:val="auto"/>
                      <w:sz w:val="21"/>
                      <w:szCs w:val="21"/>
                    </w:rPr>
                    <w:t>主体工程</w:t>
                  </w:r>
                </w:p>
              </w:tc>
              <w:tc>
                <w:tcPr>
                  <w:tcW w:w="887" w:type="pct"/>
                  <w:vAlign w:val="center"/>
                </w:tcPr>
                <w:p w14:paraId="50D80CF0">
                  <w:pPr>
                    <w:adjustRightInd w:val="0"/>
                    <w:snapToGrid w:val="0"/>
                    <w:spacing w:line="240" w:lineRule="auto"/>
                    <w:ind w:firstLine="0" w:firstLineChars="0"/>
                    <w:jc w:val="center"/>
                    <w:rPr>
                      <w:color w:val="auto"/>
                      <w:sz w:val="21"/>
                      <w:szCs w:val="21"/>
                    </w:rPr>
                  </w:pPr>
                  <w:r>
                    <w:rPr>
                      <w:rFonts w:hint="eastAsia"/>
                      <w:color w:val="auto"/>
                      <w:sz w:val="21"/>
                      <w:szCs w:val="21"/>
                    </w:rPr>
                    <w:t>生产车间</w:t>
                  </w:r>
                </w:p>
              </w:tc>
              <w:tc>
                <w:tcPr>
                  <w:tcW w:w="2152" w:type="pct"/>
                  <w:gridSpan w:val="4"/>
                  <w:vAlign w:val="center"/>
                </w:tcPr>
                <w:p w14:paraId="5F0494B7">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1F，</w:t>
                  </w:r>
                  <w:r>
                    <w:rPr>
                      <w:rFonts w:hint="eastAsia"/>
                      <w:color w:val="auto"/>
                      <w:sz w:val="21"/>
                      <w:szCs w:val="21"/>
                    </w:rPr>
                    <w:t>生产车间</w:t>
                  </w:r>
                  <w:r>
                    <w:rPr>
                      <w:rFonts w:hint="eastAsia"/>
                      <w:color w:val="auto"/>
                      <w:sz w:val="21"/>
                      <w:szCs w:val="21"/>
                      <w:lang w:val="en-US" w:eastAsia="zh-CN"/>
                    </w:rPr>
                    <w:t>10800</w:t>
                  </w:r>
                  <w:r>
                    <w:rPr>
                      <w:rFonts w:hint="eastAsia"/>
                      <w:color w:val="auto"/>
                      <w:sz w:val="21"/>
                      <w:szCs w:val="21"/>
                    </w:rPr>
                    <w:t>m</w:t>
                  </w:r>
                  <w:r>
                    <w:rPr>
                      <w:rFonts w:hint="eastAsia"/>
                      <w:color w:val="auto"/>
                      <w:sz w:val="21"/>
                      <w:szCs w:val="21"/>
                      <w:vertAlign w:val="superscript"/>
                    </w:rPr>
                    <w:t>2</w:t>
                  </w:r>
                </w:p>
              </w:tc>
              <w:tc>
                <w:tcPr>
                  <w:tcW w:w="1271" w:type="pct"/>
                  <w:gridSpan w:val="2"/>
                  <w:vAlign w:val="center"/>
                </w:tcPr>
                <w:p w14:paraId="6BB0BE3C">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布置加弹、织造、验布</w:t>
                  </w:r>
                  <w:r>
                    <w:rPr>
                      <w:rFonts w:hint="eastAsia"/>
                      <w:color w:val="auto"/>
                      <w:sz w:val="21"/>
                      <w:szCs w:val="21"/>
                    </w:rPr>
                    <w:t>等</w:t>
                  </w:r>
                  <w:r>
                    <w:rPr>
                      <w:rFonts w:hint="eastAsia"/>
                      <w:color w:val="auto"/>
                      <w:sz w:val="21"/>
                      <w:szCs w:val="21"/>
                      <w:lang w:val="en-US" w:eastAsia="zh-CN"/>
                    </w:rPr>
                    <w:t>工艺</w:t>
                  </w:r>
                </w:p>
              </w:tc>
            </w:tr>
            <w:tr w14:paraId="5D3F8C8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Align w:val="center"/>
                </w:tcPr>
                <w:p w14:paraId="18DF0795">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辅助工程</w:t>
                  </w:r>
                </w:p>
              </w:tc>
              <w:tc>
                <w:tcPr>
                  <w:tcW w:w="887" w:type="pct"/>
                  <w:vAlign w:val="center"/>
                </w:tcPr>
                <w:p w14:paraId="3B3D641D">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办公室</w:t>
                  </w:r>
                </w:p>
              </w:tc>
              <w:tc>
                <w:tcPr>
                  <w:tcW w:w="2152" w:type="pct"/>
                  <w:gridSpan w:val="4"/>
                  <w:vAlign w:val="center"/>
                </w:tcPr>
                <w:p w14:paraId="66F9719C">
                  <w:pPr>
                    <w:adjustRightInd w:val="0"/>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200</w:t>
                  </w:r>
                  <w:r>
                    <w:rPr>
                      <w:rFonts w:hint="eastAsia"/>
                      <w:color w:val="auto"/>
                      <w:sz w:val="21"/>
                      <w:szCs w:val="21"/>
                    </w:rPr>
                    <w:t>m</w:t>
                  </w:r>
                  <w:r>
                    <w:rPr>
                      <w:rFonts w:hint="eastAsia"/>
                      <w:color w:val="auto"/>
                      <w:sz w:val="21"/>
                      <w:szCs w:val="21"/>
                      <w:vertAlign w:val="superscript"/>
                    </w:rPr>
                    <w:t>2</w:t>
                  </w:r>
                </w:p>
              </w:tc>
              <w:tc>
                <w:tcPr>
                  <w:tcW w:w="1271" w:type="pct"/>
                  <w:gridSpan w:val="2"/>
                  <w:vAlign w:val="center"/>
                </w:tcPr>
                <w:p w14:paraId="1542D428">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用于办公，位于车间内</w:t>
                  </w:r>
                </w:p>
              </w:tc>
            </w:tr>
            <w:tr w14:paraId="2916316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Merge w:val="restart"/>
                  <w:vAlign w:val="center"/>
                </w:tcPr>
                <w:p w14:paraId="6383C55E">
                  <w:pPr>
                    <w:adjustRightInd w:val="0"/>
                    <w:snapToGrid w:val="0"/>
                    <w:spacing w:line="240" w:lineRule="auto"/>
                    <w:ind w:firstLine="0" w:firstLineChars="0"/>
                    <w:jc w:val="center"/>
                    <w:rPr>
                      <w:color w:val="auto"/>
                      <w:sz w:val="21"/>
                      <w:szCs w:val="21"/>
                    </w:rPr>
                  </w:pPr>
                  <w:r>
                    <w:rPr>
                      <w:rFonts w:hint="eastAsia"/>
                      <w:color w:val="auto"/>
                      <w:sz w:val="21"/>
                      <w:szCs w:val="21"/>
                    </w:rPr>
                    <w:t>贮存工程</w:t>
                  </w:r>
                </w:p>
              </w:tc>
              <w:tc>
                <w:tcPr>
                  <w:tcW w:w="887" w:type="pct"/>
                  <w:vAlign w:val="center"/>
                </w:tcPr>
                <w:p w14:paraId="3034703C">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rPr>
                    <w:t>原料</w:t>
                  </w:r>
                  <w:r>
                    <w:rPr>
                      <w:rFonts w:hint="eastAsia"/>
                      <w:color w:val="auto"/>
                      <w:sz w:val="21"/>
                      <w:szCs w:val="21"/>
                      <w:lang w:val="en-US" w:eastAsia="zh-CN"/>
                    </w:rPr>
                    <w:t>暂存区</w:t>
                  </w:r>
                </w:p>
              </w:tc>
              <w:tc>
                <w:tcPr>
                  <w:tcW w:w="2152" w:type="pct"/>
                  <w:gridSpan w:val="4"/>
                  <w:vAlign w:val="center"/>
                </w:tcPr>
                <w:p w14:paraId="2C2CED99">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1000</w:t>
                  </w:r>
                  <w:r>
                    <w:rPr>
                      <w:rFonts w:hint="eastAsia"/>
                      <w:color w:val="auto"/>
                      <w:sz w:val="21"/>
                      <w:szCs w:val="21"/>
                    </w:rPr>
                    <w:t>m</w:t>
                  </w:r>
                  <w:r>
                    <w:rPr>
                      <w:rFonts w:hint="eastAsia"/>
                      <w:color w:val="auto"/>
                      <w:sz w:val="21"/>
                      <w:szCs w:val="21"/>
                      <w:vertAlign w:val="superscript"/>
                    </w:rPr>
                    <w:t>2</w:t>
                  </w:r>
                </w:p>
              </w:tc>
              <w:tc>
                <w:tcPr>
                  <w:tcW w:w="1271" w:type="pct"/>
                  <w:gridSpan w:val="2"/>
                  <w:vAlign w:val="center"/>
                </w:tcPr>
                <w:p w14:paraId="6F15050B">
                  <w:pPr>
                    <w:adjustRightInd w:val="0"/>
                    <w:snapToGrid w:val="0"/>
                    <w:spacing w:line="240" w:lineRule="auto"/>
                    <w:ind w:firstLine="0" w:firstLineChars="0"/>
                    <w:jc w:val="center"/>
                    <w:rPr>
                      <w:color w:val="auto"/>
                      <w:sz w:val="21"/>
                      <w:szCs w:val="21"/>
                    </w:rPr>
                  </w:pPr>
                  <w:r>
                    <w:rPr>
                      <w:rFonts w:hint="eastAsia"/>
                      <w:color w:val="auto"/>
                      <w:sz w:val="21"/>
                      <w:szCs w:val="21"/>
                    </w:rPr>
                    <w:t>位于厂房</w:t>
                  </w:r>
                  <w:r>
                    <w:rPr>
                      <w:rFonts w:hint="eastAsia"/>
                      <w:color w:val="auto"/>
                      <w:sz w:val="21"/>
                      <w:szCs w:val="21"/>
                      <w:lang w:val="en-US" w:eastAsia="zh-CN"/>
                    </w:rPr>
                    <w:t>西南</w:t>
                  </w:r>
                  <w:r>
                    <w:rPr>
                      <w:rFonts w:hint="eastAsia"/>
                      <w:color w:val="auto"/>
                      <w:sz w:val="21"/>
                      <w:szCs w:val="21"/>
                    </w:rPr>
                    <w:t>侧</w:t>
                  </w:r>
                  <w:r>
                    <w:rPr>
                      <w:color w:val="auto"/>
                      <w:sz w:val="21"/>
                      <w:szCs w:val="21"/>
                    </w:rPr>
                    <w:t>，</w:t>
                  </w:r>
                  <w:r>
                    <w:rPr>
                      <w:rFonts w:hint="eastAsia"/>
                      <w:color w:val="auto"/>
                      <w:sz w:val="21"/>
                      <w:szCs w:val="21"/>
                    </w:rPr>
                    <w:t>存放</w:t>
                  </w:r>
                  <w:r>
                    <w:rPr>
                      <w:rFonts w:hint="eastAsia"/>
                      <w:color w:val="auto"/>
                      <w:sz w:val="21"/>
                      <w:szCs w:val="21"/>
                      <w:lang w:val="en-US" w:eastAsia="zh-CN"/>
                    </w:rPr>
                    <w:t>POY、油剂</w:t>
                  </w:r>
                  <w:r>
                    <w:rPr>
                      <w:rFonts w:hint="eastAsia"/>
                      <w:color w:val="auto"/>
                      <w:sz w:val="21"/>
                      <w:szCs w:val="21"/>
                    </w:rPr>
                    <w:t>等</w:t>
                  </w:r>
                </w:p>
              </w:tc>
            </w:tr>
            <w:tr w14:paraId="3668D26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43" w:hRule="atLeast"/>
                <w:jc w:val="center"/>
              </w:trPr>
              <w:tc>
                <w:tcPr>
                  <w:tcW w:w="688" w:type="pct"/>
                  <w:vMerge w:val="continue"/>
                  <w:vAlign w:val="center"/>
                </w:tcPr>
                <w:p w14:paraId="5C2D437A">
                  <w:pPr>
                    <w:adjustRightInd w:val="0"/>
                    <w:snapToGrid w:val="0"/>
                    <w:spacing w:line="240" w:lineRule="auto"/>
                    <w:ind w:firstLine="0" w:firstLineChars="0"/>
                    <w:jc w:val="center"/>
                    <w:rPr>
                      <w:color w:val="auto"/>
                      <w:sz w:val="21"/>
                      <w:szCs w:val="21"/>
                    </w:rPr>
                  </w:pPr>
                </w:p>
              </w:tc>
              <w:tc>
                <w:tcPr>
                  <w:tcW w:w="887" w:type="pct"/>
                  <w:vAlign w:val="center"/>
                </w:tcPr>
                <w:p w14:paraId="150D01F8">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rPr>
                    <w:t>成品</w:t>
                  </w:r>
                  <w:r>
                    <w:rPr>
                      <w:rFonts w:hint="eastAsia"/>
                      <w:color w:val="auto"/>
                      <w:sz w:val="21"/>
                      <w:szCs w:val="21"/>
                      <w:lang w:val="en-US" w:eastAsia="zh-CN"/>
                    </w:rPr>
                    <w:t>暂存区</w:t>
                  </w:r>
                </w:p>
              </w:tc>
              <w:tc>
                <w:tcPr>
                  <w:tcW w:w="2152" w:type="pct"/>
                  <w:gridSpan w:val="4"/>
                  <w:vAlign w:val="center"/>
                </w:tcPr>
                <w:p w14:paraId="01E83792">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10</w:t>
                  </w:r>
                  <w:r>
                    <w:rPr>
                      <w:color w:val="auto"/>
                      <w:sz w:val="21"/>
                      <w:szCs w:val="21"/>
                    </w:rPr>
                    <w:t>00</w:t>
                  </w:r>
                  <w:r>
                    <w:rPr>
                      <w:rFonts w:hint="eastAsia"/>
                      <w:color w:val="auto"/>
                      <w:sz w:val="21"/>
                      <w:szCs w:val="21"/>
                    </w:rPr>
                    <w:t>m</w:t>
                  </w:r>
                  <w:r>
                    <w:rPr>
                      <w:rFonts w:hint="eastAsia"/>
                      <w:color w:val="auto"/>
                      <w:sz w:val="21"/>
                      <w:szCs w:val="21"/>
                      <w:vertAlign w:val="superscript"/>
                    </w:rPr>
                    <w:t>2</w:t>
                  </w:r>
                </w:p>
              </w:tc>
              <w:tc>
                <w:tcPr>
                  <w:tcW w:w="1271" w:type="pct"/>
                  <w:gridSpan w:val="2"/>
                  <w:vAlign w:val="center"/>
                </w:tcPr>
                <w:p w14:paraId="314914B6">
                  <w:pPr>
                    <w:adjustRightInd w:val="0"/>
                    <w:snapToGrid w:val="0"/>
                    <w:spacing w:line="240" w:lineRule="auto"/>
                    <w:ind w:firstLine="0" w:firstLineChars="0"/>
                    <w:jc w:val="center"/>
                    <w:rPr>
                      <w:color w:val="auto"/>
                      <w:sz w:val="21"/>
                      <w:szCs w:val="21"/>
                    </w:rPr>
                  </w:pPr>
                  <w:r>
                    <w:rPr>
                      <w:rFonts w:hint="eastAsia"/>
                      <w:color w:val="auto"/>
                      <w:sz w:val="21"/>
                      <w:szCs w:val="21"/>
                    </w:rPr>
                    <w:t>位于厂房</w:t>
                  </w:r>
                  <w:r>
                    <w:rPr>
                      <w:rFonts w:hint="eastAsia"/>
                      <w:color w:val="auto"/>
                      <w:sz w:val="21"/>
                      <w:szCs w:val="21"/>
                      <w:lang w:val="en-US" w:eastAsia="zh-CN"/>
                    </w:rPr>
                    <w:t>南</w:t>
                  </w:r>
                  <w:r>
                    <w:rPr>
                      <w:rFonts w:hint="eastAsia"/>
                      <w:color w:val="auto"/>
                      <w:sz w:val="21"/>
                      <w:szCs w:val="21"/>
                    </w:rPr>
                    <w:t>侧</w:t>
                  </w:r>
                  <w:r>
                    <w:rPr>
                      <w:color w:val="auto"/>
                      <w:sz w:val="21"/>
                      <w:szCs w:val="21"/>
                    </w:rPr>
                    <w:t>，</w:t>
                  </w:r>
                  <w:r>
                    <w:rPr>
                      <w:rFonts w:hint="eastAsia"/>
                      <w:color w:val="auto"/>
                      <w:sz w:val="21"/>
                      <w:szCs w:val="21"/>
                    </w:rPr>
                    <w:t>存放成品</w:t>
                  </w:r>
                </w:p>
              </w:tc>
            </w:tr>
            <w:tr w14:paraId="620C2CB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Merge w:val="restart"/>
                  <w:vAlign w:val="center"/>
                </w:tcPr>
                <w:p w14:paraId="67664F7C">
                  <w:pPr>
                    <w:adjustRightInd w:val="0"/>
                    <w:snapToGrid w:val="0"/>
                    <w:spacing w:line="240" w:lineRule="auto"/>
                    <w:ind w:firstLine="0" w:firstLineChars="0"/>
                    <w:jc w:val="center"/>
                    <w:rPr>
                      <w:color w:val="auto"/>
                      <w:sz w:val="21"/>
                      <w:szCs w:val="21"/>
                    </w:rPr>
                  </w:pPr>
                  <w:r>
                    <w:rPr>
                      <w:color w:val="auto"/>
                      <w:sz w:val="21"/>
                      <w:szCs w:val="21"/>
                    </w:rPr>
                    <w:t>公用工程</w:t>
                  </w:r>
                </w:p>
              </w:tc>
              <w:tc>
                <w:tcPr>
                  <w:tcW w:w="887" w:type="pct"/>
                  <w:vAlign w:val="center"/>
                </w:tcPr>
                <w:p w14:paraId="4C7A14D6">
                  <w:pPr>
                    <w:adjustRightInd w:val="0"/>
                    <w:snapToGrid w:val="0"/>
                    <w:spacing w:line="240" w:lineRule="auto"/>
                    <w:ind w:firstLine="0" w:firstLineChars="0"/>
                    <w:jc w:val="center"/>
                    <w:rPr>
                      <w:color w:val="auto"/>
                      <w:sz w:val="21"/>
                      <w:szCs w:val="21"/>
                    </w:rPr>
                  </w:pPr>
                  <w:r>
                    <w:rPr>
                      <w:color w:val="auto"/>
                      <w:sz w:val="21"/>
                      <w:szCs w:val="21"/>
                    </w:rPr>
                    <w:t>给水</w:t>
                  </w:r>
                </w:p>
              </w:tc>
              <w:tc>
                <w:tcPr>
                  <w:tcW w:w="2152" w:type="pct"/>
                  <w:gridSpan w:val="4"/>
                  <w:vAlign w:val="center"/>
                </w:tcPr>
                <w:p w14:paraId="049EA82A">
                  <w:pPr>
                    <w:adjustRightInd w:val="0"/>
                    <w:snapToGrid w:val="0"/>
                    <w:spacing w:line="240" w:lineRule="auto"/>
                    <w:ind w:firstLine="0" w:firstLineChars="0"/>
                    <w:jc w:val="center"/>
                    <w:rPr>
                      <w:color w:val="FF0000"/>
                      <w:sz w:val="21"/>
                      <w:szCs w:val="21"/>
                    </w:rPr>
                  </w:pPr>
                  <w:r>
                    <w:rPr>
                      <w:rFonts w:hint="eastAsia"/>
                      <w:color w:val="auto"/>
                      <w:sz w:val="21"/>
                      <w:szCs w:val="21"/>
                      <w:lang w:val="en-US" w:eastAsia="zh-CN"/>
                    </w:rPr>
                    <w:t>27750</w:t>
                  </w:r>
                  <w:r>
                    <w:rPr>
                      <w:color w:val="auto"/>
                      <w:sz w:val="21"/>
                      <w:szCs w:val="21"/>
                    </w:rPr>
                    <w:t>m</w:t>
                  </w:r>
                  <w:r>
                    <w:rPr>
                      <w:color w:val="auto"/>
                      <w:sz w:val="21"/>
                      <w:szCs w:val="21"/>
                      <w:vertAlign w:val="superscript"/>
                    </w:rPr>
                    <w:t>3</w:t>
                  </w:r>
                  <w:r>
                    <w:rPr>
                      <w:color w:val="auto"/>
                      <w:sz w:val="21"/>
                      <w:szCs w:val="21"/>
                    </w:rPr>
                    <w:t>/a</w:t>
                  </w:r>
                </w:p>
              </w:tc>
              <w:tc>
                <w:tcPr>
                  <w:tcW w:w="1271" w:type="pct"/>
                  <w:gridSpan w:val="2"/>
                  <w:vAlign w:val="center"/>
                </w:tcPr>
                <w:p w14:paraId="7FEB8D64">
                  <w:pPr>
                    <w:adjustRightInd w:val="0"/>
                    <w:snapToGrid w:val="0"/>
                    <w:spacing w:line="240" w:lineRule="auto"/>
                    <w:ind w:firstLine="0" w:firstLineChars="0"/>
                    <w:jc w:val="center"/>
                    <w:rPr>
                      <w:color w:val="auto"/>
                      <w:sz w:val="21"/>
                      <w:szCs w:val="21"/>
                    </w:rPr>
                  </w:pPr>
                  <w:r>
                    <w:rPr>
                      <w:rFonts w:hint="eastAsia"/>
                      <w:color w:val="auto"/>
                      <w:sz w:val="21"/>
                      <w:szCs w:val="21"/>
                    </w:rPr>
                    <w:t>来自</w:t>
                  </w:r>
                  <w:r>
                    <w:rPr>
                      <w:color w:val="auto"/>
                      <w:sz w:val="21"/>
                      <w:szCs w:val="21"/>
                    </w:rPr>
                    <w:t>市政</w:t>
                  </w:r>
                  <w:r>
                    <w:rPr>
                      <w:rFonts w:hint="eastAsia"/>
                      <w:color w:val="auto"/>
                      <w:sz w:val="21"/>
                      <w:szCs w:val="21"/>
                    </w:rPr>
                    <w:t>自来水</w:t>
                  </w:r>
                  <w:r>
                    <w:rPr>
                      <w:color w:val="auto"/>
                      <w:sz w:val="21"/>
                      <w:szCs w:val="21"/>
                    </w:rPr>
                    <w:t>管网</w:t>
                  </w:r>
                </w:p>
              </w:tc>
            </w:tr>
            <w:tr w14:paraId="4DB68C7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Merge w:val="continue"/>
                  <w:vAlign w:val="center"/>
                </w:tcPr>
                <w:p w14:paraId="01F9CDF8">
                  <w:pPr>
                    <w:adjustRightInd w:val="0"/>
                    <w:snapToGrid w:val="0"/>
                    <w:spacing w:line="240" w:lineRule="auto"/>
                    <w:ind w:firstLine="0" w:firstLineChars="0"/>
                    <w:jc w:val="center"/>
                    <w:rPr>
                      <w:color w:val="auto"/>
                      <w:sz w:val="21"/>
                      <w:szCs w:val="21"/>
                    </w:rPr>
                  </w:pPr>
                </w:p>
              </w:tc>
              <w:tc>
                <w:tcPr>
                  <w:tcW w:w="887" w:type="pct"/>
                  <w:vAlign w:val="center"/>
                </w:tcPr>
                <w:p w14:paraId="5B7A1B4C">
                  <w:pPr>
                    <w:adjustRightInd w:val="0"/>
                    <w:snapToGrid w:val="0"/>
                    <w:spacing w:line="240" w:lineRule="auto"/>
                    <w:ind w:firstLine="0" w:firstLineChars="0"/>
                    <w:jc w:val="center"/>
                    <w:rPr>
                      <w:color w:val="auto"/>
                      <w:sz w:val="21"/>
                      <w:szCs w:val="21"/>
                    </w:rPr>
                  </w:pPr>
                  <w:r>
                    <w:rPr>
                      <w:color w:val="auto"/>
                      <w:sz w:val="21"/>
                      <w:szCs w:val="21"/>
                    </w:rPr>
                    <w:t>排水</w:t>
                  </w:r>
                </w:p>
              </w:tc>
              <w:tc>
                <w:tcPr>
                  <w:tcW w:w="2152" w:type="pct"/>
                  <w:gridSpan w:val="4"/>
                  <w:vAlign w:val="center"/>
                </w:tcPr>
                <w:p w14:paraId="6FE78A58">
                  <w:pPr>
                    <w:adjustRightInd w:val="0"/>
                    <w:snapToGrid w:val="0"/>
                    <w:spacing w:line="240" w:lineRule="auto"/>
                    <w:ind w:firstLine="0" w:firstLineChars="0"/>
                    <w:jc w:val="center"/>
                    <w:rPr>
                      <w:color w:val="FF0000"/>
                      <w:sz w:val="21"/>
                      <w:szCs w:val="21"/>
                    </w:rPr>
                  </w:pPr>
                  <w:r>
                    <w:rPr>
                      <w:rFonts w:hint="eastAsia"/>
                      <w:color w:val="auto"/>
                      <w:sz w:val="21"/>
                      <w:szCs w:val="21"/>
                      <w:lang w:val="en-US" w:eastAsia="zh-CN"/>
                    </w:rPr>
                    <w:t>600</w:t>
                  </w:r>
                  <w:r>
                    <w:rPr>
                      <w:color w:val="auto"/>
                      <w:sz w:val="21"/>
                      <w:szCs w:val="21"/>
                    </w:rPr>
                    <w:t>m</w:t>
                  </w:r>
                  <w:r>
                    <w:rPr>
                      <w:color w:val="auto"/>
                      <w:sz w:val="21"/>
                      <w:szCs w:val="21"/>
                      <w:vertAlign w:val="superscript"/>
                    </w:rPr>
                    <w:t>3</w:t>
                  </w:r>
                  <w:r>
                    <w:rPr>
                      <w:color w:val="auto"/>
                      <w:sz w:val="21"/>
                      <w:szCs w:val="21"/>
                    </w:rPr>
                    <w:t>/a</w:t>
                  </w:r>
                </w:p>
              </w:tc>
              <w:tc>
                <w:tcPr>
                  <w:tcW w:w="1271" w:type="pct"/>
                  <w:gridSpan w:val="2"/>
                  <w:vAlign w:val="center"/>
                </w:tcPr>
                <w:p w14:paraId="6B8C29FA">
                  <w:pPr>
                    <w:adjustRightInd w:val="0"/>
                    <w:snapToGrid w:val="0"/>
                    <w:spacing w:line="240" w:lineRule="auto"/>
                    <w:ind w:firstLine="0" w:firstLineChars="0"/>
                    <w:jc w:val="center"/>
                    <w:rPr>
                      <w:color w:val="auto"/>
                      <w:sz w:val="21"/>
                      <w:szCs w:val="21"/>
                    </w:rPr>
                  </w:pPr>
                  <w:r>
                    <w:rPr>
                      <w:color w:val="auto"/>
                      <w:sz w:val="21"/>
                      <w:szCs w:val="21"/>
                    </w:rPr>
                    <w:t>采用</w:t>
                  </w:r>
                  <w:r>
                    <w:rPr>
                      <w:rFonts w:hint="eastAsia"/>
                      <w:color w:val="auto"/>
                      <w:sz w:val="21"/>
                      <w:szCs w:val="21"/>
                    </w:rPr>
                    <w:t>“</w:t>
                  </w:r>
                  <w:r>
                    <w:rPr>
                      <w:color w:val="auto"/>
                      <w:sz w:val="21"/>
                      <w:szCs w:val="21"/>
                    </w:rPr>
                    <w:t>雨污分流</w:t>
                  </w:r>
                  <w:r>
                    <w:rPr>
                      <w:rFonts w:hint="eastAsia"/>
                      <w:color w:val="auto"/>
                      <w:sz w:val="21"/>
                      <w:szCs w:val="21"/>
                    </w:rPr>
                    <w:t>”</w:t>
                  </w:r>
                  <w:r>
                    <w:rPr>
                      <w:color w:val="auto"/>
                      <w:sz w:val="21"/>
                      <w:szCs w:val="21"/>
                    </w:rPr>
                    <w:t>排水方式</w:t>
                  </w:r>
                </w:p>
              </w:tc>
            </w:tr>
            <w:tr w14:paraId="15D9832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Merge w:val="continue"/>
                  <w:vAlign w:val="center"/>
                </w:tcPr>
                <w:p w14:paraId="3B865814">
                  <w:pPr>
                    <w:adjustRightInd w:val="0"/>
                    <w:snapToGrid w:val="0"/>
                    <w:spacing w:line="240" w:lineRule="auto"/>
                    <w:ind w:firstLine="0" w:firstLineChars="0"/>
                    <w:jc w:val="center"/>
                    <w:rPr>
                      <w:color w:val="auto"/>
                      <w:sz w:val="21"/>
                      <w:szCs w:val="21"/>
                    </w:rPr>
                  </w:pPr>
                </w:p>
              </w:tc>
              <w:tc>
                <w:tcPr>
                  <w:tcW w:w="887" w:type="pct"/>
                  <w:vAlign w:val="center"/>
                </w:tcPr>
                <w:p w14:paraId="761E8FA6">
                  <w:pPr>
                    <w:adjustRightInd w:val="0"/>
                    <w:snapToGrid w:val="0"/>
                    <w:spacing w:line="240" w:lineRule="auto"/>
                    <w:ind w:firstLine="0" w:firstLineChars="0"/>
                    <w:jc w:val="center"/>
                    <w:rPr>
                      <w:color w:val="auto"/>
                      <w:sz w:val="21"/>
                      <w:szCs w:val="21"/>
                    </w:rPr>
                  </w:pPr>
                  <w:r>
                    <w:rPr>
                      <w:color w:val="auto"/>
                      <w:sz w:val="21"/>
                      <w:szCs w:val="21"/>
                    </w:rPr>
                    <w:t>供电</w:t>
                  </w:r>
                </w:p>
              </w:tc>
              <w:tc>
                <w:tcPr>
                  <w:tcW w:w="2152" w:type="pct"/>
                  <w:gridSpan w:val="4"/>
                  <w:tcMar>
                    <w:left w:w="0" w:type="dxa"/>
                    <w:right w:w="0" w:type="dxa"/>
                  </w:tcMar>
                  <w:vAlign w:val="center"/>
                </w:tcPr>
                <w:p w14:paraId="43CEA53E">
                  <w:pPr>
                    <w:adjustRightInd w:val="0"/>
                    <w:snapToGrid w:val="0"/>
                    <w:spacing w:line="240" w:lineRule="auto"/>
                    <w:ind w:firstLine="0" w:firstLineChars="0"/>
                    <w:jc w:val="center"/>
                    <w:rPr>
                      <w:color w:val="auto"/>
                      <w:spacing w:val="-10"/>
                      <w:sz w:val="21"/>
                      <w:szCs w:val="21"/>
                    </w:rPr>
                  </w:pPr>
                  <w:r>
                    <w:rPr>
                      <w:rFonts w:hint="eastAsia"/>
                      <w:color w:val="auto"/>
                      <w:sz w:val="21"/>
                      <w:szCs w:val="21"/>
                      <w:lang w:val="en-US" w:eastAsia="zh-CN"/>
                    </w:rPr>
                    <w:t>480</w:t>
                  </w:r>
                  <w:r>
                    <w:rPr>
                      <w:color w:val="auto"/>
                      <w:sz w:val="21"/>
                      <w:szCs w:val="21"/>
                    </w:rPr>
                    <w:t>万KWh/a</w:t>
                  </w:r>
                </w:p>
              </w:tc>
              <w:tc>
                <w:tcPr>
                  <w:tcW w:w="1271" w:type="pct"/>
                  <w:gridSpan w:val="2"/>
                  <w:tcMar>
                    <w:left w:w="0" w:type="dxa"/>
                    <w:right w:w="0" w:type="dxa"/>
                  </w:tcMar>
                  <w:vAlign w:val="center"/>
                </w:tcPr>
                <w:p w14:paraId="7AA37D54">
                  <w:pPr>
                    <w:adjustRightInd w:val="0"/>
                    <w:snapToGrid w:val="0"/>
                    <w:spacing w:line="240" w:lineRule="auto"/>
                    <w:ind w:firstLine="0" w:firstLineChars="0"/>
                    <w:jc w:val="center"/>
                    <w:rPr>
                      <w:color w:val="auto"/>
                      <w:sz w:val="21"/>
                      <w:szCs w:val="21"/>
                    </w:rPr>
                  </w:pPr>
                  <w:r>
                    <w:rPr>
                      <w:color w:val="auto"/>
                      <w:sz w:val="21"/>
                      <w:szCs w:val="21"/>
                    </w:rPr>
                    <w:t>来自市政电网</w:t>
                  </w:r>
                </w:p>
              </w:tc>
            </w:tr>
            <w:tr w14:paraId="24F7982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20" w:hRule="atLeast"/>
                <w:jc w:val="center"/>
              </w:trPr>
              <w:tc>
                <w:tcPr>
                  <w:tcW w:w="688" w:type="pct"/>
                  <w:vMerge w:val="restart"/>
                  <w:vAlign w:val="center"/>
                </w:tcPr>
                <w:p w14:paraId="552B5973">
                  <w:pPr>
                    <w:adjustRightInd w:val="0"/>
                    <w:snapToGrid w:val="0"/>
                    <w:spacing w:line="240" w:lineRule="auto"/>
                    <w:ind w:firstLine="0" w:firstLineChars="0"/>
                    <w:jc w:val="center"/>
                    <w:rPr>
                      <w:color w:val="auto"/>
                      <w:sz w:val="21"/>
                      <w:szCs w:val="21"/>
                    </w:rPr>
                  </w:pPr>
                  <w:r>
                    <w:rPr>
                      <w:rFonts w:hint="eastAsia"/>
                      <w:color w:val="auto"/>
                      <w:sz w:val="21"/>
                      <w:szCs w:val="21"/>
                    </w:rPr>
                    <w:t>环保工程</w:t>
                  </w:r>
                </w:p>
              </w:tc>
              <w:tc>
                <w:tcPr>
                  <w:tcW w:w="887" w:type="pct"/>
                  <w:vMerge w:val="restart"/>
                  <w:vAlign w:val="center"/>
                </w:tcPr>
                <w:p w14:paraId="40ABEAF2">
                  <w:pPr>
                    <w:adjustRightInd w:val="0"/>
                    <w:snapToGrid w:val="0"/>
                    <w:spacing w:line="240" w:lineRule="auto"/>
                    <w:ind w:firstLine="0" w:firstLineChars="0"/>
                    <w:jc w:val="center"/>
                    <w:rPr>
                      <w:color w:val="auto"/>
                      <w:sz w:val="21"/>
                      <w:szCs w:val="21"/>
                    </w:rPr>
                  </w:pPr>
                  <w:r>
                    <w:rPr>
                      <w:color w:val="auto"/>
                      <w:sz w:val="21"/>
                      <w:szCs w:val="21"/>
                    </w:rPr>
                    <w:t>废水</w:t>
                  </w:r>
                </w:p>
              </w:tc>
              <w:tc>
                <w:tcPr>
                  <w:tcW w:w="816" w:type="pct"/>
                  <w:gridSpan w:val="2"/>
                  <w:tcBorders>
                    <w:right w:val="single" w:color="auto" w:sz="4" w:space="0"/>
                  </w:tcBorders>
                  <w:tcMar>
                    <w:left w:w="0" w:type="dxa"/>
                    <w:right w:w="0" w:type="dxa"/>
                  </w:tcMar>
                  <w:vAlign w:val="center"/>
                </w:tcPr>
                <w:p w14:paraId="10BAF8D3">
                  <w:pPr>
                    <w:adjustRightInd w:val="0"/>
                    <w:snapToGrid w:val="0"/>
                    <w:spacing w:line="240" w:lineRule="auto"/>
                    <w:ind w:firstLine="0" w:firstLineChars="0"/>
                    <w:jc w:val="center"/>
                    <w:rPr>
                      <w:color w:val="auto"/>
                      <w:sz w:val="21"/>
                      <w:szCs w:val="21"/>
                    </w:rPr>
                  </w:pPr>
                  <w:r>
                    <w:rPr>
                      <w:rFonts w:hint="eastAsia"/>
                      <w:color w:val="auto"/>
                      <w:sz w:val="21"/>
                      <w:szCs w:val="21"/>
                    </w:rPr>
                    <w:t>生活污水</w:t>
                  </w:r>
                </w:p>
              </w:tc>
              <w:tc>
                <w:tcPr>
                  <w:tcW w:w="1335" w:type="pct"/>
                  <w:gridSpan w:val="2"/>
                  <w:tcBorders>
                    <w:left w:val="single" w:color="auto" w:sz="4" w:space="0"/>
                  </w:tcBorders>
                  <w:vAlign w:val="center"/>
                </w:tcPr>
                <w:p w14:paraId="306DA947">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化粪池</w:t>
                  </w:r>
                </w:p>
              </w:tc>
              <w:tc>
                <w:tcPr>
                  <w:tcW w:w="1271" w:type="pct"/>
                  <w:gridSpan w:val="2"/>
                  <w:tcMar>
                    <w:left w:w="0" w:type="dxa"/>
                    <w:right w:w="0" w:type="dxa"/>
                  </w:tcMar>
                  <w:vAlign w:val="center"/>
                </w:tcPr>
                <w:p w14:paraId="32F8AE88">
                  <w:pPr>
                    <w:adjustRightInd w:val="0"/>
                    <w:snapToGrid w:val="0"/>
                    <w:spacing w:line="240" w:lineRule="auto"/>
                    <w:ind w:firstLine="0" w:firstLineChars="0"/>
                    <w:jc w:val="center"/>
                    <w:rPr>
                      <w:color w:val="auto"/>
                      <w:sz w:val="21"/>
                      <w:szCs w:val="21"/>
                    </w:rPr>
                  </w:pPr>
                  <w:r>
                    <w:rPr>
                      <w:color w:val="auto"/>
                      <w:sz w:val="21"/>
                      <w:szCs w:val="21"/>
                    </w:rPr>
                    <w:t>生活污水经化粪池处理后</w:t>
                  </w:r>
                  <w:r>
                    <w:rPr>
                      <w:rFonts w:hint="eastAsia"/>
                      <w:color w:val="auto"/>
                      <w:sz w:val="21"/>
                      <w:szCs w:val="21"/>
                    </w:rPr>
                    <w:t>接管</w:t>
                  </w:r>
                  <w:r>
                    <w:rPr>
                      <w:color w:val="auto"/>
                      <w:sz w:val="21"/>
                      <w:szCs w:val="21"/>
                    </w:rPr>
                    <w:t>至</w:t>
                  </w:r>
                  <w:r>
                    <w:rPr>
                      <w:rFonts w:hint="eastAsia"/>
                      <w:color w:val="auto"/>
                      <w:sz w:val="21"/>
                      <w:szCs w:val="21"/>
                    </w:rPr>
                    <w:t>新袁</w:t>
                  </w:r>
                  <w:r>
                    <w:rPr>
                      <w:color w:val="auto"/>
                      <w:sz w:val="21"/>
                      <w:szCs w:val="21"/>
                    </w:rPr>
                    <w:t>镇污水处理厂</w:t>
                  </w:r>
                </w:p>
              </w:tc>
            </w:tr>
            <w:tr w14:paraId="6EB7EDA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20" w:hRule="atLeast"/>
                <w:jc w:val="center"/>
              </w:trPr>
              <w:tc>
                <w:tcPr>
                  <w:tcW w:w="688" w:type="pct"/>
                  <w:vMerge w:val="continue"/>
                  <w:vAlign w:val="center"/>
                </w:tcPr>
                <w:p w14:paraId="3B5B92F7">
                  <w:pPr>
                    <w:adjustRightInd w:val="0"/>
                    <w:snapToGrid w:val="0"/>
                    <w:spacing w:line="240" w:lineRule="auto"/>
                    <w:ind w:firstLine="0" w:firstLineChars="0"/>
                    <w:jc w:val="center"/>
                    <w:rPr>
                      <w:color w:val="auto"/>
                    </w:rPr>
                  </w:pPr>
                </w:p>
              </w:tc>
              <w:tc>
                <w:tcPr>
                  <w:tcW w:w="887" w:type="pct"/>
                  <w:vMerge w:val="continue"/>
                  <w:vAlign w:val="center"/>
                </w:tcPr>
                <w:p w14:paraId="42BBDD43">
                  <w:pPr>
                    <w:adjustRightInd w:val="0"/>
                    <w:snapToGrid w:val="0"/>
                    <w:spacing w:line="240" w:lineRule="auto"/>
                    <w:ind w:firstLine="0" w:firstLineChars="0"/>
                    <w:jc w:val="center"/>
                    <w:rPr>
                      <w:color w:val="auto"/>
                    </w:rPr>
                  </w:pPr>
                </w:p>
              </w:tc>
              <w:tc>
                <w:tcPr>
                  <w:tcW w:w="816" w:type="pct"/>
                  <w:gridSpan w:val="2"/>
                  <w:tcBorders>
                    <w:right w:val="single" w:color="auto" w:sz="4" w:space="0"/>
                  </w:tcBorders>
                  <w:tcMar>
                    <w:left w:w="0" w:type="dxa"/>
                    <w:right w:w="0" w:type="dxa"/>
                  </w:tcMar>
                  <w:vAlign w:val="center"/>
                </w:tcPr>
                <w:p w14:paraId="679884FB">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生产废水</w:t>
                  </w:r>
                </w:p>
              </w:tc>
              <w:tc>
                <w:tcPr>
                  <w:tcW w:w="1335" w:type="pct"/>
                  <w:gridSpan w:val="2"/>
                  <w:tcBorders>
                    <w:left w:val="single" w:color="auto" w:sz="4" w:space="0"/>
                  </w:tcBorders>
                  <w:vAlign w:val="center"/>
                </w:tcPr>
                <w:p w14:paraId="7EF37375">
                  <w:pPr>
                    <w:adjustRightInd w:val="0"/>
                    <w:snapToGrid w:val="0"/>
                    <w:spacing w:line="240" w:lineRule="auto"/>
                    <w:ind w:firstLine="0" w:firstLineChars="0"/>
                    <w:jc w:val="center"/>
                    <w:rPr>
                      <w:rFonts w:hint="default" w:eastAsia="宋体"/>
                      <w:color w:val="auto"/>
                      <w:sz w:val="21"/>
                      <w:szCs w:val="21"/>
                      <w:lang w:val="en-US" w:eastAsia="zh-CN"/>
                    </w:rPr>
                  </w:pPr>
                  <w:r>
                    <w:rPr>
                      <w:color w:val="auto"/>
                      <w:kern w:val="0"/>
                      <w:sz w:val="21"/>
                      <w:szCs w:val="21"/>
                    </w:rPr>
                    <w:t>污水站</w:t>
                  </w:r>
                  <w:r>
                    <w:rPr>
                      <w:rFonts w:hint="eastAsia"/>
                      <w:color w:val="auto"/>
                      <w:kern w:val="0"/>
                      <w:sz w:val="21"/>
                      <w:szCs w:val="21"/>
                      <w:lang w:val="en-US" w:eastAsia="zh-CN"/>
                    </w:rPr>
                    <w:t>1座</w:t>
                  </w:r>
                  <w:r>
                    <w:rPr>
                      <w:color w:val="auto"/>
                      <w:kern w:val="0"/>
                      <w:sz w:val="21"/>
                      <w:szCs w:val="21"/>
                    </w:rPr>
                    <w:t>，处理能力：1</w:t>
                  </w:r>
                  <w:r>
                    <w:rPr>
                      <w:rFonts w:hint="eastAsia"/>
                      <w:color w:val="auto"/>
                      <w:kern w:val="0"/>
                      <w:sz w:val="21"/>
                      <w:szCs w:val="21"/>
                      <w:lang w:val="en-US" w:eastAsia="zh-CN"/>
                    </w:rPr>
                    <w:t>2</w:t>
                  </w:r>
                  <w:r>
                    <w:rPr>
                      <w:color w:val="auto"/>
                      <w:kern w:val="0"/>
                      <w:sz w:val="21"/>
                      <w:szCs w:val="21"/>
                    </w:rPr>
                    <w:t>00m</w:t>
                  </w:r>
                  <w:r>
                    <w:rPr>
                      <w:color w:val="auto"/>
                      <w:kern w:val="0"/>
                      <w:sz w:val="21"/>
                      <w:szCs w:val="21"/>
                      <w:vertAlign w:val="superscript"/>
                    </w:rPr>
                    <w:t>3</w:t>
                  </w:r>
                  <w:r>
                    <w:rPr>
                      <w:color w:val="auto"/>
                      <w:kern w:val="0"/>
                      <w:sz w:val="21"/>
                      <w:szCs w:val="21"/>
                    </w:rPr>
                    <w:t>/d；工艺：</w:t>
                  </w:r>
                  <w:r>
                    <w:rPr>
                      <w:color w:val="auto"/>
                      <w:sz w:val="21"/>
                      <w:szCs w:val="21"/>
                    </w:rPr>
                    <w:t>调节+混凝气浮</w:t>
                  </w:r>
                  <w:r>
                    <w:rPr>
                      <w:rFonts w:hint="eastAsia"/>
                      <w:color w:val="auto"/>
                      <w:sz w:val="21"/>
                      <w:szCs w:val="21"/>
                      <w:lang w:val="en-US" w:eastAsia="zh-CN"/>
                    </w:rPr>
                    <w:t>+接触氧化</w:t>
                  </w:r>
                  <w:r>
                    <w:rPr>
                      <w:color w:val="auto"/>
                      <w:sz w:val="21"/>
                      <w:szCs w:val="21"/>
                    </w:rPr>
                    <w:t>+二沉</w:t>
                  </w:r>
                  <w:r>
                    <w:rPr>
                      <w:rFonts w:hint="eastAsia"/>
                      <w:color w:val="auto"/>
                      <w:sz w:val="21"/>
                      <w:szCs w:val="21"/>
                      <w:lang w:val="en-US" w:eastAsia="zh-CN"/>
                    </w:rPr>
                    <w:t>+</w:t>
                  </w:r>
                  <w:r>
                    <w:rPr>
                      <w:color w:val="auto"/>
                      <w:sz w:val="21"/>
                      <w:szCs w:val="21"/>
                    </w:rPr>
                    <w:t>砂滤、</w:t>
                  </w:r>
                  <w:r>
                    <w:rPr>
                      <w:rFonts w:hint="eastAsia"/>
                      <w:color w:val="auto"/>
                      <w:sz w:val="21"/>
                      <w:szCs w:val="21"/>
                      <w:lang w:val="en-US" w:eastAsia="zh-CN"/>
                    </w:rPr>
                    <w:t>炭</w:t>
                  </w:r>
                  <w:r>
                    <w:rPr>
                      <w:color w:val="auto"/>
                      <w:sz w:val="21"/>
                      <w:szCs w:val="21"/>
                    </w:rPr>
                    <w:t>滤</w:t>
                  </w:r>
                </w:p>
              </w:tc>
              <w:tc>
                <w:tcPr>
                  <w:tcW w:w="1271" w:type="pct"/>
                  <w:gridSpan w:val="2"/>
                  <w:tcMar>
                    <w:left w:w="0" w:type="dxa"/>
                    <w:right w:w="0" w:type="dxa"/>
                  </w:tcMar>
                  <w:vAlign w:val="center"/>
                </w:tcPr>
                <w:p w14:paraId="177DD417">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经厂内污水站处理后全部回用至生产不外排</w:t>
                  </w:r>
                </w:p>
              </w:tc>
            </w:tr>
            <w:tr w14:paraId="3730380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412" w:hRule="atLeast"/>
                <w:jc w:val="center"/>
              </w:trPr>
              <w:tc>
                <w:tcPr>
                  <w:tcW w:w="688" w:type="pct"/>
                  <w:vMerge w:val="continue"/>
                  <w:vAlign w:val="center"/>
                </w:tcPr>
                <w:p w14:paraId="6DEDCDFA">
                  <w:pPr>
                    <w:adjustRightInd w:val="0"/>
                    <w:snapToGrid w:val="0"/>
                    <w:spacing w:line="240" w:lineRule="auto"/>
                    <w:ind w:firstLine="0" w:firstLineChars="0"/>
                    <w:jc w:val="center"/>
                    <w:rPr>
                      <w:color w:val="auto"/>
                      <w:sz w:val="21"/>
                      <w:szCs w:val="21"/>
                    </w:rPr>
                  </w:pPr>
                </w:p>
              </w:tc>
              <w:tc>
                <w:tcPr>
                  <w:tcW w:w="887" w:type="pct"/>
                  <w:vMerge w:val="restart"/>
                  <w:tcBorders>
                    <w:right w:val="single" w:color="auto" w:sz="4" w:space="0"/>
                  </w:tcBorders>
                  <w:vAlign w:val="center"/>
                </w:tcPr>
                <w:p w14:paraId="6810CC4A">
                  <w:pPr>
                    <w:adjustRightInd w:val="0"/>
                    <w:snapToGrid w:val="0"/>
                    <w:spacing w:line="240" w:lineRule="auto"/>
                    <w:ind w:firstLine="0" w:firstLineChars="0"/>
                    <w:jc w:val="center"/>
                    <w:rPr>
                      <w:color w:val="auto"/>
                      <w:sz w:val="21"/>
                      <w:szCs w:val="21"/>
                    </w:rPr>
                  </w:pPr>
                  <w:r>
                    <w:rPr>
                      <w:rFonts w:hint="eastAsia"/>
                      <w:color w:val="auto"/>
                      <w:sz w:val="21"/>
                      <w:szCs w:val="21"/>
                    </w:rPr>
                    <w:t>废气</w:t>
                  </w:r>
                </w:p>
              </w:tc>
              <w:tc>
                <w:tcPr>
                  <w:tcW w:w="407" w:type="pct"/>
                  <w:tcBorders>
                    <w:left w:val="single" w:color="auto" w:sz="4" w:space="0"/>
                  </w:tcBorders>
                  <w:vAlign w:val="center"/>
                </w:tcPr>
                <w:p w14:paraId="39240B50">
                  <w:pPr>
                    <w:adjustRightInd w:val="0"/>
                    <w:snapToGrid w:val="0"/>
                    <w:spacing w:line="240" w:lineRule="auto"/>
                    <w:ind w:firstLine="0" w:firstLineChars="0"/>
                    <w:jc w:val="center"/>
                    <w:rPr>
                      <w:color w:val="auto"/>
                      <w:sz w:val="21"/>
                      <w:szCs w:val="21"/>
                    </w:rPr>
                  </w:pPr>
                  <w:r>
                    <w:rPr>
                      <w:rFonts w:hint="eastAsia"/>
                      <w:color w:val="auto"/>
                      <w:sz w:val="21"/>
                      <w:szCs w:val="21"/>
                    </w:rPr>
                    <w:t>有组织</w:t>
                  </w:r>
                </w:p>
              </w:tc>
              <w:tc>
                <w:tcPr>
                  <w:tcW w:w="409" w:type="pct"/>
                  <w:vAlign w:val="center"/>
                </w:tcPr>
                <w:p w14:paraId="6751743C">
                  <w:pPr>
                    <w:snapToGrid w:val="0"/>
                    <w:spacing w:line="240" w:lineRule="auto"/>
                    <w:ind w:firstLine="0" w:firstLineChars="0"/>
                    <w:jc w:val="center"/>
                    <w:rPr>
                      <w:color w:val="auto"/>
                      <w:sz w:val="21"/>
                      <w:szCs w:val="21"/>
                    </w:rPr>
                  </w:pPr>
                  <w:r>
                    <w:rPr>
                      <w:rFonts w:hint="eastAsia"/>
                      <w:color w:val="auto"/>
                      <w:sz w:val="21"/>
                      <w:szCs w:val="21"/>
                      <w:lang w:val="en-US" w:eastAsia="zh-CN"/>
                    </w:rPr>
                    <w:t>加弹废气</w:t>
                  </w:r>
                </w:p>
              </w:tc>
              <w:tc>
                <w:tcPr>
                  <w:tcW w:w="812" w:type="pct"/>
                  <w:vAlign w:val="center"/>
                </w:tcPr>
                <w:p w14:paraId="7C6BCB74">
                  <w:pPr>
                    <w:snapToGrid w:val="0"/>
                    <w:spacing w:line="240" w:lineRule="auto"/>
                    <w:ind w:firstLine="0" w:firstLineChars="0"/>
                    <w:jc w:val="center"/>
                    <w:rPr>
                      <w:color w:val="auto"/>
                      <w:sz w:val="21"/>
                      <w:szCs w:val="21"/>
                    </w:rPr>
                  </w:pPr>
                  <w:r>
                    <w:rPr>
                      <w:rFonts w:hint="eastAsia"/>
                      <w:color w:val="auto"/>
                      <w:sz w:val="21"/>
                      <w:szCs w:val="21"/>
                    </w:rPr>
                    <w:t>管道收集</w:t>
                  </w:r>
                </w:p>
              </w:tc>
              <w:tc>
                <w:tcPr>
                  <w:tcW w:w="523" w:type="pct"/>
                  <w:vAlign w:val="center"/>
                </w:tcPr>
                <w:p w14:paraId="01207609">
                  <w:pPr>
                    <w:adjustRightInd w:val="0"/>
                    <w:snapToGrid w:val="0"/>
                    <w:spacing w:line="240" w:lineRule="auto"/>
                    <w:ind w:firstLine="0" w:firstLineChars="0"/>
                    <w:jc w:val="center"/>
                    <w:rPr>
                      <w:color w:val="auto"/>
                      <w:sz w:val="21"/>
                      <w:szCs w:val="21"/>
                    </w:rPr>
                  </w:pPr>
                  <w:r>
                    <w:rPr>
                      <w:rFonts w:hint="eastAsia" w:cs="Times New Roman"/>
                      <w:color w:val="auto"/>
                      <w:kern w:val="0"/>
                      <w:sz w:val="21"/>
                      <w:szCs w:val="21"/>
                      <w:lang w:val="en-US" w:eastAsia="zh-CN" w:bidi="ar"/>
                    </w:rPr>
                    <w:t>高压静电油烟净化器</w:t>
                  </w:r>
                </w:p>
              </w:tc>
              <w:tc>
                <w:tcPr>
                  <w:tcW w:w="796" w:type="pct"/>
                  <w:vAlign w:val="center"/>
                </w:tcPr>
                <w:p w14:paraId="40EB581F">
                  <w:pPr>
                    <w:snapToGrid w:val="0"/>
                    <w:spacing w:line="240" w:lineRule="auto"/>
                    <w:ind w:firstLine="0" w:firstLineChars="0"/>
                    <w:jc w:val="center"/>
                    <w:rPr>
                      <w:color w:val="auto"/>
                      <w:sz w:val="21"/>
                      <w:szCs w:val="21"/>
                    </w:rPr>
                  </w:pPr>
                  <w:r>
                    <w:rPr>
                      <w:color w:val="auto"/>
                      <w:sz w:val="21"/>
                      <w:szCs w:val="21"/>
                    </w:rPr>
                    <w:t>15m排气筒DA001，风量</w:t>
                  </w:r>
                  <w:r>
                    <w:rPr>
                      <w:rFonts w:hint="eastAsia"/>
                      <w:color w:val="auto"/>
                      <w:sz w:val="21"/>
                      <w:szCs w:val="21"/>
                      <w:lang w:val="en-US" w:eastAsia="zh-CN"/>
                    </w:rPr>
                    <w:t>12</w:t>
                  </w:r>
                  <w:r>
                    <w:rPr>
                      <w:color w:val="auto"/>
                      <w:sz w:val="21"/>
                      <w:szCs w:val="21"/>
                    </w:rPr>
                    <w:t>000m</w:t>
                  </w:r>
                  <w:r>
                    <w:rPr>
                      <w:color w:val="auto"/>
                      <w:sz w:val="21"/>
                      <w:szCs w:val="21"/>
                      <w:vertAlign w:val="superscript"/>
                    </w:rPr>
                    <w:t>3</w:t>
                  </w:r>
                  <w:r>
                    <w:rPr>
                      <w:color w:val="auto"/>
                      <w:sz w:val="21"/>
                      <w:szCs w:val="21"/>
                    </w:rPr>
                    <w:t>/h</w:t>
                  </w:r>
                </w:p>
              </w:tc>
              <w:tc>
                <w:tcPr>
                  <w:tcW w:w="475" w:type="pct"/>
                  <w:vAlign w:val="center"/>
                </w:tcPr>
                <w:p w14:paraId="744C9A22">
                  <w:pPr>
                    <w:adjustRightInd w:val="0"/>
                    <w:snapToGrid w:val="0"/>
                    <w:spacing w:line="240" w:lineRule="auto"/>
                    <w:ind w:firstLine="0" w:firstLineChars="0"/>
                    <w:jc w:val="center"/>
                    <w:rPr>
                      <w:color w:val="auto"/>
                      <w:sz w:val="21"/>
                      <w:szCs w:val="21"/>
                    </w:rPr>
                  </w:pPr>
                  <w:r>
                    <w:rPr>
                      <w:color w:val="auto"/>
                      <w:sz w:val="21"/>
                      <w:szCs w:val="21"/>
                    </w:rPr>
                    <w:t>满足环境管理要求</w:t>
                  </w:r>
                </w:p>
              </w:tc>
            </w:tr>
            <w:tr w14:paraId="19C926C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Merge w:val="continue"/>
                  <w:vAlign w:val="center"/>
                </w:tcPr>
                <w:p w14:paraId="256E0135">
                  <w:pPr>
                    <w:adjustRightInd w:val="0"/>
                    <w:snapToGrid w:val="0"/>
                    <w:spacing w:line="240" w:lineRule="auto"/>
                    <w:ind w:firstLine="0" w:firstLineChars="0"/>
                    <w:jc w:val="center"/>
                    <w:rPr>
                      <w:color w:val="auto"/>
                      <w:sz w:val="21"/>
                      <w:szCs w:val="21"/>
                    </w:rPr>
                  </w:pPr>
                </w:p>
              </w:tc>
              <w:tc>
                <w:tcPr>
                  <w:tcW w:w="887" w:type="pct"/>
                  <w:vMerge w:val="continue"/>
                  <w:tcBorders>
                    <w:right w:val="single" w:color="auto" w:sz="4" w:space="0"/>
                  </w:tcBorders>
                  <w:vAlign w:val="center"/>
                </w:tcPr>
                <w:p w14:paraId="302AD34C">
                  <w:pPr>
                    <w:adjustRightInd w:val="0"/>
                    <w:snapToGrid w:val="0"/>
                    <w:spacing w:line="240" w:lineRule="auto"/>
                    <w:ind w:firstLine="0" w:firstLineChars="0"/>
                    <w:jc w:val="center"/>
                    <w:rPr>
                      <w:color w:val="auto"/>
                      <w:sz w:val="21"/>
                      <w:szCs w:val="21"/>
                    </w:rPr>
                  </w:pPr>
                </w:p>
              </w:tc>
              <w:tc>
                <w:tcPr>
                  <w:tcW w:w="407" w:type="pct"/>
                  <w:tcBorders>
                    <w:left w:val="single" w:color="auto" w:sz="4" w:space="0"/>
                  </w:tcBorders>
                  <w:vAlign w:val="center"/>
                </w:tcPr>
                <w:p w14:paraId="225E3772">
                  <w:pPr>
                    <w:adjustRightInd w:val="0"/>
                    <w:snapToGrid w:val="0"/>
                    <w:spacing w:line="240" w:lineRule="auto"/>
                    <w:ind w:firstLine="0" w:firstLineChars="0"/>
                    <w:jc w:val="center"/>
                    <w:rPr>
                      <w:color w:val="auto"/>
                      <w:sz w:val="21"/>
                      <w:szCs w:val="21"/>
                    </w:rPr>
                  </w:pPr>
                  <w:r>
                    <w:rPr>
                      <w:rFonts w:hint="eastAsia"/>
                      <w:color w:val="auto"/>
                      <w:sz w:val="21"/>
                      <w:szCs w:val="21"/>
                    </w:rPr>
                    <w:t>无组织</w:t>
                  </w:r>
                </w:p>
              </w:tc>
              <w:tc>
                <w:tcPr>
                  <w:tcW w:w="1744" w:type="pct"/>
                  <w:gridSpan w:val="3"/>
                  <w:vAlign w:val="center"/>
                </w:tcPr>
                <w:p w14:paraId="57C9F9DE">
                  <w:pPr>
                    <w:snapToGrid w:val="0"/>
                    <w:spacing w:line="240" w:lineRule="auto"/>
                    <w:ind w:firstLine="0" w:firstLineChars="0"/>
                    <w:jc w:val="center"/>
                    <w:rPr>
                      <w:color w:val="auto"/>
                      <w:sz w:val="21"/>
                      <w:szCs w:val="21"/>
                    </w:rPr>
                  </w:pPr>
                  <w:r>
                    <w:rPr>
                      <w:color w:val="auto"/>
                      <w:sz w:val="21"/>
                      <w:szCs w:val="21"/>
                    </w:rPr>
                    <w:t>加强车间</w:t>
                  </w:r>
                  <w:r>
                    <w:rPr>
                      <w:rFonts w:hint="eastAsia"/>
                      <w:color w:val="auto"/>
                      <w:sz w:val="21"/>
                      <w:szCs w:val="21"/>
                    </w:rPr>
                    <w:t>密闭</w:t>
                  </w:r>
                  <w:r>
                    <w:rPr>
                      <w:color w:val="auto"/>
                      <w:sz w:val="21"/>
                      <w:szCs w:val="21"/>
                    </w:rPr>
                    <w:t>、</w:t>
                  </w:r>
                  <w:r>
                    <w:rPr>
                      <w:rFonts w:hint="eastAsia"/>
                      <w:color w:val="auto"/>
                      <w:sz w:val="21"/>
                      <w:szCs w:val="21"/>
                    </w:rPr>
                    <w:t>提高有组织废气收集率</w:t>
                  </w:r>
                </w:p>
              </w:tc>
              <w:tc>
                <w:tcPr>
                  <w:tcW w:w="1271" w:type="pct"/>
                  <w:gridSpan w:val="2"/>
                  <w:vAlign w:val="center"/>
                </w:tcPr>
                <w:p w14:paraId="159F8BFE">
                  <w:pPr>
                    <w:snapToGrid w:val="0"/>
                    <w:spacing w:line="240" w:lineRule="auto"/>
                    <w:ind w:firstLine="0" w:firstLineChars="0"/>
                    <w:jc w:val="center"/>
                    <w:rPr>
                      <w:color w:val="auto"/>
                      <w:sz w:val="21"/>
                      <w:szCs w:val="21"/>
                    </w:rPr>
                  </w:pPr>
                  <w:r>
                    <w:rPr>
                      <w:color w:val="auto"/>
                      <w:sz w:val="21"/>
                      <w:szCs w:val="21"/>
                    </w:rPr>
                    <w:t>满足环境管理要求</w:t>
                  </w:r>
                </w:p>
              </w:tc>
            </w:tr>
            <w:tr w14:paraId="0ADE64D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Merge w:val="continue"/>
                  <w:vAlign w:val="center"/>
                </w:tcPr>
                <w:p w14:paraId="268EFD93">
                  <w:pPr>
                    <w:adjustRightInd w:val="0"/>
                    <w:snapToGrid w:val="0"/>
                    <w:spacing w:line="240" w:lineRule="auto"/>
                    <w:ind w:firstLine="0" w:firstLineChars="0"/>
                    <w:jc w:val="center"/>
                    <w:rPr>
                      <w:color w:val="auto"/>
                      <w:sz w:val="21"/>
                      <w:szCs w:val="21"/>
                    </w:rPr>
                  </w:pPr>
                </w:p>
              </w:tc>
              <w:tc>
                <w:tcPr>
                  <w:tcW w:w="887" w:type="pct"/>
                  <w:vAlign w:val="center"/>
                </w:tcPr>
                <w:p w14:paraId="75CDEB23">
                  <w:pPr>
                    <w:adjustRightInd w:val="0"/>
                    <w:snapToGrid w:val="0"/>
                    <w:spacing w:line="240" w:lineRule="auto"/>
                    <w:ind w:firstLine="0" w:firstLineChars="0"/>
                    <w:jc w:val="center"/>
                    <w:rPr>
                      <w:color w:val="auto"/>
                      <w:sz w:val="21"/>
                      <w:szCs w:val="21"/>
                    </w:rPr>
                  </w:pPr>
                  <w:r>
                    <w:rPr>
                      <w:color w:val="auto"/>
                      <w:sz w:val="21"/>
                      <w:szCs w:val="21"/>
                    </w:rPr>
                    <w:t>噪声处理</w:t>
                  </w:r>
                </w:p>
              </w:tc>
              <w:tc>
                <w:tcPr>
                  <w:tcW w:w="2152" w:type="pct"/>
                  <w:gridSpan w:val="4"/>
                  <w:vAlign w:val="center"/>
                </w:tcPr>
                <w:p w14:paraId="4864B1C1">
                  <w:pPr>
                    <w:adjustRightInd w:val="0"/>
                    <w:snapToGrid w:val="0"/>
                    <w:spacing w:line="240" w:lineRule="auto"/>
                    <w:ind w:firstLine="0" w:firstLineChars="0"/>
                    <w:jc w:val="center"/>
                    <w:rPr>
                      <w:color w:val="auto"/>
                      <w:sz w:val="21"/>
                      <w:szCs w:val="21"/>
                    </w:rPr>
                  </w:pPr>
                  <w:r>
                    <w:rPr>
                      <w:rFonts w:hint="eastAsia"/>
                      <w:color w:val="auto"/>
                      <w:sz w:val="21"/>
                      <w:szCs w:val="21"/>
                    </w:rPr>
                    <w:t>设备合理化布置、选用</w:t>
                  </w:r>
                  <w:r>
                    <w:rPr>
                      <w:color w:val="auto"/>
                      <w:sz w:val="21"/>
                      <w:szCs w:val="21"/>
                    </w:rPr>
                    <w:t>低噪设备</w:t>
                  </w:r>
                </w:p>
              </w:tc>
              <w:tc>
                <w:tcPr>
                  <w:tcW w:w="1271" w:type="pct"/>
                  <w:gridSpan w:val="2"/>
                  <w:vAlign w:val="center"/>
                </w:tcPr>
                <w:p w14:paraId="2704A912">
                  <w:pPr>
                    <w:adjustRightInd w:val="0"/>
                    <w:snapToGrid w:val="0"/>
                    <w:spacing w:line="240" w:lineRule="auto"/>
                    <w:ind w:firstLine="0" w:firstLineChars="0"/>
                    <w:jc w:val="center"/>
                    <w:rPr>
                      <w:color w:val="auto"/>
                      <w:sz w:val="21"/>
                      <w:szCs w:val="21"/>
                    </w:rPr>
                  </w:pPr>
                  <w:r>
                    <w:rPr>
                      <w:color w:val="auto"/>
                      <w:sz w:val="21"/>
                      <w:szCs w:val="21"/>
                    </w:rPr>
                    <w:t>满足环境</w:t>
                  </w:r>
                  <w:r>
                    <w:rPr>
                      <w:rFonts w:hint="eastAsia"/>
                      <w:color w:val="auto"/>
                      <w:sz w:val="21"/>
                      <w:szCs w:val="21"/>
                    </w:rPr>
                    <w:t>管理</w:t>
                  </w:r>
                  <w:r>
                    <w:rPr>
                      <w:color w:val="auto"/>
                      <w:sz w:val="21"/>
                      <w:szCs w:val="21"/>
                    </w:rPr>
                    <w:t>要求</w:t>
                  </w:r>
                </w:p>
              </w:tc>
            </w:tr>
            <w:tr w14:paraId="7A34A88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88" w:type="pct"/>
                  <w:vMerge w:val="continue"/>
                  <w:vAlign w:val="center"/>
                </w:tcPr>
                <w:p w14:paraId="447ECC9D">
                  <w:pPr>
                    <w:adjustRightInd w:val="0"/>
                    <w:snapToGrid w:val="0"/>
                    <w:spacing w:line="240" w:lineRule="auto"/>
                    <w:ind w:firstLine="0" w:firstLineChars="0"/>
                    <w:jc w:val="center"/>
                    <w:rPr>
                      <w:color w:val="auto"/>
                      <w:sz w:val="21"/>
                      <w:szCs w:val="21"/>
                    </w:rPr>
                  </w:pPr>
                </w:p>
              </w:tc>
              <w:tc>
                <w:tcPr>
                  <w:tcW w:w="887" w:type="pct"/>
                  <w:vAlign w:val="center"/>
                </w:tcPr>
                <w:p w14:paraId="31B0B79D">
                  <w:pPr>
                    <w:adjustRightInd w:val="0"/>
                    <w:snapToGrid w:val="0"/>
                    <w:spacing w:line="240" w:lineRule="auto"/>
                    <w:ind w:firstLine="0" w:firstLineChars="0"/>
                    <w:jc w:val="center"/>
                    <w:rPr>
                      <w:color w:val="auto"/>
                      <w:sz w:val="21"/>
                      <w:szCs w:val="21"/>
                    </w:rPr>
                  </w:pPr>
                  <w:r>
                    <w:rPr>
                      <w:color w:val="auto"/>
                      <w:sz w:val="21"/>
                      <w:szCs w:val="21"/>
                    </w:rPr>
                    <w:t>固废处理</w:t>
                  </w:r>
                </w:p>
              </w:tc>
              <w:tc>
                <w:tcPr>
                  <w:tcW w:w="2152" w:type="pct"/>
                  <w:gridSpan w:val="4"/>
                  <w:vAlign w:val="center"/>
                </w:tcPr>
                <w:p w14:paraId="5B46B3C1">
                  <w:pPr>
                    <w:pStyle w:val="31"/>
                    <w:adjustRightInd w:val="0"/>
                    <w:snapToGrid w:val="0"/>
                    <w:spacing w:line="240" w:lineRule="auto"/>
                    <w:ind w:firstLine="0" w:firstLineChars="0"/>
                    <w:rPr>
                      <w:rFonts w:ascii="Times New Roman" w:hAnsi="Times New Roman"/>
                      <w:bCs w:val="0"/>
                      <w:color w:val="auto"/>
                    </w:rPr>
                  </w:pPr>
                  <w:r>
                    <w:rPr>
                      <w:rFonts w:ascii="Times New Roman" w:hAnsi="Times New Roman"/>
                      <w:bCs w:val="0"/>
                      <w:color w:val="auto"/>
                    </w:rPr>
                    <w:t>一般固</w:t>
                  </w:r>
                  <w:r>
                    <w:rPr>
                      <w:rFonts w:hint="eastAsia" w:ascii="Times New Roman" w:hAnsi="Times New Roman"/>
                      <w:bCs w:val="0"/>
                      <w:color w:val="auto"/>
                    </w:rPr>
                    <w:t>废</w:t>
                  </w:r>
                  <w:r>
                    <w:rPr>
                      <w:rFonts w:ascii="Times New Roman" w:hAnsi="Times New Roman"/>
                      <w:bCs w:val="0"/>
                      <w:color w:val="auto"/>
                    </w:rPr>
                    <w:t>暂存</w:t>
                  </w:r>
                  <w:r>
                    <w:rPr>
                      <w:rFonts w:hint="eastAsia" w:ascii="Times New Roman" w:hAnsi="Times New Roman"/>
                      <w:bCs w:val="0"/>
                      <w:color w:val="auto"/>
                      <w:lang w:val="en-US" w:eastAsia="zh-CN"/>
                    </w:rPr>
                    <w:t>50</w:t>
                  </w:r>
                  <w:r>
                    <w:rPr>
                      <w:rFonts w:hint="eastAsia" w:ascii="Times New Roman" w:hAnsi="Times New Roman"/>
                      <w:bCs w:val="0"/>
                      <w:color w:val="auto"/>
                    </w:rPr>
                    <w:t>m</w:t>
                  </w:r>
                  <w:r>
                    <w:rPr>
                      <w:rFonts w:hint="eastAsia" w:ascii="Times New Roman" w:hAnsi="Times New Roman"/>
                      <w:bCs w:val="0"/>
                      <w:color w:val="auto"/>
                      <w:vertAlign w:val="superscript"/>
                    </w:rPr>
                    <w:t>2</w:t>
                  </w:r>
                  <w:r>
                    <w:rPr>
                      <w:rFonts w:hint="eastAsia" w:ascii="Times New Roman" w:hAnsi="Times New Roman"/>
                      <w:bCs w:val="0"/>
                      <w:color w:val="auto"/>
                    </w:rPr>
                    <w:t>、危废仓库</w:t>
                  </w:r>
                  <w:r>
                    <w:rPr>
                      <w:rFonts w:hint="eastAsia" w:ascii="Times New Roman" w:hAnsi="Times New Roman"/>
                      <w:bCs w:val="0"/>
                      <w:color w:val="auto"/>
                      <w:lang w:val="en-US" w:eastAsia="zh-CN"/>
                    </w:rPr>
                    <w:t>4</w:t>
                  </w:r>
                  <w:r>
                    <w:rPr>
                      <w:rFonts w:ascii="Times New Roman" w:hAnsi="Times New Roman"/>
                      <w:bCs w:val="0"/>
                      <w:color w:val="auto"/>
                    </w:rPr>
                    <w:t>0</w:t>
                  </w:r>
                  <w:r>
                    <w:rPr>
                      <w:rFonts w:hint="eastAsia" w:ascii="Times New Roman" w:hAnsi="Times New Roman"/>
                      <w:bCs w:val="0"/>
                      <w:color w:val="auto"/>
                    </w:rPr>
                    <w:t>m</w:t>
                  </w:r>
                  <w:r>
                    <w:rPr>
                      <w:rFonts w:hint="eastAsia" w:ascii="Times New Roman" w:hAnsi="Times New Roman"/>
                      <w:bCs w:val="0"/>
                      <w:color w:val="auto"/>
                      <w:vertAlign w:val="superscript"/>
                    </w:rPr>
                    <w:t>2</w:t>
                  </w:r>
                </w:p>
              </w:tc>
              <w:tc>
                <w:tcPr>
                  <w:tcW w:w="1271" w:type="pct"/>
                  <w:gridSpan w:val="2"/>
                  <w:vAlign w:val="center"/>
                </w:tcPr>
                <w:p w14:paraId="39A59AA7">
                  <w:pPr>
                    <w:adjustRightInd w:val="0"/>
                    <w:snapToGrid w:val="0"/>
                    <w:spacing w:line="240" w:lineRule="auto"/>
                    <w:ind w:firstLine="0" w:firstLineChars="0"/>
                    <w:jc w:val="center"/>
                    <w:rPr>
                      <w:color w:val="auto"/>
                      <w:sz w:val="21"/>
                      <w:szCs w:val="21"/>
                    </w:rPr>
                  </w:pPr>
                  <w:r>
                    <w:rPr>
                      <w:color w:val="auto"/>
                      <w:sz w:val="21"/>
                      <w:szCs w:val="21"/>
                    </w:rPr>
                    <w:t>满足环境管理要求</w:t>
                  </w:r>
                </w:p>
              </w:tc>
            </w:tr>
          </w:tbl>
          <w:p w14:paraId="0E94F7E4">
            <w:pPr>
              <w:tabs>
                <w:tab w:val="left" w:pos="840"/>
              </w:tabs>
              <w:snapToGrid w:val="0"/>
              <w:spacing w:line="360" w:lineRule="auto"/>
              <w:ind w:firstLine="482" w:firstLineChars="200"/>
              <w:rPr>
                <w:b/>
                <w:color w:val="auto"/>
              </w:rPr>
            </w:pPr>
            <w:r>
              <w:rPr>
                <w:rFonts w:hint="eastAsia"/>
                <w:b/>
                <w:color w:val="auto"/>
                <w:lang w:val="en-US" w:eastAsia="zh-CN"/>
              </w:rPr>
              <w:t>7.</w:t>
            </w:r>
            <w:r>
              <w:rPr>
                <w:b/>
                <w:color w:val="auto"/>
              </w:rPr>
              <w:t>项目水平衡图</w:t>
            </w:r>
          </w:p>
          <w:p w14:paraId="193DC044">
            <w:pPr>
              <w:tabs>
                <w:tab w:val="right" w:pos="0"/>
              </w:tabs>
              <w:adjustRightInd w:val="0"/>
              <w:snapToGrid w:val="0"/>
              <w:spacing w:line="360" w:lineRule="auto"/>
              <w:ind w:firstLine="480"/>
              <w:rPr>
                <w:color w:val="auto"/>
              </w:rPr>
            </w:pPr>
            <w:r>
              <w:rPr>
                <w:color w:val="auto"/>
              </w:rPr>
              <w:t>本项目建设完成后全厂用水主要为生活用水</w:t>
            </w:r>
            <w:r>
              <w:rPr>
                <w:rFonts w:hint="eastAsia"/>
                <w:color w:val="auto"/>
                <w:lang w:val="en-US" w:eastAsia="zh-CN"/>
              </w:rPr>
              <w:t>和生产用水</w:t>
            </w:r>
            <w:r>
              <w:rPr>
                <w:color w:val="auto"/>
              </w:rPr>
              <w:t>。</w:t>
            </w:r>
          </w:p>
          <w:p w14:paraId="3F2DBF60">
            <w:pPr>
              <w:tabs>
                <w:tab w:val="right" w:pos="0"/>
              </w:tabs>
              <w:adjustRightInd w:val="0"/>
              <w:snapToGrid w:val="0"/>
              <w:spacing w:line="360" w:lineRule="auto"/>
              <w:ind w:firstLine="480"/>
              <w:rPr>
                <w:rFonts w:hint="default" w:eastAsia="宋体"/>
                <w:color w:val="auto"/>
                <w:lang w:val="en-US" w:eastAsia="zh-CN"/>
              </w:rPr>
            </w:pPr>
            <w:r>
              <w:rPr>
                <w:rFonts w:hint="eastAsia"/>
                <w:color w:val="auto"/>
                <w:lang w:val="en-US" w:eastAsia="zh-CN"/>
              </w:rPr>
              <w:t>（1）生活用水</w:t>
            </w:r>
          </w:p>
          <w:p w14:paraId="08877FC6">
            <w:pPr>
              <w:tabs>
                <w:tab w:val="left" w:pos="2790"/>
              </w:tabs>
              <w:adjustRightInd w:val="0"/>
              <w:snapToGrid w:val="0"/>
              <w:spacing w:line="360" w:lineRule="auto"/>
              <w:ind w:firstLine="480"/>
              <w:rPr>
                <w:color w:val="auto"/>
              </w:rPr>
            </w:pPr>
            <w:r>
              <w:rPr>
                <w:color w:val="auto"/>
              </w:rPr>
              <w:t>本项目劳动定员</w:t>
            </w:r>
            <w:r>
              <w:rPr>
                <w:rFonts w:hint="eastAsia"/>
                <w:color w:val="auto"/>
                <w:lang w:val="en-US" w:eastAsia="zh-CN"/>
              </w:rPr>
              <w:t>5</w:t>
            </w:r>
            <w:r>
              <w:rPr>
                <w:color w:val="auto"/>
              </w:rPr>
              <w:t>0人</w:t>
            </w:r>
            <w:r>
              <w:rPr>
                <w:rFonts w:hint="eastAsia"/>
                <w:color w:val="auto"/>
                <w:lang w:eastAsia="zh-CN"/>
              </w:rPr>
              <w:t>，</w:t>
            </w:r>
            <w:r>
              <w:rPr>
                <w:rFonts w:hint="eastAsia"/>
                <w:color w:val="auto"/>
              </w:rPr>
              <w:t>根据《建筑给水排水设计标准》（GB50015-2019）“3.2.11企业车间工人的生活用水定额应根据车间性质确定，宜采用30L/</w:t>
            </w:r>
            <w:r>
              <w:rPr>
                <w:rFonts w:hint="eastAsia"/>
                <w:color w:val="auto"/>
                <w:lang w:eastAsia="zh-CN"/>
              </w:rPr>
              <w:t>（</w:t>
            </w:r>
            <w:r>
              <w:rPr>
                <w:rFonts w:hint="eastAsia"/>
                <w:color w:val="auto"/>
              </w:rPr>
              <w:t>人·班</w:t>
            </w:r>
            <w:r>
              <w:rPr>
                <w:rFonts w:hint="eastAsia"/>
                <w:color w:val="auto"/>
                <w:lang w:eastAsia="zh-CN"/>
              </w:rPr>
              <w:t>）～</w:t>
            </w:r>
            <w:r>
              <w:rPr>
                <w:rFonts w:hint="eastAsia"/>
                <w:color w:val="auto"/>
              </w:rPr>
              <w:t>50L</w:t>
            </w:r>
            <w:r>
              <w:rPr>
                <w:rFonts w:hint="eastAsia"/>
                <w:color w:val="auto"/>
                <w:lang w:eastAsia="zh-CN"/>
              </w:rPr>
              <w:t>（</w:t>
            </w:r>
            <w:r>
              <w:rPr>
                <w:rFonts w:hint="eastAsia"/>
                <w:color w:val="auto"/>
              </w:rPr>
              <w:t>人·班</w:t>
            </w:r>
            <w:r>
              <w:rPr>
                <w:rFonts w:hint="eastAsia"/>
                <w:color w:val="auto"/>
                <w:lang w:eastAsia="zh-CN"/>
              </w:rPr>
              <w:t>）</w:t>
            </w:r>
            <w:r>
              <w:rPr>
                <w:rFonts w:hint="eastAsia"/>
                <w:color w:val="auto"/>
              </w:rPr>
              <w:t>”，员工生活用水按人均50L/d计</w:t>
            </w:r>
            <w:r>
              <w:rPr>
                <w:color w:val="auto"/>
              </w:rPr>
              <w:t>，一年工作300天，则用水量为</w:t>
            </w:r>
            <w:r>
              <w:rPr>
                <w:rFonts w:hint="eastAsia"/>
                <w:color w:val="auto"/>
                <w:lang w:val="en-US" w:eastAsia="zh-CN"/>
              </w:rPr>
              <w:t>750</w:t>
            </w:r>
            <w:r>
              <w:rPr>
                <w:color w:val="auto"/>
              </w:rPr>
              <w:t>m³/a，排水量按用水量的80%计算，则生活污水产生量为</w:t>
            </w:r>
            <w:r>
              <w:rPr>
                <w:rFonts w:hint="eastAsia"/>
                <w:color w:val="auto"/>
                <w:lang w:val="en-US" w:eastAsia="zh-CN"/>
              </w:rPr>
              <w:t>600</w:t>
            </w:r>
            <w:r>
              <w:rPr>
                <w:color w:val="auto"/>
              </w:rPr>
              <w:t>m³/a。</w:t>
            </w:r>
          </w:p>
          <w:p w14:paraId="68CE6427">
            <w:pPr>
              <w:numPr>
                <w:ilvl w:val="0"/>
                <w:numId w:val="0"/>
              </w:numPr>
              <w:tabs>
                <w:tab w:val="left" w:pos="2790"/>
              </w:tabs>
              <w:adjustRightInd w:val="0"/>
              <w:snapToGrid w:val="0"/>
              <w:spacing w:line="360" w:lineRule="auto"/>
              <w:ind w:firstLine="480" w:firstLineChars="200"/>
              <w:rPr>
                <w:rFonts w:hint="eastAsia"/>
                <w:color w:val="auto"/>
                <w:lang w:val="en-US" w:eastAsia="zh-CN"/>
              </w:rPr>
            </w:pPr>
            <w:r>
              <w:rPr>
                <w:rFonts w:hint="eastAsia" w:ascii="Times New Roman" w:hAnsi="Times New Roman" w:eastAsia="宋体" w:cs="Times New Roman"/>
                <w:color w:val="auto"/>
                <w:kern w:val="2"/>
                <w:sz w:val="24"/>
                <w:szCs w:val="24"/>
                <w:lang w:val="en-US" w:eastAsia="zh-CN" w:bidi="ar-SA"/>
              </w:rPr>
              <w:t>（2）</w:t>
            </w:r>
            <w:r>
              <w:rPr>
                <w:rFonts w:hint="eastAsia"/>
                <w:color w:val="auto"/>
                <w:lang w:val="en-US" w:eastAsia="zh-CN"/>
              </w:rPr>
              <w:t>生产用水</w:t>
            </w:r>
          </w:p>
          <w:p w14:paraId="467B3A0A">
            <w:pPr>
              <w:keepNext w:val="0"/>
              <w:keepLines w:val="0"/>
              <w:pageBreakBefore w:val="0"/>
              <w:widowControl w:val="0"/>
              <w:numPr>
                <w:ilvl w:val="0"/>
                <w:numId w:val="0"/>
              </w:numPr>
              <w:tabs>
                <w:tab w:val="left" w:pos="2790"/>
              </w:tabs>
              <w:kinsoku/>
              <w:wordWrap/>
              <w:overflowPunct/>
              <w:topLinePunct w:val="0"/>
              <w:autoSpaceDE/>
              <w:autoSpaceDN/>
              <w:bidi w:val="0"/>
              <w:adjustRightInd w:val="0"/>
              <w:snapToGrid w:val="0"/>
              <w:spacing w:line="360" w:lineRule="auto"/>
              <w:ind w:firstLine="480" w:firstLineChars="200"/>
              <w:textAlignment w:val="auto"/>
              <w:rPr>
                <w:rFonts w:hint="default"/>
                <w:color w:val="auto"/>
                <w:lang w:val="en-US" w:eastAsia="zh-CN"/>
              </w:rPr>
            </w:pPr>
            <w:r>
              <w:rPr>
                <w:rFonts w:hint="default" w:ascii="Times New Roman" w:hAnsi="Times New Roman" w:cs="Times New Roman"/>
                <w:color w:val="auto"/>
                <w:sz w:val="24"/>
                <w:szCs w:val="24"/>
              </w:rPr>
              <w:t>根据纺织行业设备运行经验，</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台喷水织机用水量约为</w:t>
            </w:r>
            <w:r>
              <w:rPr>
                <w:rFonts w:hint="eastAsia" w:cs="Times New Roman"/>
                <w:color w:val="auto"/>
                <w:sz w:val="24"/>
                <w:szCs w:val="24"/>
                <w:lang w:val="en-US" w:eastAsia="zh-CN"/>
              </w:rPr>
              <w:t>3</w:t>
            </w:r>
            <w:r>
              <w:rPr>
                <w:rFonts w:hint="default" w:ascii="Times New Roman" w:hAnsi="Times New Roman" w:cs="Times New Roman"/>
                <w:color w:val="auto"/>
                <w:sz w:val="24"/>
                <w:szCs w:val="24"/>
                <w:lang w:val="en-US" w:eastAsia="zh-CN"/>
              </w:rPr>
              <w:t>t</w:t>
            </w:r>
            <w:r>
              <w:rPr>
                <w:rFonts w:hint="default" w:ascii="Times New Roman" w:hAnsi="Times New Roman" w:cs="Times New Roman"/>
                <w:color w:val="auto"/>
                <w:sz w:val="24"/>
                <w:szCs w:val="24"/>
              </w:rPr>
              <w:t>/d，项目</w:t>
            </w:r>
            <w:r>
              <w:rPr>
                <w:rFonts w:hint="eastAsia" w:ascii="Times New Roman" w:hAnsi="Times New Roman" w:cs="Times New Roman"/>
                <w:color w:val="auto"/>
                <w:sz w:val="24"/>
                <w:szCs w:val="24"/>
                <w:lang w:val="en-US" w:eastAsia="zh-CN"/>
              </w:rPr>
              <w:t>30</w:t>
            </w:r>
            <w:r>
              <w:rPr>
                <w:rFonts w:hint="default" w:ascii="Times New Roman" w:hAnsi="Times New Roman" w:cs="Times New Roman"/>
                <w:color w:val="auto"/>
                <w:sz w:val="24"/>
                <w:szCs w:val="24"/>
              </w:rPr>
              <w:t>0台喷水织机用水量约为</w:t>
            </w:r>
            <w:r>
              <w:rPr>
                <w:rFonts w:hint="eastAsia" w:cs="Times New Roman"/>
                <w:color w:val="auto"/>
                <w:sz w:val="24"/>
                <w:szCs w:val="24"/>
                <w:lang w:val="en-US" w:eastAsia="zh-CN"/>
              </w:rPr>
              <w:t>9</w:t>
            </w:r>
            <w:r>
              <w:rPr>
                <w:rFonts w:hint="eastAsia" w:ascii="Times New Roman" w:hAnsi="Times New Roman" w:cs="Times New Roman"/>
                <w:color w:val="auto"/>
                <w:sz w:val="24"/>
                <w:szCs w:val="24"/>
                <w:lang w:val="en-US" w:eastAsia="zh-CN"/>
              </w:rPr>
              <w:t>00</w:t>
            </w:r>
            <w:r>
              <w:rPr>
                <w:rFonts w:hint="default" w:ascii="Times New Roman" w:hAnsi="Times New Roman" w:cs="Times New Roman"/>
                <w:color w:val="auto"/>
                <w:sz w:val="24"/>
                <w:szCs w:val="24"/>
              </w:rPr>
              <w:t>t/d（</w:t>
            </w:r>
            <w:r>
              <w:rPr>
                <w:rFonts w:hint="eastAsia" w:cs="Times New Roman"/>
                <w:color w:val="auto"/>
                <w:sz w:val="24"/>
                <w:szCs w:val="24"/>
                <w:lang w:val="en-US" w:eastAsia="zh-CN"/>
              </w:rPr>
              <w:t>27</w:t>
            </w:r>
            <w:r>
              <w:rPr>
                <w:rFonts w:hint="eastAsia" w:ascii="Times New Roman" w:hAnsi="Times New Roman" w:cs="Times New Roman"/>
                <w:color w:val="auto"/>
                <w:sz w:val="24"/>
                <w:szCs w:val="24"/>
                <w:lang w:val="en-US" w:eastAsia="zh-CN"/>
              </w:rPr>
              <w:t>0000</w:t>
            </w:r>
            <w:r>
              <w:rPr>
                <w:rFonts w:hint="default" w:ascii="Times New Roman" w:hAnsi="Times New Roman" w:cs="Times New Roman"/>
                <w:color w:val="auto"/>
                <w:sz w:val="24"/>
                <w:szCs w:val="24"/>
              </w:rPr>
              <w:t>t/a），损耗量约为10%，即</w:t>
            </w:r>
            <w:r>
              <w:rPr>
                <w:rFonts w:hint="eastAsia" w:cs="Times New Roman"/>
                <w:color w:val="auto"/>
                <w:sz w:val="24"/>
                <w:szCs w:val="24"/>
                <w:lang w:val="en-US" w:eastAsia="zh-CN"/>
              </w:rPr>
              <w:t>9</w:t>
            </w:r>
            <w:r>
              <w:rPr>
                <w:rFonts w:hint="eastAsia" w:ascii="Times New Roman" w:hAnsi="Times New Roman" w:cs="Times New Roman"/>
                <w:color w:val="auto"/>
                <w:sz w:val="24"/>
                <w:szCs w:val="24"/>
                <w:lang w:val="en-US" w:eastAsia="zh-CN"/>
              </w:rPr>
              <w:t>0</w:t>
            </w:r>
            <w:r>
              <w:rPr>
                <w:rFonts w:hint="default" w:ascii="Times New Roman" w:hAnsi="Times New Roman" w:cs="Times New Roman"/>
                <w:color w:val="auto"/>
                <w:sz w:val="24"/>
                <w:szCs w:val="24"/>
                <w:lang w:val="en-US" w:eastAsia="zh-CN"/>
              </w:rPr>
              <w:t>t</w:t>
            </w:r>
            <w:r>
              <w:rPr>
                <w:rFonts w:hint="default" w:ascii="Times New Roman" w:hAnsi="Times New Roman" w:cs="Times New Roman"/>
                <w:color w:val="auto"/>
                <w:sz w:val="24"/>
                <w:szCs w:val="24"/>
              </w:rPr>
              <w:t>/d（</w:t>
            </w:r>
            <w:r>
              <w:rPr>
                <w:rFonts w:hint="eastAsia" w:cs="Times New Roman"/>
                <w:color w:val="auto"/>
                <w:sz w:val="24"/>
                <w:szCs w:val="24"/>
                <w:lang w:val="en-US" w:eastAsia="zh-CN"/>
              </w:rPr>
              <w:t>27</w:t>
            </w:r>
            <w:r>
              <w:rPr>
                <w:rFonts w:hint="eastAsia" w:ascii="Times New Roman" w:hAnsi="Times New Roman" w:cs="Times New Roman"/>
                <w:color w:val="auto"/>
                <w:sz w:val="24"/>
                <w:szCs w:val="24"/>
                <w:lang w:val="en-US" w:eastAsia="zh-CN"/>
              </w:rPr>
              <w:t>000</w:t>
            </w:r>
            <w:r>
              <w:rPr>
                <w:rFonts w:hint="default" w:ascii="Times New Roman" w:hAnsi="Times New Roman" w:cs="Times New Roman"/>
                <w:color w:val="auto"/>
                <w:sz w:val="24"/>
                <w:szCs w:val="24"/>
              </w:rPr>
              <w:t>t/a），织造废水产生量为用水量的90%即</w:t>
            </w:r>
            <w:r>
              <w:rPr>
                <w:rFonts w:hint="eastAsia" w:cs="Times New Roman"/>
                <w:color w:val="auto"/>
                <w:sz w:val="24"/>
                <w:szCs w:val="24"/>
                <w:lang w:val="en-US" w:eastAsia="zh-CN"/>
              </w:rPr>
              <w:t>810</w:t>
            </w:r>
            <w:r>
              <w:rPr>
                <w:rFonts w:hint="default" w:ascii="Times New Roman" w:hAnsi="Times New Roman" w:cs="Times New Roman"/>
                <w:color w:val="auto"/>
                <w:sz w:val="24"/>
                <w:szCs w:val="24"/>
              </w:rPr>
              <w:t>t/d（</w:t>
            </w:r>
            <w:r>
              <w:rPr>
                <w:rFonts w:hint="eastAsia" w:cs="Times New Roman"/>
                <w:color w:val="auto"/>
                <w:sz w:val="24"/>
                <w:szCs w:val="24"/>
                <w:lang w:val="en-US" w:eastAsia="zh-CN"/>
              </w:rPr>
              <w:t>243</w:t>
            </w:r>
            <w:r>
              <w:rPr>
                <w:rFonts w:hint="eastAsia" w:ascii="Times New Roman" w:hAnsi="Times New Roman" w:cs="Times New Roman"/>
                <w:color w:val="auto"/>
                <w:sz w:val="24"/>
                <w:szCs w:val="24"/>
                <w:lang w:val="en-US" w:eastAsia="zh-CN"/>
              </w:rPr>
              <w:t>000</w:t>
            </w:r>
            <w:r>
              <w:rPr>
                <w:rFonts w:hint="default" w:ascii="Times New Roman" w:hAnsi="Times New Roman" w:cs="Times New Roman"/>
                <w:color w:val="auto"/>
                <w:sz w:val="24"/>
                <w:szCs w:val="24"/>
              </w:rPr>
              <w:t>t/a）。</w:t>
            </w:r>
          </w:p>
          <w:p w14:paraId="7946FA43">
            <w:pPr>
              <w:pStyle w:val="14"/>
              <w:ind w:left="0" w:leftChars="0" w:firstLine="0" w:firstLineChars="0"/>
              <w:rPr>
                <w:rFonts w:hint="eastAsia"/>
                <w:lang w:eastAsia="zh-CN"/>
              </w:rPr>
            </w:pPr>
            <w:r>
              <w:rPr>
                <w:sz w:val="24"/>
              </w:rPr>
              <mc:AlternateContent>
                <mc:Choice Requires="wpg">
                  <w:drawing>
                    <wp:anchor distT="0" distB="0" distL="114300" distR="114300" simplePos="0" relativeHeight="251662336" behindDoc="0" locked="0" layoutInCell="1" allowOverlap="1">
                      <wp:simplePos x="0" y="0"/>
                      <wp:positionH relativeFrom="column">
                        <wp:posOffset>154940</wp:posOffset>
                      </wp:positionH>
                      <wp:positionV relativeFrom="paragraph">
                        <wp:posOffset>13335</wp:posOffset>
                      </wp:positionV>
                      <wp:extent cx="4745990" cy="2317750"/>
                      <wp:effectExtent l="0" t="0" r="0" b="0"/>
                      <wp:wrapNone/>
                      <wp:docPr id="39" name="组合 39"/>
                      <wp:cNvGraphicFramePr/>
                      <a:graphic xmlns:a="http://schemas.openxmlformats.org/drawingml/2006/main">
                        <a:graphicData uri="http://schemas.microsoft.com/office/word/2010/wordprocessingGroup">
                          <wpg:wgp>
                            <wpg:cNvGrpSpPr/>
                            <wpg:grpSpPr>
                              <a:xfrm>
                                <a:off x="0" y="0"/>
                                <a:ext cx="4745990" cy="2317750"/>
                                <a:chOff x="3927" y="314957"/>
                                <a:chExt cx="7474" cy="3650"/>
                              </a:xfrm>
                            </wpg:grpSpPr>
                            <wps:wsp>
                              <wps:cNvPr id="8" name="文本框 8"/>
                              <wps:cNvSpPr txBox="1"/>
                              <wps:spPr>
                                <a:xfrm>
                                  <a:off x="6467" y="314957"/>
                                  <a:ext cx="1274" cy="570"/>
                                </a:xfrm>
                                <a:prstGeom prst="rect">
                                  <a:avLst/>
                                </a:prstGeom>
                                <a:noFill/>
                                <a:ln>
                                  <a:noFill/>
                                </a:ln>
                              </wps:spPr>
                              <wps:txbx>
                                <w:txbxContent>
                                  <w:p w14:paraId="62CA2947">
                                    <w:pPr>
                                      <w:ind w:left="0" w:leftChars="0" w:firstLine="0" w:firstLineChars="0"/>
                                      <w:rPr>
                                        <w:rFonts w:hint="default" w:eastAsia="宋体"/>
                                        <w:sz w:val="21"/>
                                        <w:szCs w:val="21"/>
                                        <w:lang w:val="en-US" w:eastAsia="zh-CN"/>
                                      </w:rPr>
                                    </w:pPr>
                                    <w:r>
                                      <w:rPr>
                                        <w:rFonts w:hint="eastAsia"/>
                                        <w:sz w:val="21"/>
                                        <w:szCs w:val="21"/>
                                        <w:lang w:val="en-US" w:eastAsia="zh-CN"/>
                                      </w:rPr>
                                      <w:t>损耗150</w:t>
                                    </w:r>
                                  </w:p>
                                </w:txbxContent>
                              </wps:txbx>
                              <wps:bodyPr upright="1"/>
                            </wps:wsp>
                            <wps:wsp>
                              <wps:cNvPr id="9" name="文本框 9"/>
                              <wps:cNvSpPr txBox="1"/>
                              <wps:spPr>
                                <a:xfrm>
                                  <a:off x="5567" y="315707"/>
                                  <a:ext cx="1184"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E58696">
                                    <w:pPr>
                                      <w:ind w:left="0" w:leftChars="0" w:firstLine="0" w:firstLineChars="0"/>
                                      <w:rPr>
                                        <w:rFonts w:hint="default" w:eastAsia="宋体"/>
                                        <w:sz w:val="21"/>
                                        <w:szCs w:val="21"/>
                                        <w:lang w:val="en-US" w:eastAsia="zh-CN"/>
                                      </w:rPr>
                                    </w:pPr>
                                    <w:r>
                                      <w:rPr>
                                        <w:rFonts w:hint="eastAsia"/>
                                        <w:sz w:val="21"/>
                                        <w:szCs w:val="21"/>
                                        <w:lang w:val="en-US" w:eastAsia="zh-CN"/>
                                      </w:rPr>
                                      <w:t>生活用水</w:t>
                                    </w:r>
                                  </w:p>
                                </w:txbxContent>
                              </wps:txbx>
                              <wps:bodyPr upright="1"/>
                            </wps:wsp>
                            <wps:wsp>
                              <wps:cNvPr id="11" name="直接连接符 11"/>
                              <wps:cNvCnPr/>
                              <wps:spPr>
                                <a:xfrm>
                                  <a:off x="6767" y="315992"/>
                                  <a:ext cx="600" cy="1"/>
                                </a:xfrm>
                                <a:prstGeom prst="line">
                                  <a:avLst/>
                                </a:prstGeom>
                                <a:ln w="9525" cap="flat" cmpd="sng">
                                  <a:solidFill>
                                    <a:srgbClr val="000000"/>
                                  </a:solidFill>
                                  <a:prstDash val="solid"/>
                                  <a:headEnd type="none" w="med" len="med"/>
                                  <a:tailEnd type="triangle" w="med" len="med"/>
                                </a:ln>
                              </wps:spPr>
                              <wps:bodyPr upright="1"/>
                            </wps:wsp>
                            <wps:wsp>
                              <wps:cNvPr id="13" name="文本框 13"/>
                              <wps:cNvSpPr txBox="1"/>
                              <wps:spPr>
                                <a:xfrm>
                                  <a:off x="7352" y="315722"/>
                                  <a:ext cx="1049"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6FC5E7">
                                    <w:pPr>
                                      <w:ind w:left="0" w:leftChars="0" w:firstLine="0" w:firstLineChars="0"/>
                                      <w:jc w:val="center"/>
                                      <w:rPr>
                                        <w:rFonts w:hint="default" w:eastAsia="宋体"/>
                                        <w:sz w:val="21"/>
                                        <w:szCs w:val="21"/>
                                        <w:lang w:val="en-US" w:eastAsia="zh-CN"/>
                                      </w:rPr>
                                    </w:pPr>
                                    <w:r>
                                      <w:rPr>
                                        <w:rFonts w:hint="eastAsia"/>
                                        <w:sz w:val="21"/>
                                        <w:szCs w:val="21"/>
                                        <w:lang w:val="en-US" w:eastAsia="zh-CN"/>
                                      </w:rPr>
                                      <w:t>化粪池</w:t>
                                    </w:r>
                                  </w:p>
                                </w:txbxContent>
                              </wps:txbx>
                              <wps:bodyPr upright="1"/>
                            </wps:wsp>
                            <wps:wsp>
                              <wps:cNvPr id="14" name="直接连接符 14"/>
                              <wps:cNvCnPr/>
                              <wps:spPr>
                                <a:xfrm>
                                  <a:off x="8402" y="316022"/>
                                  <a:ext cx="780" cy="1"/>
                                </a:xfrm>
                                <a:prstGeom prst="line">
                                  <a:avLst/>
                                </a:prstGeom>
                                <a:ln w="9525" cap="flat" cmpd="sng">
                                  <a:solidFill>
                                    <a:srgbClr val="000000"/>
                                  </a:solidFill>
                                  <a:prstDash val="solid"/>
                                  <a:headEnd type="none" w="med" len="med"/>
                                  <a:tailEnd type="triangle" w="med" len="med"/>
                                </a:ln>
                              </wps:spPr>
                              <wps:bodyPr upright="1"/>
                            </wps:wsp>
                            <wps:wsp>
                              <wps:cNvPr id="15" name="文本框 15"/>
                              <wps:cNvSpPr txBox="1"/>
                              <wps:spPr>
                                <a:xfrm>
                                  <a:off x="3927" y="316616"/>
                                  <a:ext cx="974" cy="570"/>
                                </a:xfrm>
                                <a:prstGeom prst="rect">
                                  <a:avLst/>
                                </a:prstGeom>
                                <a:noFill/>
                                <a:ln>
                                  <a:noFill/>
                                </a:ln>
                              </wps:spPr>
                              <wps:txbx>
                                <w:txbxContent>
                                  <w:p w14:paraId="20229403">
                                    <w:pPr>
                                      <w:ind w:left="0" w:leftChars="0" w:firstLine="0" w:firstLineChars="0"/>
                                      <w:rPr>
                                        <w:rFonts w:hint="default" w:eastAsia="宋体"/>
                                        <w:sz w:val="21"/>
                                        <w:szCs w:val="21"/>
                                        <w:lang w:val="en-US" w:eastAsia="zh-CN"/>
                                      </w:rPr>
                                    </w:pPr>
                                    <w:r>
                                      <w:rPr>
                                        <w:rFonts w:hint="eastAsia"/>
                                        <w:sz w:val="21"/>
                                        <w:szCs w:val="21"/>
                                        <w:lang w:val="en-US" w:eastAsia="zh-CN"/>
                                      </w:rPr>
                                      <w:t>新鲜水</w:t>
                                    </w:r>
                                  </w:p>
                                </w:txbxContent>
                              </wps:txbx>
                              <wps:bodyPr upright="1"/>
                            </wps:wsp>
                            <wps:wsp>
                              <wps:cNvPr id="16" name="曲线连接符 16"/>
                              <wps:cNvCnPr/>
                              <wps:spPr>
                                <a:xfrm flipV="1">
                                  <a:off x="6141" y="315410"/>
                                  <a:ext cx="465" cy="300"/>
                                </a:xfrm>
                                <a:prstGeom prst="curvedConnector3">
                                  <a:avLst>
                                    <a:gd name="adj1" fmla="val 56343"/>
                                  </a:avLst>
                                </a:prstGeom>
                                <a:ln w="9525" cap="flat" cmpd="sng">
                                  <a:solidFill>
                                    <a:srgbClr val="000000"/>
                                  </a:solidFill>
                                  <a:prstDash val="solid"/>
                                  <a:round/>
                                  <a:headEnd type="none" w="med" len="med"/>
                                  <a:tailEnd type="triangle" w="med" len="med"/>
                                </a:ln>
                              </wps:spPr>
                              <wps:bodyPr/>
                            </wps:wsp>
                            <wps:wsp>
                              <wps:cNvPr id="17" name="文本框 17"/>
                              <wps:cNvSpPr txBox="1"/>
                              <wps:spPr>
                                <a:xfrm>
                                  <a:off x="6662" y="315512"/>
                                  <a:ext cx="974" cy="570"/>
                                </a:xfrm>
                                <a:prstGeom prst="rect">
                                  <a:avLst/>
                                </a:prstGeom>
                                <a:noFill/>
                                <a:ln>
                                  <a:noFill/>
                                </a:ln>
                              </wps:spPr>
                              <wps:txbx>
                                <w:txbxContent>
                                  <w:p w14:paraId="75DE47B9">
                                    <w:pPr>
                                      <w:ind w:left="0" w:leftChars="0" w:firstLine="0" w:firstLineChars="0"/>
                                      <w:rPr>
                                        <w:rFonts w:hint="default" w:eastAsia="宋体"/>
                                        <w:sz w:val="21"/>
                                        <w:szCs w:val="21"/>
                                        <w:lang w:val="en-US" w:eastAsia="zh-CN"/>
                                      </w:rPr>
                                    </w:pPr>
                                    <w:r>
                                      <w:rPr>
                                        <w:rFonts w:hint="eastAsia"/>
                                        <w:sz w:val="21"/>
                                        <w:szCs w:val="21"/>
                                        <w:lang w:val="en-US" w:eastAsia="zh-CN"/>
                                      </w:rPr>
                                      <w:t>600</w:t>
                                    </w:r>
                                  </w:p>
                                </w:txbxContent>
                              </wps:txbx>
                              <wps:bodyPr upright="1"/>
                            </wps:wsp>
                            <wps:wsp>
                              <wps:cNvPr id="18" name="文本框 18"/>
                              <wps:cNvSpPr txBox="1"/>
                              <wps:spPr>
                                <a:xfrm>
                                  <a:off x="9108" y="315707"/>
                                  <a:ext cx="2293" cy="524"/>
                                </a:xfrm>
                                <a:prstGeom prst="rect">
                                  <a:avLst/>
                                </a:prstGeom>
                                <a:noFill/>
                                <a:ln>
                                  <a:noFill/>
                                </a:ln>
                              </wps:spPr>
                              <wps:txbx>
                                <w:txbxContent>
                                  <w:p w14:paraId="2F48C4B9">
                                    <w:pPr>
                                      <w:ind w:left="0" w:leftChars="0" w:firstLine="0" w:firstLineChars="0"/>
                                      <w:rPr>
                                        <w:rFonts w:hint="default" w:eastAsia="宋体"/>
                                        <w:sz w:val="21"/>
                                        <w:szCs w:val="21"/>
                                        <w:lang w:val="en-US" w:eastAsia="zh-CN"/>
                                      </w:rPr>
                                    </w:pPr>
                                    <w:r>
                                      <w:rPr>
                                        <w:rFonts w:hint="eastAsia"/>
                                        <w:sz w:val="21"/>
                                        <w:szCs w:val="21"/>
                                        <w:lang w:val="en-US" w:eastAsia="zh-CN"/>
                                      </w:rPr>
                                      <w:t>新袁镇污水处理厂</w:t>
                                    </w:r>
                                  </w:p>
                                </w:txbxContent>
                              </wps:txbx>
                              <wps:bodyPr upright="1"/>
                            </wps:wsp>
                            <wps:wsp>
                              <wps:cNvPr id="23" name="直接连接符 23"/>
                              <wps:cNvCnPr/>
                              <wps:spPr>
                                <a:xfrm flipH="1">
                                  <a:off x="4800" y="316018"/>
                                  <a:ext cx="5" cy="1566"/>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9" name="文本框 19"/>
                              <wps:cNvSpPr txBox="1"/>
                              <wps:spPr>
                                <a:xfrm>
                                  <a:off x="8462" y="315542"/>
                                  <a:ext cx="974" cy="570"/>
                                </a:xfrm>
                                <a:prstGeom prst="rect">
                                  <a:avLst/>
                                </a:prstGeom>
                                <a:noFill/>
                                <a:ln>
                                  <a:noFill/>
                                </a:ln>
                              </wps:spPr>
                              <wps:txbx>
                                <w:txbxContent>
                                  <w:p w14:paraId="4FB4A0F5">
                                    <w:pPr>
                                      <w:ind w:left="0" w:leftChars="0" w:firstLine="0" w:firstLineChars="0"/>
                                      <w:rPr>
                                        <w:rFonts w:hint="default" w:eastAsia="宋体"/>
                                        <w:sz w:val="21"/>
                                        <w:szCs w:val="21"/>
                                        <w:lang w:val="en-US" w:eastAsia="zh-CN"/>
                                      </w:rPr>
                                    </w:pPr>
                                    <w:r>
                                      <w:rPr>
                                        <w:rFonts w:hint="eastAsia"/>
                                        <w:sz w:val="21"/>
                                        <w:szCs w:val="21"/>
                                        <w:lang w:val="en-US" w:eastAsia="zh-CN"/>
                                      </w:rPr>
                                      <w:t>600</w:t>
                                    </w:r>
                                  </w:p>
                                </w:txbxContent>
                              </wps:txbx>
                              <wps:bodyPr upright="1"/>
                            </wps:wsp>
                            <wps:wsp>
                              <wps:cNvPr id="20" name="直接连接符 20"/>
                              <wps:cNvCnPr/>
                              <wps:spPr>
                                <a:xfrm>
                                  <a:off x="4802" y="316022"/>
                                  <a:ext cx="794" cy="1"/>
                                </a:xfrm>
                                <a:prstGeom prst="line">
                                  <a:avLst/>
                                </a:prstGeom>
                                <a:ln w="9525" cap="flat" cmpd="sng">
                                  <a:solidFill>
                                    <a:srgbClr val="000000"/>
                                  </a:solidFill>
                                  <a:prstDash val="solid"/>
                                  <a:headEnd type="none" w="med" len="med"/>
                                  <a:tailEnd type="triangle" w="med" len="med"/>
                                </a:ln>
                              </wps:spPr>
                              <wps:bodyPr upright="1"/>
                            </wps:wsp>
                            <wps:wsp>
                              <wps:cNvPr id="21" name="文本框 21"/>
                              <wps:cNvSpPr txBox="1"/>
                              <wps:spPr>
                                <a:xfrm>
                                  <a:off x="4793" y="315577"/>
                                  <a:ext cx="899" cy="570"/>
                                </a:xfrm>
                                <a:prstGeom prst="rect">
                                  <a:avLst/>
                                </a:prstGeom>
                                <a:noFill/>
                                <a:ln>
                                  <a:noFill/>
                                </a:ln>
                              </wps:spPr>
                              <wps:txbx>
                                <w:txbxContent>
                                  <w:p w14:paraId="7396E3A2">
                                    <w:pPr>
                                      <w:ind w:left="0" w:leftChars="0" w:firstLine="0" w:firstLineChars="0"/>
                                      <w:rPr>
                                        <w:rFonts w:hint="default" w:eastAsia="宋体"/>
                                        <w:sz w:val="21"/>
                                        <w:szCs w:val="21"/>
                                        <w:lang w:val="en-US" w:eastAsia="zh-CN"/>
                                      </w:rPr>
                                    </w:pPr>
                                    <w:r>
                                      <w:rPr>
                                        <w:rFonts w:hint="eastAsia"/>
                                        <w:sz w:val="21"/>
                                        <w:szCs w:val="21"/>
                                        <w:lang w:val="en-US" w:eastAsia="zh-CN"/>
                                      </w:rPr>
                                      <w:t>750</w:t>
                                    </w:r>
                                  </w:p>
                                </w:txbxContent>
                              </wps:txbx>
                              <wps:bodyPr upright="1"/>
                            </wps:wsp>
                            <wps:wsp>
                              <wps:cNvPr id="24" name="直接连接符 24"/>
                              <wps:cNvCnPr/>
                              <wps:spPr>
                                <a:xfrm>
                                  <a:off x="4802" y="317583"/>
                                  <a:ext cx="794" cy="1"/>
                                </a:xfrm>
                                <a:prstGeom prst="line">
                                  <a:avLst/>
                                </a:prstGeom>
                                <a:ln w="9525" cap="flat" cmpd="sng">
                                  <a:solidFill>
                                    <a:srgbClr val="000000"/>
                                  </a:solidFill>
                                  <a:prstDash val="solid"/>
                                  <a:headEnd type="none" w="med" len="med"/>
                                  <a:tailEnd type="triangle" w="med" len="med"/>
                                </a:ln>
                              </wps:spPr>
                              <wps:bodyPr upright="1"/>
                            </wps:wsp>
                            <wps:wsp>
                              <wps:cNvPr id="25" name="文本框 25"/>
                              <wps:cNvSpPr txBox="1"/>
                              <wps:spPr>
                                <a:xfrm>
                                  <a:off x="4769" y="317099"/>
                                  <a:ext cx="899" cy="570"/>
                                </a:xfrm>
                                <a:prstGeom prst="rect">
                                  <a:avLst/>
                                </a:prstGeom>
                                <a:noFill/>
                                <a:ln>
                                  <a:noFill/>
                                </a:ln>
                              </wps:spPr>
                              <wps:txbx>
                                <w:txbxContent>
                                  <w:p w14:paraId="33F692A9">
                                    <w:pPr>
                                      <w:ind w:left="0" w:leftChars="0" w:firstLine="0" w:firstLineChars="0"/>
                                      <w:rPr>
                                        <w:rFonts w:hint="default" w:eastAsia="宋体"/>
                                        <w:sz w:val="21"/>
                                        <w:szCs w:val="21"/>
                                        <w:lang w:val="en-US" w:eastAsia="zh-CN"/>
                                      </w:rPr>
                                    </w:pPr>
                                    <w:r>
                                      <w:rPr>
                                        <w:rFonts w:hint="eastAsia"/>
                                        <w:sz w:val="21"/>
                                        <w:szCs w:val="21"/>
                                        <w:lang w:val="en-US" w:eastAsia="zh-CN"/>
                                      </w:rPr>
                                      <w:t>27000</w:t>
                                    </w:r>
                                  </w:p>
                                </w:txbxContent>
                              </wps:txbx>
                              <wps:bodyPr upright="1"/>
                            </wps:wsp>
                            <wps:wsp>
                              <wps:cNvPr id="26" name="文本框 26"/>
                              <wps:cNvSpPr txBox="1"/>
                              <wps:spPr>
                                <a:xfrm>
                                  <a:off x="5605" y="317294"/>
                                  <a:ext cx="1184"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01D2C8">
                                    <w:pPr>
                                      <w:ind w:left="0" w:leftChars="0" w:firstLine="0" w:firstLineChars="0"/>
                                      <w:jc w:val="center"/>
                                      <w:rPr>
                                        <w:rFonts w:hint="default" w:eastAsia="宋体"/>
                                        <w:sz w:val="21"/>
                                        <w:szCs w:val="21"/>
                                        <w:lang w:val="en-US" w:eastAsia="zh-CN"/>
                                      </w:rPr>
                                    </w:pPr>
                                    <w:r>
                                      <w:rPr>
                                        <w:rFonts w:hint="eastAsia"/>
                                        <w:sz w:val="21"/>
                                        <w:szCs w:val="21"/>
                                        <w:lang w:val="en-US" w:eastAsia="zh-CN"/>
                                      </w:rPr>
                                      <w:t>织布用水</w:t>
                                    </w:r>
                                  </w:p>
                                </w:txbxContent>
                              </wps:txbx>
                              <wps:bodyPr upright="1"/>
                            </wps:wsp>
                            <wps:wsp>
                              <wps:cNvPr id="27" name="直接连接符 27"/>
                              <wps:cNvCnPr/>
                              <wps:spPr>
                                <a:xfrm>
                                  <a:off x="6802" y="317572"/>
                                  <a:ext cx="794" cy="1"/>
                                </a:xfrm>
                                <a:prstGeom prst="line">
                                  <a:avLst/>
                                </a:prstGeom>
                                <a:ln w="9525" cap="flat" cmpd="sng">
                                  <a:solidFill>
                                    <a:srgbClr val="000000"/>
                                  </a:solidFill>
                                  <a:prstDash val="solid"/>
                                  <a:headEnd type="none" w="med" len="med"/>
                                  <a:tailEnd type="triangle" w="med" len="med"/>
                                </a:ln>
                              </wps:spPr>
                              <wps:bodyPr upright="1"/>
                            </wps:wsp>
                            <wps:wsp>
                              <wps:cNvPr id="28" name="文本框 28"/>
                              <wps:cNvSpPr txBox="1"/>
                              <wps:spPr>
                                <a:xfrm>
                                  <a:off x="7640" y="317310"/>
                                  <a:ext cx="1049" cy="5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BF9E0B">
                                    <w:pPr>
                                      <w:ind w:left="0" w:leftChars="0" w:firstLine="0" w:firstLineChars="0"/>
                                      <w:jc w:val="center"/>
                                      <w:rPr>
                                        <w:rFonts w:hint="default" w:eastAsia="宋体"/>
                                        <w:sz w:val="21"/>
                                        <w:szCs w:val="21"/>
                                        <w:lang w:val="en-US" w:eastAsia="zh-CN"/>
                                      </w:rPr>
                                    </w:pPr>
                                    <w:r>
                                      <w:rPr>
                                        <w:rFonts w:hint="eastAsia"/>
                                        <w:sz w:val="21"/>
                                        <w:szCs w:val="21"/>
                                        <w:lang w:val="en-US" w:eastAsia="zh-CN"/>
                                      </w:rPr>
                                      <w:t>污水站</w:t>
                                    </w:r>
                                  </w:p>
                                </w:txbxContent>
                              </wps:txbx>
                              <wps:bodyPr upright="1"/>
                            </wps:wsp>
                            <wps:wsp>
                              <wps:cNvPr id="29" name="直接连接符 29"/>
                              <wps:cNvCnPr>
                                <a:stCxn id="28" idx="2"/>
                              </wps:cNvCnPr>
                              <wps:spPr>
                                <a:xfrm>
                                  <a:off x="8165" y="317880"/>
                                  <a:ext cx="10" cy="574"/>
                                </a:xfrm>
                                <a:prstGeom prst="line">
                                  <a:avLst/>
                                </a:prstGeom>
                                <a:ln w="12700" cmpd="sng">
                                  <a:solidFill>
                                    <a:schemeClr val="tx1"/>
                                  </a:solidFill>
                                  <a:prstDash val="sysDot"/>
                                </a:ln>
                              </wps:spPr>
                              <wps:style>
                                <a:lnRef idx="2">
                                  <a:schemeClr val="accent1"/>
                                </a:lnRef>
                                <a:fillRef idx="0">
                                  <a:srgbClr val="FFFFFF"/>
                                </a:fillRef>
                                <a:effectRef idx="0">
                                  <a:srgbClr val="FFFFFF"/>
                                </a:effectRef>
                                <a:fontRef idx="minor">
                                  <a:schemeClr val="tx1"/>
                                </a:fontRef>
                              </wps:style>
                              <wps:bodyPr/>
                            </wps:wsp>
                            <wps:wsp>
                              <wps:cNvPr id="30" name="直接连接符 30"/>
                              <wps:cNvCnPr/>
                              <wps:spPr>
                                <a:xfrm flipH="1">
                                  <a:off x="6137" y="318452"/>
                                  <a:ext cx="1975" cy="0"/>
                                </a:xfrm>
                                <a:prstGeom prst="line">
                                  <a:avLst/>
                                </a:prstGeom>
                                <a:ln w="12700" cmpd="sng">
                                  <a:solidFill>
                                    <a:schemeClr val="tx1"/>
                                  </a:solidFill>
                                  <a:prstDash val="sysDot"/>
                                  <a:headEnd type="none"/>
                                  <a:tailEnd type="none"/>
                                </a:ln>
                              </wps:spPr>
                              <wps:style>
                                <a:lnRef idx="2">
                                  <a:schemeClr val="accent1"/>
                                </a:lnRef>
                                <a:fillRef idx="0">
                                  <a:srgbClr val="FFFFFF"/>
                                </a:fillRef>
                                <a:effectRef idx="0">
                                  <a:srgbClr val="FFFFFF"/>
                                </a:effectRef>
                                <a:fontRef idx="minor">
                                  <a:schemeClr val="tx1"/>
                                </a:fontRef>
                              </wps:style>
                              <wps:bodyPr/>
                            </wps:wsp>
                            <wps:wsp>
                              <wps:cNvPr id="31" name="直接箭头连接符 31"/>
                              <wps:cNvCnPr/>
                              <wps:spPr>
                                <a:xfrm flipV="1">
                                  <a:off x="6125" y="317941"/>
                                  <a:ext cx="0" cy="513"/>
                                </a:xfrm>
                                <a:prstGeom prst="straightConnector1">
                                  <a:avLst/>
                                </a:prstGeom>
                                <a:ln w="12700" cmpd="sng">
                                  <a:solidFill>
                                    <a:schemeClr val="tx1"/>
                                  </a:solidFill>
                                  <a:prstDash val="sysDot"/>
                                  <a:tailEnd type="triangle"/>
                                </a:ln>
                              </wps:spPr>
                              <wps:style>
                                <a:lnRef idx="2">
                                  <a:schemeClr val="accent1"/>
                                </a:lnRef>
                                <a:fillRef idx="0">
                                  <a:srgbClr val="FFFFFF"/>
                                </a:fillRef>
                                <a:effectRef idx="0">
                                  <a:srgbClr val="FFFFFF"/>
                                </a:effectRef>
                                <a:fontRef idx="minor">
                                  <a:schemeClr val="tx1"/>
                                </a:fontRef>
                              </wps:style>
                              <wps:bodyPr/>
                            </wps:wsp>
                            <wps:wsp>
                              <wps:cNvPr id="33" name="曲线连接符 33"/>
                              <wps:cNvCnPr/>
                              <wps:spPr>
                                <a:xfrm flipV="1">
                                  <a:off x="6104" y="316997"/>
                                  <a:ext cx="465" cy="300"/>
                                </a:xfrm>
                                <a:prstGeom prst="curvedConnector3">
                                  <a:avLst>
                                    <a:gd name="adj1" fmla="val 56343"/>
                                  </a:avLst>
                                </a:prstGeom>
                                <a:ln w="9525" cap="flat" cmpd="sng">
                                  <a:solidFill>
                                    <a:srgbClr val="000000"/>
                                  </a:solidFill>
                                  <a:prstDash val="solid"/>
                                  <a:round/>
                                  <a:headEnd type="none" w="med" len="med"/>
                                  <a:tailEnd type="triangle" w="med" len="med"/>
                                </a:ln>
                              </wps:spPr>
                              <wps:bodyPr/>
                            </wps:wsp>
                            <wps:wsp>
                              <wps:cNvPr id="34" name="文本框 34"/>
                              <wps:cNvSpPr txBox="1"/>
                              <wps:spPr>
                                <a:xfrm>
                                  <a:off x="6389" y="316534"/>
                                  <a:ext cx="1274" cy="570"/>
                                </a:xfrm>
                                <a:prstGeom prst="rect">
                                  <a:avLst/>
                                </a:prstGeom>
                                <a:noFill/>
                                <a:ln>
                                  <a:noFill/>
                                </a:ln>
                              </wps:spPr>
                              <wps:txbx>
                                <w:txbxContent>
                                  <w:p w14:paraId="7CF91A2F">
                                    <w:pPr>
                                      <w:ind w:left="0" w:leftChars="0" w:firstLine="0" w:firstLineChars="0"/>
                                      <w:rPr>
                                        <w:rFonts w:hint="default" w:eastAsia="宋体"/>
                                        <w:sz w:val="21"/>
                                        <w:szCs w:val="21"/>
                                        <w:lang w:val="en-US" w:eastAsia="zh-CN"/>
                                      </w:rPr>
                                    </w:pPr>
                                    <w:r>
                                      <w:rPr>
                                        <w:rFonts w:hint="eastAsia"/>
                                        <w:sz w:val="21"/>
                                        <w:szCs w:val="21"/>
                                        <w:lang w:val="en-US" w:eastAsia="zh-CN"/>
                                      </w:rPr>
                                      <w:t>损耗27000</w:t>
                                    </w:r>
                                  </w:p>
                                </w:txbxContent>
                              </wps:txbx>
                              <wps:bodyPr upright="1"/>
                            </wps:wsp>
                            <wps:wsp>
                              <wps:cNvPr id="35" name="直接连接符 35"/>
                              <wps:cNvCnPr/>
                              <wps:spPr>
                                <a:xfrm>
                                  <a:off x="4027" y="316722"/>
                                  <a:ext cx="794" cy="1"/>
                                </a:xfrm>
                                <a:prstGeom prst="line">
                                  <a:avLst/>
                                </a:prstGeom>
                                <a:ln w="9525" cap="flat" cmpd="sng">
                                  <a:solidFill>
                                    <a:srgbClr val="000000"/>
                                  </a:solidFill>
                                  <a:prstDash val="solid"/>
                                  <a:headEnd type="none" w="med" len="med"/>
                                  <a:tailEnd type="triangle" w="med" len="med"/>
                                </a:ln>
                              </wps:spPr>
                              <wps:bodyPr upright="1"/>
                            </wps:wsp>
                            <wps:wsp>
                              <wps:cNvPr id="36" name="文本框 36"/>
                              <wps:cNvSpPr txBox="1"/>
                              <wps:spPr>
                                <a:xfrm>
                                  <a:off x="3983" y="316230"/>
                                  <a:ext cx="974" cy="570"/>
                                </a:xfrm>
                                <a:prstGeom prst="rect">
                                  <a:avLst/>
                                </a:prstGeom>
                                <a:noFill/>
                                <a:ln>
                                  <a:noFill/>
                                </a:ln>
                              </wps:spPr>
                              <wps:txbx>
                                <w:txbxContent>
                                  <w:p w14:paraId="69545BB8">
                                    <w:pPr>
                                      <w:ind w:left="0" w:leftChars="0" w:firstLine="0" w:firstLineChars="0"/>
                                      <w:rPr>
                                        <w:rFonts w:hint="default" w:eastAsia="宋体"/>
                                        <w:sz w:val="21"/>
                                        <w:szCs w:val="21"/>
                                        <w:lang w:val="en-US" w:eastAsia="zh-CN"/>
                                      </w:rPr>
                                    </w:pPr>
                                    <w:r>
                                      <w:rPr>
                                        <w:rFonts w:hint="eastAsia"/>
                                        <w:sz w:val="21"/>
                                        <w:szCs w:val="21"/>
                                        <w:lang w:val="en-US" w:eastAsia="zh-CN"/>
                                      </w:rPr>
                                      <w:t>27750</w:t>
                                    </w:r>
                                  </w:p>
                                </w:txbxContent>
                              </wps:txbx>
                              <wps:bodyPr upright="1"/>
                            </wps:wsp>
                            <wps:wsp>
                              <wps:cNvPr id="37" name="文本框 37"/>
                              <wps:cNvSpPr txBox="1"/>
                              <wps:spPr>
                                <a:xfrm>
                                  <a:off x="6406" y="318037"/>
                                  <a:ext cx="1461" cy="570"/>
                                </a:xfrm>
                                <a:prstGeom prst="rect">
                                  <a:avLst/>
                                </a:prstGeom>
                                <a:noFill/>
                                <a:ln>
                                  <a:noFill/>
                                </a:ln>
                              </wps:spPr>
                              <wps:txbx>
                                <w:txbxContent>
                                  <w:p w14:paraId="6A8E415D">
                                    <w:pPr>
                                      <w:ind w:left="0" w:leftChars="0" w:firstLine="0" w:firstLineChars="0"/>
                                      <w:rPr>
                                        <w:rFonts w:hint="default" w:eastAsia="宋体"/>
                                        <w:sz w:val="21"/>
                                        <w:szCs w:val="21"/>
                                        <w:lang w:val="en-US" w:eastAsia="zh-CN"/>
                                      </w:rPr>
                                    </w:pPr>
                                    <w:r>
                                      <w:rPr>
                                        <w:rFonts w:hint="eastAsia"/>
                                        <w:sz w:val="21"/>
                                        <w:szCs w:val="21"/>
                                        <w:lang w:val="en-US" w:eastAsia="zh-CN"/>
                                      </w:rPr>
                                      <w:t>回用243000</w:t>
                                    </w:r>
                                  </w:p>
                                </w:txbxContent>
                              </wps:txbx>
                              <wps:bodyPr upright="1"/>
                            </wps:wsp>
                            <wps:wsp>
                              <wps:cNvPr id="38" name="文本框 38"/>
                              <wps:cNvSpPr txBox="1"/>
                              <wps:spPr>
                                <a:xfrm>
                                  <a:off x="6787" y="317075"/>
                                  <a:ext cx="943" cy="570"/>
                                </a:xfrm>
                                <a:prstGeom prst="rect">
                                  <a:avLst/>
                                </a:prstGeom>
                                <a:noFill/>
                                <a:ln>
                                  <a:noFill/>
                                </a:ln>
                              </wps:spPr>
                              <wps:txbx>
                                <w:txbxContent>
                                  <w:p w14:paraId="73B9CFAF">
                                    <w:pPr>
                                      <w:ind w:left="0" w:leftChars="0" w:firstLine="0" w:firstLineChars="0"/>
                                      <w:rPr>
                                        <w:rFonts w:hint="default" w:eastAsia="宋体"/>
                                        <w:sz w:val="21"/>
                                        <w:szCs w:val="21"/>
                                        <w:lang w:val="en-US" w:eastAsia="zh-CN"/>
                                      </w:rPr>
                                    </w:pPr>
                                    <w:r>
                                      <w:rPr>
                                        <w:rFonts w:hint="eastAsia"/>
                                        <w:sz w:val="21"/>
                                        <w:szCs w:val="21"/>
                                        <w:lang w:val="en-US" w:eastAsia="zh-CN"/>
                                      </w:rPr>
                                      <w:t>243000</w:t>
                                    </w:r>
                                  </w:p>
                                </w:txbxContent>
                              </wps:txbx>
                              <wps:bodyPr upright="1"/>
                            </wps:wsp>
                          </wpg:wgp>
                        </a:graphicData>
                      </a:graphic>
                    </wp:anchor>
                  </w:drawing>
                </mc:Choice>
                <mc:Fallback>
                  <w:pict>
                    <v:group id="_x0000_s1026" o:spid="_x0000_s1026" o:spt="203" style="position:absolute;left:0pt;margin-left:12.2pt;margin-top:1.05pt;height:182.5pt;width:373.7pt;z-index:251662336;mso-width-relative:page;mso-height-relative:page;" coordorigin="3927,314957" coordsize="7474,3650" o:gfxdata="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">
                      <o:lock v:ext="edit" aspectratio="f"/>
                      <v:shape id="_x0000_s1026" o:spid="_x0000_s1026" o:spt="202" type="#_x0000_t202" style="position:absolute;left:6467;top:314957;height:570;width:1274;" filled="f" stroked="f" coordsize="21600,21600" o:gfxdata="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lBQkbgAAADa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62CA2947">
                              <w:pPr>
                                <w:ind w:left="0" w:leftChars="0" w:firstLine="0" w:firstLineChars="0"/>
                                <w:rPr>
                                  <w:rFonts w:hint="default" w:eastAsia="宋体"/>
                                  <w:sz w:val="21"/>
                                  <w:szCs w:val="21"/>
                                  <w:lang w:val="en-US" w:eastAsia="zh-CN"/>
                                </w:rPr>
                              </w:pPr>
                              <w:r>
                                <w:rPr>
                                  <w:rFonts w:hint="eastAsia"/>
                                  <w:sz w:val="21"/>
                                  <w:szCs w:val="21"/>
                                  <w:lang w:val="en-US" w:eastAsia="zh-CN"/>
                                </w:rPr>
                                <w:t>损耗150</w:t>
                              </w:r>
                            </w:p>
                          </w:txbxContent>
                        </v:textbox>
                      </v:shape>
                      <v:shape id="_x0000_s1026" o:spid="_x0000_s1026" o:spt="202" type="#_x0000_t202" style="position:absolute;left:5567;top:315707;height:570;width:1184;"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6E58696">
                              <w:pPr>
                                <w:ind w:left="0" w:leftChars="0" w:firstLine="0" w:firstLineChars="0"/>
                                <w:rPr>
                                  <w:rFonts w:hint="default" w:eastAsia="宋体"/>
                                  <w:sz w:val="21"/>
                                  <w:szCs w:val="21"/>
                                  <w:lang w:val="en-US" w:eastAsia="zh-CN"/>
                                </w:rPr>
                              </w:pPr>
                              <w:r>
                                <w:rPr>
                                  <w:rFonts w:hint="eastAsia"/>
                                  <w:sz w:val="21"/>
                                  <w:szCs w:val="21"/>
                                  <w:lang w:val="en-US" w:eastAsia="zh-CN"/>
                                </w:rPr>
                                <w:t>生活用水</w:t>
                              </w:r>
                            </w:p>
                          </w:txbxContent>
                        </v:textbox>
                      </v:shape>
                      <v:line id="_x0000_s1026" o:spid="_x0000_s1026" o:spt="20" style="position:absolute;left:6767;top:315992;height:1;width:600;"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7352;top:315722;height:570;width:1049;" fillcolor="#FFFFFF" filled="t" stroked="t" coordsize="21600,21600" o:gfxdata="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ZBr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06FC5E7">
                              <w:pPr>
                                <w:ind w:left="0" w:leftChars="0" w:firstLine="0" w:firstLineChars="0"/>
                                <w:jc w:val="center"/>
                                <w:rPr>
                                  <w:rFonts w:hint="default" w:eastAsia="宋体"/>
                                  <w:sz w:val="21"/>
                                  <w:szCs w:val="21"/>
                                  <w:lang w:val="en-US" w:eastAsia="zh-CN"/>
                                </w:rPr>
                              </w:pPr>
                              <w:r>
                                <w:rPr>
                                  <w:rFonts w:hint="eastAsia"/>
                                  <w:sz w:val="21"/>
                                  <w:szCs w:val="21"/>
                                  <w:lang w:val="en-US" w:eastAsia="zh-CN"/>
                                </w:rPr>
                                <w:t>化粪池</w:t>
                              </w:r>
                            </w:p>
                          </w:txbxContent>
                        </v:textbox>
                      </v:shape>
                      <v:line id="_x0000_s1026" o:spid="_x0000_s1026" o:spt="20" style="position:absolute;left:8402;top:316022;height:1;width:780;" filled="f" stroked="t" coordsize="21600,21600" o:gfxdata="UEsDBAoAAAAAAIdO4kAAAAAAAAAAAAAAAAAEAAAAZHJzL1BLAwQUAAAACACHTuJAFpL6qLwAAADb&#10;AAAADwAAAGRycy9kb3ducmV2LnhtbEVPS2vCQBC+F/oflil4q5uI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S+qi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_x0000_s1026" o:spid="_x0000_s1026" o:spt="202" type="#_x0000_t202" style="position:absolute;left:3927;top:316616;height:570;width:974;" filled="f" stroked="f" coordsize="21600,21600" o:gfxdata="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PEJW6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20229403">
                              <w:pPr>
                                <w:ind w:left="0" w:leftChars="0" w:firstLine="0" w:firstLineChars="0"/>
                                <w:rPr>
                                  <w:rFonts w:hint="default" w:eastAsia="宋体"/>
                                  <w:sz w:val="21"/>
                                  <w:szCs w:val="21"/>
                                  <w:lang w:val="en-US" w:eastAsia="zh-CN"/>
                                </w:rPr>
                              </w:pPr>
                              <w:r>
                                <w:rPr>
                                  <w:rFonts w:hint="eastAsia"/>
                                  <w:sz w:val="21"/>
                                  <w:szCs w:val="21"/>
                                  <w:lang w:val="en-US" w:eastAsia="zh-CN"/>
                                </w:rPr>
                                <w:t>新鲜水</w:t>
                              </w:r>
                            </w:p>
                          </w:txbxContent>
                        </v:textbox>
                      </v:shape>
                      <v:shape id="_x0000_s1026" o:spid="_x0000_s1026" o:spt="38" type="#_x0000_t38" style="position:absolute;left:6141;top:315410;flip:y;height:300;width:465;" filled="f" stroked="t" coordsize="21600,21600" o:gfxdata="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ywrcS5AAAA2wAA&#10;AA8AAAAAAAAAAQAgAAAAIgAAAGRycy9kb3ducmV2LnhtbFBLAQIUABQAAAAIAIdO4kAzLwWeOwAA&#10;ADkAAAAQAAAAAAAAAAEAIAAAAAgBAABkcnMvc2hhcGV4bWwueG1sUEsFBgAAAAAGAAYAWwEAALID&#10;AAAAAA==&#10;" adj="12170">
                        <v:fill on="f" focussize="0,0"/>
                        <v:stroke color="#000000" joinstyle="round" endarrow="block"/>
                        <v:imagedata o:title=""/>
                        <o:lock v:ext="edit" aspectratio="f"/>
                      </v:shape>
                      <v:shape id="_x0000_s1026" o:spid="_x0000_s1026" o:spt="202" type="#_x0000_t202" style="position:absolute;left:6662;top:315512;height:570;width:974;" filled="f" stroked="f" coordsize="21600,21600" o:gfxdata="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Foegr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75DE47B9">
                              <w:pPr>
                                <w:ind w:left="0" w:leftChars="0" w:firstLine="0" w:firstLineChars="0"/>
                                <w:rPr>
                                  <w:rFonts w:hint="default" w:eastAsia="宋体"/>
                                  <w:sz w:val="21"/>
                                  <w:szCs w:val="21"/>
                                  <w:lang w:val="en-US" w:eastAsia="zh-CN"/>
                                </w:rPr>
                              </w:pPr>
                              <w:r>
                                <w:rPr>
                                  <w:rFonts w:hint="eastAsia"/>
                                  <w:sz w:val="21"/>
                                  <w:szCs w:val="21"/>
                                  <w:lang w:val="en-US" w:eastAsia="zh-CN"/>
                                </w:rPr>
                                <w:t>600</w:t>
                              </w:r>
                            </w:p>
                          </w:txbxContent>
                        </v:textbox>
                      </v:shape>
                      <v:shape id="_x0000_s1026" o:spid="_x0000_s1026" o:spt="202" type="#_x0000_t202" style="position:absolute;left:9108;top:315707;height:524;width:2293;" filled="f" stroked="f" coordsize="21600,21600" o:gfxdata="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xYr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2F48C4B9">
                              <w:pPr>
                                <w:ind w:left="0" w:leftChars="0" w:firstLine="0" w:firstLineChars="0"/>
                                <w:rPr>
                                  <w:rFonts w:hint="default" w:eastAsia="宋体"/>
                                  <w:sz w:val="21"/>
                                  <w:szCs w:val="21"/>
                                  <w:lang w:val="en-US" w:eastAsia="zh-CN"/>
                                </w:rPr>
                              </w:pPr>
                              <w:r>
                                <w:rPr>
                                  <w:rFonts w:hint="eastAsia"/>
                                  <w:sz w:val="21"/>
                                  <w:szCs w:val="21"/>
                                  <w:lang w:val="en-US" w:eastAsia="zh-CN"/>
                                </w:rPr>
                                <w:t>新袁镇污水处理厂</w:t>
                              </w:r>
                            </w:p>
                          </w:txbxContent>
                        </v:textbox>
                      </v:shape>
                      <v:line id="_x0000_s1026" o:spid="_x0000_s1026" o:spt="20" style="position:absolute;left:4800;top:316018;flip:x;height:1566;width:5;" filled="f" stroked="t" coordsize="21600,21600" o:gfxdata="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oblS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line>
                      <v:shape id="_x0000_s1026" o:spid="_x0000_s1026" o:spt="202" type="#_x0000_t202" style="position:absolute;left:8462;top:315542;height:570;width:974;" filled="f" stroked="f" coordsize="21600,21600" o:gfxdata="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okva7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4FB4A0F5">
                              <w:pPr>
                                <w:ind w:left="0" w:leftChars="0" w:firstLine="0" w:firstLineChars="0"/>
                                <w:rPr>
                                  <w:rFonts w:hint="default" w:eastAsia="宋体"/>
                                  <w:sz w:val="21"/>
                                  <w:szCs w:val="21"/>
                                  <w:lang w:val="en-US" w:eastAsia="zh-CN"/>
                                </w:rPr>
                              </w:pPr>
                              <w:r>
                                <w:rPr>
                                  <w:rFonts w:hint="eastAsia"/>
                                  <w:sz w:val="21"/>
                                  <w:szCs w:val="21"/>
                                  <w:lang w:val="en-US" w:eastAsia="zh-CN"/>
                                </w:rPr>
                                <w:t>600</w:t>
                              </w:r>
                            </w:p>
                          </w:txbxContent>
                        </v:textbox>
                      </v:shape>
                      <v:line id="_x0000_s1026" o:spid="_x0000_s1026" o:spt="20" style="position:absolute;left:4802;top:316022;height:1;width:794;" filled="f" stroked="t" coordsize="21600,21600" o:gfxdata="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FNha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_x0000_s1026" o:spid="_x0000_s1026" o:spt="202" type="#_x0000_t202" style="position:absolute;left:4793;top:315577;height:570;width:899;" filled="f" stroked="f" coordsize="21600,21600" o:gfxdata="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k+n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7396E3A2">
                              <w:pPr>
                                <w:ind w:left="0" w:leftChars="0" w:firstLine="0" w:firstLineChars="0"/>
                                <w:rPr>
                                  <w:rFonts w:hint="default" w:eastAsia="宋体"/>
                                  <w:sz w:val="21"/>
                                  <w:szCs w:val="21"/>
                                  <w:lang w:val="en-US" w:eastAsia="zh-CN"/>
                                </w:rPr>
                              </w:pPr>
                              <w:r>
                                <w:rPr>
                                  <w:rFonts w:hint="eastAsia"/>
                                  <w:sz w:val="21"/>
                                  <w:szCs w:val="21"/>
                                  <w:lang w:val="en-US" w:eastAsia="zh-CN"/>
                                </w:rPr>
                                <w:t>750</w:t>
                              </w:r>
                            </w:p>
                          </w:txbxContent>
                        </v:textbox>
                      </v:shape>
                      <v:line id="_x0000_s1026" o:spid="_x0000_s1026" o:spt="20" style="position:absolute;left:4802;top:317583;height:1;width:794;" filled="f" stroked="t" coordsize="21600,21600" o:gfxdata="UEsDBAoAAAAAAIdO4kAAAAAAAAAAAAAAAAAEAAAAZHJzL1BLAwQUAAAACACHTuJA2P4wFb8AAADb&#10;AAAADwAAAGRycy9kb3ducmV2LnhtbEWPT2vCQBTE7wW/w/IEb3UTk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MB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4769;top:317099;height:570;width:899;" filled="f" stroked="f" coordsize="21600,21600" o:gfxdata="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qO/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33F692A9">
                              <w:pPr>
                                <w:ind w:left="0" w:leftChars="0" w:firstLine="0" w:firstLineChars="0"/>
                                <w:rPr>
                                  <w:rFonts w:hint="default" w:eastAsia="宋体"/>
                                  <w:sz w:val="21"/>
                                  <w:szCs w:val="21"/>
                                  <w:lang w:val="en-US" w:eastAsia="zh-CN"/>
                                </w:rPr>
                              </w:pPr>
                              <w:r>
                                <w:rPr>
                                  <w:rFonts w:hint="eastAsia"/>
                                  <w:sz w:val="21"/>
                                  <w:szCs w:val="21"/>
                                  <w:lang w:val="en-US" w:eastAsia="zh-CN"/>
                                </w:rPr>
                                <w:t>27000</w:t>
                              </w:r>
                            </w:p>
                          </w:txbxContent>
                        </v:textbox>
                      </v:shape>
                      <v:shape id="_x0000_s1026" o:spid="_x0000_s1026" o:spt="202" type="#_x0000_t202" style="position:absolute;left:5605;top:317294;height:570;width:1184;" fillcolor="#FFFFFF" filled="t" stroked="t" coordsize="21600,21600" o:gfxdata="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jSiL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E01D2C8">
                              <w:pPr>
                                <w:ind w:left="0" w:leftChars="0" w:firstLine="0" w:firstLineChars="0"/>
                                <w:jc w:val="center"/>
                                <w:rPr>
                                  <w:rFonts w:hint="default" w:eastAsia="宋体"/>
                                  <w:sz w:val="21"/>
                                  <w:szCs w:val="21"/>
                                  <w:lang w:val="en-US" w:eastAsia="zh-CN"/>
                                </w:rPr>
                              </w:pPr>
                              <w:r>
                                <w:rPr>
                                  <w:rFonts w:hint="eastAsia"/>
                                  <w:sz w:val="21"/>
                                  <w:szCs w:val="21"/>
                                  <w:lang w:val="en-US" w:eastAsia="zh-CN"/>
                                </w:rPr>
                                <w:t>织布用水</w:t>
                              </w:r>
                            </w:p>
                          </w:txbxContent>
                        </v:textbox>
                      </v:shape>
                      <v:line id="_x0000_s1026" o:spid="_x0000_s1026" o:spt="20" style="position:absolute;left:6802;top:317572;height:1;width:794;" filled="f" stroked="t" coordsize="21600,21600" o:gfxdata="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srm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7640;top:317310;height:570;width:1049;" fillcolor="#FFFFFF" filled="t" stroked="t" coordsize="21600,21600" o:gfxdata="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Xhli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3BBF9E0B">
                              <w:pPr>
                                <w:ind w:left="0" w:leftChars="0" w:firstLine="0" w:firstLineChars="0"/>
                                <w:jc w:val="center"/>
                                <w:rPr>
                                  <w:rFonts w:hint="default" w:eastAsia="宋体"/>
                                  <w:sz w:val="21"/>
                                  <w:szCs w:val="21"/>
                                  <w:lang w:val="en-US" w:eastAsia="zh-CN"/>
                                </w:rPr>
                              </w:pPr>
                              <w:r>
                                <w:rPr>
                                  <w:rFonts w:hint="eastAsia"/>
                                  <w:sz w:val="21"/>
                                  <w:szCs w:val="21"/>
                                  <w:lang w:val="en-US" w:eastAsia="zh-CN"/>
                                </w:rPr>
                                <w:t>污水站</w:t>
                              </w:r>
                            </w:p>
                          </w:txbxContent>
                        </v:textbox>
                      </v:shape>
                      <v:line id="_x0000_s1026" o:spid="_x0000_s1026" o:spt="20" style="position:absolute;left:8165;top:317880;height:574;width:10;" filled="f" stroked="t" coordsize="21600,21600" o:gfxdata="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qQ/V28AAAA&#10;2wAAAA8AAAAAAAAAAQAgAAAAIgAAAGRycy9kb3ducmV2LnhtbFBLAQIUABQAAAAIAIdO4kAzLwWe&#10;OwAAADkAAAAQAAAAAAAAAAEAIAAAAAsBAABkcnMvc2hhcGV4bWwueG1sUEsFBgAAAAAGAAYAWwEA&#10;ALUDAAAAAA==&#10;">
                        <v:fill on="f" focussize="0,0"/>
                        <v:stroke weight="1pt" color="#000000 [3213]" joinstyle="round" dashstyle="1 1"/>
                        <v:imagedata o:title=""/>
                        <o:lock v:ext="edit" aspectratio="f"/>
                      </v:line>
                      <v:line id="_x0000_s1026" o:spid="_x0000_s1026" o:spt="20" style="position:absolute;left:6137;top:318452;flip:x;height:0;width:1975;" filled="f" stroked="t" coordsize="21600,21600" o:gfxdata="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m1Dzw7UAAADbAAAADwAA&#10;AAAAAAABACAAAAAiAAAAZHJzL2Rvd25yZXYueG1sUEsBAhQAFAAAAAgAh07iQDMvBZ47AAAAOQAA&#10;ABAAAAAAAAAAAQAgAAAABAEAAGRycy9zaGFwZXhtbC54bWxQSwUGAAAAAAYABgBbAQAArgMAAAAA&#10;">
                        <v:fill on="f" focussize="0,0"/>
                        <v:stroke weight="1pt" color="#000000 [3213]" joinstyle="round" dashstyle="1 1"/>
                        <v:imagedata o:title=""/>
                        <o:lock v:ext="edit" aspectratio="f"/>
                      </v:line>
                      <v:shape id="_x0000_s1026" o:spid="_x0000_s1026" o:spt="32" type="#_x0000_t32" style="position:absolute;left:6125;top:317941;flip:y;height:513;width:0;" filled="f" stroked="t" coordsize="21600,21600" o:gfxdata="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AzptL4A&#10;AADbAAAADwAAAAAAAAABACAAAAAiAAAAZHJzL2Rvd25yZXYueG1sUEsBAhQAFAAAAAgAh07iQDMv&#10;BZ47AAAAOQAAABAAAAAAAAAAAQAgAAAADQEAAGRycy9zaGFwZXhtbC54bWxQSwUGAAAAAAYABgBb&#10;AQAAtwMAAAAA&#10;">
                        <v:fill on="f" focussize="0,0"/>
                        <v:stroke weight="1pt" color="#000000 [3213]" joinstyle="round" dashstyle="1 1" endarrow="block"/>
                        <v:imagedata o:title=""/>
                        <o:lock v:ext="edit" aspectratio="f"/>
                      </v:shape>
                      <v:shape id="_x0000_s1026" o:spid="_x0000_s1026" o:spt="38" type="#_x0000_t38" style="position:absolute;left:6104;top:316997;flip:y;height:300;width:465;" filled="f" stroked="t" coordsize="21600,21600" o:gfxdata="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3JSPLsAAADb&#10;AAAADwAAAAAAAAABACAAAAAiAAAAZHJzL2Rvd25yZXYueG1sUEsBAhQAFAAAAAgAh07iQDMvBZ47&#10;AAAAOQAAABAAAAAAAAAAAQAgAAAACgEAAGRycy9zaGFwZXhtbC54bWxQSwUGAAAAAAYABgBbAQAA&#10;tAMAAAAA&#10;" adj="12170">
                        <v:fill on="f" focussize="0,0"/>
                        <v:stroke color="#000000" joinstyle="round" endarrow="block"/>
                        <v:imagedata o:title=""/>
                        <o:lock v:ext="edit" aspectratio="f"/>
                      </v:shape>
                      <v:shape id="_x0000_s1026" o:spid="_x0000_s1026" o:spt="202" type="#_x0000_t202" style="position:absolute;left:6389;top:316534;height:570;width:1274;" filled="f" stroked="f" coordsize="21600,21600" o:gfxdata="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PdyV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7CF91A2F">
                              <w:pPr>
                                <w:ind w:left="0" w:leftChars="0" w:firstLine="0" w:firstLineChars="0"/>
                                <w:rPr>
                                  <w:rFonts w:hint="default" w:eastAsia="宋体"/>
                                  <w:sz w:val="21"/>
                                  <w:szCs w:val="21"/>
                                  <w:lang w:val="en-US" w:eastAsia="zh-CN"/>
                                </w:rPr>
                              </w:pPr>
                              <w:r>
                                <w:rPr>
                                  <w:rFonts w:hint="eastAsia"/>
                                  <w:sz w:val="21"/>
                                  <w:szCs w:val="21"/>
                                  <w:lang w:val="en-US" w:eastAsia="zh-CN"/>
                                </w:rPr>
                                <w:t>损耗27000</w:t>
                              </w:r>
                            </w:p>
                          </w:txbxContent>
                        </v:textbox>
                      </v:shape>
                      <v:line id="_x0000_s1026" o:spid="_x0000_s1026" o:spt="20" style="position:absolute;left:4027;top:316722;height:1;width:794;" filled="f" stroked="t" coordsize="21600,21600" o:gfxdata="UEsDBAoAAAAAAIdO4kAAAAAAAAAAAAAAAAAEAAAAZHJzL1BLAwQUAAAACACHTuJAMmsDU78AAADb&#10;AAAADwAAAGRycy9kb3ducmV2LnhtbEWPT2vCQBTE7wW/w/KE3uomlkq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rA1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3983;top:316230;height:570;width:974;" filled="f" stroked="f" coordsize="21600,21600" o:gfxdata="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j53m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69545BB8">
                              <w:pPr>
                                <w:ind w:left="0" w:leftChars="0" w:firstLine="0" w:firstLineChars="0"/>
                                <w:rPr>
                                  <w:rFonts w:hint="default" w:eastAsia="宋体"/>
                                  <w:sz w:val="21"/>
                                  <w:szCs w:val="21"/>
                                  <w:lang w:val="en-US" w:eastAsia="zh-CN"/>
                                </w:rPr>
                              </w:pPr>
                              <w:r>
                                <w:rPr>
                                  <w:rFonts w:hint="eastAsia"/>
                                  <w:sz w:val="21"/>
                                  <w:szCs w:val="21"/>
                                  <w:lang w:val="en-US" w:eastAsia="zh-CN"/>
                                </w:rPr>
                                <w:t>27750</w:t>
                              </w:r>
                            </w:p>
                          </w:txbxContent>
                        </v:textbox>
                      </v:shape>
                      <v:shape id="_x0000_s1026" o:spid="_x0000_s1026" o:spt="202" type="#_x0000_t202" style="position:absolute;left:6406;top:318037;height:570;width:1461;" filled="f" stroked="f" coordsize="21600,21600" o:gfxdata="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fvQu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6A8E415D">
                              <w:pPr>
                                <w:ind w:left="0" w:leftChars="0" w:firstLine="0" w:firstLineChars="0"/>
                                <w:rPr>
                                  <w:rFonts w:hint="default" w:eastAsia="宋体"/>
                                  <w:sz w:val="21"/>
                                  <w:szCs w:val="21"/>
                                  <w:lang w:val="en-US" w:eastAsia="zh-CN"/>
                                </w:rPr>
                              </w:pPr>
                              <w:r>
                                <w:rPr>
                                  <w:rFonts w:hint="eastAsia"/>
                                  <w:sz w:val="21"/>
                                  <w:szCs w:val="21"/>
                                  <w:lang w:val="en-US" w:eastAsia="zh-CN"/>
                                </w:rPr>
                                <w:t>回用243000</w:t>
                              </w:r>
                            </w:p>
                          </w:txbxContent>
                        </v:textbox>
                      </v:shape>
                      <v:shape id="_x0000_s1026" o:spid="_x0000_s1026" o:spt="202" type="#_x0000_t202" style="position:absolute;left:6787;top:317075;height:570;width:943;"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73B9CFAF">
                              <w:pPr>
                                <w:ind w:left="0" w:leftChars="0" w:firstLine="0" w:firstLineChars="0"/>
                                <w:rPr>
                                  <w:rFonts w:hint="default" w:eastAsia="宋体"/>
                                  <w:sz w:val="21"/>
                                  <w:szCs w:val="21"/>
                                  <w:lang w:val="en-US" w:eastAsia="zh-CN"/>
                                </w:rPr>
                              </w:pPr>
                              <w:r>
                                <w:rPr>
                                  <w:rFonts w:hint="eastAsia"/>
                                  <w:sz w:val="21"/>
                                  <w:szCs w:val="21"/>
                                  <w:lang w:val="en-US" w:eastAsia="zh-CN"/>
                                </w:rPr>
                                <w:t>243000</w:t>
                              </w:r>
                            </w:p>
                          </w:txbxContent>
                        </v:textbox>
                      </v:shape>
                    </v:group>
                  </w:pict>
                </mc:Fallback>
              </mc:AlternateContent>
            </w:r>
          </w:p>
          <w:p w14:paraId="545D6712">
            <w:pPr>
              <w:pStyle w:val="15"/>
              <w:numPr>
                <w:ilvl w:val="0"/>
                <w:numId w:val="0"/>
              </w:numPr>
              <w:spacing w:line="360" w:lineRule="auto"/>
              <w:jc w:val="center"/>
              <w:rPr>
                <w:b/>
                <w:bCs/>
                <w:color w:val="auto"/>
              </w:rPr>
            </w:pPr>
          </w:p>
          <w:p w14:paraId="4580086A">
            <w:pPr>
              <w:pStyle w:val="15"/>
              <w:numPr>
                <w:ilvl w:val="0"/>
                <w:numId w:val="0"/>
              </w:numPr>
              <w:spacing w:line="360" w:lineRule="auto"/>
              <w:jc w:val="center"/>
              <w:rPr>
                <w:b/>
                <w:bCs/>
                <w:color w:val="auto"/>
              </w:rPr>
            </w:pPr>
          </w:p>
          <w:p w14:paraId="0634BF45">
            <w:pPr>
              <w:pStyle w:val="15"/>
              <w:numPr>
                <w:ilvl w:val="0"/>
                <w:numId w:val="0"/>
              </w:numPr>
              <w:spacing w:line="360" w:lineRule="auto"/>
              <w:jc w:val="center"/>
              <w:rPr>
                <w:b/>
                <w:bCs/>
                <w:color w:val="auto"/>
              </w:rPr>
            </w:pPr>
          </w:p>
          <w:p w14:paraId="1F6E0D90">
            <w:pPr>
              <w:pStyle w:val="15"/>
              <w:numPr>
                <w:ilvl w:val="0"/>
                <w:numId w:val="0"/>
              </w:numPr>
              <w:spacing w:line="360" w:lineRule="auto"/>
              <w:jc w:val="center"/>
              <w:rPr>
                <w:b/>
                <w:bCs/>
                <w:color w:val="auto"/>
              </w:rPr>
            </w:pPr>
          </w:p>
          <w:p w14:paraId="22B989EB">
            <w:pPr>
              <w:pStyle w:val="15"/>
              <w:numPr>
                <w:ilvl w:val="0"/>
                <w:numId w:val="0"/>
              </w:numPr>
              <w:spacing w:line="360" w:lineRule="auto"/>
              <w:jc w:val="center"/>
              <w:rPr>
                <w:b/>
                <w:bCs/>
                <w:color w:val="auto"/>
              </w:rPr>
            </w:pPr>
          </w:p>
          <w:p w14:paraId="681484AC">
            <w:pPr>
              <w:pStyle w:val="15"/>
              <w:numPr>
                <w:ilvl w:val="0"/>
                <w:numId w:val="0"/>
              </w:numPr>
              <w:spacing w:line="360" w:lineRule="auto"/>
              <w:jc w:val="center"/>
              <w:rPr>
                <w:b/>
                <w:bCs/>
                <w:color w:val="auto"/>
              </w:rPr>
            </w:pPr>
          </w:p>
          <w:p w14:paraId="58994720">
            <w:pPr>
              <w:pStyle w:val="15"/>
              <w:numPr>
                <w:ilvl w:val="0"/>
                <w:numId w:val="0"/>
              </w:numPr>
              <w:spacing w:line="360" w:lineRule="auto"/>
              <w:jc w:val="center"/>
              <w:rPr>
                <w:b/>
                <w:bCs/>
                <w:color w:val="auto"/>
              </w:rPr>
            </w:pPr>
          </w:p>
          <w:p w14:paraId="7C4793F3">
            <w:pPr>
              <w:pStyle w:val="15"/>
              <w:numPr>
                <w:ilvl w:val="0"/>
                <w:numId w:val="0"/>
              </w:numPr>
              <w:spacing w:line="360" w:lineRule="auto"/>
              <w:jc w:val="center"/>
              <w:rPr>
                <w:b/>
                <w:bCs/>
                <w:color w:val="auto"/>
              </w:rPr>
            </w:pPr>
          </w:p>
          <w:p w14:paraId="2A1E60D9">
            <w:pPr>
              <w:pStyle w:val="15"/>
              <w:numPr>
                <w:ilvl w:val="0"/>
                <w:numId w:val="0"/>
              </w:numPr>
              <w:spacing w:line="360" w:lineRule="auto"/>
              <w:jc w:val="center"/>
              <w:rPr>
                <w:b/>
                <w:bCs/>
                <w:color w:val="auto"/>
              </w:rPr>
            </w:pPr>
          </w:p>
          <w:p w14:paraId="23FF1363">
            <w:pPr>
              <w:pStyle w:val="15"/>
              <w:numPr>
                <w:ilvl w:val="0"/>
                <w:numId w:val="0"/>
              </w:numPr>
              <w:spacing w:line="360" w:lineRule="auto"/>
              <w:jc w:val="center"/>
              <w:rPr>
                <w:b/>
                <w:bCs/>
                <w:color w:val="auto"/>
              </w:rPr>
            </w:pPr>
            <w:r>
              <w:rPr>
                <w:b/>
                <w:bCs/>
                <w:color w:val="auto"/>
              </w:rPr>
              <w:t>图2-1项目全厂水平衡图</w:t>
            </w:r>
          </w:p>
          <w:p w14:paraId="6B12107C">
            <w:pPr>
              <w:tabs>
                <w:tab w:val="left" w:pos="840"/>
              </w:tabs>
              <w:snapToGrid w:val="0"/>
              <w:spacing w:line="360" w:lineRule="auto"/>
              <w:ind w:firstLine="482" w:firstLineChars="200"/>
              <w:rPr>
                <w:color w:val="auto"/>
                <w:sz w:val="24"/>
                <w:szCs w:val="24"/>
              </w:rPr>
            </w:pPr>
            <w:r>
              <w:rPr>
                <w:rFonts w:hint="eastAsia"/>
                <w:b/>
                <w:color w:val="auto"/>
                <w:sz w:val="24"/>
                <w:szCs w:val="24"/>
                <w:lang w:eastAsia="zh-CN"/>
              </w:rPr>
              <w:t>8.</w:t>
            </w:r>
            <w:r>
              <w:rPr>
                <w:b/>
                <w:color w:val="auto"/>
                <w:sz w:val="24"/>
                <w:szCs w:val="24"/>
              </w:rPr>
              <w:t>厂区平面布置</w:t>
            </w:r>
          </w:p>
          <w:p w14:paraId="2F4DCA31">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480" w:firstLineChars="200"/>
              <w:textAlignment w:val="auto"/>
              <w:rPr>
                <w:color w:val="auto"/>
                <w:sz w:val="24"/>
                <w:szCs w:val="24"/>
              </w:rPr>
            </w:pPr>
            <w:r>
              <w:rPr>
                <w:color w:val="auto"/>
                <w:sz w:val="24"/>
                <w:szCs w:val="24"/>
              </w:rPr>
              <w:t>项目位于</w:t>
            </w:r>
            <w:r>
              <w:rPr>
                <w:rFonts w:hint="eastAsia" w:cs="Times New Roman"/>
                <w:color w:val="auto"/>
                <w:kern w:val="0"/>
                <w:sz w:val="24"/>
                <w:szCs w:val="24"/>
                <w:lang w:val="en-US" w:eastAsia="zh-CN"/>
              </w:rPr>
              <w:t>宿迁市泗阳县新袁镇仁和路东侧、新河路南侧（3）2#厂房</w:t>
            </w:r>
            <w:r>
              <w:rPr>
                <w:color w:val="auto"/>
                <w:sz w:val="24"/>
                <w:szCs w:val="24"/>
              </w:rPr>
              <w:t>，厂区四周皆为已建成厂房，项目</w:t>
            </w:r>
            <w:r>
              <w:rPr>
                <w:bCs/>
                <w:color w:val="auto"/>
                <w:sz w:val="24"/>
                <w:szCs w:val="24"/>
              </w:rPr>
              <w:t>租赁</w:t>
            </w:r>
            <w:r>
              <w:rPr>
                <w:rFonts w:hint="eastAsia"/>
                <w:bCs/>
                <w:color w:val="auto"/>
                <w:sz w:val="24"/>
                <w:szCs w:val="24"/>
                <w:lang w:val="en-US" w:eastAsia="zh-CN"/>
              </w:rPr>
              <w:t>已建成厂房</w:t>
            </w:r>
            <w:r>
              <w:rPr>
                <w:bCs/>
                <w:color w:val="auto"/>
                <w:sz w:val="24"/>
                <w:szCs w:val="24"/>
              </w:rPr>
              <w:t>，自</w:t>
            </w:r>
            <w:r>
              <w:rPr>
                <w:rFonts w:hint="eastAsia"/>
                <w:bCs/>
                <w:color w:val="auto"/>
                <w:sz w:val="24"/>
                <w:szCs w:val="24"/>
                <w:lang w:val="en-US" w:eastAsia="zh-CN"/>
              </w:rPr>
              <w:t>南</w:t>
            </w:r>
            <w:r>
              <w:rPr>
                <w:bCs/>
                <w:color w:val="auto"/>
                <w:sz w:val="24"/>
                <w:szCs w:val="24"/>
              </w:rPr>
              <w:t>向</w:t>
            </w:r>
            <w:r>
              <w:rPr>
                <w:rFonts w:hint="eastAsia"/>
                <w:bCs/>
                <w:color w:val="auto"/>
                <w:sz w:val="24"/>
                <w:szCs w:val="24"/>
                <w:lang w:val="en-US" w:eastAsia="zh-CN"/>
              </w:rPr>
              <w:t>北</w:t>
            </w:r>
            <w:r>
              <w:rPr>
                <w:bCs/>
                <w:color w:val="auto"/>
                <w:sz w:val="24"/>
                <w:szCs w:val="24"/>
              </w:rPr>
              <w:t>布置</w:t>
            </w:r>
            <w:r>
              <w:rPr>
                <w:rFonts w:hint="eastAsia"/>
                <w:bCs/>
                <w:color w:val="auto"/>
                <w:sz w:val="24"/>
                <w:szCs w:val="24"/>
                <w:lang w:val="en-US" w:eastAsia="zh-CN"/>
              </w:rPr>
              <w:t>加弹、牵经、验布、喷水织造</w:t>
            </w:r>
            <w:r>
              <w:rPr>
                <w:color w:val="auto"/>
                <w:sz w:val="24"/>
                <w:szCs w:val="24"/>
              </w:rPr>
              <w:t>等工序</w:t>
            </w:r>
            <w:r>
              <w:rPr>
                <w:rFonts w:hint="eastAsia"/>
                <w:color w:val="auto"/>
                <w:sz w:val="24"/>
                <w:szCs w:val="24"/>
                <w:lang w:eastAsia="zh-CN"/>
              </w:rPr>
              <w:t>、</w:t>
            </w:r>
            <w:r>
              <w:rPr>
                <w:rFonts w:hint="eastAsia"/>
                <w:color w:val="auto"/>
                <w:sz w:val="24"/>
                <w:szCs w:val="24"/>
                <w:lang w:val="en-US" w:eastAsia="zh-CN"/>
              </w:rPr>
              <w:t>厂房内布设危废仓库、一般固废暂存区</w:t>
            </w:r>
            <w:r>
              <w:rPr>
                <w:color w:val="auto"/>
                <w:sz w:val="24"/>
                <w:szCs w:val="24"/>
              </w:rPr>
              <w:t>及原料</w:t>
            </w:r>
            <w:r>
              <w:rPr>
                <w:rFonts w:hint="eastAsia"/>
                <w:color w:val="auto"/>
                <w:sz w:val="24"/>
                <w:szCs w:val="24"/>
                <w:lang w:val="en-US" w:eastAsia="zh-CN"/>
              </w:rPr>
              <w:t>暂存区</w:t>
            </w:r>
            <w:r>
              <w:rPr>
                <w:rFonts w:hint="eastAsia"/>
                <w:color w:val="auto"/>
                <w:sz w:val="24"/>
                <w:szCs w:val="24"/>
                <w:lang w:eastAsia="zh-CN"/>
              </w:rPr>
              <w:t>、</w:t>
            </w:r>
            <w:r>
              <w:rPr>
                <w:color w:val="auto"/>
                <w:sz w:val="24"/>
                <w:szCs w:val="24"/>
              </w:rPr>
              <w:t>成品暂存区、办公场所</w:t>
            </w:r>
            <w:r>
              <w:rPr>
                <w:rFonts w:hint="eastAsia"/>
                <w:color w:val="auto"/>
                <w:lang w:val="en-US" w:eastAsia="zh-CN"/>
              </w:rPr>
              <w:t>。</w:t>
            </w:r>
            <w:r>
              <w:rPr>
                <w:color w:val="auto"/>
                <w:sz w:val="24"/>
                <w:szCs w:val="24"/>
              </w:rPr>
              <w:t>项目地理位置见附图</w:t>
            </w:r>
            <w:r>
              <w:rPr>
                <w:rFonts w:hint="eastAsia"/>
                <w:color w:val="auto"/>
                <w:sz w:val="24"/>
                <w:szCs w:val="24"/>
                <w:lang w:val="en-US" w:eastAsia="zh-CN"/>
              </w:rPr>
              <w:t>一</w:t>
            </w:r>
            <w:r>
              <w:rPr>
                <w:color w:val="auto"/>
                <w:sz w:val="24"/>
                <w:szCs w:val="24"/>
              </w:rPr>
              <w:t>，项目周边500米环境现状见附图</w:t>
            </w:r>
            <w:r>
              <w:rPr>
                <w:rFonts w:hint="eastAsia"/>
                <w:color w:val="auto"/>
                <w:sz w:val="24"/>
                <w:szCs w:val="24"/>
                <w:lang w:val="en-US" w:eastAsia="zh-CN"/>
              </w:rPr>
              <w:t>二</w:t>
            </w:r>
            <w:r>
              <w:rPr>
                <w:color w:val="auto"/>
                <w:sz w:val="24"/>
                <w:szCs w:val="24"/>
              </w:rPr>
              <w:t>。厂区平面布置详见附图</w:t>
            </w:r>
            <w:r>
              <w:rPr>
                <w:rFonts w:hint="eastAsia"/>
                <w:color w:val="auto"/>
                <w:sz w:val="24"/>
                <w:szCs w:val="24"/>
                <w:lang w:val="en-US" w:eastAsia="zh-CN"/>
              </w:rPr>
              <w:t>三</w:t>
            </w:r>
            <w:r>
              <w:rPr>
                <w:color w:val="auto"/>
                <w:sz w:val="24"/>
                <w:szCs w:val="24"/>
              </w:rPr>
              <w:t>。</w:t>
            </w:r>
          </w:p>
          <w:p w14:paraId="43378619">
            <w:pPr>
              <w:pStyle w:val="149"/>
              <w:spacing w:before="0" w:beforeLines="0"/>
              <w:ind w:firstLine="482" w:firstLineChars="200"/>
              <w:jc w:val="left"/>
              <w:rPr>
                <w:rFonts w:hint="eastAsia"/>
                <w:b/>
                <w:bCs/>
                <w:lang w:val="en-US" w:eastAsia="zh-CN"/>
              </w:rPr>
            </w:pPr>
            <w:r>
              <w:rPr>
                <w:rFonts w:hint="eastAsia"/>
                <w:b/>
                <w:bCs/>
                <w:lang w:val="en-US" w:eastAsia="zh-CN"/>
              </w:rPr>
              <w:t>9.排污许可管理</w:t>
            </w:r>
          </w:p>
          <w:p w14:paraId="3750B68E">
            <w:pPr>
              <w:pStyle w:val="149"/>
              <w:spacing w:before="0" w:beforeLines="0"/>
              <w:ind w:firstLine="480" w:firstLineChars="200"/>
              <w:jc w:val="left"/>
              <w:rPr>
                <w:rFonts w:hint="eastAsia" w:ascii="Times New Roman" w:hAnsi="Times New Roman" w:eastAsia="宋体" w:cs="Times New Roman"/>
                <w:b/>
                <w:color w:val="auto"/>
                <w:kern w:val="2"/>
                <w:sz w:val="24"/>
                <w:szCs w:val="24"/>
                <w:lang w:val="en-US" w:eastAsia="zh-CN" w:bidi="ar-SA"/>
              </w:rPr>
            </w:pPr>
            <w:r>
              <w:rPr>
                <w:rFonts w:hint="eastAsia" w:cs="Times New Roman"/>
                <w:b w:val="0"/>
                <w:bCs/>
                <w:color w:val="auto"/>
                <w:sz w:val="24"/>
                <w:szCs w:val="24"/>
                <w:lang w:val="en-US" w:eastAsia="zh-CN"/>
              </w:rPr>
              <w:t>根据《固定污染源排污许可分类管理名录》（2019年版），本项目属于“十二、纺织业17 25.化纤织造及印染精加工175中“有喷水织造工序的”，排污许可管理类别为重点管理。建设单位应当在生产设施启动或者发生实际排污之前，登录全国排污许可管理信息平台公开端申请排污许可证。本项目固定污染源排污许可分类管理判定如下表：</w:t>
            </w:r>
          </w:p>
          <w:p w14:paraId="282CE1CE">
            <w:pPr>
              <w:pStyle w:val="149"/>
              <w:spacing w:before="0" w:beforeLines="0"/>
              <w:jc w:val="center"/>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 xml:space="preserve">表2-7 </w:t>
            </w:r>
            <w:r>
              <w:rPr>
                <w:rFonts w:ascii="Times New Roman" w:hAnsi="Times New Roman" w:eastAsia="宋体" w:cs="Times New Roman"/>
                <w:b/>
                <w:color w:val="auto"/>
                <w:kern w:val="2"/>
                <w:sz w:val="24"/>
                <w:szCs w:val="24"/>
                <w:lang w:val="en-US" w:eastAsia="zh-CN" w:bidi="ar-SA"/>
              </w:rPr>
              <w:t>本项目</w:t>
            </w:r>
            <w:r>
              <w:rPr>
                <w:rFonts w:ascii="Times New Roman" w:hAnsi="Times New Roman" w:eastAsia="宋体" w:cs="Times New Roman"/>
                <w:b/>
                <w:kern w:val="2"/>
                <w:sz w:val="24"/>
                <w:szCs w:val="24"/>
                <w:lang w:val="en-US" w:eastAsia="zh-CN" w:bidi="ar-SA"/>
              </w:rPr>
              <w:t>固定污染源排污许可分类管理判定</w:t>
            </w:r>
            <w:r>
              <w:rPr>
                <w:rFonts w:hint="eastAsia" w:ascii="Times New Roman" w:hAnsi="Times New Roman" w:eastAsia="宋体" w:cs="Times New Roman"/>
                <w:b/>
                <w:kern w:val="2"/>
                <w:sz w:val="24"/>
                <w:szCs w:val="24"/>
                <w:lang w:val="en-US" w:eastAsia="zh-CN" w:bidi="ar-SA"/>
              </w:rPr>
              <w:t>表</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220"/>
              <w:gridCol w:w="2621"/>
              <w:gridCol w:w="2492"/>
              <w:gridCol w:w="1396"/>
            </w:tblGrid>
            <w:tr w14:paraId="5DF691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134" w:hRule="atLeast"/>
              </w:trPr>
              <w:tc>
                <w:tcPr>
                  <w:tcW w:w="1271" w:type="pct"/>
                  <w:tcBorders>
                    <w:tl2br w:val="nil"/>
                    <w:tr2bl w:val="nil"/>
                  </w:tcBorders>
                  <w:shd w:val="clear" w:color="auto" w:fill="auto"/>
                  <w:noWrap w:val="0"/>
                  <w:vAlign w:val="center"/>
                  <mc:AlternateContent>
                    <mc:Choice Requires="wpsCustomData">
                      <wpsCustomData:diagonals>
                        <wpsCustomData:diagonal from="10000" to="30000">
                          <wpsCustomData:border w:val="single" w:color="auto" w:sz="12" w:space="0"/>
                        </wpsCustomData:diagonal>
                      </wpsCustomData:diagonals>
                    </mc:Choice>
                  </mc:AlternateContent>
                </w:tcPr>
                <w:p w14:paraId="3745286A">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cs="Times New Roman"/>
                      <w:b/>
                      <w:bCs w:val="0"/>
                      <w:color w:val="auto"/>
                      <w:kern w:val="2"/>
                      <w:sz w:val="21"/>
                      <w:szCs w:val="21"/>
                      <w:highlight w:val="none"/>
                      <w:vertAlign w:val="baseline"/>
                      <w:lang w:val="en-US" w:eastAsia="zh-CN" w:bidi="ar-SA"/>
                    </w:rPr>
                  </w:pPr>
                </w:p>
                <w:p w14:paraId="3391BF5B">
                  <w:pPr>
                    <w:keepNext w:val="0"/>
                    <w:keepLines w:val="0"/>
                    <w:pageBreakBefore w:val="0"/>
                    <w:widowControl/>
                    <w:kinsoku/>
                    <w:wordWrap/>
                    <w:overflowPunct/>
                    <w:topLinePunct w:val="0"/>
                    <w:autoSpaceDE/>
                    <w:autoSpaceDN/>
                    <w:bidi w:val="0"/>
                    <w:adjustRightInd/>
                    <w:snapToGrid w:val="0"/>
                    <w:spacing w:after="0" w:line="240" w:lineRule="auto"/>
                    <w:jc w:val="center"/>
                    <w:textAlignment w:val="auto"/>
                    <w:rPr>
                      <w:rFonts w:hint="eastAsia" w:cs="Times New Roman"/>
                      <w:b/>
                      <w:bCs w:val="0"/>
                      <w:color w:val="auto"/>
                      <w:kern w:val="2"/>
                      <w:sz w:val="21"/>
                      <w:szCs w:val="21"/>
                      <w:highlight w:val="none"/>
                      <w:vertAlign w:val="baseline"/>
                      <w:lang w:val="en-US" w:eastAsia="zh-CN" w:bidi="ar-SA"/>
                    </w:rPr>
                  </w:pPr>
                </w:p>
                <w:p w14:paraId="50423EA2">
                  <w:pPr>
                    <w:keepNext w:val="0"/>
                    <w:keepLines w:val="0"/>
                    <w:pageBreakBefore w:val="0"/>
                    <w:widowControl/>
                    <w:kinsoku/>
                    <w:wordWrap/>
                    <w:overflowPunct/>
                    <w:topLinePunct w:val="0"/>
                    <w:autoSpaceDE/>
                    <w:autoSpaceDN/>
                    <w:bidi w:val="0"/>
                    <w:adjustRightInd/>
                    <w:snapToGrid w:val="0"/>
                    <w:spacing w:after="0" w:line="240" w:lineRule="auto"/>
                    <w:ind w:left="0" w:leftChars="0" w:firstLine="211" w:firstLineChars="100"/>
                    <w:jc w:val="both"/>
                    <w:textAlignment w:val="auto"/>
                    <w:rPr>
                      <w:rFonts w:hint="eastAsia" w:cs="Times New Roman"/>
                      <w:b/>
                      <w:bCs w:val="0"/>
                      <w:color w:val="auto"/>
                      <w:kern w:val="2"/>
                      <w:sz w:val="21"/>
                      <w:szCs w:val="21"/>
                      <w:highlight w:val="none"/>
                      <w:vertAlign w:val="baseline"/>
                      <w:lang w:val="en-US" w:eastAsia="zh-CN" w:bidi="ar-SA"/>
                    </w:rPr>
                  </w:pPr>
                </w:p>
                <w:p w14:paraId="30EAF9D6">
                  <w:pPr>
                    <w:keepNext w:val="0"/>
                    <w:keepLines w:val="0"/>
                    <w:pageBreakBefore w:val="0"/>
                    <w:widowControl/>
                    <w:kinsoku/>
                    <w:wordWrap/>
                    <w:overflowPunct/>
                    <w:topLinePunct w:val="0"/>
                    <w:autoSpaceDE/>
                    <w:autoSpaceDN/>
                    <w:bidi w:val="0"/>
                    <w:adjustRightInd/>
                    <w:snapToGrid w:val="0"/>
                    <w:spacing w:after="0" w:line="240" w:lineRule="auto"/>
                    <w:ind w:left="0" w:leftChars="0" w:firstLine="211" w:firstLineChars="100"/>
                    <w:jc w:val="both"/>
                    <w:textAlignment w:val="auto"/>
                    <mc:AlternateContent>
                      <mc:Choice Requires="wpsCustomData">
                        <wpsCustomData:diagonalParaType/>
                      </mc:Choice>
                    </mc:AlternateContent>
                    <w:rPr>
                      <w:rFonts w:hint="default" w:cs="Times New Roman"/>
                      <w:b/>
                      <w:bCs w:val="0"/>
                      <w:color w:val="auto"/>
                      <w:kern w:val="2"/>
                      <w:sz w:val="21"/>
                      <w:szCs w:val="21"/>
                      <w:highlight w:val="none"/>
                      <w:vertAlign w:val="baseline"/>
                      <w:lang w:val="en-US" w:eastAsia="zh-CN" w:bidi="ar-SA"/>
                    </w:rPr>
                  </w:pPr>
                  <w:r>
                    <w:rPr>
                      <w:rFonts w:hint="eastAsia" w:cs="Times New Roman"/>
                      <w:b/>
                      <w:bCs w:val="0"/>
                      <w:color w:val="auto"/>
                      <w:kern w:val="2"/>
                      <w:sz w:val="21"/>
                      <w:szCs w:val="21"/>
                      <w:highlight w:val="none"/>
                      <w:vertAlign w:val="baseline"/>
                      <w:lang w:val="en-US" w:eastAsia="zh-CN" w:bidi="ar-SA"/>
                    </w:rPr>
                    <w:t>项目类别</w:t>
                  </w:r>
                </w:p>
                <w:p w14:paraId="3EC0D6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cs="Times New Roman"/>
                      <w:b/>
                      <w:bCs w:val="0"/>
                      <w:color w:val="auto"/>
                      <w:kern w:val="2"/>
                      <w:sz w:val="21"/>
                      <w:szCs w:val="21"/>
                      <w:highlight w:val="none"/>
                      <w:vertAlign w:val="baseline"/>
                      <w:lang w:val="en-US" w:eastAsia="zh-CN" w:bidi="ar-SA"/>
                    </w:rPr>
                  </w:pPr>
                </w:p>
                <w:p w14:paraId="70D4A0B0">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both"/>
                    <w:textAlignment w:val="auto"/>
                    <w:rPr>
                      <w:rFonts w:hint="default" w:cs="Times New Roman"/>
                      <w:b/>
                      <w:bCs w:val="0"/>
                      <w:color w:val="auto"/>
                      <w:kern w:val="2"/>
                      <w:sz w:val="21"/>
                      <w:szCs w:val="21"/>
                      <w:highlight w:val="none"/>
                      <w:vertAlign w:val="baseline"/>
                      <w:lang w:val="en-US" w:eastAsia="zh-CN" w:bidi="ar-SA"/>
                    </w:rPr>
                  </w:pPr>
                  <w:r>
                    <w:rPr>
                      <w:rFonts w:hint="eastAsia" w:cs="Times New Roman"/>
                      <w:b/>
                      <w:bCs w:val="0"/>
                      <w:color w:val="auto"/>
                      <w:kern w:val="2"/>
                      <w:sz w:val="21"/>
                      <w:szCs w:val="21"/>
                      <w:highlight w:val="none"/>
                      <w:vertAlign w:val="baseline"/>
                      <w:lang w:val="en-US" w:eastAsia="zh-CN" w:bidi="ar-SA"/>
                    </w:rPr>
                    <w:t>排污类别</w:t>
                  </w:r>
                </w:p>
              </w:tc>
              <w:tc>
                <w:tcPr>
                  <w:tcW w:w="1501" w:type="pct"/>
                  <w:tcBorders>
                    <w:tl2br w:val="nil"/>
                    <w:tr2bl w:val="nil"/>
                  </w:tcBorders>
                  <w:shd w:val="clear" w:color="auto" w:fill="E6E0EC" w:themeFill="accent4" w:themeFillTint="32"/>
                  <w:noWrap w:val="0"/>
                  <w:vAlign w:val="center"/>
                </w:tcPr>
                <w:p w14:paraId="09B037FD">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cs="Times New Roman"/>
                      <w:b/>
                      <w:bCs w:val="0"/>
                      <w:color w:val="auto"/>
                      <w:kern w:val="2"/>
                      <w:sz w:val="21"/>
                      <w:szCs w:val="21"/>
                      <w:highlight w:val="none"/>
                      <w:vertAlign w:val="baseline"/>
                      <w:lang w:val="en-US" w:eastAsia="zh-CN" w:bidi="ar-SA"/>
                    </w:rPr>
                  </w:pPr>
                  <w:r>
                    <w:rPr>
                      <w:rFonts w:hint="eastAsia" w:cs="Times New Roman"/>
                      <w:b/>
                      <w:bCs w:val="0"/>
                      <w:color w:val="auto"/>
                      <w:kern w:val="2"/>
                      <w:sz w:val="21"/>
                      <w:szCs w:val="21"/>
                      <w:highlight w:val="none"/>
                      <w:vertAlign w:val="baseline"/>
                      <w:lang w:val="en-US" w:eastAsia="zh-CN" w:bidi="ar-SA"/>
                    </w:rPr>
                    <w:t>重点管理</w:t>
                  </w:r>
                </w:p>
              </w:tc>
              <w:tc>
                <w:tcPr>
                  <w:tcW w:w="1427" w:type="pct"/>
                  <w:tcBorders>
                    <w:tl2br w:val="nil"/>
                    <w:tr2bl w:val="nil"/>
                  </w:tcBorders>
                  <w:shd w:val="clear" w:color="auto" w:fill="auto"/>
                  <w:noWrap w:val="0"/>
                  <w:vAlign w:val="center"/>
                </w:tcPr>
                <w:p w14:paraId="42D6DC76">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cs="Times New Roman"/>
                      <w:b/>
                      <w:bCs w:val="0"/>
                      <w:color w:val="auto"/>
                      <w:kern w:val="2"/>
                      <w:sz w:val="21"/>
                      <w:szCs w:val="21"/>
                      <w:highlight w:val="none"/>
                      <w:vertAlign w:val="baseline"/>
                      <w:lang w:val="en-US" w:eastAsia="zh-CN" w:bidi="ar-SA"/>
                    </w:rPr>
                  </w:pPr>
                  <w:r>
                    <w:rPr>
                      <w:rFonts w:hint="eastAsia" w:cs="Times New Roman"/>
                      <w:b/>
                      <w:bCs w:val="0"/>
                      <w:color w:val="auto"/>
                      <w:kern w:val="2"/>
                      <w:sz w:val="21"/>
                      <w:szCs w:val="21"/>
                      <w:highlight w:val="none"/>
                      <w:vertAlign w:val="baseline"/>
                      <w:lang w:val="en-US" w:eastAsia="zh-CN" w:bidi="ar-SA"/>
                    </w:rPr>
                    <w:t>简化管理</w:t>
                  </w:r>
                </w:p>
              </w:tc>
              <w:tc>
                <w:tcPr>
                  <w:tcW w:w="799" w:type="pct"/>
                  <w:tcBorders>
                    <w:tl2br w:val="nil"/>
                    <w:tr2bl w:val="nil"/>
                  </w:tcBorders>
                  <w:shd w:val="clear" w:color="auto" w:fill="auto"/>
                  <w:noWrap w:val="0"/>
                  <w:vAlign w:val="center"/>
                </w:tcPr>
                <w:p w14:paraId="28DE6BBA">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cs="Times New Roman"/>
                      <w:b/>
                      <w:bCs w:val="0"/>
                      <w:color w:val="auto"/>
                      <w:kern w:val="2"/>
                      <w:sz w:val="21"/>
                      <w:szCs w:val="21"/>
                      <w:highlight w:val="none"/>
                      <w:vertAlign w:val="baseline"/>
                      <w:lang w:val="en-US" w:eastAsia="zh-CN" w:bidi="ar-SA"/>
                    </w:rPr>
                  </w:pPr>
                  <w:r>
                    <w:rPr>
                      <w:rFonts w:hint="eastAsia" w:cs="Times New Roman"/>
                      <w:b/>
                      <w:bCs w:val="0"/>
                      <w:color w:val="auto"/>
                      <w:kern w:val="2"/>
                      <w:sz w:val="21"/>
                      <w:szCs w:val="21"/>
                      <w:highlight w:val="none"/>
                      <w:vertAlign w:val="baseline"/>
                      <w:lang w:val="en-US" w:eastAsia="zh-CN" w:bidi="ar-SA"/>
                    </w:rPr>
                    <w:t>登记管理</w:t>
                  </w:r>
                </w:p>
              </w:tc>
            </w:tr>
            <w:tr w14:paraId="2BF484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8" w:hRule="atLeast"/>
              </w:trPr>
              <w:tc>
                <w:tcPr>
                  <w:tcW w:w="1271" w:type="pct"/>
                  <w:tcBorders>
                    <w:tl2br w:val="nil"/>
                    <w:tr2bl w:val="nil"/>
                  </w:tcBorders>
                  <w:shd w:val="clear" w:color="auto" w:fill="auto"/>
                  <w:noWrap w:val="0"/>
                  <w:vAlign w:val="center"/>
                </w:tcPr>
                <w:p w14:paraId="26348F5D">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cs="Times New Roman"/>
                      <w:bCs/>
                      <w:color w:val="auto"/>
                      <w:kern w:val="2"/>
                      <w:sz w:val="21"/>
                      <w:szCs w:val="21"/>
                      <w:highlight w:val="none"/>
                      <w:vertAlign w:val="baseline"/>
                      <w:lang w:val="en-US" w:eastAsia="zh-CN" w:bidi="ar-SA"/>
                    </w:rPr>
                  </w:pPr>
                  <w:r>
                    <w:rPr>
                      <w:rFonts w:hint="eastAsia" w:ascii="Times New Roman" w:hAnsi="Times New Roman" w:eastAsia="宋体" w:cs="Times New Roman"/>
                      <w:bCs/>
                      <w:color w:val="auto"/>
                      <w:kern w:val="2"/>
                      <w:sz w:val="21"/>
                      <w:szCs w:val="21"/>
                      <w:highlight w:val="none"/>
                      <w:vertAlign w:val="baseline"/>
                      <w:lang w:val="en-US" w:eastAsia="zh-CN" w:bidi="ar-SA"/>
                    </w:rPr>
                    <w:t>十二、纺织业17 25.化纤织造及印染精加工175</w:t>
                  </w:r>
                </w:p>
              </w:tc>
              <w:tc>
                <w:tcPr>
                  <w:tcW w:w="1501" w:type="pct"/>
                  <w:tcBorders>
                    <w:tl2br w:val="nil"/>
                    <w:tr2bl w:val="nil"/>
                  </w:tcBorders>
                  <w:shd w:val="clear" w:color="auto" w:fill="E6E0EC" w:themeFill="accent4" w:themeFillTint="32"/>
                  <w:noWrap w:val="0"/>
                  <w:vAlign w:val="center"/>
                </w:tcPr>
                <w:p w14:paraId="0C4B2E7C">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cs="Times New Roman"/>
                      <w:bCs/>
                      <w:color w:val="auto"/>
                      <w:kern w:val="2"/>
                      <w:sz w:val="21"/>
                      <w:szCs w:val="21"/>
                      <w:highlight w:val="none"/>
                      <w:vertAlign w:val="baseline"/>
                      <w:lang w:val="en-US" w:eastAsia="zh-CN" w:bidi="ar-SA"/>
                    </w:rPr>
                  </w:pPr>
                  <w:r>
                    <w:rPr>
                      <w:rFonts w:hint="eastAsia" w:cs="Times New Roman"/>
                      <w:bCs/>
                      <w:color w:val="auto"/>
                      <w:kern w:val="2"/>
                      <w:sz w:val="21"/>
                      <w:szCs w:val="21"/>
                      <w:highlight w:val="none"/>
                      <w:vertAlign w:val="baseline"/>
                      <w:lang w:val="en-US" w:eastAsia="zh-CN" w:bidi="ar-SA"/>
                    </w:rPr>
                    <w:t>有前处理、染色、印花、洗毛、麻脱胶、缫丝或者喷水织造工序的</w:t>
                  </w:r>
                </w:p>
              </w:tc>
              <w:tc>
                <w:tcPr>
                  <w:tcW w:w="1427" w:type="pct"/>
                  <w:tcBorders>
                    <w:tl2br w:val="nil"/>
                    <w:tr2bl w:val="nil"/>
                  </w:tcBorders>
                  <w:shd w:val="clear" w:color="auto" w:fill="auto"/>
                  <w:noWrap w:val="0"/>
                  <w:vAlign w:val="center"/>
                </w:tcPr>
                <w:p w14:paraId="033C862D">
                  <w:pPr>
                    <w:keepNext w:val="0"/>
                    <w:keepLines w:val="0"/>
                    <w:pageBreakBefore w:val="0"/>
                    <w:widowControl/>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cs="Times New Roman"/>
                      <w:bCs/>
                      <w:color w:val="auto"/>
                      <w:kern w:val="2"/>
                      <w:sz w:val="21"/>
                      <w:szCs w:val="21"/>
                      <w:highlight w:val="none"/>
                      <w:vertAlign w:val="baseline"/>
                      <w:lang w:val="en-US" w:eastAsia="zh-CN" w:bidi="ar-SA"/>
                    </w:rPr>
                  </w:pPr>
                  <w:r>
                    <w:rPr>
                      <w:rFonts w:hint="eastAsia" w:cs="Times New Roman"/>
                      <w:bCs/>
                      <w:color w:val="auto"/>
                      <w:kern w:val="2"/>
                      <w:sz w:val="21"/>
                      <w:szCs w:val="21"/>
                      <w:highlight w:val="none"/>
                      <w:vertAlign w:val="baseline"/>
                      <w:lang w:val="en-US" w:eastAsia="zh-CN" w:bidi="ar-SA"/>
                    </w:rPr>
                    <w:t>仅含整理工序的</w:t>
                  </w:r>
                </w:p>
              </w:tc>
              <w:tc>
                <w:tcPr>
                  <w:tcW w:w="799" w:type="pct"/>
                  <w:tcBorders>
                    <w:tl2br w:val="nil"/>
                    <w:tr2bl w:val="nil"/>
                  </w:tcBorders>
                  <w:shd w:val="clear" w:color="auto" w:fill="auto"/>
                  <w:noWrap w:val="0"/>
                  <w:vAlign w:val="center"/>
                </w:tcPr>
                <w:p w14:paraId="41866EC4">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cs="Times New Roman"/>
                      <w:bCs/>
                      <w:color w:val="auto"/>
                      <w:kern w:val="2"/>
                      <w:sz w:val="21"/>
                      <w:szCs w:val="21"/>
                      <w:highlight w:val="none"/>
                      <w:vertAlign w:val="baseline"/>
                      <w:lang w:val="en-US" w:eastAsia="zh-CN" w:bidi="ar-SA"/>
                    </w:rPr>
                  </w:pPr>
                  <w:r>
                    <w:rPr>
                      <w:rFonts w:hint="eastAsia" w:cs="Times New Roman"/>
                      <w:bCs/>
                      <w:color w:val="auto"/>
                      <w:kern w:val="2"/>
                      <w:sz w:val="21"/>
                      <w:szCs w:val="21"/>
                      <w:highlight w:val="none"/>
                      <w:vertAlign w:val="baseline"/>
                      <w:lang w:val="en-US" w:eastAsia="zh-CN" w:bidi="ar-SA"/>
                    </w:rPr>
                    <w:t>其他*</w:t>
                  </w:r>
                </w:p>
              </w:tc>
            </w:tr>
          </w:tbl>
          <w:p w14:paraId="38AA9B8F">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firstLine="480" w:firstLineChars="200"/>
              <w:textAlignment w:val="auto"/>
              <w:rPr>
                <w:color w:val="auto"/>
                <w:sz w:val="24"/>
                <w:szCs w:val="24"/>
              </w:rPr>
            </w:pPr>
          </w:p>
        </w:tc>
      </w:tr>
      <w:tr w14:paraId="467041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7" w:hRule="atLeast"/>
          <w:jc w:val="center"/>
        </w:trPr>
        <w:tc>
          <w:tcPr>
            <w:tcW w:w="569" w:type="dxa"/>
            <w:tcBorders>
              <w:top w:val="single" w:color="auto" w:sz="8" w:space="0"/>
              <w:bottom w:val="single" w:color="auto" w:sz="4" w:space="0"/>
            </w:tcBorders>
            <w:vAlign w:val="center"/>
          </w:tcPr>
          <w:p w14:paraId="4AD59056">
            <w:pPr>
              <w:pStyle w:val="30"/>
              <w:adjustRightInd w:val="0"/>
              <w:snapToGrid w:val="0"/>
              <w:spacing w:before="0" w:beforeAutospacing="0" w:after="0" w:afterAutospacing="0"/>
              <w:ind w:firstLine="0" w:firstLineChars="0"/>
              <w:jc w:val="center"/>
              <w:rPr>
                <w:rFonts w:ascii="Times New Roman" w:hAnsi="Times New Roman"/>
                <w:color w:val="auto"/>
                <w:sz w:val="21"/>
                <w:szCs w:val="21"/>
              </w:rPr>
            </w:pPr>
            <w:r>
              <w:rPr>
                <w:rFonts w:ascii="Times New Roman" w:hAnsi="Times New Roman"/>
                <w:color w:val="auto"/>
                <w:sz w:val="21"/>
                <w:szCs w:val="21"/>
              </w:rPr>
              <w:t>工艺流程和产排污环节</w:t>
            </w:r>
          </w:p>
        </w:tc>
        <w:tc>
          <w:tcPr>
            <w:tcW w:w="8945" w:type="dxa"/>
            <w:tcBorders>
              <w:top w:val="single" w:color="auto" w:sz="8" w:space="0"/>
              <w:bottom w:val="single" w:color="auto" w:sz="4" w:space="0"/>
            </w:tcBorders>
          </w:tcPr>
          <w:p w14:paraId="15CCD57D">
            <w:pPr>
              <w:keepNext w:val="0"/>
              <w:keepLines w:val="0"/>
              <w:pageBreakBefore w:val="0"/>
              <w:widowControl w:val="0"/>
              <w:kinsoku/>
              <w:wordWrap/>
              <w:overflowPunct/>
              <w:topLinePunct w:val="0"/>
              <w:autoSpaceDE/>
              <w:autoSpaceDN/>
              <w:bidi w:val="0"/>
              <w:adjustRightInd/>
              <w:spacing w:line="360" w:lineRule="auto"/>
              <w:ind w:firstLine="482"/>
              <w:textAlignment w:val="auto"/>
              <w:rPr>
                <w:b/>
                <w:bCs/>
                <w:color w:val="000000"/>
              </w:rPr>
            </w:pPr>
            <w:r>
              <w:rPr>
                <w:rFonts w:hint="eastAsia"/>
                <w:b/>
                <w:bCs/>
                <w:color w:val="000000"/>
              </w:rPr>
              <w:t>一、施工期</w:t>
            </w:r>
          </w:p>
          <w:p w14:paraId="2CA239C7">
            <w:pPr>
              <w:keepNext w:val="0"/>
              <w:keepLines w:val="0"/>
              <w:pageBreakBefore w:val="0"/>
              <w:widowControl w:val="0"/>
              <w:kinsoku/>
              <w:wordWrap/>
              <w:overflowPunct/>
              <w:topLinePunct w:val="0"/>
              <w:autoSpaceDE/>
              <w:autoSpaceDN/>
              <w:bidi w:val="0"/>
              <w:adjustRightInd/>
              <w:spacing w:line="360" w:lineRule="auto"/>
              <w:ind w:firstLine="480"/>
              <w:textAlignment w:val="auto"/>
              <w:rPr>
                <w:color w:val="000000"/>
              </w:rPr>
            </w:pPr>
            <w:r>
              <w:rPr>
                <w:rFonts w:hint="eastAsia"/>
                <w:color w:val="000000"/>
              </w:rPr>
              <w:t>本项目租赁已建成的厂房，不再新建厂房，不涉及土建施工，地面已做好硬化防渗处理，化粪池运行正常；仅需进行设备安装和调试及室内局部装修，施工</w:t>
            </w:r>
            <w:r>
              <w:rPr>
                <w:rFonts w:hint="eastAsia"/>
                <w:color w:val="000000"/>
                <w:lang w:eastAsia="zh-CN"/>
              </w:rPr>
              <w:t>期间</w:t>
            </w:r>
            <w:r>
              <w:rPr>
                <w:rFonts w:hint="eastAsia"/>
                <w:color w:val="000000"/>
              </w:rPr>
              <w:t>对周边环境基本无影响，本次不对施工期进行分析评价。</w:t>
            </w:r>
          </w:p>
          <w:p w14:paraId="23E840E6">
            <w:pPr>
              <w:keepNext w:val="0"/>
              <w:keepLines w:val="0"/>
              <w:pageBreakBefore w:val="0"/>
              <w:widowControl w:val="0"/>
              <w:kinsoku/>
              <w:wordWrap/>
              <w:overflowPunct/>
              <w:topLinePunct w:val="0"/>
              <w:autoSpaceDE/>
              <w:autoSpaceDN/>
              <w:bidi w:val="0"/>
              <w:adjustRightInd/>
              <w:spacing w:line="360" w:lineRule="auto"/>
              <w:ind w:firstLine="482"/>
              <w:textAlignment w:val="auto"/>
              <w:rPr>
                <w:b/>
                <w:bCs/>
              </w:rPr>
            </w:pPr>
            <w:r>
              <w:rPr>
                <w:rFonts w:hint="eastAsia"/>
                <w:b/>
                <w:bCs/>
                <w:color w:val="000000"/>
              </w:rPr>
              <w:t>二、运营期</w:t>
            </w:r>
          </w:p>
          <w:p w14:paraId="194E926E">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default" w:eastAsia="宋体"/>
                <w:b/>
                <w:bCs/>
                <w:lang w:val="en-US" w:eastAsia="zh-CN"/>
              </w:rPr>
            </w:pPr>
            <w:r>
              <w:rPr>
                <w:rFonts w:hint="eastAsia"/>
                <w:b/>
                <w:bCs/>
                <w:lang w:eastAsia="zh-CN"/>
              </w:rPr>
              <w:t>1.</w:t>
            </w:r>
            <w:r>
              <w:rPr>
                <w:rFonts w:hint="eastAsia"/>
                <w:b/>
                <w:bCs/>
                <w:lang w:val="en-US" w:eastAsia="zh-CN"/>
              </w:rPr>
              <w:t>本项目</w:t>
            </w:r>
            <w:r>
              <w:rPr>
                <w:b/>
                <w:bCs/>
              </w:rPr>
              <w:t>工艺流程及产污环节图</w:t>
            </w:r>
          </w:p>
          <w:p w14:paraId="69E9D553">
            <w:pPr>
              <w:keepNext w:val="0"/>
              <w:keepLines w:val="0"/>
              <w:pageBreakBefore w:val="0"/>
              <w:widowControl w:val="0"/>
              <w:kinsoku/>
              <w:wordWrap/>
              <w:overflowPunct/>
              <w:topLinePunct w:val="0"/>
              <w:autoSpaceDE/>
              <w:autoSpaceDN/>
              <w:bidi w:val="0"/>
              <w:adjustRightInd/>
              <w:spacing w:line="360" w:lineRule="auto"/>
              <w:ind w:firstLine="480"/>
              <w:textAlignment w:val="auto"/>
              <w:rPr>
                <w:rFonts w:hint="eastAsia"/>
                <w:color w:val="auto"/>
                <w:lang w:val="en-US" w:eastAsia="zh-CN"/>
              </w:rPr>
            </w:pPr>
            <w:r>
              <w:rPr>
                <w:rFonts w:hint="eastAsia"/>
                <w:color w:val="auto"/>
                <w:lang w:val="en-US" w:eastAsia="zh-CN"/>
              </w:rPr>
              <w:drawing>
                <wp:anchor distT="0" distB="0" distL="114300" distR="114300" simplePos="0" relativeHeight="251663360" behindDoc="1" locked="0" layoutInCell="1" allowOverlap="1">
                  <wp:simplePos x="0" y="0"/>
                  <wp:positionH relativeFrom="column">
                    <wp:posOffset>920115</wp:posOffset>
                  </wp:positionH>
                  <wp:positionV relativeFrom="paragraph">
                    <wp:posOffset>240665</wp:posOffset>
                  </wp:positionV>
                  <wp:extent cx="3721735" cy="4778375"/>
                  <wp:effectExtent l="0" t="0" r="12065" b="3175"/>
                  <wp:wrapNone/>
                  <wp:docPr id="40" name="图片 40" descr="21c0781c-e03f-420f-8dc2-88994ab8aa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21c0781c-e03f-420f-8dc2-88994ab8aaf8"/>
                          <pic:cNvPicPr>
                            <a:picLocks noChangeAspect="1"/>
                          </pic:cNvPicPr>
                        </pic:nvPicPr>
                        <pic:blipFill>
                          <a:blip r:embed="rId16"/>
                          <a:stretch>
                            <a:fillRect/>
                          </a:stretch>
                        </pic:blipFill>
                        <pic:spPr>
                          <a:xfrm>
                            <a:off x="0" y="0"/>
                            <a:ext cx="3721735" cy="4778375"/>
                          </a:xfrm>
                          <a:prstGeom prst="rect">
                            <a:avLst/>
                          </a:prstGeom>
                        </pic:spPr>
                      </pic:pic>
                    </a:graphicData>
                  </a:graphic>
                </wp:anchor>
              </w:drawing>
            </w:r>
            <w:r>
              <w:rPr>
                <w:rFonts w:hint="eastAsia"/>
                <w:color w:val="auto"/>
                <w:lang w:val="en-US" w:eastAsia="zh-CN"/>
              </w:rPr>
              <w:t>喷水织造生产工艺流程及产污环节</w:t>
            </w:r>
          </w:p>
          <w:p w14:paraId="7F859780">
            <w:pPr>
              <w:keepNext w:val="0"/>
              <w:keepLines w:val="0"/>
              <w:pageBreakBefore w:val="0"/>
              <w:widowControl w:val="0"/>
              <w:kinsoku/>
              <w:wordWrap/>
              <w:overflowPunct/>
              <w:topLinePunct w:val="0"/>
              <w:autoSpaceDE/>
              <w:autoSpaceDN/>
              <w:bidi w:val="0"/>
              <w:adjustRightInd/>
              <w:spacing w:line="360" w:lineRule="auto"/>
              <w:ind w:firstLine="480"/>
              <w:textAlignment w:val="auto"/>
              <w:rPr>
                <w:rFonts w:hint="eastAsia"/>
                <w:color w:val="auto"/>
                <w:lang w:val="en-US" w:eastAsia="zh-CN"/>
              </w:rPr>
            </w:pPr>
          </w:p>
          <w:p w14:paraId="4CED3DD0">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2A711C3E">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0F0F593F">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455674C2">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050A6C3C">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06546382">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319ECFE2">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7542144A">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0E9BF8F6">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19DAE813">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7503EEE0">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7F06B7DF">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3DE7EF9E">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6157D9CB">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62EC1198">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4E7B321B">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bCs/>
              </w:rPr>
            </w:pPr>
          </w:p>
          <w:p w14:paraId="491EB7B8">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left="0" w:leftChars="0" w:firstLine="0" w:firstLineChars="0"/>
              <w:jc w:val="both"/>
              <w:textAlignment w:val="auto"/>
              <w:rPr>
                <w:b/>
                <w:bCs/>
              </w:rPr>
            </w:pPr>
          </w:p>
          <w:p w14:paraId="7E556A2E">
            <w:pPr>
              <w:keepNext w:val="0"/>
              <w:keepLines w:val="0"/>
              <w:pageBreakBefore w:val="0"/>
              <w:widowControl w:val="0"/>
              <w:tabs>
                <w:tab w:val="left" w:pos="360"/>
              </w:tabs>
              <w:kinsoku/>
              <w:wordWrap/>
              <w:overflowPunct/>
              <w:topLinePunct w:val="0"/>
              <w:autoSpaceDE/>
              <w:autoSpaceDN/>
              <w:bidi w:val="0"/>
              <w:adjustRightInd/>
              <w:snapToGrid w:val="0"/>
              <w:spacing w:line="360" w:lineRule="auto"/>
              <w:ind w:firstLine="482" w:firstLineChars="200"/>
              <w:jc w:val="center"/>
              <w:textAlignment w:val="auto"/>
              <w:rPr>
                <w:b w:val="0"/>
                <w:bCs w:val="0"/>
              </w:rPr>
            </w:pPr>
            <w:r>
              <w:rPr>
                <w:b/>
                <w:bCs/>
              </w:rPr>
              <w:t>图2-</w:t>
            </w:r>
            <w:r>
              <w:rPr>
                <w:rFonts w:hint="eastAsia"/>
                <w:b/>
                <w:bCs/>
                <w:lang w:val="en-US" w:eastAsia="zh-CN"/>
              </w:rPr>
              <w:t>2生产</w:t>
            </w:r>
            <w:r>
              <w:rPr>
                <w:b/>
                <w:bCs/>
              </w:rPr>
              <w:t>工艺流程及产污环节图</w:t>
            </w:r>
          </w:p>
          <w:p w14:paraId="69224477">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工艺流程简述</w:t>
            </w:r>
          </w:p>
          <w:p w14:paraId="452FF444">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（1）加弹</w:t>
            </w:r>
          </w:p>
          <w:p w14:paraId="49D3CE0B">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①第一罗拉：外购POY丝经第一罗拉第一次变形</w:t>
            </w:r>
            <w:r>
              <w:rPr>
                <w:rFonts w:hint="eastAsia"/>
                <w:color w:val="auto"/>
                <w:lang w:val="en-US" w:eastAsia="zh-CN"/>
              </w:rPr>
              <w:t>（</w:t>
            </w:r>
            <w:r>
              <w:rPr>
                <w:rFonts w:hint="default" w:eastAsia="宋体"/>
                <w:color w:val="auto"/>
                <w:lang w:val="en-US" w:eastAsia="zh-CN"/>
              </w:rPr>
              <w:t>物理变形</w:t>
            </w:r>
            <w:r>
              <w:rPr>
                <w:rFonts w:hint="eastAsia"/>
                <w:color w:val="auto"/>
                <w:lang w:val="en-US" w:eastAsia="zh-CN"/>
              </w:rPr>
              <w:t>）</w:t>
            </w:r>
            <w:r>
              <w:rPr>
                <w:rFonts w:hint="default" w:eastAsia="宋体"/>
                <w:color w:val="auto"/>
                <w:lang w:val="en-US" w:eastAsia="zh-CN"/>
              </w:rPr>
              <w:t>，使POY丝变得蓬松、有弹性。该过程产生废丝S1。</w:t>
            </w:r>
          </w:p>
          <w:p w14:paraId="4A965A83">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②上热箱、冷却：通过上热箱</w:t>
            </w:r>
            <w:r>
              <w:rPr>
                <w:rFonts w:hint="eastAsia"/>
                <w:color w:val="auto"/>
                <w:lang w:val="en-US" w:eastAsia="zh-CN"/>
              </w:rPr>
              <w:t>（</w:t>
            </w:r>
            <w:r>
              <w:rPr>
                <w:rFonts w:hint="eastAsia" w:eastAsia="宋体"/>
                <w:color w:val="auto"/>
                <w:lang w:val="en-US" w:eastAsia="zh-CN"/>
              </w:rPr>
              <w:t>设备自带电加热</w:t>
            </w:r>
            <w:r>
              <w:rPr>
                <w:rFonts w:hint="eastAsia"/>
                <w:lang w:val="en-US" w:eastAsia="zh-CN"/>
              </w:rPr>
              <w:t>，</w:t>
            </w:r>
            <w:r>
              <w:rPr>
                <w:rFonts w:hint="default" w:eastAsia="宋体"/>
                <w:color w:val="auto"/>
                <w:lang w:val="en-US" w:eastAsia="zh-CN"/>
              </w:rPr>
              <w:t>温度控制在170℃~210℃</w:t>
            </w:r>
            <w:r>
              <w:rPr>
                <w:rFonts w:hint="eastAsia"/>
                <w:color w:val="auto"/>
                <w:lang w:val="en-US" w:eastAsia="zh-CN"/>
              </w:rPr>
              <w:t>）</w:t>
            </w:r>
            <w:r>
              <w:rPr>
                <w:rFonts w:hint="default" w:eastAsia="宋体"/>
                <w:color w:val="auto"/>
                <w:lang w:val="en-US" w:eastAsia="zh-CN"/>
              </w:rPr>
              <w:t>加热定型POY预取向丝，使前步的物理形变固定下来，后进行空气冷却。项目上下热箱加热机理是对热箱中密封导热油进行电加热，导热油在密封细管中循环，加热密封细管外金属丝道</w:t>
            </w:r>
            <w:r>
              <w:rPr>
                <w:rFonts w:hint="eastAsia"/>
                <w:color w:val="auto"/>
                <w:lang w:val="en-US" w:eastAsia="zh-CN"/>
              </w:rPr>
              <w:t>（</w:t>
            </w:r>
            <w:r>
              <w:rPr>
                <w:rFonts w:hint="default" w:eastAsia="宋体"/>
                <w:color w:val="auto"/>
                <w:lang w:val="en-US" w:eastAsia="zh-CN"/>
              </w:rPr>
              <w:t>传质加热</w:t>
            </w:r>
            <w:r>
              <w:rPr>
                <w:rFonts w:hint="eastAsia"/>
                <w:color w:val="auto"/>
                <w:lang w:val="en-US" w:eastAsia="zh-CN"/>
              </w:rPr>
              <w:t>）</w:t>
            </w:r>
            <w:r>
              <w:rPr>
                <w:rFonts w:hint="default" w:eastAsia="宋体"/>
                <w:color w:val="auto"/>
                <w:lang w:val="en-US" w:eastAsia="zh-CN"/>
              </w:rPr>
              <w:t>，涤纶丝只与丝道接触，不与导热油接触。该过程POY预取向丝表面油剂受热挥发产生加弹废气G1</w:t>
            </w:r>
            <w:r>
              <w:rPr>
                <w:rFonts w:hint="eastAsia"/>
                <w:color w:val="auto"/>
                <w:lang w:val="en-US" w:eastAsia="zh-CN"/>
              </w:rPr>
              <w:t>（</w:t>
            </w:r>
            <w:r>
              <w:rPr>
                <w:rFonts w:hint="default" w:eastAsia="宋体"/>
                <w:color w:val="auto"/>
                <w:lang w:val="en-US" w:eastAsia="zh-CN"/>
              </w:rPr>
              <w:t>以非甲烷总烃计</w:t>
            </w:r>
            <w:r>
              <w:rPr>
                <w:rFonts w:hint="eastAsia"/>
                <w:color w:val="auto"/>
                <w:lang w:val="en-US" w:eastAsia="zh-CN"/>
              </w:rPr>
              <w:t>）</w:t>
            </w:r>
            <w:r>
              <w:rPr>
                <w:rFonts w:hint="default" w:eastAsia="宋体"/>
                <w:color w:val="auto"/>
                <w:lang w:val="en-US" w:eastAsia="zh-CN"/>
              </w:rPr>
              <w:t>。</w:t>
            </w:r>
          </w:p>
          <w:p w14:paraId="31305B00">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③假捻：通过假捻器固定丝的两端，握住其中间加以旋转，在握持点上、下两端的丝条捻向相反而捻数相同，整根丝</w:t>
            </w:r>
            <w:r>
              <w:rPr>
                <w:rFonts w:hint="eastAsia"/>
                <w:color w:val="auto"/>
                <w:lang w:val="en-US" w:eastAsia="zh-CN"/>
              </w:rPr>
              <w:t>捻度</w:t>
            </w:r>
            <w:r>
              <w:rPr>
                <w:rFonts w:hint="default" w:eastAsia="宋体"/>
                <w:color w:val="auto"/>
                <w:lang w:val="en-US" w:eastAsia="zh-CN"/>
              </w:rPr>
              <w:t>为零。丝条以一定的速度</w:t>
            </w:r>
            <w:r>
              <w:rPr>
                <w:rFonts w:hint="eastAsia"/>
                <w:color w:val="auto"/>
                <w:lang w:val="en-US" w:eastAsia="zh-CN"/>
              </w:rPr>
              <w:t>（</w:t>
            </w:r>
            <w:r>
              <w:rPr>
                <w:rFonts w:hint="default" w:eastAsia="宋体"/>
                <w:color w:val="auto"/>
                <w:lang w:val="en-US" w:eastAsia="zh-CN"/>
              </w:rPr>
              <w:t>v</w:t>
            </w:r>
            <w:r>
              <w:rPr>
                <w:rFonts w:hint="eastAsia"/>
                <w:color w:val="auto"/>
                <w:lang w:val="en-US" w:eastAsia="zh-CN"/>
              </w:rPr>
              <w:t>）</w:t>
            </w:r>
            <w:r>
              <w:rPr>
                <w:rFonts w:hint="default" w:eastAsia="宋体"/>
                <w:color w:val="auto"/>
                <w:lang w:val="en-US" w:eastAsia="zh-CN"/>
              </w:rPr>
              <w:t>运行，在握持点前的捻数为</w:t>
            </w:r>
            <w:r>
              <w:rPr>
                <w:rFonts w:hint="eastAsia"/>
                <w:color w:val="auto"/>
                <w:lang w:val="en-US" w:eastAsia="zh-CN"/>
              </w:rPr>
              <w:t>（</w:t>
            </w:r>
            <w:r>
              <w:rPr>
                <w:rFonts w:hint="default" w:eastAsia="宋体"/>
                <w:color w:val="auto"/>
                <w:lang w:val="en-US" w:eastAsia="zh-CN"/>
              </w:rPr>
              <w:t>n/v</w:t>
            </w:r>
            <w:r>
              <w:rPr>
                <w:rFonts w:hint="eastAsia"/>
                <w:color w:val="auto"/>
                <w:lang w:val="en-US" w:eastAsia="zh-CN"/>
              </w:rPr>
              <w:t>）</w:t>
            </w:r>
            <w:r>
              <w:rPr>
                <w:rFonts w:hint="default" w:eastAsia="宋体"/>
                <w:color w:val="auto"/>
                <w:lang w:val="en-US" w:eastAsia="zh-CN"/>
              </w:rPr>
              <w:t>，在握持点后，向相反捻向</w:t>
            </w:r>
            <w:r>
              <w:rPr>
                <w:rFonts w:hint="eastAsia"/>
                <w:color w:val="auto"/>
                <w:lang w:val="en-US" w:eastAsia="zh-CN"/>
              </w:rPr>
              <w:t>（</w:t>
            </w:r>
            <w:r>
              <w:rPr>
                <w:rFonts w:hint="default" w:eastAsia="宋体"/>
                <w:color w:val="auto"/>
                <w:lang w:val="en-US" w:eastAsia="zh-CN"/>
              </w:rPr>
              <w:t>n/v</w:t>
            </w:r>
            <w:r>
              <w:rPr>
                <w:rFonts w:hint="eastAsia"/>
                <w:color w:val="auto"/>
                <w:lang w:val="en-US" w:eastAsia="zh-CN"/>
              </w:rPr>
              <w:t>）</w:t>
            </w:r>
            <w:r>
              <w:rPr>
                <w:rFonts w:hint="default" w:eastAsia="宋体"/>
                <w:color w:val="auto"/>
                <w:lang w:val="en-US" w:eastAsia="zh-CN"/>
              </w:rPr>
              <w:t>移动，因此，握持点以后区域内的捻度为零。假捻以减少纺丝的包缠纤维，防止纺丝起毛。该过程产生废丝S1、设备运行噪声 N。</w:t>
            </w:r>
          </w:p>
          <w:p w14:paraId="779503DC">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④第二罗拉：进入第二罗拉进行二次变形，使一次定型的POY丝再次变得蓬松、有弹性。</w:t>
            </w:r>
          </w:p>
          <w:p w14:paraId="03B5EB95">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⑤下热箱：通过下热箱进行二次加热定型，使前步第二次物理形变固定下来</w:t>
            </w:r>
            <w:r>
              <w:rPr>
                <w:rFonts w:hint="eastAsia"/>
                <w:color w:val="auto"/>
                <w:lang w:val="en-US" w:eastAsia="zh-CN"/>
              </w:rPr>
              <w:t>（</w:t>
            </w:r>
            <w:r>
              <w:rPr>
                <w:rFonts w:hint="default" w:eastAsia="宋体"/>
                <w:color w:val="auto"/>
                <w:lang w:val="en-US" w:eastAsia="zh-CN"/>
              </w:rPr>
              <w:t>温度控制在170℃~210℃，电加热</w:t>
            </w:r>
            <w:r>
              <w:rPr>
                <w:rFonts w:hint="eastAsia"/>
                <w:color w:val="auto"/>
                <w:lang w:val="en-US" w:eastAsia="zh-CN"/>
              </w:rPr>
              <w:t>）</w:t>
            </w:r>
            <w:r>
              <w:rPr>
                <w:rFonts w:hint="default" w:eastAsia="宋体"/>
                <w:color w:val="auto"/>
                <w:lang w:val="en-US" w:eastAsia="zh-CN"/>
              </w:rPr>
              <w:t>。该过程POY预取向丝表面油剂受热挥发产生加弹废气G1</w:t>
            </w:r>
            <w:r>
              <w:rPr>
                <w:rFonts w:hint="eastAsia"/>
                <w:color w:val="auto"/>
                <w:lang w:val="en-US" w:eastAsia="zh-CN"/>
              </w:rPr>
              <w:t>（</w:t>
            </w:r>
            <w:r>
              <w:rPr>
                <w:rFonts w:hint="default" w:eastAsia="宋体"/>
                <w:color w:val="auto"/>
                <w:lang w:val="en-US" w:eastAsia="zh-CN"/>
              </w:rPr>
              <w:t>以非甲烷总烃计</w:t>
            </w:r>
            <w:r>
              <w:rPr>
                <w:rFonts w:hint="eastAsia"/>
                <w:color w:val="auto"/>
                <w:lang w:val="en-US" w:eastAsia="zh-CN"/>
              </w:rPr>
              <w:t>）</w:t>
            </w:r>
            <w:r>
              <w:rPr>
                <w:rFonts w:hint="default" w:eastAsia="宋体"/>
                <w:color w:val="auto"/>
                <w:lang w:val="en-US" w:eastAsia="zh-CN"/>
              </w:rPr>
              <w:t>。</w:t>
            </w:r>
          </w:p>
          <w:p w14:paraId="08024F26">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⑥上油、绕卷成型：因为在加热定型过程中油剂挥发，POY丝含油率下降，因此需要通过上油辊再次上油，接着进行卷绕。上油过程油剂挥发产生油雾废气G1</w:t>
            </w:r>
            <w:r>
              <w:rPr>
                <w:rFonts w:hint="eastAsia"/>
                <w:color w:val="auto"/>
                <w:lang w:val="en-US" w:eastAsia="zh-CN"/>
              </w:rPr>
              <w:t>（</w:t>
            </w:r>
            <w:r>
              <w:rPr>
                <w:rFonts w:hint="default" w:eastAsia="宋体"/>
                <w:color w:val="auto"/>
                <w:lang w:val="en-US" w:eastAsia="zh-CN"/>
              </w:rPr>
              <w:t>以非甲烷总烃计</w:t>
            </w:r>
            <w:r>
              <w:rPr>
                <w:rFonts w:hint="eastAsia"/>
                <w:color w:val="auto"/>
                <w:lang w:val="en-US" w:eastAsia="zh-CN"/>
              </w:rPr>
              <w:t>）</w:t>
            </w:r>
            <w:r>
              <w:rPr>
                <w:rFonts w:hint="default" w:eastAsia="宋体"/>
                <w:color w:val="auto"/>
                <w:lang w:val="en-US" w:eastAsia="zh-CN"/>
              </w:rPr>
              <w:t>。</w:t>
            </w:r>
          </w:p>
          <w:p w14:paraId="2C47C96D">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以上工序均在加弹机中完成。</w:t>
            </w:r>
          </w:p>
          <w:p w14:paraId="32053E2B">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（2）牵经</w:t>
            </w:r>
          </w:p>
          <w:p w14:paraId="78F99341">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将</w:t>
            </w:r>
            <w:r>
              <w:rPr>
                <w:rFonts w:hint="eastAsia"/>
                <w:color w:val="auto"/>
                <w:lang w:val="en-US" w:eastAsia="zh-CN"/>
              </w:rPr>
              <w:t>筒子</w:t>
            </w:r>
            <w:r>
              <w:rPr>
                <w:rFonts w:hint="default" w:eastAsia="宋体"/>
                <w:color w:val="auto"/>
                <w:lang w:val="en-US" w:eastAsia="zh-CN"/>
              </w:rPr>
              <w:t>纱按工艺所需要的经纱根数与长度，在相同的张力下平行、等速、整齐地卷绕成经轴。</w:t>
            </w:r>
          </w:p>
          <w:p w14:paraId="60B6FDC7">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（3）喷水织造</w:t>
            </w:r>
          </w:p>
          <w:p w14:paraId="4C4C65ED">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用喷水织机进行织造，形成化纤面料。喷水织布是采用喷射水柱牵引纬纱穿越梭口的无梭织布技术，利用喷射水流对纬纱产生摩擦牵引力，使固定</w:t>
            </w:r>
            <w:r>
              <w:rPr>
                <w:rFonts w:hint="eastAsia"/>
                <w:color w:val="auto"/>
                <w:lang w:val="en-US" w:eastAsia="zh-CN"/>
              </w:rPr>
              <w:t>筒子</w:t>
            </w:r>
            <w:r>
              <w:rPr>
                <w:rFonts w:hint="default" w:eastAsia="宋体"/>
                <w:color w:val="auto"/>
                <w:lang w:val="en-US" w:eastAsia="zh-CN"/>
              </w:rPr>
              <w:t>上的纬纱引入梭口。由于水的</w:t>
            </w:r>
            <w:r>
              <w:rPr>
                <w:rFonts w:hint="eastAsia"/>
                <w:color w:val="auto"/>
                <w:lang w:val="en-US" w:eastAsia="zh-CN"/>
              </w:rPr>
              <w:t>积聚</w:t>
            </w:r>
            <w:r>
              <w:rPr>
                <w:rFonts w:hint="default" w:eastAsia="宋体"/>
                <w:color w:val="auto"/>
                <w:lang w:val="en-US" w:eastAsia="zh-CN"/>
              </w:rPr>
              <w:t>性较好，喷水织布机</w:t>
            </w:r>
            <w:r>
              <w:rPr>
                <w:rFonts w:hint="eastAsia"/>
                <w:color w:val="auto"/>
                <w:lang w:val="en-US" w:eastAsia="zh-CN"/>
              </w:rPr>
              <w:t>无须设置</w:t>
            </w:r>
            <w:r>
              <w:rPr>
                <w:rFonts w:hint="default" w:eastAsia="宋体"/>
                <w:color w:val="auto"/>
                <w:lang w:val="en-US" w:eastAsia="zh-CN"/>
              </w:rPr>
              <w:t>防水扩散装置，该过程会产生织布废水W1、废丝S2、废布S3、设备运行噪声N。</w:t>
            </w:r>
          </w:p>
          <w:p w14:paraId="6425DDF2">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（4）检验、打卷入库</w:t>
            </w:r>
          </w:p>
          <w:p w14:paraId="6E920EA8">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对化纤面料进行检验，该过程会产生废布S4，检验合格后，用打卷机打卷入库，</w:t>
            </w:r>
          </w:p>
          <w:p w14:paraId="00684566">
            <w:pPr>
              <w:pStyle w:val="15"/>
              <w:numPr>
                <w:ilvl w:val="0"/>
                <w:numId w:val="0"/>
              </w:numPr>
              <w:adjustRightInd w:val="0"/>
              <w:snapToGrid w:val="0"/>
              <w:spacing w:line="360" w:lineRule="auto"/>
              <w:rPr>
                <w:rFonts w:hint="default" w:eastAsia="宋体"/>
                <w:color w:val="auto"/>
                <w:lang w:val="en-US" w:eastAsia="zh-CN"/>
              </w:rPr>
            </w:pPr>
            <w:r>
              <w:rPr>
                <w:rFonts w:hint="default" w:eastAsia="宋体"/>
                <w:color w:val="auto"/>
                <w:lang w:val="en-US" w:eastAsia="zh-CN"/>
              </w:rPr>
              <w:t>待售。</w:t>
            </w:r>
          </w:p>
          <w:p w14:paraId="455F0809">
            <w:pPr>
              <w:pStyle w:val="15"/>
              <w:numPr>
                <w:ilvl w:val="0"/>
                <w:numId w:val="0"/>
              </w:numPr>
              <w:adjustRightInd w:val="0"/>
              <w:snapToGrid w:val="0"/>
              <w:spacing w:line="360" w:lineRule="auto"/>
              <w:ind w:firstLine="480" w:firstLineChars="200"/>
              <w:rPr>
                <w:rFonts w:hint="default" w:eastAsia="宋体"/>
                <w:color w:val="auto"/>
                <w:lang w:val="en-US" w:eastAsia="zh-CN"/>
              </w:rPr>
            </w:pPr>
            <w:r>
              <w:rPr>
                <w:rFonts w:hint="default" w:eastAsia="宋体"/>
                <w:color w:val="auto"/>
                <w:lang w:val="en-US" w:eastAsia="zh-CN"/>
              </w:rPr>
              <w:t>本项目生产过程中主要产排污环节见下表：</w:t>
            </w:r>
          </w:p>
          <w:p w14:paraId="3ED30253">
            <w:pPr>
              <w:pStyle w:val="15"/>
              <w:numPr>
                <w:ilvl w:val="0"/>
                <w:numId w:val="0"/>
              </w:numPr>
              <w:adjustRightInd w:val="0"/>
              <w:snapToGrid w:val="0"/>
              <w:spacing w:line="360" w:lineRule="auto"/>
              <w:jc w:val="center"/>
              <w:rPr>
                <w:rFonts w:hint="default" w:eastAsia="宋体"/>
                <w:b/>
                <w:bCs/>
                <w:color w:val="auto"/>
                <w:lang w:val="en-US" w:eastAsia="zh-CN"/>
              </w:rPr>
            </w:pPr>
            <w:r>
              <w:rPr>
                <w:rFonts w:hint="default" w:eastAsia="宋体"/>
                <w:b/>
                <w:bCs/>
                <w:color w:val="auto"/>
                <w:lang w:val="en-US" w:eastAsia="zh-CN"/>
              </w:rPr>
              <w:t>表 2-8 生产产污环节及污染因子一览表</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25"/>
              <w:gridCol w:w="1279"/>
              <w:gridCol w:w="1710"/>
              <w:gridCol w:w="945"/>
              <w:gridCol w:w="1635"/>
              <w:gridCol w:w="2435"/>
            </w:tblGrid>
            <w:tr w14:paraId="3334C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 w:hRule="atLeast"/>
                <w:jc w:val="center"/>
              </w:trPr>
              <w:tc>
                <w:tcPr>
                  <w:tcW w:w="415" w:type="pct"/>
                  <w:noWrap w:val="0"/>
                  <w:vAlign w:val="center"/>
                </w:tcPr>
                <w:p w14:paraId="7C16267F">
                  <w:pPr>
                    <w:pStyle w:val="144"/>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分类</w:t>
                  </w:r>
                </w:p>
              </w:tc>
              <w:tc>
                <w:tcPr>
                  <w:tcW w:w="732" w:type="pct"/>
                  <w:noWrap w:val="0"/>
                  <w:vAlign w:val="center"/>
                </w:tcPr>
                <w:p w14:paraId="6901E3B1">
                  <w:pPr>
                    <w:pStyle w:val="144"/>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生产工序</w:t>
                  </w:r>
                </w:p>
              </w:tc>
              <w:tc>
                <w:tcPr>
                  <w:tcW w:w="979" w:type="pct"/>
                  <w:noWrap w:val="0"/>
                  <w:vAlign w:val="center"/>
                </w:tcPr>
                <w:p w14:paraId="358128AD">
                  <w:pPr>
                    <w:pStyle w:val="144"/>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污染因子</w:t>
                  </w:r>
                </w:p>
              </w:tc>
              <w:tc>
                <w:tcPr>
                  <w:tcW w:w="541" w:type="pct"/>
                  <w:noWrap w:val="0"/>
                  <w:vAlign w:val="center"/>
                </w:tcPr>
                <w:p w14:paraId="097DD511">
                  <w:pPr>
                    <w:pStyle w:val="144"/>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排放特征</w:t>
                  </w:r>
                </w:p>
              </w:tc>
              <w:tc>
                <w:tcPr>
                  <w:tcW w:w="936" w:type="pct"/>
                  <w:noWrap w:val="0"/>
                  <w:vAlign w:val="center"/>
                </w:tcPr>
                <w:p w14:paraId="5063EF3D">
                  <w:pPr>
                    <w:pStyle w:val="144"/>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处置方式</w:t>
                  </w:r>
                </w:p>
              </w:tc>
              <w:tc>
                <w:tcPr>
                  <w:tcW w:w="1394" w:type="pct"/>
                  <w:noWrap w:val="0"/>
                  <w:vAlign w:val="center"/>
                </w:tcPr>
                <w:p w14:paraId="5E45CAFC">
                  <w:pPr>
                    <w:pStyle w:val="144"/>
                    <w:keepNext w:val="0"/>
                    <w:keepLines w:val="0"/>
                    <w:pageBreakBefore w:val="0"/>
                    <w:widowControl w:val="0"/>
                    <w:kinsoku/>
                    <w:wordWrap/>
                    <w:overflowPunct/>
                    <w:topLinePunct w:val="0"/>
                    <w:autoSpaceDE/>
                    <w:autoSpaceDN/>
                    <w:bidi w:val="0"/>
                    <w:adjustRightInd/>
                    <w:snapToGrid w:val="0"/>
                    <w:spacing w:line="240" w:lineRule="auto"/>
                    <w:ind w:right="0" w:rightChars="0"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排放方式</w:t>
                  </w:r>
                </w:p>
              </w:tc>
            </w:tr>
            <w:tr w14:paraId="5DDD53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7" w:hRule="atLeast"/>
                <w:jc w:val="center"/>
              </w:trPr>
              <w:tc>
                <w:tcPr>
                  <w:tcW w:w="415" w:type="pct"/>
                  <w:noWrap w:val="0"/>
                  <w:vAlign w:val="center"/>
                </w:tcPr>
                <w:p w14:paraId="7F5847D9">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废气G</w:t>
                  </w:r>
                </w:p>
              </w:tc>
              <w:tc>
                <w:tcPr>
                  <w:tcW w:w="732" w:type="pct"/>
                  <w:noWrap w:val="0"/>
                  <w:vAlign w:val="center"/>
                </w:tcPr>
                <w:p w14:paraId="551B63BE">
                  <w:pPr>
                    <w:keepNext w:val="0"/>
                    <w:keepLines w:val="0"/>
                    <w:pageBreakBefore w:val="0"/>
                    <w:widowControl w:val="0"/>
                    <w:tabs>
                      <w:tab w:val="left" w:pos="108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snapToGrid w:val="0"/>
                      <w:kern w:val="21"/>
                      <w:sz w:val="21"/>
                      <w:szCs w:val="21"/>
                      <w:lang w:val="en-US" w:eastAsia="zh-CN"/>
                    </w:rPr>
                  </w:pPr>
                  <w:r>
                    <w:rPr>
                      <w:rFonts w:hint="eastAsia" w:cs="Times New Roman"/>
                      <w:snapToGrid w:val="0"/>
                      <w:color w:val="auto"/>
                      <w:kern w:val="21"/>
                      <w:sz w:val="21"/>
                      <w:szCs w:val="21"/>
                      <w:lang w:val="en-US" w:eastAsia="zh-CN"/>
                    </w:rPr>
                    <w:t>加弹</w:t>
                  </w:r>
                </w:p>
              </w:tc>
              <w:tc>
                <w:tcPr>
                  <w:tcW w:w="979" w:type="pct"/>
                  <w:noWrap w:val="0"/>
                  <w:vAlign w:val="center"/>
                </w:tcPr>
                <w:p w14:paraId="0358EF42">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非甲烷总烃</w:t>
                  </w:r>
                </w:p>
              </w:tc>
              <w:tc>
                <w:tcPr>
                  <w:tcW w:w="541" w:type="pct"/>
                  <w:noWrap w:val="0"/>
                  <w:vAlign w:val="center"/>
                </w:tcPr>
                <w:p w14:paraId="4DC8A6AA">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连续</w:t>
                  </w:r>
                </w:p>
              </w:tc>
              <w:tc>
                <w:tcPr>
                  <w:tcW w:w="936" w:type="pct"/>
                  <w:noWrap w:val="0"/>
                  <w:vAlign w:val="center"/>
                </w:tcPr>
                <w:p w14:paraId="2CC329F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1套</w:t>
                  </w:r>
                  <w:r>
                    <w:rPr>
                      <w:rFonts w:hint="eastAsia" w:cs="Times New Roman"/>
                      <w:color w:val="auto"/>
                      <w:sz w:val="21"/>
                      <w:szCs w:val="21"/>
                      <w:lang w:val="en-US" w:eastAsia="zh-CN"/>
                    </w:rPr>
                    <w:t>高压静电油烟净化器</w:t>
                  </w:r>
                </w:p>
              </w:tc>
              <w:tc>
                <w:tcPr>
                  <w:tcW w:w="1394" w:type="pct"/>
                  <w:noWrap w:val="0"/>
                  <w:vAlign w:val="center"/>
                </w:tcPr>
                <w:p w14:paraId="4269A704">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15米排气筒DA001排放至大气环境</w:t>
                  </w:r>
                </w:p>
              </w:tc>
            </w:tr>
            <w:tr w14:paraId="60BF8F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7" w:hRule="atLeast"/>
                <w:jc w:val="center"/>
              </w:trPr>
              <w:tc>
                <w:tcPr>
                  <w:tcW w:w="415" w:type="pct"/>
                  <w:vMerge w:val="restart"/>
                  <w:noWrap w:val="0"/>
                  <w:vAlign w:val="center"/>
                </w:tcPr>
                <w:p w14:paraId="4761E6C8">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废水W</w:t>
                  </w:r>
                </w:p>
              </w:tc>
              <w:tc>
                <w:tcPr>
                  <w:tcW w:w="732" w:type="pct"/>
                  <w:noWrap w:val="0"/>
                  <w:vAlign w:val="center"/>
                </w:tcPr>
                <w:p w14:paraId="143DD410">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生活污水</w:t>
                  </w:r>
                </w:p>
              </w:tc>
              <w:tc>
                <w:tcPr>
                  <w:tcW w:w="979" w:type="pct"/>
                  <w:noWrap w:val="0"/>
                  <w:vAlign w:val="center"/>
                </w:tcPr>
                <w:p w14:paraId="5D533DA7">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COD、</w:t>
                  </w:r>
                  <w:r>
                    <w:rPr>
                      <w:rFonts w:hint="eastAsia" w:cs="Times New Roman"/>
                      <w:color w:val="auto"/>
                      <w:sz w:val="21"/>
                      <w:szCs w:val="21"/>
                      <w:lang w:val="en-US" w:eastAsia="zh-CN"/>
                    </w:rPr>
                    <w:t>BOD</w:t>
                  </w:r>
                  <w:r>
                    <w:rPr>
                      <w:rFonts w:hint="eastAsia" w:cs="Times New Roman"/>
                      <w:color w:val="auto"/>
                      <w:sz w:val="21"/>
                      <w:szCs w:val="21"/>
                      <w:vertAlign w:val="subscript"/>
                      <w:lang w:val="en-US" w:eastAsia="zh-CN"/>
                    </w:rPr>
                    <w:t>5</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lang w:eastAsia="zh-CN"/>
                    </w:rPr>
                    <w:t>SS、氨氮、</w:t>
                  </w:r>
                  <w:r>
                    <w:rPr>
                      <w:rFonts w:hint="default" w:ascii="Times New Roman" w:hAnsi="Times New Roman" w:eastAsia="宋体" w:cs="Times New Roman"/>
                      <w:color w:val="auto"/>
                      <w:sz w:val="21"/>
                      <w:szCs w:val="21"/>
                      <w:lang w:val="en-US" w:eastAsia="zh-CN"/>
                    </w:rPr>
                    <w:t>总氮、总磷</w:t>
                  </w:r>
                </w:p>
              </w:tc>
              <w:tc>
                <w:tcPr>
                  <w:tcW w:w="541" w:type="pct"/>
                  <w:vMerge w:val="restart"/>
                  <w:noWrap w:val="0"/>
                  <w:vAlign w:val="center"/>
                </w:tcPr>
                <w:p w14:paraId="2DA0189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间断</w:t>
                  </w:r>
                </w:p>
              </w:tc>
              <w:tc>
                <w:tcPr>
                  <w:tcW w:w="936" w:type="pct"/>
                  <w:noWrap w:val="0"/>
                  <w:vAlign w:val="center"/>
                </w:tcPr>
                <w:p w14:paraId="27100D8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化粪池</w:t>
                  </w:r>
                </w:p>
              </w:tc>
              <w:tc>
                <w:tcPr>
                  <w:tcW w:w="1394" w:type="pct"/>
                  <w:noWrap w:val="0"/>
                  <w:vAlign w:val="center"/>
                </w:tcPr>
                <w:p w14:paraId="48390BE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生活污水经化粪池处理后接管</w:t>
                  </w:r>
                  <w:r>
                    <w:rPr>
                      <w:rFonts w:hint="eastAsia" w:cs="Times New Roman"/>
                      <w:color w:val="auto"/>
                      <w:sz w:val="21"/>
                      <w:szCs w:val="21"/>
                      <w:lang w:val="en-US" w:eastAsia="zh-CN"/>
                    </w:rPr>
                    <w:t>新袁镇</w:t>
                  </w:r>
                  <w:r>
                    <w:rPr>
                      <w:rFonts w:hint="eastAsia" w:ascii="Times New Roman" w:hAnsi="Times New Roman" w:eastAsia="宋体" w:cs="Times New Roman"/>
                      <w:color w:val="auto"/>
                      <w:sz w:val="21"/>
                      <w:szCs w:val="21"/>
                      <w:lang w:val="en-US" w:eastAsia="zh-CN"/>
                    </w:rPr>
                    <w:t>污水处理厂</w:t>
                  </w:r>
                  <w:r>
                    <w:rPr>
                      <w:rFonts w:hint="default" w:ascii="Times New Roman" w:hAnsi="Times New Roman" w:eastAsia="宋体" w:cs="Times New Roman"/>
                      <w:color w:val="auto"/>
                      <w:sz w:val="21"/>
                      <w:szCs w:val="21"/>
                      <w:lang w:val="en-US" w:eastAsia="zh-CN"/>
                    </w:rPr>
                    <w:t>处理，尾水排入</w:t>
                  </w:r>
                  <w:r>
                    <w:rPr>
                      <w:rFonts w:hint="eastAsia" w:cs="Times New Roman"/>
                      <w:color w:val="auto"/>
                      <w:sz w:val="21"/>
                      <w:szCs w:val="21"/>
                      <w:lang w:val="en-US" w:eastAsia="zh-CN"/>
                    </w:rPr>
                    <w:t>黄码河</w:t>
                  </w:r>
                </w:p>
              </w:tc>
            </w:tr>
            <w:tr w14:paraId="12CAB4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7" w:hRule="atLeast"/>
                <w:jc w:val="center"/>
              </w:trPr>
              <w:tc>
                <w:tcPr>
                  <w:tcW w:w="415" w:type="pct"/>
                  <w:vMerge w:val="continue"/>
                  <w:noWrap w:val="0"/>
                  <w:vAlign w:val="center"/>
                </w:tcPr>
                <w:p w14:paraId="1C401D56">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noWrap w:val="0"/>
                  <w:vAlign w:val="center"/>
                </w:tcPr>
                <w:p w14:paraId="2486C523">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织造废水</w:t>
                  </w:r>
                </w:p>
              </w:tc>
              <w:tc>
                <w:tcPr>
                  <w:tcW w:w="979" w:type="pct"/>
                  <w:noWrap w:val="0"/>
                  <w:vAlign w:val="center"/>
                </w:tcPr>
                <w:p w14:paraId="74F558E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COD、</w:t>
                  </w:r>
                  <w:r>
                    <w:rPr>
                      <w:rFonts w:hint="eastAsia" w:cs="Times New Roman"/>
                      <w:color w:val="auto"/>
                      <w:sz w:val="21"/>
                      <w:szCs w:val="21"/>
                      <w:lang w:val="en-US" w:eastAsia="zh-CN"/>
                    </w:rPr>
                    <w:t>BOD</w:t>
                  </w:r>
                  <w:r>
                    <w:rPr>
                      <w:rFonts w:hint="eastAsia" w:cs="Times New Roman"/>
                      <w:color w:val="auto"/>
                      <w:sz w:val="21"/>
                      <w:szCs w:val="21"/>
                      <w:vertAlign w:val="subscript"/>
                      <w:lang w:val="en-US" w:eastAsia="zh-CN"/>
                    </w:rPr>
                    <w:t>5</w:t>
                  </w:r>
                  <w:r>
                    <w:rPr>
                      <w:rFonts w:hint="default" w:ascii="Times New Roman" w:hAnsi="Times New Roman" w:eastAsia="宋体" w:cs="Times New Roman"/>
                      <w:color w:val="auto"/>
                      <w:sz w:val="21"/>
                      <w:szCs w:val="21"/>
                      <w:lang w:eastAsia="zh-CN"/>
                    </w:rPr>
                    <w:t>、SS、氨氮、TP、TN、石油类、总锑</w:t>
                  </w:r>
                </w:p>
              </w:tc>
              <w:tc>
                <w:tcPr>
                  <w:tcW w:w="541" w:type="pct"/>
                  <w:vMerge w:val="continue"/>
                  <w:noWrap w:val="0"/>
                  <w:vAlign w:val="center"/>
                </w:tcPr>
                <w:p w14:paraId="0914C4F1">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noWrap w:val="0"/>
                  <w:vAlign w:val="center"/>
                </w:tcPr>
                <w:p w14:paraId="2ED02C01">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污水处理站（调节+混凝气浮+接触氧化+二沉+砂滤、炭滤）</w:t>
                  </w:r>
                </w:p>
              </w:tc>
              <w:tc>
                <w:tcPr>
                  <w:tcW w:w="1394" w:type="pct"/>
                  <w:noWrap w:val="0"/>
                  <w:vAlign w:val="center"/>
                </w:tcPr>
                <w:p w14:paraId="54834A5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全部回用，不外排</w:t>
                  </w:r>
                </w:p>
              </w:tc>
            </w:tr>
            <w:tr w14:paraId="625643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2" w:hRule="atLeast"/>
                <w:jc w:val="center"/>
              </w:trPr>
              <w:tc>
                <w:tcPr>
                  <w:tcW w:w="415" w:type="pct"/>
                  <w:vMerge w:val="restart"/>
                  <w:noWrap w:val="0"/>
                  <w:vAlign w:val="center"/>
                </w:tcPr>
                <w:p w14:paraId="66F49584">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固废S</w:t>
                  </w:r>
                </w:p>
              </w:tc>
              <w:tc>
                <w:tcPr>
                  <w:tcW w:w="732" w:type="pct"/>
                  <w:noWrap w:val="0"/>
                  <w:vAlign w:val="center"/>
                </w:tcPr>
                <w:p w14:paraId="48D22035">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职工生活</w:t>
                  </w:r>
                </w:p>
              </w:tc>
              <w:tc>
                <w:tcPr>
                  <w:tcW w:w="979" w:type="pct"/>
                  <w:noWrap w:val="0"/>
                  <w:vAlign w:val="center"/>
                </w:tcPr>
                <w:p w14:paraId="0761B426">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生活垃圾</w:t>
                  </w:r>
                </w:p>
              </w:tc>
              <w:tc>
                <w:tcPr>
                  <w:tcW w:w="541" w:type="pct"/>
                  <w:vMerge w:val="restart"/>
                  <w:noWrap w:val="0"/>
                  <w:vAlign w:val="center"/>
                </w:tcPr>
                <w:p w14:paraId="6756C2D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间断</w:t>
                  </w:r>
                </w:p>
              </w:tc>
              <w:tc>
                <w:tcPr>
                  <w:tcW w:w="936" w:type="pct"/>
                  <w:noWrap w:val="0"/>
                  <w:vAlign w:val="center"/>
                </w:tcPr>
                <w:p w14:paraId="5486933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环卫处置</w:t>
                  </w:r>
                </w:p>
              </w:tc>
              <w:tc>
                <w:tcPr>
                  <w:tcW w:w="1394" w:type="pct"/>
                  <w:vMerge w:val="restart"/>
                  <w:noWrap w:val="0"/>
                  <w:vAlign w:val="center"/>
                </w:tcPr>
                <w:p w14:paraId="6878CD4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零排放</w:t>
                  </w:r>
                </w:p>
              </w:tc>
            </w:tr>
            <w:tr w14:paraId="534627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681D6D0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noWrap w:val="0"/>
                  <w:vAlign w:val="center"/>
                </w:tcPr>
                <w:p w14:paraId="37CD9AB1">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加弹、织造</w:t>
                  </w:r>
                </w:p>
              </w:tc>
              <w:tc>
                <w:tcPr>
                  <w:tcW w:w="979" w:type="pct"/>
                  <w:noWrap w:val="0"/>
                  <w:vAlign w:val="center"/>
                </w:tcPr>
                <w:p w14:paraId="6C686C74">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废丝</w:t>
                  </w:r>
                </w:p>
              </w:tc>
              <w:tc>
                <w:tcPr>
                  <w:tcW w:w="541" w:type="pct"/>
                  <w:vMerge w:val="continue"/>
                  <w:noWrap w:val="0"/>
                  <w:vAlign w:val="center"/>
                </w:tcPr>
                <w:p w14:paraId="6711A7B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restart"/>
                  <w:noWrap w:val="0"/>
                  <w:vAlign w:val="center"/>
                </w:tcPr>
                <w:p w14:paraId="67D04D4F">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外售综合利用</w:t>
                  </w:r>
                </w:p>
              </w:tc>
              <w:tc>
                <w:tcPr>
                  <w:tcW w:w="1394" w:type="pct"/>
                  <w:vMerge w:val="continue"/>
                  <w:noWrap w:val="0"/>
                  <w:vAlign w:val="center"/>
                </w:tcPr>
                <w:p w14:paraId="0D4C08D1">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6A55B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654C070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noWrap w:val="0"/>
                  <w:vAlign w:val="center"/>
                </w:tcPr>
                <w:p w14:paraId="513BAF62">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检验</w:t>
                  </w:r>
                </w:p>
              </w:tc>
              <w:tc>
                <w:tcPr>
                  <w:tcW w:w="979" w:type="pct"/>
                  <w:noWrap w:val="0"/>
                  <w:vAlign w:val="center"/>
                </w:tcPr>
                <w:p w14:paraId="0557CBF7">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废布</w:t>
                  </w:r>
                </w:p>
              </w:tc>
              <w:tc>
                <w:tcPr>
                  <w:tcW w:w="541" w:type="pct"/>
                  <w:vMerge w:val="continue"/>
                  <w:noWrap w:val="0"/>
                  <w:vAlign w:val="center"/>
                </w:tcPr>
                <w:p w14:paraId="7D49CF4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41E2CA76">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eastAsia" w:ascii="Times New Roman" w:hAnsi="Times New Roman" w:eastAsia="宋体" w:cs="Times New Roman"/>
                      <w:color w:val="auto"/>
                      <w:sz w:val="21"/>
                      <w:szCs w:val="21"/>
                      <w:lang w:val="en-US" w:eastAsia="zh-CN"/>
                    </w:rPr>
                  </w:pPr>
                </w:p>
              </w:tc>
              <w:tc>
                <w:tcPr>
                  <w:tcW w:w="1394" w:type="pct"/>
                  <w:vMerge w:val="continue"/>
                  <w:noWrap w:val="0"/>
                  <w:vAlign w:val="center"/>
                </w:tcPr>
                <w:p w14:paraId="181A5658">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4A06C4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24019D95">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vMerge w:val="restart"/>
                  <w:noWrap w:val="0"/>
                  <w:vAlign w:val="center"/>
                </w:tcPr>
                <w:p w14:paraId="2F7885E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原料包装</w:t>
                  </w:r>
                </w:p>
              </w:tc>
              <w:tc>
                <w:tcPr>
                  <w:tcW w:w="979" w:type="pct"/>
                  <w:noWrap w:val="0"/>
                  <w:vAlign w:val="center"/>
                </w:tcPr>
                <w:p w14:paraId="486F8DC0">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废包装材料</w:t>
                  </w:r>
                </w:p>
              </w:tc>
              <w:tc>
                <w:tcPr>
                  <w:tcW w:w="541" w:type="pct"/>
                  <w:vMerge w:val="continue"/>
                  <w:noWrap w:val="0"/>
                  <w:vAlign w:val="center"/>
                </w:tcPr>
                <w:p w14:paraId="507FD30C">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31183191">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eastAsia" w:ascii="Times New Roman" w:hAnsi="Times New Roman" w:eastAsia="宋体" w:cs="Times New Roman"/>
                      <w:color w:val="auto"/>
                      <w:sz w:val="21"/>
                      <w:szCs w:val="21"/>
                      <w:lang w:val="en-US" w:eastAsia="zh-CN"/>
                    </w:rPr>
                  </w:pPr>
                </w:p>
              </w:tc>
              <w:tc>
                <w:tcPr>
                  <w:tcW w:w="1394" w:type="pct"/>
                  <w:vMerge w:val="continue"/>
                  <w:noWrap w:val="0"/>
                  <w:vAlign w:val="center"/>
                </w:tcPr>
                <w:p w14:paraId="53929F6C">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52C7DD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1893D27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vMerge w:val="continue"/>
                  <w:noWrap w:val="0"/>
                  <w:vAlign w:val="center"/>
                </w:tcPr>
                <w:p w14:paraId="17DE5F7F">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79" w:type="pct"/>
                  <w:noWrap w:val="0"/>
                  <w:vAlign w:val="center"/>
                </w:tcPr>
                <w:p w14:paraId="741F2EF2">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废油桶</w:t>
                  </w:r>
                </w:p>
              </w:tc>
              <w:tc>
                <w:tcPr>
                  <w:tcW w:w="541" w:type="pct"/>
                  <w:vMerge w:val="continue"/>
                  <w:noWrap w:val="0"/>
                  <w:vAlign w:val="center"/>
                </w:tcPr>
                <w:p w14:paraId="21CD6CF4">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restart"/>
                  <w:noWrap w:val="0"/>
                  <w:vAlign w:val="center"/>
                </w:tcPr>
                <w:p w14:paraId="64221920">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委托有资质单位处置（生化污泥</w:t>
                  </w:r>
                  <w:r>
                    <w:rPr>
                      <w:rFonts w:hint="eastAsia" w:cs="Times New Roman"/>
                      <w:color w:val="auto"/>
                      <w:sz w:val="21"/>
                      <w:szCs w:val="21"/>
                      <w:lang w:val="en-US" w:eastAsia="zh-CN"/>
                    </w:rPr>
                    <w:t>、废过滤介质</w:t>
                  </w:r>
                  <w:r>
                    <w:rPr>
                      <w:rFonts w:hint="eastAsia" w:ascii="Times New Roman" w:hAnsi="Times New Roman" w:eastAsia="宋体" w:cs="Times New Roman"/>
                      <w:color w:val="auto"/>
                      <w:sz w:val="21"/>
                      <w:szCs w:val="21"/>
                      <w:lang w:val="en-US" w:eastAsia="zh-CN"/>
                    </w:rPr>
                    <w:t>待鉴别，鉴别前按照危废管理，鉴别后按照固废属性进行管理）</w:t>
                  </w:r>
                </w:p>
              </w:tc>
              <w:tc>
                <w:tcPr>
                  <w:tcW w:w="1394" w:type="pct"/>
                  <w:vMerge w:val="continue"/>
                  <w:noWrap w:val="0"/>
                  <w:vAlign w:val="center"/>
                </w:tcPr>
                <w:p w14:paraId="605A2E79">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67F0C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7CB06C75">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vMerge w:val="restart"/>
                  <w:noWrap w:val="0"/>
                  <w:vAlign w:val="center"/>
                </w:tcPr>
                <w:p w14:paraId="59095BC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废水处理</w:t>
                  </w:r>
                </w:p>
              </w:tc>
              <w:tc>
                <w:tcPr>
                  <w:tcW w:w="979" w:type="pct"/>
                  <w:noWrap w:val="0"/>
                  <w:vAlign w:val="center"/>
                </w:tcPr>
                <w:p w14:paraId="3BEFA808">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生化污泥</w:t>
                  </w:r>
                </w:p>
              </w:tc>
              <w:tc>
                <w:tcPr>
                  <w:tcW w:w="541" w:type="pct"/>
                  <w:vMerge w:val="continue"/>
                  <w:noWrap w:val="0"/>
                  <w:vAlign w:val="center"/>
                </w:tcPr>
                <w:p w14:paraId="6A668079">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03C3A77F">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eastAsia" w:ascii="Times New Roman" w:hAnsi="Times New Roman" w:eastAsia="宋体" w:cs="Times New Roman"/>
                      <w:color w:val="auto"/>
                      <w:sz w:val="21"/>
                      <w:szCs w:val="21"/>
                      <w:lang w:val="en-US" w:eastAsia="zh-CN"/>
                    </w:rPr>
                  </w:pPr>
                </w:p>
              </w:tc>
              <w:tc>
                <w:tcPr>
                  <w:tcW w:w="1394" w:type="pct"/>
                  <w:vMerge w:val="continue"/>
                  <w:noWrap w:val="0"/>
                  <w:vAlign w:val="center"/>
                </w:tcPr>
                <w:p w14:paraId="48841EB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654E73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5A88833A">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vMerge w:val="continue"/>
                  <w:noWrap w:val="0"/>
                  <w:vAlign w:val="center"/>
                </w:tcPr>
                <w:p w14:paraId="1CA57946">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cs="Times New Roman"/>
                      <w:color w:val="auto"/>
                      <w:sz w:val="21"/>
                      <w:szCs w:val="21"/>
                      <w:lang w:val="en-US" w:eastAsia="zh-CN"/>
                    </w:rPr>
                  </w:pPr>
                </w:p>
              </w:tc>
              <w:tc>
                <w:tcPr>
                  <w:tcW w:w="979" w:type="pct"/>
                  <w:noWrap w:val="0"/>
                  <w:vAlign w:val="center"/>
                </w:tcPr>
                <w:p w14:paraId="5AEE54C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废过滤介质</w:t>
                  </w:r>
                </w:p>
              </w:tc>
              <w:tc>
                <w:tcPr>
                  <w:tcW w:w="541" w:type="pct"/>
                  <w:vMerge w:val="continue"/>
                  <w:noWrap w:val="0"/>
                  <w:vAlign w:val="center"/>
                </w:tcPr>
                <w:p w14:paraId="0AD7555A">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56EBA76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eastAsia" w:ascii="Times New Roman" w:hAnsi="Times New Roman" w:eastAsia="宋体" w:cs="Times New Roman"/>
                      <w:color w:val="auto"/>
                      <w:sz w:val="21"/>
                      <w:szCs w:val="21"/>
                      <w:lang w:val="en-US" w:eastAsia="zh-CN"/>
                    </w:rPr>
                  </w:pPr>
                </w:p>
              </w:tc>
              <w:tc>
                <w:tcPr>
                  <w:tcW w:w="1394" w:type="pct"/>
                  <w:vMerge w:val="continue"/>
                  <w:noWrap w:val="0"/>
                  <w:vAlign w:val="center"/>
                </w:tcPr>
                <w:p w14:paraId="34C4FCB8">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3A724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6DF0431F">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vMerge w:val="continue"/>
                  <w:noWrap w:val="0"/>
                  <w:vAlign w:val="center"/>
                </w:tcPr>
                <w:p w14:paraId="3C06BCE2">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79" w:type="pct"/>
                  <w:noWrap w:val="0"/>
                  <w:vAlign w:val="center"/>
                </w:tcPr>
                <w:p w14:paraId="40A2B2B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污（油）泥</w:t>
                  </w:r>
                </w:p>
              </w:tc>
              <w:tc>
                <w:tcPr>
                  <w:tcW w:w="541" w:type="pct"/>
                  <w:vMerge w:val="continue"/>
                  <w:noWrap w:val="0"/>
                  <w:vAlign w:val="center"/>
                </w:tcPr>
                <w:p w14:paraId="082DDA93">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5F8D3BD5">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1394" w:type="pct"/>
                  <w:vMerge w:val="continue"/>
                  <w:noWrap w:val="0"/>
                  <w:vAlign w:val="center"/>
                </w:tcPr>
                <w:p w14:paraId="67535B3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12CA8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415" w:type="pct"/>
                  <w:vMerge w:val="continue"/>
                  <w:noWrap w:val="0"/>
                  <w:vAlign w:val="center"/>
                </w:tcPr>
                <w:p w14:paraId="036B7CBD">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noWrap w:val="0"/>
                  <w:vAlign w:val="center"/>
                </w:tcPr>
                <w:p w14:paraId="71078001">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废气处理</w:t>
                  </w:r>
                </w:p>
              </w:tc>
              <w:tc>
                <w:tcPr>
                  <w:tcW w:w="979" w:type="pct"/>
                  <w:noWrap w:val="0"/>
                  <w:vAlign w:val="center"/>
                </w:tcPr>
                <w:p w14:paraId="0FF51763">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废油</w:t>
                  </w:r>
                </w:p>
              </w:tc>
              <w:tc>
                <w:tcPr>
                  <w:tcW w:w="541" w:type="pct"/>
                  <w:vMerge w:val="continue"/>
                  <w:noWrap w:val="0"/>
                  <w:vAlign w:val="center"/>
                </w:tcPr>
                <w:p w14:paraId="6B400D7C">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12261367">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1394" w:type="pct"/>
                  <w:vMerge w:val="continue"/>
                  <w:noWrap w:val="0"/>
                  <w:vAlign w:val="center"/>
                </w:tcPr>
                <w:p w14:paraId="7CD79E3A">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71C09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4" w:hRule="atLeast"/>
                <w:jc w:val="center"/>
              </w:trPr>
              <w:tc>
                <w:tcPr>
                  <w:tcW w:w="415" w:type="pct"/>
                  <w:vMerge w:val="continue"/>
                  <w:noWrap w:val="0"/>
                  <w:vAlign w:val="center"/>
                </w:tcPr>
                <w:p w14:paraId="251D23DE">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vMerge w:val="restart"/>
                  <w:noWrap w:val="0"/>
                  <w:vAlign w:val="center"/>
                </w:tcPr>
                <w:p w14:paraId="57310262">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设备维修</w:t>
                  </w:r>
                </w:p>
              </w:tc>
              <w:tc>
                <w:tcPr>
                  <w:tcW w:w="979" w:type="pct"/>
                  <w:noWrap w:val="0"/>
                  <w:vAlign w:val="center"/>
                </w:tcPr>
                <w:p w14:paraId="267B983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废机油</w:t>
                  </w:r>
                </w:p>
              </w:tc>
              <w:tc>
                <w:tcPr>
                  <w:tcW w:w="541" w:type="pct"/>
                  <w:vMerge w:val="continue"/>
                  <w:noWrap w:val="0"/>
                  <w:vAlign w:val="center"/>
                </w:tcPr>
                <w:p w14:paraId="78540A3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6753BF48">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1394" w:type="pct"/>
                  <w:vMerge w:val="continue"/>
                  <w:noWrap w:val="0"/>
                  <w:vAlign w:val="center"/>
                </w:tcPr>
                <w:p w14:paraId="3C9FC0F1">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67395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4" w:hRule="atLeast"/>
                <w:jc w:val="center"/>
              </w:trPr>
              <w:tc>
                <w:tcPr>
                  <w:tcW w:w="415" w:type="pct"/>
                  <w:vMerge w:val="continue"/>
                  <w:noWrap w:val="0"/>
                  <w:vAlign w:val="center"/>
                </w:tcPr>
                <w:p w14:paraId="2AA070B6">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732" w:type="pct"/>
                  <w:vMerge w:val="continue"/>
                  <w:noWrap w:val="0"/>
                  <w:vAlign w:val="center"/>
                </w:tcPr>
                <w:p w14:paraId="006534A5">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eastAsia" w:ascii="Times New Roman" w:hAnsi="Times New Roman" w:eastAsia="宋体" w:cs="Times New Roman"/>
                      <w:color w:val="auto"/>
                      <w:sz w:val="21"/>
                      <w:szCs w:val="21"/>
                      <w:lang w:val="en-US" w:eastAsia="zh-CN"/>
                    </w:rPr>
                  </w:pPr>
                </w:p>
              </w:tc>
              <w:tc>
                <w:tcPr>
                  <w:tcW w:w="979" w:type="pct"/>
                  <w:noWrap w:val="0"/>
                  <w:vAlign w:val="center"/>
                </w:tcPr>
                <w:p w14:paraId="3FE2E81A">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废机油桶</w:t>
                  </w:r>
                </w:p>
              </w:tc>
              <w:tc>
                <w:tcPr>
                  <w:tcW w:w="541" w:type="pct"/>
                  <w:vMerge w:val="continue"/>
                  <w:noWrap w:val="0"/>
                  <w:vAlign w:val="center"/>
                </w:tcPr>
                <w:p w14:paraId="185E920C">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936" w:type="pct"/>
                  <w:vMerge w:val="continue"/>
                  <w:noWrap w:val="0"/>
                  <w:vAlign w:val="center"/>
                </w:tcPr>
                <w:p w14:paraId="12EFCD48">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c>
                <w:tcPr>
                  <w:tcW w:w="1394" w:type="pct"/>
                  <w:vMerge w:val="continue"/>
                  <w:noWrap w:val="0"/>
                  <w:vAlign w:val="center"/>
                </w:tcPr>
                <w:p w14:paraId="7E235547">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p>
              </w:tc>
            </w:tr>
            <w:tr w14:paraId="5A1185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415" w:type="pct"/>
                  <w:noWrap w:val="0"/>
                  <w:vAlign w:val="center"/>
                </w:tcPr>
                <w:p w14:paraId="2E895F84">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噪声N</w:t>
                  </w:r>
                </w:p>
              </w:tc>
              <w:tc>
                <w:tcPr>
                  <w:tcW w:w="732" w:type="pct"/>
                  <w:noWrap w:val="0"/>
                  <w:vAlign w:val="center"/>
                </w:tcPr>
                <w:p w14:paraId="2178C83F">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w:t>
                  </w:r>
                </w:p>
              </w:tc>
              <w:tc>
                <w:tcPr>
                  <w:tcW w:w="979" w:type="pct"/>
                  <w:noWrap w:val="0"/>
                  <w:vAlign w:val="center"/>
                </w:tcPr>
                <w:p w14:paraId="709D1ED4">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喷水织机、加弹机等设备</w:t>
                  </w:r>
                </w:p>
              </w:tc>
              <w:tc>
                <w:tcPr>
                  <w:tcW w:w="541" w:type="pct"/>
                  <w:noWrap w:val="0"/>
                  <w:vAlign w:val="center"/>
                </w:tcPr>
                <w:p w14:paraId="24EDB8BB">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频发</w:t>
                  </w:r>
                </w:p>
              </w:tc>
              <w:tc>
                <w:tcPr>
                  <w:tcW w:w="936" w:type="pct"/>
                  <w:noWrap w:val="0"/>
                  <w:vAlign w:val="center"/>
                </w:tcPr>
                <w:p w14:paraId="4FA382C9">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减振、隔声、合理布局</w:t>
                  </w:r>
                </w:p>
              </w:tc>
              <w:tc>
                <w:tcPr>
                  <w:tcW w:w="1394" w:type="pct"/>
                  <w:noWrap w:val="0"/>
                  <w:vAlign w:val="center"/>
                </w:tcPr>
                <w:p w14:paraId="61E75632">
                  <w:pPr>
                    <w:keepNext w:val="0"/>
                    <w:keepLines w:val="0"/>
                    <w:pageBreakBefore w:val="0"/>
                    <w:kinsoku/>
                    <w:wordWrap/>
                    <w:overflowPunct/>
                    <w:topLinePunct w:val="0"/>
                    <w:autoSpaceDE/>
                    <w:autoSpaceDN/>
                    <w:bidi w:val="0"/>
                    <w:spacing w:line="240" w:lineRule="auto"/>
                    <w:ind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《工业企业厂界环境噪声排放标准》（GB12348-2008）中3类标准</w:t>
                  </w:r>
                </w:p>
              </w:tc>
            </w:tr>
          </w:tbl>
          <w:p w14:paraId="2F1CB0A9">
            <w:pPr>
              <w:pStyle w:val="15"/>
              <w:numPr>
                <w:ilvl w:val="0"/>
                <w:numId w:val="0"/>
              </w:numPr>
              <w:adjustRightInd w:val="0"/>
              <w:snapToGrid w:val="0"/>
              <w:spacing w:line="360" w:lineRule="auto"/>
              <w:rPr>
                <w:rFonts w:hint="default" w:eastAsia="宋体"/>
                <w:color w:val="auto"/>
                <w:lang w:val="en-US" w:eastAsia="zh-CN"/>
              </w:rPr>
            </w:pPr>
          </w:p>
        </w:tc>
      </w:tr>
      <w:tr w14:paraId="39E3EB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569" w:type="dxa"/>
            <w:tcBorders>
              <w:top w:val="single" w:color="auto" w:sz="8" w:space="0"/>
              <w:bottom w:val="single" w:color="auto" w:sz="4" w:space="0"/>
            </w:tcBorders>
            <w:shd w:val="clear" w:color="auto" w:fill="auto"/>
            <w:vAlign w:val="center"/>
          </w:tcPr>
          <w:p w14:paraId="7C99482E">
            <w:pPr>
              <w:pStyle w:val="30"/>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rPr>
                <w:rFonts w:ascii="Times New Roman" w:hAnsi="Times New Roman" w:eastAsia="宋体" w:cs="Times New Roman"/>
                <w:color w:val="auto"/>
                <w:kern w:val="0"/>
                <w:sz w:val="21"/>
                <w:szCs w:val="21"/>
                <w:lang w:val="en-US" w:eastAsia="zh-CN" w:bidi="ar-SA"/>
              </w:rPr>
            </w:pPr>
            <w:r>
              <w:rPr>
                <w:rFonts w:ascii="Times New Roman" w:hAnsi="Times New Roman"/>
                <w:bCs/>
                <w:color w:val="auto"/>
                <w:kern w:val="2"/>
                <w:sz w:val="21"/>
                <w:szCs w:val="21"/>
              </w:rPr>
              <w:t>与项目有关的原有环境污染问题</w:t>
            </w:r>
          </w:p>
        </w:tc>
        <w:tc>
          <w:tcPr>
            <w:tcW w:w="8945" w:type="dxa"/>
            <w:tcBorders>
              <w:top w:val="single" w:color="auto" w:sz="8" w:space="0"/>
              <w:bottom w:val="single" w:color="auto" w:sz="4" w:space="0"/>
            </w:tcBorders>
            <w:vAlign w:val="top"/>
          </w:tcPr>
          <w:p w14:paraId="4B50012B">
            <w:pPr>
              <w:pStyle w:val="11"/>
              <w:adjustRightInd w:val="0"/>
              <w:snapToGrid w:val="0"/>
              <w:spacing w:line="360" w:lineRule="auto"/>
              <w:ind w:firstLine="480" w:firstLineChars="200"/>
              <w:rPr>
                <w:color w:val="auto"/>
              </w:rPr>
            </w:pPr>
            <w:r>
              <w:rPr>
                <w:color w:val="auto"/>
              </w:rPr>
              <w:t>本项目为新建项目，租用已建成厂房</w:t>
            </w:r>
            <w:r>
              <w:rPr>
                <w:rFonts w:hint="eastAsia"/>
                <w:color w:val="auto"/>
                <w:lang w:val="en-US" w:eastAsia="zh-CN"/>
              </w:rPr>
              <w:t>，</w:t>
            </w:r>
            <w:r>
              <w:rPr>
                <w:color w:val="auto"/>
              </w:rPr>
              <w:t>经现场勘查，</w:t>
            </w:r>
            <w:r>
              <w:rPr>
                <w:rFonts w:hint="eastAsia"/>
                <w:color w:val="auto"/>
                <w:lang w:val="en-US" w:eastAsia="zh-CN"/>
              </w:rPr>
              <w:t>厂房空置，</w:t>
            </w:r>
            <w:r>
              <w:rPr>
                <w:color w:val="auto"/>
              </w:rPr>
              <w:t>厂区无原有环境问题。</w:t>
            </w:r>
          </w:p>
        </w:tc>
      </w:tr>
    </w:tbl>
    <w:p w14:paraId="56140556">
      <w:pPr>
        <w:pStyle w:val="30"/>
        <w:ind w:firstLine="720"/>
        <w:jc w:val="center"/>
        <w:rPr>
          <w:rFonts w:ascii="Times New Roman" w:hAnsi="Times New Roman"/>
          <w:snapToGrid w:val="0"/>
          <w:color w:val="auto"/>
          <w:sz w:val="36"/>
          <w:szCs w:val="36"/>
        </w:rPr>
        <w:sectPr>
          <w:pgSz w:w="11906" w:h="16838"/>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12" w:charSpace="0"/>
        </w:sectPr>
      </w:pPr>
    </w:p>
    <w:p w14:paraId="214F992C">
      <w:pPr>
        <w:pStyle w:val="30"/>
        <w:adjustRightInd w:val="0"/>
        <w:snapToGrid w:val="0"/>
        <w:spacing w:before="0" w:beforeAutospacing="0" w:after="0" w:afterAutospacing="0" w:line="14" w:lineRule="auto"/>
        <w:ind w:firstLine="600"/>
        <w:jc w:val="center"/>
        <w:rPr>
          <w:rFonts w:ascii="Times New Roman" w:hAnsi="Times New Roman"/>
          <w:snapToGrid w:val="0"/>
          <w:color w:val="auto"/>
          <w:sz w:val="30"/>
          <w:szCs w:val="30"/>
        </w:rPr>
      </w:pPr>
    </w:p>
    <w:p w14:paraId="0BF38E8C">
      <w:pPr>
        <w:pStyle w:val="30"/>
        <w:spacing w:before="0" w:beforeAutospacing="0" w:after="0" w:afterAutospacing="0" w:line="500" w:lineRule="exact"/>
        <w:ind w:firstLine="0" w:firstLineChars="0"/>
        <w:jc w:val="center"/>
        <w:outlineLvl w:val="0"/>
        <w:rPr>
          <w:rFonts w:ascii="Times New Roman" w:hAnsi="Times New Roman"/>
          <w:b/>
          <w:snapToGrid w:val="0"/>
          <w:color w:val="auto"/>
          <w:sz w:val="30"/>
          <w:szCs w:val="30"/>
        </w:rPr>
      </w:pPr>
      <w:bookmarkStart w:id="4" w:name="_Toc13380"/>
      <w:r>
        <w:rPr>
          <w:rFonts w:ascii="Times New Roman" w:hAnsi="Times New Roman"/>
          <w:b/>
          <w:snapToGrid w:val="0"/>
          <w:color w:val="auto"/>
          <w:sz w:val="30"/>
          <w:szCs w:val="30"/>
        </w:rPr>
        <w:t>三、区域环境质量现状、环境保护目标及评价标准</w:t>
      </w:r>
      <w:bookmarkEnd w:id="4"/>
    </w:p>
    <w:tbl>
      <w:tblPr>
        <w:tblStyle w:val="38"/>
        <w:tblW w:w="92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831"/>
      </w:tblGrid>
      <w:tr w14:paraId="420E15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456" w:type="dxa"/>
            <w:vAlign w:val="center"/>
          </w:tcPr>
          <w:p w14:paraId="5A2ED5D0">
            <w:pPr>
              <w:adjustRightInd w:val="0"/>
              <w:snapToGrid w:val="0"/>
              <w:ind w:firstLine="0" w:firstLineChars="0"/>
              <w:jc w:val="center"/>
              <w:rPr>
                <w:color w:val="auto"/>
                <w:kern w:val="0"/>
                <w:szCs w:val="21"/>
              </w:rPr>
            </w:pPr>
            <w:r>
              <w:rPr>
                <w:color w:val="auto"/>
                <w:kern w:val="0"/>
                <w:szCs w:val="21"/>
              </w:rPr>
              <w:t>区域</w:t>
            </w:r>
          </w:p>
          <w:p w14:paraId="75408103">
            <w:pPr>
              <w:adjustRightInd w:val="0"/>
              <w:snapToGrid w:val="0"/>
              <w:ind w:firstLine="0" w:firstLineChars="0"/>
              <w:jc w:val="center"/>
              <w:rPr>
                <w:color w:val="auto"/>
                <w:kern w:val="0"/>
                <w:szCs w:val="21"/>
              </w:rPr>
            </w:pPr>
            <w:r>
              <w:rPr>
                <w:color w:val="auto"/>
                <w:kern w:val="0"/>
                <w:szCs w:val="21"/>
              </w:rPr>
              <w:t>环境</w:t>
            </w:r>
          </w:p>
          <w:p w14:paraId="4303D8BC">
            <w:pPr>
              <w:adjustRightInd w:val="0"/>
              <w:snapToGrid w:val="0"/>
              <w:ind w:firstLine="0" w:firstLineChars="0"/>
              <w:jc w:val="center"/>
              <w:rPr>
                <w:color w:val="auto"/>
                <w:kern w:val="0"/>
                <w:szCs w:val="21"/>
              </w:rPr>
            </w:pPr>
            <w:r>
              <w:rPr>
                <w:color w:val="auto"/>
                <w:kern w:val="0"/>
                <w:szCs w:val="21"/>
              </w:rPr>
              <w:t>质量</w:t>
            </w:r>
          </w:p>
          <w:p w14:paraId="10842E37">
            <w:pPr>
              <w:adjustRightInd w:val="0"/>
              <w:snapToGrid w:val="0"/>
              <w:ind w:firstLine="0" w:firstLineChars="0"/>
              <w:jc w:val="center"/>
              <w:rPr>
                <w:color w:val="auto"/>
                <w:kern w:val="0"/>
                <w:szCs w:val="21"/>
              </w:rPr>
            </w:pPr>
            <w:r>
              <w:rPr>
                <w:color w:val="auto"/>
                <w:kern w:val="0"/>
                <w:szCs w:val="21"/>
              </w:rPr>
              <w:t>现状</w:t>
            </w:r>
          </w:p>
        </w:tc>
        <w:tc>
          <w:tcPr>
            <w:tcW w:w="8831" w:type="dxa"/>
            <w:vAlign w:val="center"/>
          </w:tcPr>
          <w:p w14:paraId="5AB77405">
            <w:pPr>
              <w:spacing w:line="360" w:lineRule="auto"/>
              <w:ind w:left="72" w:leftChars="30" w:right="72" w:rightChars="30" w:firstLine="482"/>
              <w:rPr>
                <w:b/>
                <w:iCs/>
                <w:color w:val="auto"/>
                <w:szCs w:val="28"/>
              </w:rPr>
            </w:pPr>
            <w:r>
              <w:rPr>
                <w:rFonts w:hint="eastAsia"/>
                <w:b/>
                <w:iCs/>
                <w:color w:val="auto"/>
                <w:szCs w:val="28"/>
                <w:lang w:eastAsia="zh-CN"/>
              </w:rPr>
              <w:t>1.</w:t>
            </w:r>
            <w:r>
              <w:rPr>
                <w:b/>
                <w:iCs/>
                <w:color w:val="auto"/>
                <w:szCs w:val="28"/>
              </w:rPr>
              <w:t>空气环境质量</w:t>
            </w:r>
          </w:p>
          <w:p w14:paraId="2C88616B">
            <w:pPr>
              <w:pStyle w:val="16"/>
              <w:overflowPunct w:val="0"/>
              <w:adjustRightInd w:val="0"/>
              <w:snapToGrid w:val="0"/>
              <w:spacing w:after="0" w:line="360" w:lineRule="auto"/>
              <w:ind w:left="0" w:leftChars="0" w:firstLine="480"/>
              <w:rPr>
                <w:rFonts w:ascii="Times New Roman" w:hAnsi="Times New Roman" w:eastAsia="宋体" w:cs="Times New Roman"/>
                <w:color w:val="auto"/>
                <w:szCs w:val="24"/>
              </w:rPr>
            </w:pPr>
            <w:r>
              <w:rPr>
                <w:color w:val="auto"/>
                <w:szCs w:val="24"/>
              </w:rPr>
              <w:t>根据</w:t>
            </w:r>
            <w:r>
              <w:rPr>
                <w:rFonts w:hint="eastAsia"/>
                <w:color w:val="auto"/>
                <w:szCs w:val="24"/>
                <w:shd w:val="clear" w:fill="FFFFFF" w:themeFill="background1"/>
                <w:lang w:eastAsia="zh-CN"/>
              </w:rPr>
              <w:t>《宿迁市2024年度生态环境状况公</w:t>
            </w:r>
            <w:r>
              <w:rPr>
                <w:rFonts w:hint="eastAsia" w:ascii="Times New Roman" w:hAnsi="Times New Roman" w:eastAsia="宋体" w:cs="Times New Roman"/>
                <w:color w:val="auto"/>
                <w:szCs w:val="24"/>
                <w:lang w:eastAsia="zh-CN"/>
              </w:rPr>
              <w:t>报》</w:t>
            </w:r>
            <w:r>
              <w:rPr>
                <w:rFonts w:ascii="Times New Roman" w:hAnsi="Times New Roman" w:eastAsia="宋体" w:cs="Times New Roman"/>
                <w:color w:val="auto"/>
                <w:szCs w:val="24"/>
              </w:rPr>
              <w:t>，2024年，全市环境空气优良天数达296天，优良天数比例为80.9%，同比提升9.4个百分点。PM</w:t>
            </w:r>
            <w:r>
              <w:rPr>
                <w:rFonts w:ascii="Times New Roman" w:hAnsi="Times New Roman" w:eastAsia="宋体" w:cs="Times New Roman"/>
                <w:color w:val="auto"/>
                <w:szCs w:val="24"/>
                <w:vertAlign w:val="subscript"/>
              </w:rPr>
              <w:t>2.5</w:t>
            </w:r>
            <w:r>
              <w:rPr>
                <w:rFonts w:ascii="Times New Roman" w:hAnsi="Times New Roman" w:eastAsia="宋体" w:cs="Times New Roman"/>
                <w:color w:val="auto"/>
                <w:szCs w:val="24"/>
              </w:rPr>
              <w:t>浓度均值为38.7微克/立方米，同比下降2.8%，改善幅度全省第九。PM</w:t>
            </w:r>
            <w:r>
              <w:rPr>
                <w:rFonts w:ascii="Times New Roman" w:hAnsi="Times New Roman" w:eastAsia="宋体" w:cs="Times New Roman"/>
                <w:color w:val="auto"/>
                <w:szCs w:val="24"/>
                <w:vertAlign w:val="subscript"/>
              </w:rPr>
              <w:t>10</w:t>
            </w:r>
            <w:r>
              <w:rPr>
                <w:rFonts w:ascii="Times New Roman" w:hAnsi="Times New Roman" w:eastAsia="宋体" w:cs="Times New Roman"/>
                <w:color w:val="auto"/>
                <w:szCs w:val="24"/>
              </w:rPr>
              <w:t>、NO</w:t>
            </w:r>
            <w:r>
              <w:rPr>
                <w:rFonts w:ascii="Times New Roman" w:hAnsi="Times New Roman" w:eastAsia="宋体" w:cs="Times New Roman"/>
                <w:color w:val="auto"/>
                <w:szCs w:val="24"/>
                <w:vertAlign w:val="subscript"/>
              </w:rPr>
              <w:t>2</w:t>
            </w:r>
            <w:r>
              <w:rPr>
                <w:rFonts w:ascii="Times New Roman" w:hAnsi="Times New Roman" w:eastAsia="宋体" w:cs="Times New Roman"/>
                <w:color w:val="auto"/>
                <w:szCs w:val="24"/>
              </w:rPr>
              <w:t>、SO</w:t>
            </w:r>
            <w:r>
              <w:rPr>
                <w:rFonts w:ascii="Times New Roman" w:hAnsi="Times New Roman" w:eastAsia="宋体" w:cs="Times New Roman"/>
                <w:color w:val="auto"/>
                <w:szCs w:val="24"/>
                <w:vertAlign w:val="subscript"/>
              </w:rPr>
              <w:t>2</w:t>
            </w:r>
            <w:r>
              <w:rPr>
                <w:rFonts w:ascii="Times New Roman" w:hAnsi="Times New Roman" w:eastAsia="宋体" w:cs="Times New Roman"/>
                <w:color w:val="auto"/>
                <w:szCs w:val="24"/>
              </w:rPr>
              <w:t>、O</w:t>
            </w:r>
            <w:r>
              <w:rPr>
                <w:rFonts w:ascii="Times New Roman" w:hAnsi="Times New Roman" w:eastAsia="宋体" w:cs="Times New Roman"/>
                <w:color w:val="auto"/>
                <w:szCs w:val="24"/>
                <w:vertAlign w:val="subscript"/>
              </w:rPr>
              <w:t>3</w:t>
            </w:r>
            <w:r>
              <w:rPr>
                <w:rFonts w:ascii="Times New Roman" w:hAnsi="Times New Roman" w:eastAsia="宋体" w:cs="Times New Roman"/>
                <w:color w:val="auto"/>
                <w:szCs w:val="24"/>
              </w:rPr>
              <w:t>浓度均同比下降。</w:t>
            </w:r>
          </w:p>
          <w:p w14:paraId="60416191">
            <w:pPr>
              <w:pStyle w:val="16"/>
              <w:overflowPunct w:val="0"/>
              <w:adjustRightInd w:val="0"/>
              <w:snapToGrid w:val="0"/>
              <w:spacing w:after="0" w:line="360" w:lineRule="auto"/>
              <w:ind w:left="0" w:leftChars="0" w:firstLine="480"/>
              <w:rPr>
                <w:color w:val="auto"/>
                <w:szCs w:val="24"/>
              </w:rPr>
            </w:pPr>
            <w:r>
              <w:rPr>
                <w:color w:val="auto"/>
                <w:szCs w:val="24"/>
              </w:rPr>
              <w:t>为切实改善空气质量，进一步加强大气污染防治工作，增强人民群众生态环境获得感，确保高质量完成“十四五”目标任务，宿迁市印发了《宿迁市2025年大气污染防治工作方案》《宿迁市柴油货车污染治理专项行动实施方案》，全力推动环境空气质量持续改善。方案明确了当前重点任务：一是优化产业结构，严格落实“三线一单”和产业准入政策。二是优化能源结构，大力发展新能源和清洁能源。三是优化运输结构，加快推进“公转铁”“公转水”，并开展移动源全链条整治，强化工业企业废气治理等措施。</w:t>
            </w:r>
          </w:p>
          <w:p w14:paraId="2E12BB4A">
            <w:pPr>
              <w:pStyle w:val="16"/>
              <w:overflowPunct w:val="0"/>
              <w:adjustRightInd w:val="0"/>
              <w:snapToGrid w:val="0"/>
              <w:spacing w:after="0" w:line="360" w:lineRule="auto"/>
              <w:ind w:left="0" w:leftChars="0" w:firstLine="480"/>
              <w:rPr>
                <w:rFonts w:ascii="Times New Roman" w:hAnsi="Times New Roman" w:eastAsia="宋体" w:cs="Times New Roman"/>
                <w:b/>
                <w:bCs/>
                <w:color w:val="auto"/>
                <w:szCs w:val="24"/>
              </w:rPr>
            </w:pPr>
            <w:r>
              <w:rPr>
                <w:rFonts w:hint="eastAsia" w:cs="Times New Roman"/>
                <w:b/>
                <w:bCs/>
                <w:color w:val="auto"/>
                <w:szCs w:val="24"/>
                <w:lang w:eastAsia="zh-CN"/>
              </w:rPr>
              <w:t>2.</w:t>
            </w:r>
            <w:r>
              <w:rPr>
                <w:rFonts w:ascii="Times New Roman" w:hAnsi="Times New Roman" w:eastAsia="宋体" w:cs="Times New Roman"/>
                <w:b/>
                <w:bCs/>
                <w:color w:val="auto"/>
                <w:szCs w:val="24"/>
              </w:rPr>
              <w:t>地表水环境质量</w:t>
            </w:r>
          </w:p>
          <w:p w14:paraId="01744C83">
            <w:pPr>
              <w:pStyle w:val="16"/>
              <w:overflowPunct w:val="0"/>
              <w:adjustRightInd w:val="0"/>
              <w:snapToGrid w:val="0"/>
              <w:spacing w:after="0" w:line="360" w:lineRule="auto"/>
              <w:ind w:left="0" w:leftChars="0" w:firstLine="480"/>
              <w:rPr>
                <w:rFonts w:ascii="Times New Roman" w:hAnsi="Times New Roman" w:eastAsia="宋体" w:cs="Times New Roman"/>
                <w:color w:val="auto"/>
                <w:szCs w:val="24"/>
              </w:rPr>
            </w:pPr>
            <w:r>
              <w:rPr>
                <w:rFonts w:ascii="Times New Roman" w:hAnsi="Times New Roman" w:eastAsia="宋体" w:cs="Times New Roman"/>
                <w:color w:val="auto"/>
                <w:szCs w:val="24"/>
              </w:rPr>
              <w:t>根据</w:t>
            </w:r>
            <w:r>
              <w:rPr>
                <w:rFonts w:hint="eastAsia" w:ascii="Times New Roman" w:hAnsi="Times New Roman" w:eastAsia="宋体" w:cs="Times New Roman"/>
                <w:color w:val="auto"/>
                <w:szCs w:val="24"/>
                <w:lang w:eastAsia="zh-CN"/>
              </w:rPr>
              <w:t>《宿迁市2024年度生态环境状况公报》</w:t>
            </w:r>
            <w:r>
              <w:rPr>
                <w:rFonts w:ascii="Times New Roman" w:hAnsi="Times New Roman" w:eastAsia="宋体" w:cs="Times New Roman"/>
                <w:color w:val="auto"/>
                <w:szCs w:val="24"/>
              </w:rPr>
              <w:t>，全市10个县级以上集中式饮用水水源地水质优Ⅲ比例为100%。15个国考断面水质达标率为100%，优Ⅲ水体比例为86.7%，无劣Ⅴ类水体。35个省考断面水质达标率为100%，优Ⅲ水体比例为100%，无劣Ⅴ类水体。南水北调东线涉及我市14个断面及水源地水质达标率为100%。项目位于</w:t>
            </w:r>
            <w:r>
              <w:rPr>
                <w:rFonts w:hint="eastAsia" w:ascii="Times New Roman" w:hAnsi="Times New Roman" w:eastAsia="宋体" w:cs="Times New Roman"/>
                <w:color w:val="auto"/>
                <w:szCs w:val="24"/>
                <w:lang w:eastAsia="zh-CN"/>
              </w:rPr>
              <w:t>宿迁市泗阳县新袁镇仁和路东侧、新河路南侧（3）2#</w:t>
            </w:r>
            <w:r>
              <w:rPr>
                <w:rFonts w:hint="eastAsia" w:cs="Times New Roman"/>
                <w:color w:val="auto"/>
                <w:szCs w:val="24"/>
                <w:lang w:eastAsia="zh-CN"/>
              </w:rPr>
              <w:t>厂房</w:t>
            </w:r>
            <w:r>
              <w:rPr>
                <w:rFonts w:ascii="Times New Roman" w:hAnsi="Times New Roman" w:eastAsia="宋体" w:cs="Times New Roman"/>
                <w:color w:val="auto"/>
                <w:szCs w:val="24"/>
              </w:rPr>
              <w:t>，产生废水经</w:t>
            </w:r>
            <w:r>
              <w:rPr>
                <w:rFonts w:hint="eastAsia" w:ascii="Times New Roman" w:hAnsi="Times New Roman" w:eastAsia="宋体" w:cs="Times New Roman"/>
                <w:color w:val="auto"/>
                <w:szCs w:val="24"/>
                <w:lang w:eastAsia="zh-CN"/>
              </w:rPr>
              <w:t>新袁镇污水处理厂</w:t>
            </w:r>
            <w:r>
              <w:rPr>
                <w:rFonts w:ascii="Times New Roman" w:hAnsi="Times New Roman" w:eastAsia="宋体" w:cs="Times New Roman"/>
                <w:color w:val="auto"/>
                <w:szCs w:val="24"/>
              </w:rPr>
              <w:t>处理后最终排入</w:t>
            </w:r>
            <w:r>
              <w:rPr>
                <w:rFonts w:hint="eastAsia" w:ascii="Times New Roman" w:hAnsi="Times New Roman" w:eastAsia="宋体" w:cs="Times New Roman"/>
                <w:color w:val="auto"/>
                <w:szCs w:val="24"/>
                <w:lang w:val="en-US" w:eastAsia="zh-CN"/>
              </w:rPr>
              <w:t>黄码</w:t>
            </w:r>
            <w:r>
              <w:rPr>
                <w:rFonts w:ascii="Times New Roman" w:hAnsi="Times New Roman" w:eastAsia="宋体" w:cs="Times New Roman"/>
                <w:color w:val="auto"/>
                <w:szCs w:val="24"/>
              </w:rPr>
              <w:t>河，执行《地表水环境质量标准》（GB3838-2002）Ⅲ类标准。</w:t>
            </w:r>
          </w:p>
          <w:p w14:paraId="0140E0FB">
            <w:pPr>
              <w:pStyle w:val="16"/>
              <w:overflowPunct w:val="0"/>
              <w:adjustRightInd w:val="0"/>
              <w:snapToGrid w:val="0"/>
              <w:spacing w:after="0" w:line="360" w:lineRule="auto"/>
              <w:ind w:left="0" w:leftChars="0" w:firstLine="480"/>
              <w:rPr>
                <w:rFonts w:ascii="Times New Roman" w:hAnsi="Times New Roman" w:eastAsia="宋体" w:cs="Times New Roman"/>
                <w:b/>
                <w:bCs/>
                <w:color w:val="auto"/>
                <w:szCs w:val="24"/>
              </w:rPr>
            </w:pPr>
            <w:r>
              <w:rPr>
                <w:rFonts w:hint="eastAsia" w:cs="Times New Roman"/>
                <w:b/>
                <w:bCs/>
                <w:color w:val="auto"/>
                <w:szCs w:val="24"/>
                <w:lang w:val="en-US" w:eastAsia="zh-CN"/>
              </w:rPr>
              <w:t>3.</w:t>
            </w:r>
            <w:r>
              <w:rPr>
                <w:rFonts w:ascii="Times New Roman" w:hAnsi="Times New Roman" w:eastAsia="宋体" w:cs="Times New Roman"/>
                <w:b/>
                <w:bCs/>
                <w:color w:val="auto"/>
                <w:szCs w:val="24"/>
              </w:rPr>
              <w:t>声环境质量</w:t>
            </w:r>
          </w:p>
          <w:p w14:paraId="0355DB62">
            <w:pPr>
              <w:pStyle w:val="16"/>
              <w:overflowPunct w:val="0"/>
              <w:adjustRightInd w:val="0"/>
              <w:snapToGrid w:val="0"/>
              <w:spacing w:after="0" w:line="360" w:lineRule="auto"/>
              <w:ind w:left="0" w:leftChars="0" w:firstLine="480"/>
              <w:rPr>
                <w:rFonts w:ascii="Times New Roman" w:hAnsi="Times New Roman" w:eastAsia="宋体" w:cs="Times New Roman"/>
                <w:color w:val="auto"/>
                <w:szCs w:val="24"/>
              </w:rPr>
            </w:pPr>
            <w:r>
              <w:rPr>
                <w:rFonts w:ascii="Times New Roman" w:hAnsi="Times New Roman" w:eastAsia="宋体" w:cs="Times New Roman"/>
                <w:color w:val="auto"/>
                <w:szCs w:val="24"/>
              </w:rPr>
              <w:t>根据</w:t>
            </w:r>
            <w:r>
              <w:rPr>
                <w:rFonts w:hint="eastAsia" w:ascii="Times New Roman" w:hAnsi="Times New Roman" w:eastAsia="宋体" w:cs="Times New Roman"/>
                <w:color w:val="auto"/>
                <w:szCs w:val="24"/>
                <w:lang w:eastAsia="zh-CN"/>
              </w:rPr>
              <w:t>《宿迁市2024年度生态环境状况公报》</w:t>
            </w:r>
            <w:r>
              <w:rPr>
                <w:rFonts w:ascii="Times New Roman" w:hAnsi="Times New Roman" w:eastAsia="宋体" w:cs="Times New Roman"/>
                <w:color w:val="auto"/>
                <w:szCs w:val="24"/>
              </w:rPr>
              <w:t>，全市功能区声环境质量昼间、夜间测次达标率分别为98.4%、94.9%；区域声环境昼间平均等效声级为54.3分贝，处于二级水平；道路交通声环境昼间平均等效声级为63.7分贝，处于一级水平。全市辐射环境质量良好。</w:t>
            </w:r>
          </w:p>
          <w:p w14:paraId="18F09AE8">
            <w:pPr>
              <w:numPr>
                <w:ilvl w:val="0"/>
                <w:numId w:val="0"/>
              </w:numPr>
              <w:snapToGrid w:val="0"/>
              <w:spacing w:line="360" w:lineRule="auto"/>
              <w:ind w:firstLine="482" w:firstLineChars="200"/>
              <w:rPr>
                <w:b/>
                <w:iCs/>
                <w:color w:val="auto"/>
                <w:szCs w:val="28"/>
              </w:rPr>
            </w:pPr>
            <w:r>
              <w:rPr>
                <w:rFonts w:hint="eastAsia" w:cs="Times New Roman"/>
                <w:b/>
                <w:iCs/>
                <w:color w:val="auto"/>
                <w:kern w:val="2"/>
                <w:sz w:val="24"/>
                <w:szCs w:val="28"/>
                <w:lang w:val="en-US" w:eastAsia="zh-CN" w:bidi="ar-SA"/>
              </w:rPr>
              <w:t>4.</w:t>
            </w:r>
            <w:r>
              <w:rPr>
                <w:b/>
                <w:iCs/>
                <w:color w:val="auto"/>
                <w:szCs w:val="28"/>
              </w:rPr>
              <w:t>生态环境质量</w:t>
            </w:r>
          </w:p>
          <w:p w14:paraId="11BBA147">
            <w:pPr>
              <w:widowControl/>
              <w:spacing w:line="360" w:lineRule="auto"/>
              <w:ind w:firstLine="480"/>
              <w:jc w:val="left"/>
              <w:rPr>
                <w:b/>
                <w:i/>
                <w:color w:val="auto"/>
                <w:szCs w:val="28"/>
              </w:rPr>
            </w:pPr>
            <w:r>
              <w:rPr>
                <w:color w:val="auto"/>
              </w:rPr>
              <w:t>本项目</w:t>
            </w:r>
            <w:r>
              <w:rPr>
                <w:color w:val="auto"/>
                <w:kern w:val="0"/>
                <w:lang w:bidi="ar"/>
              </w:rPr>
              <w:t>位于</w:t>
            </w:r>
            <w:r>
              <w:rPr>
                <w:rFonts w:hint="eastAsia"/>
                <w:color w:val="auto"/>
                <w:kern w:val="0"/>
                <w:lang w:val="en-US" w:eastAsia="zh-CN" w:bidi="ar"/>
              </w:rPr>
              <w:t>泗阳县新袁镇工业园区</w:t>
            </w:r>
            <w:r>
              <w:rPr>
                <w:color w:val="auto"/>
                <w:kern w:val="0"/>
                <w:lang w:bidi="ar"/>
              </w:rPr>
              <w:t>内，占地范围内不存在生态保护目标。</w:t>
            </w:r>
          </w:p>
          <w:p w14:paraId="68A8AFDF">
            <w:pPr>
              <w:numPr>
                <w:ilvl w:val="0"/>
                <w:numId w:val="0"/>
              </w:numPr>
              <w:snapToGrid w:val="0"/>
              <w:spacing w:line="360" w:lineRule="auto"/>
              <w:ind w:firstLine="482" w:firstLineChars="200"/>
              <w:jc w:val="left"/>
              <w:rPr>
                <w:b/>
                <w:iCs/>
                <w:color w:val="auto"/>
                <w:szCs w:val="28"/>
              </w:rPr>
            </w:pPr>
            <w:r>
              <w:rPr>
                <w:rFonts w:hint="eastAsia" w:cs="Times New Roman"/>
                <w:b/>
                <w:iCs/>
                <w:color w:val="auto"/>
                <w:kern w:val="2"/>
                <w:sz w:val="24"/>
                <w:szCs w:val="28"/>
                <w:lang w:val="en-US" w:eastAsia="zh-CN" w:bidi="ar-SA"/>
              </w:rPr>
              <w:t>5.</w:t>
            </w:r>
            <w:r>
              <w:rPr>
                <w:b/>
                <w:iCs/>
                <w:color w:val="auto"/>
                <w:szCs w:val="28"/>
              </w:rPr>
              <w:t>土壤、地下水环境质量</w:t>
            </w:r>
          </w:p>
          <w:p w14:paraId="5E305363">
            <w:pPr>
              <w:pStyle w:val="14"/>
              <w:ind w:firstLine="360"/>
              <w:rPr>
                <w:color w:val="auto"/>
              </w:rPr>
            </w:pPr>
            <w:r>
              <w:rPr>
                <w:color w:val="auto"/>
                <w:sz w:val="24"/>
                <w:szCs w:val="28"/>
              </w:rPr>
              <w:t>本项目</w:t>
            </w:r>
            <w:r>
              <w:rPr>
                <w:color w:val="auto"/>
                <w:sz w:val="24"/>
              </w:rPr>
              <w:t>无需进行土壤、地下水环境现状调查。</w:t>
            </w:r>
          </w:p>
        </w:tc>
      </w:tr>
      <w:tr w14:paraId="77D0BC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4" w:hRule="atLeast"/>
          <w:jc w:val="center"/>
        </w:trPr>
        <w:tc>
          <w:tcPr>
            <w:tcW w:w="456" w:type="dxa"/>
            <w:vAlign w:val="center"/>
          </w:tcPr>
          <w:p w14:paraId="4A22B928">
            <w:pPr>
              <w:adjustRightInd w:val="0"/>
              <w:snapToGrid w:val="0"/>
              <w:ind w:firstLine="0" w:firstLineChars="0"/>
              <w:jc w:val="center"/>
              <w:rPr>
                <w:color w:val="auto"/>
                <w:kern w:val="0"/>
                <w:szCs w:val="21"/>
              </w:rPr>
            </w:pPr>
            <w:r>
              <w:rPr>
                <w:color w:val="auto"/>
                <w:kern w:val="0"/>
                <w:szCs w:val="21"/>
              </w:rPr>
              <w:t>环境</w:t>
            </w:r>
          </w:p>
          <w:p w14:paraId="365897A4">
            <w:pPr>
              <w:adjustRightInd w:val="0"/>
              <w:snapToGrid w:val="0"/>
              <w:ind w:firstLine="0" w:firstLineChars="0"/>
              <w:jc w:val="center"/>
              <w:rPr>
                <w:color w:val="auto"/>
                <w:kern w:val="0"/>
                <w:szCs w:val="21"/>
              </w:rPr>
            </w:pPr>
            <w:r>
              <w:rPr>
                <w:color w:val="auto"/>
                <w:kern w:val="0"/>
                <w:szCs w:val="21"/>
              </w:rPr>
              <w:t>保护</w:t>
            </w:r>
          </w:p>
          <w:p w14:paraId="3589D6BD">
            <w:pPr>
              <w:adjustRightInd w:val="0"/>
              <w:snapToGrid w:val="0"/>
              <w:ind w:firstLine="0" w:firstLineChars="0"/>
              <w:jc w:val="center"/>
              <w:rPr>
                <w:color w:val="auto"/>
                <w:kern w:val="0"/>
                <w:szCs w:val="21"/>
              </w:rPr>
            </w:pPr>
            <w:r>
              <w:rPr>
                <w:color w:val="auto"/>
                <w:kern w:val="0"/>
                <w:szCs w:val="21"/>
              </w:rPr>
              <w:t>目标</w:t>
            </w:r>
          </w:p>
        </w:tc>
        <w:tc>
          <w:tcPr>
            <w:tcW w:w="8831" w:type="dxa"/>
            <w:vAlign w:val="center"/>
          </w:tcPr>
          <w:p w14:paraId="2F7132F5">
            <w:pPr>
              <w:adjustRightInd w:val="0"/>
              <w:snapToGrid w:val="0"/>
              <w:spacing w:line="360" w:lineRule="auto"/>
              <w:jc w:val="left"/>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主要环境保护目标</w:t>
            </w:r>
            <w:r>
              <w:rPr>
                <w:rFonts w:hint="eastAsia" w:cs="Times New Roman"/>
                <w:b/>
                <w:bCs/>
                <w:color w:val="auto"/>
                <w:sz w:val="24"/>
                <w:lang w:eastAsia="zh-CN"/>
              </w:rPr>
              <w:t>（</w:t>
            </w:r>
            <w:r>
              <w:rPr>
                <w:rFonts w:hint="default" w:ascii="Times New Roman" w:hAnsi="Times New Roman" w:eastAsia="宋体" w:cs="Times New Roman"/>
                <w:b/>
                <w:bCs/>
                <w:color w:val="auto"/>
                <w:sz w:val="24"/>
              </w:rPr>
              <w:t>列出名单及保护级别</w:t>
            </w:r>
            <w:r>
              <w:rPr>
                <w:rFonts w:hint="eastAsia" w:cs="Times New Roman"/>
                <w:b/>
                <w:bCs/>
                <w:color w:val="auto"/>
                <w:sz w:val="24"/>
                <w:lang w:eastAsia="zh-CN"/>
              </w:rPr>
              <w:t>）</w:t>
            </w:r>
            <w:r>
              <w:rPr>
                <w:rFonts w:hint="default" w:ascii="Times New Roman" w:hAnsi="Times New Roman" w:eastAsia="宋体" w:cs="Times New Roman"/>
                <w:b/>
                <w:bCs/>
                <w:color w:val="auto"/>
                <w:sz w:val="24"/>
              </w:rPr>
              <w:t>：</w:t>
            </w:r>
          </w:p>
          <w:p w14:paraId="63379D66">
            <w:pPr>
              <w:snapToGrid w:val="0"/>
              <w:spacing w:line="360" w:lineRule="auto"/>
              <w:ind w:right="72" w:rightChars="30"/>
              <w:jc w:val="left"/>
              <w:rPr>
                <w:rFonts w:hint="default" w:ascii="Times New Roman" w:hAnsi="Times New Roman" w:eastAsia="宋体" w:cs="Times New Roman"/>
                <w:color w:val="auto"/>
                <w:sz w:val="24"/>
                <w:szCs w:val="28"/>
              </w:rPr>
            </w:pPr>
            <w:bookmarkStart w:id="5" w:name="_Toc66269088"/>
            <w:r>
              <w:rPr>
                <w:rFonts w:hint="default" w:ascii="Times New Roman" w:hAnsi="Times New Roman" w:eastAsia="宋体" w:cs="Times New Roman"/>
                <w:color w:val="auto"/>
                <w:sz w:val="24"/>
                <w:szCs w:val="28"/>
              </w:rPr>
              <w:t>根据项目现场周边情况，确定本项目周边主要环境保护目标见表3-</w:t>
            </w:r>
            <w:r>
              <w:rPr>
                <w:rFonts w:hint="eastAsia" w:ascii="Times New Roman" w:hAnsi="Times New Roman" w:cs="Times New Roman"/>
                <w:color w:val="auto"/>
                <w:sz w:val="24"/>
                <w:szCs w:val="28"/>
                <w:lang w:val="en-US" w:eastAsia="zh-CN"/>
              </w:rPr>
              <w:t>1</w:t>
            </w:r>
            <w:r>
              <w:rPr>
                <w:rFonts w:hint="default" w:ascii="Times New Roman" w:hAnsi="Times New Roman" w:eastAsia="宋体" w:cs="Times New Roman"/>
                <w:color w:val="auto"/>
                <w:sz w:val="24"/>
                <w:szCs w:val="28"/>
              </w:rPr>
              <w:t>和表3-</w:t>
            </w:r>
            <w:r>
              <w:rPr>
                <w:rFonts w:hint="eastAsia" w:ascii="Times New Roman" w:hAnsi="Times New Roman" w:cs="Times New Roman"/>
                <w:color w:val="auto"/>
                <w:sz w:val="24"/>
                <w:szCs w:val="28"/>
                <w:lang w:val="en-US" w:eastAsia="zh-CN"/>
              </w:rPr>
              <w:t>2</w:t>
            </w:r>
            <w:r>
              <w:rPr>
                <w:rFonts w:hint="default" w:ascii="Times New Roman" w:hAnsi="Times New Roman" w:eastAsia="宋体" w:cs="Times New Roman"/>
                <w:color w:val="auto"/>
                <w:sz w:val="24"/>
                <w:szCs w:val="28"/>
              </w:rPr>
              <w:t>。</w:t>
            </w:r>
          </w:p>
          <w:p w14:paraId="626901D1">
            <w:pPr>
              <w:adjustRightInd w:val="0"/>
              <w:snapToGrid w:val="0"/>
              <w:ind w:firstLine="5" w:firstLineChars="2"/>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w:t>
            </w:r>
            <w:r>
              <w:rPr>
                <w:rFonts w:hint="eastAsia" w:ascii="Times New Roman" w:hAnsi="Times New Roman" w:cs="Times New Roman"/>
                <w:b/>
                <w:color w:val="auto"/>
                <w:sz w:val="24"/>
                <w:lang w:val="en-US" w:eastAsia="zh-CN"/>
              </w:rPr>
              <w:t>1</w:t>
            </w:r>
            <w:r>
              <w:rPr>
                <w:rFonts w:hint="default" w:ascii="Times New Roman" w:hAnsi="Times New Roman" w:eastAsia="宋体" w:cs="Times New Roman"/>
                <w:b/>
                <w:color w:val="auto"/>
                <w:sz w:val="24"/>
              </w:rPr>
              <w:t>环境空气保护目标表</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1199"/>
              <w:gridCol w:w="1244"/>
              <w:gridCol w:w="1072"/>
              <w:gridCol w:w="944"/>
              <w:gridCol w:w="1025"/>
              <w:gridCol w:w="1034"/>
              <w:gridCol w:w="672"/>
              <w:gridCol w:w="672"/>
              <w:gridCol w:w="748"/>
            </w:tblGrid>
            <w:tr w14:paraId="7648A9D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40" w:hRule="atLeast"/>
                <w:jc w:val="center"/>
              </w:trPr>
              <w:tc>
                <w:tcPr>
                  <w:tcW w:w="696" w:type="pct"/>
                  <w:vMerge w:val="restart"/>
                  <w:noWrap w:val="0"/>
                  <w:vAlign w:val="center"/>
                </w:tcPr>
                <w:p w14:paraId="5E51F046">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1344" w:type="pct"/>
                  <w:gridSpan w:val="2"/>
                  <w:noWrap w:val="0"/>
                  <w:vAlign w:val="center"/>
                </w:tcPr>
                <w:p w14:paraId="0C3B3AB0">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坐标</w:t>
                  </w:r>
                </w:p>
              </w:tc>
              <w:tc>
                <w:tcPr>
                  <w:tcW w:w="548" w:type="pct"/>
                  <w:vMerge w:val="restart"/>
                  <w:noWrap w:val="0"/>
                  <w:vAlign w:val="center"/>
                </w:tcPr>
                <w:p w14:paraId="03FDAAE5">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保护对象</w:t>
                  </w:r>
                </w:p>
              </w:tc>
              <w:tc>
                <w:tcPr>
                  <w:tcW w:w="595" w:type="pct"/>
                  <w:vMerge w:val="restart"/>
                  <w:noWrap w:val="0"/>
                  <w:vAlign w:val="center"/>
                </w:tcPr>
                <w:p w14:paraId="1DFD837D">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保护内容</w:t>
                  </w:r>
                </w:p>
              </w:tc>
              <w:tc>
                <w:tcPr>
                  <w:tcW w:w="600" w:type="pct"/>
                  <w:vMerge w:val="restart"/>
                  <w:noWrap w:val="0"/>
                  <w:vAlign w:val="center"/>
                </w:tcPr>
                <w:p w14:paraId="21FC65F7">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环境功能区</w:t>
                  </w:r>
                </w:p>
              </w:tc>
              <w:tc>
                <w:tcPr>
                  <w:tcW w:w="390" w:type="pct"/>
                  <w:vMerge w:val="restart"/>
                  <w:noWrap w:val="0"/>
                  <w:vAlign w:val="center"/>
                </w:tcPr>
                <w:p w14:paraId="79547BE9">
                  <w:pPr>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b/>
                      <w:color w:val="auto"/>
                      <w:sz w:val="21"/>
                      <w:szCs w:val="21"/>
                      <w:lang w:val="en-US" w:eastAsia="zh-CN"/>
                    </w:rPr>
                  </w:pPr>
                  <w:r>
                    <w:rPr>
                      <w:rFonts w:hint="eastAsia" w:cs="Times New Roman"/>
                      <w:b/>
                      <w:color w:val="auto"/>
                      <w:sz w:val="21"/>
                      <w:szCs w:val="21"/>
                      <w:lang w:val="en-US" w:eastAsia="zh-CN"/>
                    </w:rPr>
                    <w:t>规模（人）</w:t>
                  </w:r>
                </w:p>
              </w:tc>
              <w:tc>
                <w:tcPr>
                  <w:tcW w:w="390" w:type="pct"/>
                  <w:vMerge w:val="restart"/>
                  <w:noWrap w:val="0"/>
                  <w:vAlign w:val="center"/>
                </w:tcPr>
                <w:p w14:paraId="249C088F">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相对厂址方位</w:t>
                  </w:r>
                </w:p>
              </w:tc>
              <w:tc>
                <w:tcPr>
                  <w:tcW w:w="434" w:type="pct"/>
                  <w:vMerge w:val="restart"/>
                  <w:noWrap w:val="0"/>
                  <w:vAlign w:val="center"/>
                </w:tcPr>
                <w:p w14:paraId="2E4F2B4C">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相对距离/m</w:t>
                  </w:r>
                </w:p>
              </w:tc>
            </w:tr>
            <w:tr w14:paraId="6E3783A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40" w:hRule="atLeast"/>
                <w:jc w:val="center"/>
              </w:trPr>
              <w:tc>
                <w:tcPr>
                  <w:tcW w:w="696" w:type="pct"/>
                  <w:vMerge w:val="continue"/>
                  <w:noWrap w:val="0"/>
                  <w:vAlign w:val="center"/>
                </w:tcPr>
                <w:p w14:paraId="59721DCC">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722" w:type="pct"/>
                  <w:noWrap w:val="0"/>
                  <w:vAlign w:val="center"/>
                </w:tcPr>
                <w:p w14:paraId="4C544257">
                  <w:pPr>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经度</w:t>
                  </w:r>
                </w:p>
              </w:tc>
              <w:tc>
                <w:tcPr>
                  <w:tcW w:w="622" w:type="pct"/>
                  <w:noWrap w:val="0"/>
                  <w:vAlign w:val="center"/>
                </w:tcPr>
                <w:p w14:paraId="0B59E79B">
                  <w:pPr>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纬度</w:t>
                  </w:r>
                </w:p>
              </w:tc>
              <w:tc>
                <w:tcPr>
                  <w:tcW w:w="548" w:type="pct"/>
                  <w:vMerge w:val="continue"/>
                  <w:noWrap w:val="0"/>
                  <w:vAlign w:val="center"/>
                </w:tcPr>
                <w:p w14:paraId="0ED267F2">
                  <w:pPr>
                    <w:pStyle w:val="17"/>
                    <w:pageBreakBefore w:val="0"/>
                    <w:widowControl w:val="0"/>
                    <w:kinsoku/>
                    <w:wordWrap/>
                    <w:overflowPunct/>
                    <w:topLinePunct w:val="0"/>
                    <w:bidi w:val="0"/>
                    <w:adjustRightInd w:val="0"/>
                    <w:snapToGrid w:val="0"/>
                    <w:spacing w:line="240" w:lineRule="auto"/>
                    <w:ind w:firstLine="0" w:firstLineChars="0"/>
                    <w:textAlignment w:val="auto"/>
                    <w:rPr>
                      <w:rFonts w:hint="default" w:ascii="Times New Roman" w:hAnsi="Times New Roman" w:eastAsia="宋体" w:cs="Times New Roman"/>
                      <w:color w:val="auto"/>
                      <w:sz w:val="21"/>
                      <w:szCs w:val="21"/>
                    </w:rPr>
                  </w:pPr>
                </w:p>
              </w:tc>
              <w:tc>
                <w:tcPr>
                  <w:tcW w:w="595" w:type="pct"/>
                  <w:vMerge w:val="continue"/>
                  <w:noWrap w:val="0"/>
                  <w:vAlign w:val="center"/>
                </w:tcPr>
                <w:p w14:paraId="6E0F6AA6">
                  <w:pPr>
                    <w:pStyle w:val="5"/>
                    <w:pageBreakBefore w:val="0"/>
                    <w:widowControl w:val="0"/>
                    <w:kinsoku/>
                    <w:wordWrap/>
                    <w:overflowPunct/>
                    <w:topLinePunct w:val="0"/>
                    <w:bidi w:val="0"/>
                    <w:adjustRightInd w:val="0"/>
                    <w:snapToGrid w:val="0"/>
                    <w:spacing w:before="0" w:beforeLines="0" w:after="0" w:line="240" w:lineRule="auto"/>
                    <w:ind w:firstLine="0" w:firstLineChars="0"/>
                    <w:jc w:val="center"/>
                    <w:textAlignment w:val="auto"/>
                    <w:outlineLvl w:val="3"/>
                    <w:rPr>
                      <w:rFonts w:hint="default" w:ascii="Times New Roman" w:hAnsi="Times New Roman" w:eastAsia="宋体" w:cs="Times New Roman"/>
                      <w:b w:val="0"/>
                      <w:color w:val="auto"/>
                      <w:sz w:val="21"/>
                      <w:szCs w:val="21"/>
                    </w:rPr>
                  </w:pPr>
                </w:p>
              </w:tc>
              <w:tc>
                <w:tcPr>
                  <w:tcW w:w="600" w:type="pct"/>
                  <w:vMerge w:val="continue"/>
                  <w:noWrap w:val="0"/>
                  <w:vAlign w:val="center"/>
                </w:tcPr>
                <w:p w14:paraId="20E7C7EB">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390" w:type="pct"/>
                  <w:vMerge w:val="continue"/>
                  <w:noWrap w:val="0"/>
                  <w:vAlign w:val="center"/>
                </w:tcPr>
                <w:p w14:paraId="2EC1F0C6">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390" w:type="pct"/>
                  <w:vMerge w:val="continue"/>
                  <w:noWrap w:val="0"/>
                  <w:vAlign w:val="center"/>
                </w:tcPr>
                <w:p w14:paraId="7992A042">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c>
                <w:tcPr>
                  <w:tcW w:w="434" w:type="pct"/>
                  <w:vMerge w:val="continue"/>
                  <w:noWrap w:val="0"/>
                  <w:vAlign w:val="center"/>
                </w:tcPr>
                <w:p w14:paraId="4763450E">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p>
              </w:tc>
            </w:tr>
            <w:tr w14:paraId="5C7F019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40" w:hRule="atLeast"/>
                <w:jc w:val="center"/>
              </w:trPr>
              <w:tc>
                <w:tcPr>
                  <w:tcW w:w="696" w:type="pct"/>
                  <w:noWrap w:val="0"/>
                  <w:vAlign w:val="center"/>
                </w:tcPr>
                <w:p w14:paraId="5715F4A3">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于湾村</w:t>
                  </w:r>
                </w:p>
              </w:tc>
              <w:tc>
                <w:tcPr>
                  <w:tcW w:w="722" w:type="pct"/>
                  <w:noWrap w:val="0"/>
                  <w:vAlign w:val="center"/>
                </w:tcPr>
                <w:p w14:paraId="44F5172A">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118.</w:t>
                  </w:r>
                  <w:r>
                    <w:rPr>
                      <w:rFonts w:hint="eastAsia" w:cs="Times New Roman"/>
                      <w:color w:val="auto"/>
                      <w:sz w:val="21"/>
                      <w:szCs w:val="21"/>
                      <w:lang w:val="en-US" w:eastAsia="zh-CN"/>
                    </w:rPr>
                    <w:t>762116</w:t>
                  </w:r>
                </w:p>
              </w:tc>
              <w:tc>
                <w:tcPr>
                  <w:tcW w:w="622" w:type="pct"/>
                  <w:noWrap w:val="0"/>
                  <w:vAlign w:val="center"/>
                </w:tcPr>
                <w:p w14:paraId="436F896C">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33.</w:t>
                  </w:r>
                  <w:r>
                    <w:rPr>
                      <w:rFonts w:hint="eastAsia" w:cs="Times New Roman"/>
                      <w:color w:val="auto"/>
                      <w:sz w:val="21"/>
                      <w:szCs w:val="21"/>
                      <w:lang w:val="en-US" w:eastAsia="zh-CN"/>
                    </w:rPr>
                    <w:t>55937</w:t>
                  </w:r>
                </w:p>
              </w:tc>
              <w:tc>
                <w:tcPr>
                  <w:tcW w:w="548" w:type="pct"/>
                  <w:noWrap w:val="0"/>
                  <w:vAlign w:val="center"/>
                </w:tcPr>
                <w:p w14:paraId="19C7E0D4">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居住区</w:t>
                  </w:r>
                </w:p>
              </w:tc>
              <w:tc>
                <w:tcPr>
                  <w:tcW w:w="595" w:type="pct"/>
                  <w:noWrap w:val="0"/>
                  <w:vAlign w:val="center"/>
                </w:tcPr>
                <w:p w14:paraId="6F8E713E">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人群</w:t>
                  </w:r>
                </w:p>
              </w:tc>
              <w:tc>
                <w:tcPr>
                  <w:tcW w:w="600" w:type="pct"/>
                  <w:noWrap w:val="0"/>
                  <w:vAlign w:val="center"/>
                </w:tcPr>
                <w:p w14:paraId="4CC8D657">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二类区</w:t>
                  </w:r>
                </w:p>
              </w:tc>
              <w:tc>
                <w:tcPr>
                  <w:tcW w:w="390" w:type="pct"/>
                  <w:noWrap w:val="0"/>
                  <w:vAlign w:val="center"/>
                </w:tcPr>
                <w:p w14:paraId="2051BF60">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80</w:t>
                  </w:r>
                </w:p>
              </w:tc>
              <w:tc>
                <w:tcPr>
                  <w:tcW w:w="390" w:type="pct"/>
                  <w:noWrap w:val="0"/>
                  <w:vAlign w:val="center"/>
                </w:tcPr>
                <w:p w14:paraId="6DE9060B">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东</w:t>
                  </w:r>
                </w:p>
              </w:tc>
              <w:tc>
                <w:tcPr>
                  <w:tcW w:w="434" w:type="pct"/>
                  <w:noWrap w:val="0"/>
                  <w:vAlign w:val="center"/>
                </w:tcPr>
                <w:p w14:paraId="7DD16D5F">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430</w:t>
                  </w:r>
                </w:p>
              </w:tc>
            </w:tr>
            <w:tr w14:paraId="7430DD4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40" w:hRule="atLeast"/>
                <w:jc w:val="center"/>
              </w:trPr>
              <w:tc>
                <w:tcPr>
                  <w:tcW w:w="696" w:type="pct"/>
                  <w:noWrap w:val="0"/>
                  <w:vAlign w:val="center"/>
                </w:tcPr>
                <w:p w14:paraId="7E10D7F5">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陈码村</w:t>
                  </w:r>
                </w:p>
              </w:tc>
              <w:tc>
                <w:tcPr>
                  <w:tcW w:w="722" w:type="pct"/>
                  <w:noWrap w:val="0"/>
                  <w:vAlign w:val="center"/>
                </w:tcPr>
                <w:p w14:paraId="76F1A2A1">
                  <w:pPr>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118.76049</w:t>
                  </w:r>
                  <w:r>
                    <w:rPr>
                      <w:rFonts w:hint="eastAsia" w:cs="Times New Roman"/>
                      <w:color w:val="auto"/>
                      <w:sz w:val="21"/>
                      <w:szCs w:val="21"/>
                      <w:lang w:val="en-US" w:eastAsia="zh-CN"/>
                    </w:rPr>
                    <w:t>6</w:t>
                  </w:r>
                </w:p>
              </w:tc>
              <w:tc>
                <w:tcPr>
                  <w:tcW w:w="622" w:type="pct"/>
                  <w:noWrap w:val="0"/>
                  <w:vAlign w:val="center"/>
                </w:tcPr>
                <w:p w14:paraId="00645234">
                  <w:pPr>
                    <w:pageBreakBefore w:val="0"/>
                    <w:widowControl w:val="0"/>
                    <w:kinsoku/>
                    <w:wordWrap/>
                    <w:overflowPunct/>
                    <w:topLinePunct w:val="0"/>
                    <w:bidi w:val="0"/>
                    <w:adjustRightInd w:val="0"/>
                    <w:snapToGrid w:val="0"/>
                    <w:spacing w:line="240" w:lineRule="auto"/>
                    <w:ind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33.56289</w:t>
                  </w:r>
                </w:p>
              </w:tc>
              <w:tc>
                <w:tcPr>
                  <w:tcW w:w="548" w:type="pct"/>
                  <w:noWrap w:val="0"/>
                  <w:vAlign w:val="center"/>
                </w:tcPr>
                <w:p w14:paraId="5948B9D9">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居住区</w:t>
                  </w:r>
                </w:p>
              </w:tc>
              <w:tc>
                <w:tcPr>
                  <w:tcW w:w="595" w:type="pct"/>
                  <w:noWrap w:val="0"/>
                  <w:vAlign w:val="center"/>
                </w:tcPr>
                <w:p w14:paraId="571534DB">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人群</w:t>
                  </w:r>
                </w:p>
              </w:tc>
              <w:tc>
                <w:tcPr>
                  <w:tcW w:w="600" w:type="pct"/>
                  <w:noWrap w:val="0"/>
                  <w:vAlign w:val="center"/>
                </w:tcPr>
                <w:p w14:paraId="2D2DF080">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二类区</w:t>
                  </w:r>
                </w:p>
              </w:tc>
              <w:tc>
                <w:tcPr>
                  <w:tcW w:w="390" w:type="pct"/>
                  <w:noWrap w:val="0"/>
                  <w:vAlign w:val="center"/>
                </w:tcPr>
                <w:p w14:paraId="275D4586">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w:t>
                  </w:r>
                </w:p>
              </w:tc>
              <w:tc>
                <w:tcPr>
                  <w:tcW w:w="390" w:type="pct"/>
                  <w:noWrap w:val="0"/>
                  <w:vAlign w:val="center"/>
                </w:tcPr>
                <w:p w14:paraId="188A4661">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东北</w:t>
                  </w:r>
                </w:p>
              </w:tc>
              <w:tc>
                <w:tcPr>
                  <w:tcW w:w="434" w:type="pct"/>
                  <w:noWrap w:val="0"/>
                  <w:vAlign w:val="center"/>
                </w:tcPr>
                <w:p w14:paraId="39FA371C">
                  <w:pPr>
                    <w:pageBreakBefore w:val="0"/>
                    <w:widowControl w:val="0"/>
                    <w:kinsoku/>
                    <w:wordWrap/>
                    <w:overflowPunct/>
                    <w:topLinePunct w:val="0"/>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420</w:t>
                  </w:r>
                </w:p>
              </w:tc>
            </w:tr>
          </w:tbl>
          <w:p w14:paraId="4D018B90">
            <w:pPr>
              <w:adjustRightInd w:val="0"/>
              <w:snapToGrid w:val="0"/>
              <w:spacing w:before="120" w:beforeLines="50"/>
              <w:ind w:firstLine="5" w:firstLineChars="2"/>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w:t>
            </w:r>
            <w:bookmarkEnd w:id="5"/>
            <w:r>
              <w:rPr>
                <w:rFonts w:hint="default" w:ascii="Times New Roman" w:hAnsi="Times New Roman" w:eastAsia="宋体" w:cs="Times New Roman"/>
                <w:b/>
                <w:color w:val="auto"/>
                <w:sz w:val="24"/>
              </w:rPr>
              <w:t>2其他环境敏感目标一览表</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3"/>
              <w:gridCol w:w="1852"/>
              <w:gridCol w:w="937"/>
              <w:gridCol w:w="1279"/>
              <w:gridCol w:w="978"/>
              <w:gridCol w:w="2476"/>
            </w:tblGrid>
            <w:tr w14:paraId="1FE93D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93" w:type="dxa"/>
                  <w:noWrap w:val="0"/>
                  <w:vAlign w:val="center"/>
                </w:tcPr>
                <w:p w14:paraId="3FCC4190">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环境要素</w:t>
                  </w:r>
                </w:p>
              </w:tc>
              <w:tc>
                <w:tcPr>
                  <w:tcW w:w="1852" w:type="dxa"/>
                  <w:noWrap w:val="0"/>
                  <w:vAlign w:val="center"/>
                </w:tcPr>
                <w:p w14:paraId="06782620">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环境保护对象名称</w:t>
                  </w:r>
                </w:p>
              </w:tc>
              <w:tc>
                <w:tcPr>
                  <w:tcW w:w="937" w:type="dxa"/>
                  <w:noWrap w:val="0"/>
                  <w:vAlign w:val="center"/>
                </w:tcPr>
                <w:p w14:paraId="6A8573C9">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方位</w:t>
                  </w:r>
                </w:p>
              </w:tc>
              <w:tc>
                <w:tcPr>
                  <w:tcW w:w="1279" w:type="dxa"/>
                  <w:noWrap w:val="0"/>
                  <w:vAlign w:val="center"/>
                </w:tcPr>
                <w:p w14:paraId="78173138">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距离厂界/m</w:t>
                  </w:r>
                </w:p>
              </w:tc>
              <w:tc>
                <w:tcPr>
                  <w:tcW w:w="978" w:type="dxa"/>
                  <w:noWrap w:val="0"/>
                  <w:vAlign w:val="center"/>
                </w:tcPr>
                <w:p w14:paraId="29412B71">
                  <w:pPr>
                    <w:pStyle w:val="8"/>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规模</w:t>
                  </w:r>
                </w:p>
              </w:tc>
              <w:tc>
                <w:tcPr>
                  <w:tcW w:w="2476" w:type="dxa"/>
                  <w:noWrap w:val="0"/>
                  <w:vAlign w:val="center"/>
                </w:tcPr>
                <w:p w14:paraId="574B5AFD">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环境功能</w:t>
                  </w:r>
                </w:p>
              </w:tc>
            </w:tr>
            <w:tr w14:paraId="7AA5AE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93" w:type="dxa"/>
                  <w:vMerge w:val="restart"/>
                  <w:noWrap w:val="0"/>
                  <w:vAlign w:val="center"/>
                </w:tcPr>
                <w:p w14:paraId="1F04182E">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地表水</w:t>
                  </w:r>
                </w:p>
                <w:p w14:paraId="61E20778">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环境</w:t>
                  </w:r>
                </w:p>
              </w:tc>
              <w:tc>
                <w:tcPr>
                  <w:tcW w:w="1852" w:type="dxa"/>
                  <w:shd w:val="clear" w:color="auto" w:fill="auto"/>
                  <w:noWrap w:val="0"/>
                  <w:vAlign w:val="center"/>
                </w:tcPr>
                <w:p w14:paraId="2F088DB4">
                  <w:pPr>
                    <w:tabs>
                      <w:tab w:val="left" w:pos="5760"/>
                      <w:tab w:val="left" w:pos="5940"/>
                    </w:tabs>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rPr>
                    <w:t>黄码河</w:t>
                  </w:r>
                </w:p>
              </w:tc>
              <w:tc>
                <w:tcPr>
                  <w:tcW w:w="937" w:type="dxa"/>
                  <w:shd w:val="clear" w:color="auto" w:fill="auto"/>
                  <w:noWrap w:val="0"/>
                  <w:vAlign w:val="center"/>
                </w:tcPr>
                <w:p w14:paraId="155DB080">
                  <w:pPr>
                    <w:tabs>
                      <w:tab w:val="left" w:pos="5760"/>
                      <w:tab w:val="left" w:pos="5940"/>
                    </w:tabs>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bidi="ar-SA"/>
                    </w:rPr>
                    <w:t>西</w:t>
                  </w:r>
                </w:p>
              </w:tc>
              <w:tc>
                <w:tcPr>
                  <w:tcW w:w="1279" w:type="dxa"/>
                  <w:shd w:val="clear" w:color="auto" w:fill="auto"/>
                  <w:noWrap w:val="0"/>
                  <w:vAlign w:val="center"/>
                </w:tcPr>
                <w:p w14:paraId="456D2CCE">
                  <w:pPr>
                    <w:tabs>
                      <w:tab w:val="left" w:pos="5760"/>
                      <w:tab w:val="left" w:pos="5940"/>
                    </w:tabs>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556</w:t>
                  </w:r>
                </w:p>
              </w:tc>
              <w:tc>
                <w:tcPr>
                  <w:tcW w:w="978" w:type="dxa"/>
                  <w:shd w:val="clear" w:color="auto" w:fill="auto"/>
                  <w:noWrap w:val="0"/>
                  <w:vAlign w:val="center"/>
                </w:tcPr>
                <w:p w14:paraId="3296302D">
                  <w:pPr>
                    <w:tabs>
                      <w:tab w:val="left" w:pos="5760"/>
                      <w:tab w:val="left" w:pos="5940"/>
                    </w:tabs>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rPr>
                    <w:t>小河</w:t>
                  </w:r>
                </w:p>
              </w:tc>
              <w:tc>
                <w:tcPr>
                  <w:tcW w:w="2476" w:type="dxa"/>
                  <w:vMerge w:val="restart"/>
                  <w:noWrap w:val="0"/>
                  <w:vAlign w:val="center"/>
                </w:tcPr>
                <w:p w14:paraId="4A612ECC">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《地表水环境质量标准》</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GB3838-2002</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Ⅲ类标准</w:t>
                  </w:r>
                </w:p>
              </w:tc>
            </w:tr>
            <w:tr w14:paraId="5035A3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93" w:type="dxa"/>
                  <w:vMerge w:val="continue"/>
                  <w:noWrap w:val="0"/>
                  <w:vAlign w:val="center"/>
                </w:tcPr>
                <w:p w14:paraId="01AF52CF">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p>
              </w:tc>
              <w:tc>
                <w:tcPr>
                  <w:tcW w:w="1852" w:type="dxa"/>
                  <w:shd w:val="clear" w:color="auto" w:fill="auto"/>
                  <w:noWrap w:val="0"/>
                  <w:vAlign w:val="center"/>
                </w:tcPr>
                <w:p w14:paraId="7152163E">
                  <w:pPr>
                    <w:tabs>
                      <w:tab w:val="left" w:pos="5760"/>
                      <w:tab w:val="left" w:pos="5940"/>
                    </w:tabs>
                    <w:spacing w:line="240" w:lineRule="auto"/>
                    <w:ind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龙湾引河</w:t>
                  </w:r>
                </w:p>
              </w:tc>
              <w:tc>
                <w:tcPr>
                  <w:tcW w:w="937" w:type="dxa"/>
                  <w:shd w:val="clear" w:color="auto" w:fill="auto"/>
                  <w:noWrap w:val="0"/>
                  <w:vAlign w:val="center"/>
                </w:tcPr>
                <w:p w14:paraId="0D431177">
                  <w:pPr>
                    <w:tabs>
                      <w:tab w:val="left" w:pos="5760"/>
                      <w:tab w:val="left" w:pos="5940"/>
                    </w:tabs>
                    <w:spacing w:line="240" w:lineRule="auto"/>
                    <w:ind w:firstLine="0" w:firstLineChars="0"/>
                    <w:jc w:val="center"/>
                    <w:rPr>
                      <w:rFonts w:hint="default" w:cs="Times New Roman"/>
                      <w:bCs/>
                      <w:color w:val="auto"/>
                      <w:kern w:val="2"/>
                      <w:sz w:val="21"/>
                      <w:szCs w:val="21"/>
                      <w:lang w:val="en-US" w:eastAsia="zh-CN" w:bidi="ar-SA"/>
                    </w:rPr>
                  </w:pPr>
                  <w:r>
                    <w:rPr>
                      <w:rFonts w:hint="eastAsia" w:cs="Times New Roman"/>
                      <w:bCs/>
                      <w:color w:val="auto"/>
                      <w:kern w:val="2"/>
                      <w:sz w:val="21"/>
                      <w:szCs w:val="21"/>
                      <w:lang w:val="en-US" w:eastAsia="zh-CN" w:bidi="ar-SA"/>
                    </w:rPr>
                    <w:t>东南</w:t>
                  </w:r>
                </w:p>
              </w:tc>
              <w:tc>
                <w:tcPr>
                  <w:tcW w:w="1279" w:type="dxa"/>
                  <w:shd w:val="clear" w:color="auto" w:fill="auto"/>
                  <w:noWrap w:val="0"/>
                  <w:vAlign w:val="center"/>
                </w:tcPr>
                <w:p w14:paraId="07713510">
                  <w:pPr>
                    <w:tabs>
                      <w:tab w:val="left" w:pos="5760"/>
                      <w:tab w:val="left" w:pos="5940"/>
                    </w:tabs>
                    <w:spacing w:line="240" w:lineRule="auto"/>
                    <w:ind w:firstLine="0" w:firstLineChars="0"/>
                    <w:jc w:val="center"/>
                    <w:rPr>
                      <w:rFonts w:hint="default"/>
                      <w:bCs/>
                      <w:color w:val="auto"/>
                      <w:sz w:val="21"/>
                      <w:szCs w:val="21"/>
                      <w:lang w:val="en-US" w:eastAsia="zh-CN"/>
                    </w:rPr>
                  </w:pPr>
                  <w:r>
                    <w:rPr>
                      <w:rFonts w:hint="eastAsia"/>
                      <w:bCs/>
                      <w:color w:val="auto"/>
                      <w:sz w:val="21"/>
                      <w:szCs w:val="21"/>
                      <w:lang w:val="en-US" w:eastAsia="zh-CN"/>
                    </w:rPr>
                    <w:t>64</w:t>
                  </w:r>
                </w:p>
              </w:tc>
              <w:tc>
                <w:tcPr>
                  <w:tcW w:w="978" w:type="dxa"/>
                  <w:shd w:val="clear" w:color="auto" w:fill="auto"/>
                  <w:noWrap w:val="0"/>
                  <w:vAlign w:val="center"/>
                </w:tcPr>
                <w:p w14:paraId="5BFFE675">
                  <w:pPr>
                    <w:spacing w:line="240" w:lineRule="auto"/>
                    <w:ind w:left="0" w:leftChars="0" w:firstLine="0" w:firstLineChars="0"/>
                    <w:jc w:val="center"/>
                    <w:rPr>
                      <w:rFonts w:hint="eastAsia"/>
                      <w:bCs/>
                      <w:color w:val="auto"/>
                      <w:sz w:val="21"/>
                      <w:szCs w:val="21"/>
                    </w:rPr>
                  </w:pPr>
                  <w:r>
                    <w:rPr>
                      <w:rFonts w:hint="eastAsia"/>
                      <w:bCs/>
                      <w:color w:val="auto"/>
                      <w:sz w:val="21"/>
                      <w:szCs w:val="21"/>
                    </w:rPr>
                    <w:t>小河</w:t>
                  </w:r>
                </w:p>
              </w:tc>
              <w:tc>
                <w:tcPr>
                  <w:tcW w:w="2476" w:type="dxa"/>
                  <w:vMerge w:val="continue"/>
                  <w:noWrap w:val="0"/>
                  <w:vAlign w:val="center"/>
                </w:tcPr>
                <w:p w14:paraId="2C045F76">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p>
              </w:tc>
            </w:tr>
            <w:tr w14:paraId="6344A5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93" w:type="dxa"/>
                  <w:vMerge w:val="continue"/>
                  <w:noWrap w:val="0"/>
                  <w:vAlign w:val="center"/>
                </w:tcPr>
                <w:p w14:paraId="2FACC7DA">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p>
              </w:tc>
              <w:tc>
                <w:tcPr>
                  <w:tcW w:w="1852" w:type="dxa"/>
                  <w:shd w:val="clear" w:color="auto" w:fill="auto"/>
                  <w:noWrap w:val="0"/>
                  <w:vAlign w:val="center"/>
                </w:tcPr>
                <w:p w14:paraId="7A12F9FB">
                  <w:pPr>
                    <w:tabs>
                      <w:tab w:val="left" w:pos="5760"/>
                      <w:tab w:val="left" w:pos="5940"/>
                    </w:tabs>
                    <w:spacing w:line="240" w:lineRule="auto"/>
                    <w:ind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高湾引河</w:t>
                  </w:r>
                </w:p>
              </w:tc>
              <w:tc>
                <w:tcPr>
                  <w:tcW w:w="937" w:type="dxa"/>
                  <w:shd w:val="clear" w:color="auto" w:fill="auto"/>
                  <w:noWrap w:val="0"/>
                  <w:vAlign w:val="center"/>
                </w:tcPr>
                <w:p w14:paraId="55840AEA">
                  <w:pPr>
                    <w:tabs>
                      <w:tab w:val="left" w:pos="5760"/>
                      <w:tab w:val="left" w:pos="5940"/>
                    </w:tabs>
                    <w:spacing w:line="240" w:lineRule="auto"/>
                    <w:ind w:firstLine="0" w:firstLineChars="0"/>
                    <w:jc w:val="center"/>
                    <w:rPr>
                      <w:rFonts w:hint="default" w:cs="Times New Roman"/>
                      <w:bCs/>
                      <w:color w:val="auto"/>
                      <w:kern w:val="2"/>
                      <w:sz w:val="21"/>
                      <w:szCs w:val="21"/>
                      <w:lang w:val="en-US" w:eastAsia="zh-CN" w:bidi="ar-SA"/>
                    </w:rPr>
                  </w:pPr>
                  <w:r>
                    <w:rPr>
                      <w:rFonts w:hint="eastAsia" w:cs="Times New Roman"/>
                      <w:bCs/>
                      <w:color w:val="auto"/>
                      <w:kern w:val="2"/>
                      <w:sz w:val="21"/>
                      <w:szCs w:val="21"/>
                      <w:lang w:val="en-US" w:eastAsia="zh-CN" w:bidi="ar-SA"/>
                    </w:rPr>
                    <w:t>南</w:t>
                  </w:r>
                </w:p>
              </w:tc>
              <w:tc>
                <w:tcPr>
                  <w:tcW w:w="1279" w:type="dxa"/>
                  <w:shd w:val="clear" w:color="auto" w:fill="auto"/>
                  <w:noWrap w:val="0"/>
                  <w:vAlign w:val="center"/>
                </w:tcPr>
                <w:p w14:paraId="01F79897">
                  <w:pPr>
                    <w:tabs>
                      <w:tab w:val="left" w:pos="5760"/>
                      <w:tab w:val="left" w:pos="5940"/>
                    </w:tabs>
                    <w:spacing w:line="240" w:lineRule="auto"/>
                    <w:ind w:firstLine="0" w:firstLineChars="0"/>
                    <w:jc w:val="center"/>
                    <w:rPr>
                      <w:rFonts w:hint="default"/>
                      <w:bCs/>
                      <w:color w:val="auto"/>
                      <w:sz w:val="21"/>
                      <w:szCs w:val="21"/>
                      <w:lang w:val="en-US" w:eastAsia="zh-CN"/>
                    </w:rPr>
                  </w:pPr>
                  <w:r>
                    <w:rPr>
                      <w:rFonts w:hint="eastAsia"/>
                      <w:bCs/>
                      <w:color w:val="auto"/>
                      <w:sz w:val="21"/>
                      <w:szCs w:val="21"/>
                      <w:lang w:val="en-US" w:eastAsia="zh-CN"/>
                    </w:rPr>
                    <w:t>407</w:t>
                  </w:r>
                </w:p>
              </w:tc>
              <w:tc>
                <w:tcPr>
                  <w:tcW w:w="978" w:type="dxa"/>
                  <w:shd w:val="clear" w:color="auto" w:fill="auto"/>
                  <w:noWrap w:val="0"/>
                  <w:vAlign w:val="center"/>
                </w:tcPr>
                <w:p w14:paraId="54539A72">
                  <w:pPr>
                    <w:spacing w:line="240" w:lineRule="auto"/>
                    <w:ind w:left="0" w:leftChars="0" w:firstLine="0" w:firstLineChars="0"/>
                    <w:jc w:val="center"/>
                    <w:rPr>
                      <w:rFonts w:hint="eastAsia"/>
                      <w:bCs/>
                      <w:color w:val="auto"/>
                      <w:sz w:val="21"/>
                      <w:szCs w:val="21"/>
                    </w:rPr>
                  </w:pPr>
                  <w:r>
                    <w:rPr>
                      <w:rFonts w:hint="eastAsia"/>
                      <w:bCs/>
                      <w:color w:val="auto"/>
                      <w:sz w:val="21"/>
                      <w:szCs w:val="21"/>
                    </w:rPr>
                    <w:t>小河</w:t>
                  </w:r>
                </w:p>
              </w:tc>
              <w:tc>
                <w:tcPr>
                  <w:tcW w:w="2476" w:type="dxa"/>
                  <w:vMerge w:val="continue"/>
                  <w:noWrap w:val="0"/>
                  <w:vAlign w:val="center"/>
                </w:tcPr>
                <w:p w14:paraId="4510130F">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p>
              </w:tc>
            </w:tr>
            <w:tr w14:paraId="6B90D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93" w:type="dxa"/>
                  <w:noWrap w:val="0"/>
                  <w:vAlign w:val="center"/>
                </w:tcPr>
                <w:p w14:paraId="4AF420E5">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地下水</w:t>
                  </w:r>
                </w:p>
                <w:p w14:paraId="65C40E6B">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环境</w:t>
                  </w:r>
                </w:p>
              </w:tc>
              <w:tc>
                <w:tcPr>
                  <w:tcW w:w="7522" w:type="dxa"/>
                  <w:gridSpan w:val="5"/>
                  <w:noWrap w:val="0"/>
                  <w:vAlign w:val="center"/>
                </w:tcPr>
                <w:p w14:paraId="1FB7BE28">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厂界外500米范围内无地下水集中式饮用水水源和热水、矿泉水、温泉等特殊地下水资源</w:t>
                  </w:r>
                </w:p>
              </w:tc>
            </w:tr>
            <w:tr w14:paraId="01D10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93" w:type="dxa"/>
                  <w:noWrap w:val="0"/>
                  <w:vAlign w:val="center"/>
                </w:tcPr>
                <w:p w14:paraId="439E0763">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声环境</w:t>
                  </w:r>
                </w:p>
              </w:tc>
              <w:tc>
                <w:tcPr>
                  <w:tcW w:w="7522" w:type="dxa"/>
                  <w:gridSpan w:val="5"/>
                  <w:noWrap w:val="0"/>
                  <w:vAlign w:val="center"/>
                </w:tcPr>
                <w:p w14:paraId="59CE6BEC">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本项目50米范围内无敏感目标</w:t>
                  </w:r>
                </w:p>
              </w:tc>
            </w:tr>
            <w:tr w14:paraId="20AD80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93" w:type="dxa"/>
                  <w:noWrap w:val="0"/>
                  <w:vAlign w:val="center"/>
                </w:tcPr>
                <w:p w14:paraId="4D341E7F">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生态</w:t>
                  </w:r>
                </w:p>
              </w:tc>
              <w:tc>
                <w:tcPr>
                  <w:tcW w:w="7522" w:type="dxa"/>
                  <w:gridSpan w:val="5"/>
                  <w:noWrap w:val="0"/>
                  <w:vAlign w:val="center"/>
                </w:tcPr>
                <w:p w14:paraId="385C0D5A">
                  <w:pPr>
                    <w:keepNext w:val="0"/>
                    <w:keepLines w:val="0"/>
                    <w:pageBreakBefore w:val="0"/>
                    <w:widowControl w:val="0"/>
                    <w:tabs>
                      <w:tab w:val="left" w:pos="5760"/>
                      <w:tab w:val="left" w:pos="594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本项目不在宿迁市泗阳县生态空间管控区域范围内</w:t>
                  </w:r>
                </w:p>
              </w:tc>
            </w:tr>
          </w:tbl>
          <w:p w14:paraId="214EF438">
            <w:pPr>
              <w:snapToGrid w:val="0"/>
              <w:spacing w:line="500" w:lineRule="exact"/>
              <w:ind w:firstLine="480"/>
              <w:rPr>
                <w:color w:val="auto"/>
              </w:rPr>
            </w:pPr>
            <w:r>
              <w:rPr>
                <w:b/>
                <w:sz w:val="22"/>
              </w:rPr>
              <w:t>注：距离以</w:t>
            </w:r>
            <w:r>
              <w:rPr>
                <w:rFonts w:hint="eastAsia"/>
                <w:b/>
                <w:sz w:val="22"/>
                <w:lang w:val="en-US" w:eastAsia="zh-CN"/>
              </w:rPr>
              <w:t>本项目租赁的厂房厂界</w:t>
            </w:r>
            <w:r>
              <w:rPr>
                <w:b/>
                <w:sz w:val="22"/>
              </w:rPr>
              <w:t>最近计</w:t>
            </w:r>
            <w:r>
              <w:rPr>
                <w:bCs/>
                <w:sz w:val="22"/>
              </w:rPr>
              <w:t>。</w:t>
            </w:r>
          </w:p>
        </w:tc>
      </w:tr>
      <w:tr w14:paraId="092132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456" w:type="dxa"/>
            <w:tcMar>
              <w:left w:w="28" w:type="dxa"/>
              <w:right w:w="28" w:type="dxa"/>
            </w:tcMar>
            <w:vAlign w:val="center"/>
          </w:tcPr>
          <w:p w14:paraId="24B54006">
            <w:pPr>
              <w:adjustRightInd w:val="0"/>
              <w:snapToGrid w:val="0"/>
              <w:ind w:firstLine="0" w:firstLineChars="0"/>
              <w:jc w:val="center"/>
              <w:rPr>
                <w:color w:val="auto"/>
                <w:kern w:val="0"/>
                <w:szCs w:val="21"/>
              </w:rPr>
            </w:pPr>
            <w:r>
              <w:rPr>
                <w:color w:val="auto"/>
                <w:kern w:val="0"/>
                <w:szCs w:val="21"/>
              </w:rPr>
              <w:t>污染</w:t>
            </w:r>
          </w:p>
          <w:p w14:paraId="6A563EE0">
            <w:pPr>
              <w:adjustRightInd w:val="0"/>
              <w:snapToGrid w:val="0"/>
              <w:ind w:firstLine="0" w:firstLineChars="0"/>
              <w:jc w:val="center"/>
              <w:rPr>
                <w:color w:val="auto"/>
                <w:kern w:val="0"/>
                <w:szCs w:val="21"/>
              </w:rPr>
            </w:pPr>
            <w:r>
              <w:rPr>
                <w:color w:val="auto"/>
                <w:kern w:val="0"/>
                <w:szCs w:val="21"/>
              </w:rPr>
              <w:t>物排</w:t>
            </w:r>
          </w:p>
          <w:p w14:paraId="1E678197">
            <w:pPr>
              <w:adjustRightInd w:val="0"/>
              <w:snapToGrid w:val="0"/>
              <w:ind w:firstLine="0" w:firstLineChars="0"/>
              <w:jc w:val="center"/>
              <w:rPr>
                <w:color w:val="auto"/>
                <w:kern w:val="0"/>
                <w:szCs w:val="21"/>
              </w:rPr>
            </w:pPr>
            <w:r>
              <w:rPr>
                <w:color w:val="auto"/>
                <w:kern w:val="0"/>
                <w:szCs w:val="21"/>
              </w:rPr>
              <w:t>放控</w:t>
            </w:r>
          </w:p>
          <w:p w14:paraId="05742187">
            <w:pPr>
              <w:adjustRightInd w:val="0"/>
              <w:snapToGrid w:val="0"/>
              <w:ind w:firstLine="0" w:firstLineChars="0"/>
              <w:jc w:val="center"/>
              <w:rPr>
                <w:color w:val="auto"/>
                <w:kern w:val="0"/>
                <w:szCs w:val="21"/>
              </w:rPr>
            </w:pPr>
            <w:r>
              <w:rPr>
                <w:color w:val="auto"/>
                <w:kern w:val="0"/>
                <w:szCs w:val="21"/>
              </w:rPr>
              <w:t>制标</w:t>
            </w:r>
          </w:p>
          <w:p w14:paraId="421EF394">
            <w:pPr>
              <w:adjustRightInd w:val="0"/>
              <w:snapToGrid w:val="0"/>
              <w:ind w:firstLine="0" w:firstLineChars="0"/>
              <w:jc w:val="center"/>
              <w:rPr>
                <w:color w:val="auto"/>
                <w:kern w:val="0"/>
                <w:szCs w:val="21"/>
              </w:rPr>
            </w:pPr>
            <w:r>
              <w:rPr>
                <w:color w:val="auto"/>
                <w:kern w:val="0"/>
                <w:szCs w:val="21"/>
              </w:rPr>
              <w:t>准</w:t>
            </w:r>
          </w:p>
        </w:tc>
        <w:tc>
          <w:tcPr>
            <w:tcW w:w="8831" w:type="dxa"/>
            <w:vAlign w:val="center"/>
          </w:tcPr>
          <w:p w14:paraId="61397ADF">
            <w:pPr>
              <w:pStyle w:val="127"/>
              <w:snapToGrid w:val="0"/>
              <w:spacing w:before="120" w:after="0" w:afterLines="0" w:line="360" w:lineRule="auto"/>
              <w:ind w:right="0" w:rightChars="0" w:firstLine="482" w:firstLineChars="200"/>
              <w:rPr>
                <w:color w:val="auto"/>
                <w:sz w:val="24"/>
                <w:szCs w:val="24"/>
              </w:rPr>
            </w:pPr>
            <w:r>
              <w:rPr>
                <w:rFonts w:hint="eastAsia"/>
                <w:color w:val="auto"/>
                <w:sz w:val="24"/>
                <w:szCs w:val="24"/>
                <w:lang w:eastAsia="zh-CN"/>
              </w:rPr>
              <w:t>1.</w:t>
            </w:r>
            <w:r>
              <w:rPr>
                <w:rFonts w:hint="eastAsia"/>
                <w:color w:val="auto"/>
                <w:sz w:val="24"/>
                <w:szCs w:val="24"/>
              </w:rPr>
              <w:t>大气</w:t>
            </w:r>
            <w:r>
              <w:rPr>
                <w:color w:val="auto"/>
                <w:sz w:val="24"/>
                <w:szCs w:val="24"/>
              </w:rPr>
              <w:t>污染物排放标准</w:t>
            </w:r>
          </w:p>
          <w:p w14:paraId="3B43BE8B">
            <w:pPr>
              <w:keepNext w:val="0"/>
              <w:keepLines w:val="0"/>
              <w:pageBreakBefore w:val="0"/>
              <w:widowControl w:val="0"/>
              <w:kinsoku/>
              <w:wordWrap/>
              <w:overflowPunct/>
              <w:topLinePunct w:val="0"/>
              <w:bidi w:val="0"/>
              <w:adjustRightInd w:val="0"/>
              <w:snapToGrid w:val="0"/>
              <w:spacing w:line="360" w:lineRule="auto"/>
              <w:ind w:firstLine="476" w:firstLineChars="200"/>
              <w:textAlignment w:val="auto"/>
              <w:rPr>
                <w:rFonts w:hint="eastAsia" w:eastAsia="宋体"/>
                <w:color w:val="auto"/>
                <w:spacing w:val="-5"/>
                <w:lang w:eastAsia="zh-CN"/>
              </w:rPr>
            </w:pPr>
            <w:r>
              <w:rPr>
                <w:rFonts w:hint="eastAsia"/>
                <w:color w:val="auto"/>
                <w:spacing w:val="-1"/>
                <w:lang w:val="en-US" w:eastAsia="zh-CN"/>
              </w:rPr>
              <w:t>本项目</w:t>
            </w:r>
            <w:r>
              <w:rPr>
                <w:color w:val="auto"/>
                <w:spacing w:val="-1"/>
              </w:rPr>
              <w:t>加弹有组织排放的</w:t>
            </w:r>
            <w:r>
              <w:rPr>
                <w:rFonts w:hint="eastAsia"/>
                <w:color w:val="auto"/>
                <w:sz w:val="24"/>
                <w:szCs w:val="24"/>
                <w:lang w:val="en-US" w:eastAsia="zh-CN"/>
              </w:rPr>
              <w:t>非甲烷总烃</w:t>
            </w:r>
            <w:r>
              <w:rPr>
                <w:color w:val="auto"/>
                <w:spacing w:val="-9"/>
              </w:rPr>
              <w:t>执行《大气污染物综合排放标准》（DB32/4041-2</w:t>
            </w:r>
            <w:r>
              <w:rPr>
                <w:color w:val="auto"/>
                <w:spacing w:val="-10"/>
              </w:rPr>
              <w:t>021）</w:t>
            </w:r>
            <w:r>
              <w:rPr>
                <w:color w:val="auto"/>
                <w:spacing w:val="-5"/>
              </w:rPr>
              <w:t>表1标准要求</w:t>
            </w:r>
            <w:r>
              <w:rPr>
                <w:rFonts w:hint="eastAsia"/>
                <w:bCs/>
                <w:color w:val="auto"/>
                <w:lang w:eastAsia="zh-CN"/>
              </w:rPr>
              <w:t>。</w:t>
            </w:r>
          </w:p>
          <w:p w14:paraId="02C9378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rPr>
            </w:pPr>
            <w:r>
              <w:rPr>
                <w:bCs/>
                <w:color w:val="auto"/>
              </w:rPr>
              <w:t>厂界无组织排放的</w:t>
            </w:r>
            <w:r>
              <w:rPr>
                <w:rFonts w:hint="eastAsia"/>
                <w:color w:val="auto"/>
                <w:sz w:val="24"/>
                <w:szCs w:val="24"/>
                <w:lang w:val="en-US" w:eastAsia="zh-CN"/>
              </w:rPr>
              <w:t>非甲烷总烃</w:t>
            </w:r>
            <w:r>
              <w:rPr>
                <w:bCs/>
                <w:color w:val="auto"/>
              </w:rPr>
              <w:t>执行《大气污染物综合排放标准》</w:t>
            </w:r>
            <w:r>
              <w:rPr>
                <w:rFonts w:hint="eastAsia"/>
                <w:bCs/>
                <w:color w:val="auto"/>
                <w:lang w:eastAsia="zh-CN"/>
              </w:rPr>
              <w:t>（</w:t>
            </w:r>
            <w:r>
              <w:rPr>
                <w:bCs/>
                <w:color w:val="auto"/>
              </w:rPr>
              <w:t>DB32/4041-2021</w:t>
            </w:r>
            <w:r>
              <w:rPr>
                <w:rFonts w:hint="eastAsia"/>
                <w:bCs/>
                <w:color w:val="auto"/>
                <w:lang w:eastAsia="zh-CN"/>
              </w:rPr>
              <w:t>）</w:t>
            </w:r>
            <w:r>
              <w:rPr>
                <w:bCs/>
                <w:color w:val="auto"/>
              </w:rPr>
              <w:t>表3排放限值；</w:t>
            </w:r>
            <w:r>
              <w:rPr>
                <w:color w:val="auto"/>
              </w:rPr>
              <w:t>厂区内无组织</w:t>
            </w:r>
            <w:r>
              <w:rPr>
                <w:rFonts w:hint="eastAsia"/>
                <w:color w:val="auto"/>
                <w:sz w:val="24"/>
                <w:szCs w:val="24"/>
                <w:lang w:val="en-US" w:eastAsia="zh-CN"/>
              </w:rPr>
              <w:t>非甲烷总烃</w:t>
            </w:r>
            <w:r>
              <w:rPr>
                <w:color w:val="auto"/>
              </w:rPr>
              <w:t>的排放执行</w:t>
            </w:r>
            <w:r>
              <w:rPr>
                <w:bCs/>
                <w:color w:val="auto"/>
              </w:rPr>
              <w:t>《大气污染物综合排放标准》</w:t>
            </w:r>
            <w:r>
              <w:rPr>
                <w:rFonts w:hint="eastAsia"/>
                <w:bCs/>
                <w:color w:val="auto"/>
                <w:lang w:eastAsia="zh-CN"/>
              </w:rPr>
              <w:t>（</w:t>
            </w:r>
            <w:r>
              <w:rPr>
                <w:bCs/>
                <w:color w:val="auto"/>
              </w:rPr>
              <w:t>DB32/4041-2021</w:t>
            </w:r>
            <w:r>
              <w:rPr>
                <w:rFonts w:hint="eastAsia"/>
                <w:bCs/>
                <w:color w:val="auto"/>
                <w:lang w:eastAsia="zh-CN"/>
              </w:rPr>
              <w:t>）</w:t>
            </w:r>
            <w:r>
              <w:rPr>
                <w:color w:val="auto"/>
              </w:rPr>
              <w:t>表</w:t>
            </w:r>
            <w:r>
              <w:rPr>
                <w:rFonts w:hint="eastAsia"/>
                <w:color w:val="auto"/>
                <w:lang w:val="en-US" w:eastAsia="zh-CN"/>
              </w:rPr>
              <w:t>2</w:t>
            </w:r>
            <w:r>
              <w:rPr>
                <w:color w:val="auto"/>
              </w:rPr>
              <w:t>中非甲烷总烃的排放标准</w:t>
            </w:r>
            <w:r>
              <w:rPr>
                <w:bCs/>
                <w:color w:val="auto"/>
              </w:rPr>
              <w:t>，</w:t>
            </w:r>
            <w:r>
              <w:rPr>
                <w:color w:val="auto"/>
                <w:spacing w:val="-1"/>
              </w:rPr>
              <w:t>具体标准限值见</w:t>
            </w:r>
            <w:r>
              <w:rPr>
                <w:color w:val="auto"/>
                <w:spacing w:val="-6"/>
              </w:rPr>
              <w:t>表3-</w:t>
            </w:r>
            <w:r>
              <w:rPr>
                <w:rFonts w:hint="eastAsia"/>
                <w:color w:val="auto"/>
                <w:spacing w:val="-6"/>
                <w:lang w:val="en-US" w:eastAsia="zh-CN"/>
              </w:rPr>
              <w:t>3</w:t>
            </w:r>
            <w:r>
              <w:rPr>
                <w:color w:val="auto"/>
                <w:spacing w:val="-6"/>
              </w:rPr>
              <w:t>~</w:t>
            </w:r>
            <w:r>
              <w:rPr>
                <w:rFonts w:hint="eastAsia"/>
                <w:color w:val="auto"/>
                <w:spacing w:val="-6"/>
                <w:lang w:val="en-US" w:eastAsia="zh-CN"/>
              </w:rPr>
              <w:t>5</w:t>
            </w:r>
            <w:r>
              <w:rPr>
                <w:color w:val="auto"/>
                <w:spacing w:val="-6"/>
              </w:rPr>
              <w:t>。</w:t>
            </w:r>
          </w:p>
          <w:p w14:paraId="2C493E75">
            <w:pPr>
              <w:widowControl/>
              <w:ind w:firstLine="482"/>
              <w:jc w:val="center"/>
              <w:rPr>
                <w:b/>
                <w:bCs/>
                <w:color w:val="auto"/>
                <w:lang w:bidi="ar"/>
              </w:rPr>
            </w:pPr>
            <w:r>
              <w:rPr>
                <w:b/>
                <w:bCs/>
                <w:color w:val="auto"/>
                <w:lang w:bidi="ar"/>
              </w:rPr>
              <w:t>表3-</w:t>
            </w:r>
            <w:r>
              <w:rPr>
                <w:rFonts w:hint="eastAsia"/>
                <w:b/>
                <w:bCs/>
                <w:color w:val="auto"/>
                <w:lang w:val="en-US" w:eastAsia="zh-CN" w:bidi="ar"/>
              </w:rPr>
              <w:t>3</w:t>
            </w:r>
            <w:r>
              <w:rPr>
                <w:b/>
                <w:bCs/>
                <w:color w:val="auto"/>
                <w:lang w:bidi="ar"/>
              </w:rPr>
              <w:t>有组织大气污染物排放标准</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898"/>
              <w:gridCol w:w="907"/>
              <w:gridCol w:w="1279"/>
              <w:gridCol w:w="1370"/>
              <w:gridCol w:w="3161"/>
            </w:tblGrid>
            <w:tr w14:paraId="7E29E7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1102" w:type="pct"/>
                  <w:vAlign w:val="center"/>
                </w:tcPr>
                <w:p w14:paraId="14D7C7C9">
                  <w:pPr>
                    <w:adjustRightInd w:val="0"/>
                    <w:snapToGrid w:val="0"/>
                    <w:spacing w:line="240" w:lineRule="auto"/>
                    <w:ind w:firstLine="0" w:firstLineChars="0"/>
                    <w:jc w:val="center"/>
                    <w:rPr>
                      <w:bCs/>
                      <w:color w:val="auto"/>
                      <w:sz w:val="21"/>
                      <w:szCs w:val="21"/>
                    </w:rPr>
                  </w:pPr>
                  <w:r>
                    <w:rPr>
                      <w:bCs/>
                      <w:color w:val="auto"/>
                      <w:sz w:val="21"/>
                      <w:szCs w:val="21"/>
                    </w:rPr>
                    <w:t>工序</w:t>
                  </w:r>
                </w:p>
              </w:tc>
              <w:tc>
                <w:tcPr>
                  <w:tcW w:w="526" w:type="pct"/>
                  <w:vAlign w:val="center"/>
                </w:tcPr>
                <w:p w14:paraId="10E40CDD">
                  <w:pPr>
                    <w:adjustRightInd w:val="0"/>
                    <w:snapToGrid w:val="0"/>
                    <w:spacing w:line="240" w:lineRule="auto"/>
                    <w:ind w:firstLine="0" w:firstLineChars="0"/>
                    <w:jc w:val="center"/>
                    <w:rPr>
                      <w:bCs/>
                      <w:color w:val="auto"/>
                      <w:sz w:val="21"/>
                      <w:szCs w:val="21"/>
                    </w:rPr>
                  </w:pPr>
                  <w:r>
                    <w:rPr>
                      <w:bCs/>
                      <w:color w:val="auto"/>
                      <w:sz w:val="21"/>
                      <w:szCs w:val="21"/>
                    </w:rPr>
                    <w:t>污染物</w:t>
                  </w:r>
                </w:p>
              </w:tc>
              <w:tc>
                <w:tcPr>
                  <w:tcW w:w="742" w:type="pct"/>
                  <w:vAlign w:val="center"/>
                </w:tcPr>
                <w:p w14:paraId="16EBCA4D">
                  <w:pPr>
                    <w:adjustRightInd w:val="0"/>
                    <w:snapToGrid w:val="0"/>
                    <w:spacing w:line="240" w:lineRule="auto"/>
                    <w:ind w:firstLine="0" w:firstLineChars="0"/>
                    <w:jc w:val="center"/>
                    <w:rPr>
                      <w:bCs/>
                      <w:color w:val="auto"/>
                      <w:sz w:val="21"/>
                      <w:szCs w:val="21"/>
                    </w:rPr>
                  </w:pPr>
                  <w:r>
                    <w:rPr>
                      <w:bCs/>
                      <w:color w:val="auto"/>
                      <w:sz w:val="21"/>
                      <w:szCs w:val="21"/>
                    </w:rPr>
                    <w:t>排放浓度限值</w:t>
                  </w:r>
                  <w:r>
                    <w:rPr>
                      <w:rFonts w:hint="eastAsia"/>
                      <w:bCs/>
                      <w:color w:val="auto"/>
                      <w:sz w:val="21"/>
                      <w:szCs w:val="21"/>
                      <w:lang w:eastAsia="zh-CN"/>
                    </w:rPr>
                    <w:t>（</w:t>
                  </w:r>
                  <w:r>
                    <w:rPr>
                      <w:bCs/>
                      <w:color w:val="auto"/>
                      <w:sz w:val="21"/>
                      <w:szCs w:val="21"/>
                    </w:rPr>
                    <w:t>mg/m</w:t>
                  </w:r>
                  <w:r>
                    <w:rPr>
                      <w:bCs/>
                      <w:color w:val="auto"/>
                      <w:sz w:val="21"/>
                      <w:szCs w:val="21"/>
                      <w:vertAlign w:val="superscript"/>
                    </w:rPr>
                    <w:t>3</w:t>
                  </w:r>
                  <w:r>
                    <w:rPr>
                      <w:rFonts w:hint="eastAsia"/>
                      <w:bCs/>
                      <w:color w:val="auto"/>
                      <w:sz w:val="21"/>
                      <w:szCs w:val="21"/>
                      <w:vertAlign w:val="superscript"/>
                      <w:lang w:eastAsia="zh-CN"/>
                    </w:rPr>
                    <w:t>）</w:t>
                  </w:r>
                </w:p>
              </w:tc>
              <w:tc>
                <w:tcPr>
                  <w:tcW w:w="795" w:type="pct"/>
                  <w:vAlign w:val="center"/>
                </w:tcPr>
                <w:p w14:paraId="14C6B983">
                  <w:pPr>
                    <w:adjustRightInd w:val="0"/>
                    <w:snapToGrid w:val="0"/>
                    <w:spacing w:line="240" w:lineRule="auto"/>
                    <w:ind w:firstLine="0" w:firstLineChars="0"/>
                    <w:jc w:val="center"/>
                    <w:rPr>
                      <w:bCs/>
                      <w:color w:val="auto"/>
                      <w:sz w:val="21"/>
                      <w:szCs w:val="21"/>
                    </w:rPr>
                  </w:pPr>
                  <w:r>
                    <w:rPr>
                      <w:bCs/>
                      <w:color w:val="auto"/>
                      <w:sz w:val="21"/>
                      <w:szCs w:val="21"/>
                    </w:rPr>
                    <w:t>排放速率限值（kg/h）</w:t>
                  </w:r>
                </w:p>
              </w:tc>
              <w:tc>
                <w:tcPr>
                  <w:tcW w:w="1834" w:type="pct"/>
                  <w:vAlign w:val="center"/>
                </w:tcPr>
                <w:p w14:paraId="4A16D688">
                  <w:pPr>
                    <w:pStyle w:val="226"/>
                    <w:snapToGrid w:val="0"/>
                    <w:spacing w:before="0" w:line="240" w:lineRule="auto"/>
                    <w:ind w:firstLine="0" w:firstLineChars="0"/>
                    <w:rPr>
                      <w:bCs/>
                      <w:color w:val="auto"/>
                      <w:kern w:val="2"/>
                      <w:sz w:val="21"/>
                    </w:rPr>
                  </w:pPr>
                  <w:r>
                    <w:rPr>
                      <w:bCs/>
                      <w:color w:val="auto"/>
                      <w:kern w:val="2"/>
                      <w:sz w:val="21"/>
                    </w:rPr>
                    <w:t>执行标准</w:t>
                  </w:r>
                </w:p>
              </w:tc>
            </w:tr>
            <w:tr w14:paraId="601EFBC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76" w:hRule="atLeast"/>
                <w:jc w:val="center"/>
              </w:trPr>
              <w:tc>
                <w:tcPr>
                  <w:tcW w:w="1102" w:type="pct"/>
                  <w:vAlign w:val="center"/>
                </w:tcPr>
                <w:p w14:paraId="604621DE">
                  <w:pPr>
                    <w:adjustRightInd w:val="0"/>
                    <w:snapToGrid w:val="0"/>
                    <w:spacing w:line="240" w:lineRule="auto"/>
                    <w:ind w:firstLine="0" w:firstLineChars="0"/>
                    <w:jc w:val="center"/>
                    <w:rPr>
                      <w:color w:val="auto"/>
                      <w:sz w:val="21"/>
                      <w:szCs w:val="21"/>
                    </w:rPr>
                  </w:pPr>
                  <w:r>
                    <w:rPr>
                      <w:color w:val="auto"/>
                      <w:spacing w:val="-1"/>
                      <w:sz w:val="21"/>
                      <w:szCs w:val="21"/>
                    </w:rPr>
                    <w:t>加弹</w:t>
                  </w:r>
                </w:p>
              </w:tc>
              <w:tc>
                <w:tcPr>
                  <w:tcW w:w="526" w:type="pct"/>
                  <w:shd w:val="clear" w:color="auto" w:fill="auto"/>
                  <w:vAlign w:val="center"/>
                </w:tcPr>
                <w:p w14:paraId="43D03D4E">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非甲烷总烃</w:t>
                  </w:r>
                </w:p>
              </w:tc>
              <w:tc>
                <w:tcPr>
                  <w:tcW w:w="742" w:type="pct"/>
                  <w:shd w:val="clear" w:color="auto" w:fill="auto"/>
                  <w:vAlign w:val="center"/>
                </w:tcPr>
                <w:p w14:paraId="3CC39D48">
                  <w:pPr>
                    <w:adjustRightInd w:val="0"/>
                    <w:snapToGrid w:val="0"/>
                    <w:spacing w:line="240" w:lineRule="auto"/>
                    <w:ind w:firstLine="0" w:firstLineChars="0"/>
                    <w:jc w:val="center"/>
                    <w:rPr>
                      <w:bCs/>
                      <w:color w:val="auto"/>
                      <w:sz w:val="21"/>
                      <w:szCs w:val="21"/>
                    </w:rPr>
                  </w:pPr>
                  <w:r>
                    <w:rPr>
                      <w:bCs/>
                      <w:color w:val="auto"/>
                      <w:sz w:val="21"/>
                      <w:szCs w:val="21"/>
                    </w:rPr>
                    <w:t>60</w:t>
                  </w:r>
                </w:p>
              </w:tc>
              <w:tc>
                <w:tcPr>
                  <w:tcW w:w="795" w:type="pct"/>
                  <w:shd w:val="clear" w:color="auto" w:fill="auto"/>
                  <w:vAlign w:val="center"/>
                </w:tcPr>
                <w:p w14:paraId="4545D7B5">
                  <w:pPr>
                    <w:adjustRightInd w:val="0"/>
                    <w:snapToGrid w:val="0"/>
                    <w:spacing w:line="240" w:lineRule="auto"/>
                    <w:ind w:firstLine="0" w:firstLineChars="0"/>
                    <w:jc w:val="center"/>
                    <w:rPr>
                      <w:bCs/>
                      <w:color w:val="auto"/>
                      <w:sz w:val="21"/>
                      <w:szCs w:val="21"/>
                    </w:rPr>
                  </w:pPr>
                  <w:r>
                    <w:rPr>
                      <w:bCs/>
                      <w:color w:val="auto"/>
                      <w:sz w:val="21"/>
                      <w:szCs w:val="21"/>
                    </w:rPr>
                    <w:t>3</w:t>
                  </w:r>
                </w:p>
              </w:tc>
              <w:tc>
                <w:tcPr>
                  <w:tcW w:w="1834" w:type="pct"/>
                  <w:vAlign w:val="center"/>
                </w:tcPr>
                <w:p w14:paraId="0CFBE52B">
                  <w:pPr>
                    <w:adjustRightInd w:val="0"/>
                    <w:snapToGrid w:val="0"/>
                    <w:spacing w:line="240" w:lineRule="auto"/>
                    <w:ind w:firstLine="0" w:firstLineChars="0"/>
                    <w:jc w:val="center"/>
                    <w:rPr>
                      <w:color w:val="auto"/>
                      <w:sz w:val="21"/>
                      <w:szCs w:val="21"/>
                    </w:rPr>
                  </w:pPr>
                  <w:r>
                    <w:rPr>
                      <w:color w:val="auto"/>
                      <w:sz w:val="21"/>
                      <w:szCs w:val="21"/>
                    </w:rPr>
                    <w:t>《大气污染物综合排放标准》</w:t>
                  </w:r>
                  <w:r>
                    <w:rPr>
                      <w:rFonts w:hint="eastAsia"/>
                      <w:color w:val="auto"/>
                      <w:sz w:val="21"/>
                      <w:szCs w:val="21"/>
                      <w:lang w:eastAsia="zh-CN"/>
                    </w:rPr>
                    <w:t>（</w:t>
                  </w:r>
                  <w:r>
                    <w:rPr>
                      <w:color w:val="auto"/>
                      <w:sz w:val="21"/>
                      <w:szCs w:val="21"/>
                    </w:rPr>
                    <w:t>DB32/4041-2021</w:t>
                  </w:r>
                  <w:r>
                    <w:rPr>
                      <w:rFonts w:hint="eastAsia"/>
                      <w:color w:val="auto"/>
                      <w:sz w:val="21"/>
                      <w:szCs w:val="21"/>
                      <w:lang w:eastAsia="zh-CN"/>
                    </w:rPr>
                    <w:t>）</w:t>
                  </w:r>
                </w:p>
              </w:tc>
            </w:tr>
          </w:tbl>
          <w:p w14:paraId="574D45A8">
            <w:pPr>
              <w:widowControl/>
              <w:ind w:firstLine="482"/>
              <w:jc w:val="center"/>
              <w:rPr>
                <w:b/>
                <w:bCs/>
                <w:color w:val="auto"/>
                <w:lang w:bidi="ar"/>
              </w:rPr>
            </w:pPr>
            <w:r>
              <w:rPr>
                <w:b/>
                <w:bCs/>
                <w:color w:val="auto"/>
                <w:lang w:bidi="ar"/>
              </w:rPr>
              <w:t>表3-</w:t>
            </w:r>
            <w:r>
              <w:rPr>
                <w:rFonts w:hint="eastAsia"/>
                <w:b/>
                <w:bCs/>
                <w:color w:val="auto"/>
                <w:lang w:val="en-US" w:eastAsia="zh-CN" w:bidi="ar"/>
              </w:rPr>
              <w:t>4</w:t>
            </w:r>
            <w:r>
              <w:rPr>
                <w:b/>
                <w:bCs/>
                <w:color w:val="auto"/>
                <w:lang w:bidi="ar"/>
              </w:rPr>
              <w:t>无组织大气污染物排放标准</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12"/>
              <w:gridCol w:w="4647"/>
              <w:gridCol w:w="2351"/>
            </w:tblGrid>
            <w:tr w14:paraId="62BB71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936" w:type="pct"/>
                  <w:vAlign w:val="center"/>
                </w:tcPr>
                <w:p w14:paraId="1BAE3227">
                  <w:pPr>
                    <w:adjustRightInd w:val="0"/>
                    <w:snapToGrid w:val="0"/>
                    <w:spacing w:line="240" w:lineRule="auto"/>
                    <w:ind w:firstLine="0" w:firstLineChars="0"/>
                    <w:jc w:val="center"/>
                    <w:rPr>
                      <w:bCs/>
                      <w:color w:val="auto"/>
                      <w:sz w:val="21"/>
                      <w:szCs w:val="21"/>
                    </w:rPr>
                  </w:pPr>
                  <w:r>
                    <w:rPr>
                      <w:bCs/>
                      <w:color w:val="auto"/>
                      <w:sz w:val="21"/>
                      <w:szCs w:val="21"/>
                    </w:rPr>
                    <w:t>污染物</w:t>
                  </w:r>
                </w:p>
              </w:tc>
              <w:tc>
                <w:tcPr>
                  <w:tcW w:w="2698" w:type="pct"/>
                  <w:vAlign w:val="center"/>
                </w:tcPr>
                <w:p w14:paraId="0E8D48E0">
                  <w:pPr>
                    <w:adjustRightInd w:val="0"/>
                    <w:snapToGrid w:val="0"/>
                    <w:spacing w:line="240" w:lineRule="auto"/>
                    <w:ind w:firstLine="0" w:firstLineChars="0"/>
                    <w:jc w:val="center"/>
                    <w:rPr>
                      <w:bCs/>
                      <w:color w:val="auto"/>
                      <w:sz w:val="21"/>
                      <w:szCs w:val="21"/>
                    </w:rPr>
                  </w:pPr>
                  <w:r>
                    <w:rPr>
                      <w:bCs/>
                      <w:color w:val="auto"/>
                      <w:sz w:val="21"/>
                      <w:szCs w:val="21"/>
                    </w:rPr>
                    <w:t>企业边界大气污染物浓度限值</w:t>
                  </w:r>
                  <w:r>
                    <w:rPr>
                      <w:rFonts w:hint="eastAsia"/>
                      <w:bCs/>
                      <w:color w:val="auto"/>
                      <w:sz w:val="21"/>
                      <w:szCs w:val="21"/>
                      <w:lang w:eastAsia="zh-CN"/>
                    </w:rPr>
                    <w:t>（</w:t>
                  </w:r>
                  <w:r>
                    <w:rPr>
                      <w:bCs/>
                      <w:color w:val="auto"/>
                      <w:sz w:val="21"/>
                      <w:szCs w:val="21"/>
                    </w:rPr>
                    <w:t>mg/m</w:t>
                  </w:r>
                  <w:r>
                    <w:rPr>
                      <w:bCs/>
                      <w:color w:val="auto"/>
                      <w:sz w:val="21"/>
                      <w:szCs w:val="21"/>
                      <w:vertAlign w:val="superscript"/>
                    </w:rPr>
                    <w:t>3</w:t>
                  </w:r>
                  <w:r>
                    <w:rPr>
                      <w:rFonts w:hint="eastAsia"/>
                      <w:bCs/>
                      <w:color w:val="auto"/>
                      <w:sz w:val="21"/>
                      <w:szCs w:val="21"/>
                      <w:vertAlign w:val="superscript"/>
                      <w:lang w:eastAsia="zh-CN"/>
                    </w:rPr>
                    <w:t>）</w:t>
                  </w:r>
                </w:p>
              </w:tc>
              <w:tc>
                <w:tcPr>
                  <w:tcW w:w="1365" w:type="pct"/>
                  <w:vAlign w:val="center"/>
                </w:tcPr>
                <w:p w14:paraId="20B5B2C8">
                  <w:pPr>
                    <w:pStyle w:val="226"/>
                    <w:snapToGrid w:val="0"/>
                    <w:spacing w:before="0" w:line="240" w:lineRule="auto"/>
                    <w:ind w:firstLine="0" w:firstLineChars="0"/>
                    <w:rPr>
                      <w:bCs/>
                      <w:color w:val="auto"/>
                      <w:kern w:val="2"/>
                      <w:sz w:val="21"/>
                    </w:rPr>
                  </w:pPr>
                  <w:r>
                    <w:rPr>
                      <w:bCs/>
                      <w:color w:val="auto"/>
                      <w:kern w:val="2"/>
                      <w:sz w:val="21"/>
                    </w:rPr>
                    <w:t>执行标准</w:t>
                  </w:r>
                </w:p>
              </w:tc>
            </w:tr>
            <w:tr w14:paraId="1D4099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25" w:hRule="exact"/>
                <w:jc w:val="center"/>
              </w:trPr>
              <w:tc>
                <w:tcPr>
                  <w:tcW w:w="936" w:type="pct"/>
                  <w:shd w:val="clear" w:color="auto" w:fill="auto"/>
                  <w:vAlign w:val="center"/>
                </w:tcPr>
                <w:p w14:paraId="790A02AC">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非甲烷总烃</w:t>
                  </w:r>
                </w:p>
              </w:tc>
              <w:tc>
                <w:tcPr>
                  <w:tcW w:w="2698" w:type="pct"/>
                  <w:shd w:val="clear" w:color="auto" w:fill="auto"/>
                  <w:vAlign w:val="center"/>
                </w:tcPr>
                <w:p w14:paraId="28A02280">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4.0</w:t>
                  </w:r>
                </w:p>
              </w:tc>
              <w:tc>
                <w:tcPr>
                  <w:tcW w:w="1365" w:type="pct"/>
                  <w:vAlign w:val="center"/>
                </w:tcPr>
                <w:p w14:paraId="17BD656A">
                  <w:pPr>
                    <w:pStyle w:val="226"/>
                    <w:snapToGrid w:val="0"/>
                    <w:spacing w:before="0" w:line="240" w:lineRule="auto"/>
                    <w:ind w:firstLine="0" w:firstLineChars="0"/>
                    <w:rPr>
                      <w:color w:val="auto"/>
                      <w:kern w:val="2"/>
                      <w:sz w:val="21"/>
                    </w:rPr>
                  </w:pPr>
                  <w:r>
                    <w:rPr>
                      <w:color w:val="auto"/>
                      <w:sz w:val="21"/>
                    </w:rPr>
                    <w:t>《大气污染物综合排放标准》</w:t>
                  </w:r>
                  <w:r>
                    <w:rPr>
                      <w:rFonts w:hint="eastAsia"/>
                      <w:color w:val="auto"/>
                      <w:sz w:val="21"/>
                      <w:lang w:eastAsia="zh-CN"/>
                    </w:rPr>
                    <w:t>（</w:t>
                  </w:r>
                  <w:r>
                    <w:rPr>
                      <w:color w:val="auto"/>
                      <w:sz w:val="21"/>
                    </w:rPr>
                    <w:t>DB32/4041-2021</w:t>
                  </w:r>
                  <w:r>
                    <w:rPr>
                      <w:rFonts w:hint="eastAsia"/>
                      <w:color w:val="auto"/>
                      <w:sz w:val="21"/>
                      <w:lang w:eastAsia="zh-CN"/>
                    </w:rPr>
                    <w:t>）</w:t>
                  </w:r>
                </w:p>
              </w:tc>
            </w:tr>
          </w:tbl>
          <w:p w14:paraId="18EF7BE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vertAlign w:val="superscript"/>
              </w:rPr>
            </w:pPr>
            <w:r>
              <w:rPr>
                <w:b/>
                <w:color w:val="auto"/>
              </w:rPr>
              <w:t>表3-</w:t>
            </w:r>
            <w:r>
              <w:rPr>
                <w:rFonts w:hint="eastAsia"/>
                <w:b/>
                <w:color w:val="auto"/>
                <w:lang w:val="en-US" w:eastAsia="zh-CN"/>
              </w:rPr>
              <w:t>5</w:t>
            </w:r>
            <w:r>
              <w:rPr>
                <w:b/>
                <w:bCs/>
                <w:color w:val="auto"/>
              </w:rPr>
              <w:t>厂区内</w:t>
            </w:r>
            <w:r>
              <w:rPr>
                <w:rFonts w:hint="eastAsia" w:ascii="Times New Roman" w:hAnsi="Times New Roman"/>
                <w:b/>
                <w:bCs w:val="0"/>
                <w:color w:val="auto"/>
                <w:sz w:val="24"/>
                <w:szCs w:val="24"/>
                <w:lang w:val="en-US" w:eastAsia="zh-CN"/>
              </w:rPr>
              <w:t>非甲烷总烃</w:t>
            </w:r>
            <w:r>
              <w:rPr>
                <w:b/>
                <w:bCs/>
                <w:color w:val="auto"/>
              </w:rPr>
              <w:t>无组织排放限值</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7"/>
              <w:gridCol w:w="1287"/>
              <w:gridCol w:w="2642"/>
              <w:gridCol w:w="1287"/>
              <w:gridCol w:w="2107"/>
            </w:tblGrid>
            <w:tr w14:paraId="241BCF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1" w:hRule="atLeast"/>
                <w:jc w:val="center"/>
              </w:trPr>
              <w:tc>
                <w:tcPr>
                  <w:tcW w:w="790" w:type="pct"/>
                  <w:vAlign w:val="center"/>
                </w:tcPr>
                <w:p w14:paraId="761BB5DD">
                  <w:pPr>
                    <w:adjustRightInd w:val="0"/>
                    <w:snapToGrid w:val="0"/>
                    <w:spacing w:line="240" w:lineRule="auto"/>
                    <w:ind w:firstLine="0" w:firstLineChars="0"/>
                    <w:jc w:val="center"/>
                    <w:rPr>
                      <w:bCs/>
                      <w:color w:val="auto"/>
                      <w:sz w:val="21"/>
                      <w:szCs w:val="21"/>
                    </w:rPr>
                  </w:pPr>
                  <w:r>
                    <w:rPr>
                      <w:bCs/>
                      <w:color w:val="auto"/>
                      <w:sz w:val="21"/>
                      <w:szCs w:val="21"/>
                    </w:rPr>
                    <w:t>污染物项目</w:t>
                  </w:r>
                </w:p>
              </w:tc>
              <w:tc>
                <w:tcPr>
                  <w:tcW w:w="790" w:type="pct"/>
                  <w:vAlign w:val="center"/>
                </w:tcPr>
                <w:p w14:paraId="7EB782A5">
                  <w:pPr>
                    <w:adjustRightInd w:val="0"/>
                    <w:snapToGrid w:val="0"/>
                    <w:spacing w:line="240" w:lineRule="auto"/>
                    <w:ind w:firstLine="0" w:firstLineChars="0"/>
                    <w:jc w:val="center"/>
                    <w:rPr>
                      <w:bCs/>
                      <w:color w:val="auto"/>
                      <w:sz w:val="21"/>
                      <w:szCs w:val="21"/>
                    </w:rPr>
                  </w:pPr>
                  <w:r>
                    <w:rPr>
                      <w:bCs/>
                      <w:color w:val="auto"/>
                      <w:sz w:val="21"/>
                      <w:szCs w:val="21"/>
                    </w:rPr>
                    <w:t>监控点限值</w:t>
                  </w:r>
                </w:p>
                <w:p w14:paraId="729FDB29">
                  <w:pPr>
                    <w:adjustRightInd w:val="0"/>
                    <w:snapToGrid w:val="0"/>
                    <w:spacing w:line="240" w:lineRule="auto"/>
                    <w:ind w:firstLine="0" w:firstLineChars="0"/>
                    <w:jc w:val="center"/>
                    <w:rPr>
                      <w:bCs/>
                      <w:color w:val="auto"/>
                      <w:sz w:val="21"/>
                      <w:szCs w:val="21"/>
                    </w:rPr>
                  </w:pPr>
                  <w:r>
                    <w:rPr>
                      <w:bCs/>
                      <w:color w:val="auto"/>
                      <w:sz w:val="21"/>
                      <w:szCs w:val="21"/>
                    </w:rPr>
                    <w:t>mg/m</w:t>
                  </w:r>
                  <w:r>
                    <w:rPr>
                      <w:bCs/>
                      <w:color w:val="auto"/>
                      <w:sz w:val="21"/>
                      <w:szCs w:val="21"/>
                      <w:vertAlign w:val="superscript"/>
                    </w:rPr>
                    <w:t>3</w:t>
                  </w:r>
                </w:p>
              </w:tc>
              <w:tc>
                <w:tcPr>
                  <w:tcW w:w="1577" w:type="pct"/>
                  <w:vAlign w:val="center"/>
                </w:tcPr>
                <w:p w14:paraId="582C8ABB">
                  <w:pPr>
                    <w:adjustRightInd w:val="0"/>
                    <w:snapToGrid w:val="0"/>
                    <w:spacing w:line="240" w:lineRule="auto"/>
                    <w:ind w:firstLine="0" w:firstLineChars="0"/>
                    <w:jc w:val="center"/>
                    <w:rPr>
                      <w:bCs/>
                      <w:color w:val="auto"/>
                      <w:sz w:val="21"/>
                      <w:szCs w:val="21"/>
                    </w:rPr>
                  </w:pPr>
                  <w:r>
                    <w:rPr>
                      <w:bCs/>
                      <w:color w:val="auto"/>
                      <w:sz w:val="21"/>
                      <w:szCs w:val="21"/>
                    </w:rPr>
                    <w:t>限值含义</w:t>
                  </w:r>
                </w:p>
              </w:tc>
              <w:tc>
                <w:tcPr>
                  <w:tcW w:w="790" w:type="pct"/>
                  <w:vAlign w:val="center"/>
                </w:tcPr>
                <w:p w14:paraId="73EC82D0">
                  <w:pPr>
                    <w:adjustRightInd w:val="0"/>
                    <w:snapToGrid w:val="0"/>
                    <w:spacing w:line="240" w:lineRule="auto"/>
                    <w:ind w:firstLine="0" w:firstLineChars="0"/>
                    <w:jc w:val="center"/>
                    <w:rPr>
                      <w:bCs/>
                      <w:color w:val="auto"/>
                      <w:sz w:val="21"/>
                      <w:szCs w:val="21"/>
                    </w:rPr>
                  </w:pPr>
                  <w:r>
                    <w:rPr>
                      <w:bCs/>
                      <w:color w:val="auto"/>
                      <w:sz w:val="21"/>
                      <w:szCs w:val="21"/>
                    </w:rPr>
                    <w:t>无组织排放</w:t>
                  </w:r>
                </w:p>
                <w:p w14:paraId="6136655E">
                  <w:pPr>
                    <w:adjustRightInd w:val="0"/>
                    <w:snapToGrid w:val="0"/>
                    <w:spacing w:line="240" w:lineRule="auto"/>
                    <w:ind w:firstLine="0" w:firstLineChars="0"/>
                    <w:jc w:val="center"/>
                    <w:rPr>
                      <w:bCs/>
                      <w:color w:val="auto"/>
                      <w:sz w:val="21"/>
                      <w:szCs w:val="21"/>
                    </w:rPr>
                  </w:pPr>
                  <w:r>
                    <w:rPr>
                      <w:bCs/>
                      <w:color w:val="auto"/>
                      <w:sz w:val="21"/>
                      <w:szCs w:val="21"/>
                    </w:rPr>
                    <w:t>监控位置</w:t>
                  </w:r>
                </w:p>
              </w:tc>
              <w:tc>
                <w:tcPr>
                  <w:tcW w:w="1052" w:type="pct"/>
                  <w:vAlign w:val="center"/>
                </w:tcPr>
                <w:p w14:paraId="61C43396">
                  <w:pPr>
                    <w:adjustRightInd w:val="0"/>
                    <w:snapToGrid w:val="0"/>
                    <w:spacing w:line="240" w:lineRule="auto"/>
                    <w:ind w:firstLine="0" w:firstLineChars="0"/>
                    <w:jc w:val="center"/>
                    <w:rPr>
                      <w:bCs/>
                      <w:color w:val="auto"/>
                      <w:sz w:val="21"/>
                      <w:szCs w:val="21"/>
                    </w:rPr>
                  </w:pPr>
                  <w:r>
                    <w:rPr>
                      <w:bCs/>
                      <w:color w:val="auto"/>
                      <w:sz w:val="21"/>
                      <w:szCs w:val="21"/>
                    </w:rPr>
                    <w:t>标准来源</w:t>
                  </w:r>
                </w:p>
              </w:tc>
            </w:tr>
            <w:tr w14:paraId="0C95D3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412" w:type="dxa"/>
                  <w:vMerge w:val="restart"/>
                  <w:vAlign w:val="center"/>
                </w:tcPr>
                <w:p w14:paraId="28D8F3F2">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非甲烷总烃</w:t>
                  </w:r>
                </w:p>
              </w:tc>
              <w:tc>
                <w:tcPr>
                  <w:tcW w:w="790" w:type="pct"/>
                  <w:vAlign w:val="center"/>
                </w:tcPr>
                <w:p w14:paraId="05705FCD">
                  <w:pPr>
                    <w:pStyle w:val="226"/>
                    <w:snapToGrid w:val="0"/>
                    <w:spacing w:before="0" w:line="240" w:lineRule="auto"/>
                    <w:ind w:firstLine="0" w:firstLineChars="0"/>
                    <w:rPr>
                      <w:color w:val="auto"/>
                      <w:kern w:val="2"/>
                      <w:sz w:val="21"/>
                    </w:rPr>
                  </w:pPr>
                  <w:r>
                    <w:rPr>
                      <w:color w:val="auto"/>
                      <w:kern w:val="2"/>
                      <w:sz w:val="21"/>
                    </w:rPr>
                    <w:t>6</w:t>
                  </w:r>
                </w:p>
              </w:tc>
              <w:tc>
                <w:tcPr>
                  <w:tcW w:w="1577" w:type="pct"/>
                  <w:vAlign w:val="center"/>
                </w:tcPr>
                <w:p w14:paraId="723D89AB">
                  <w:pPr>
                    <w:pStyle w:val="226"/>
                    <w:snapToGrid w:val="0"/>
                    <w:spacing w:before="0" w:line="240" w:lineRule="auto"/>
                    <w:ind w:firstLine="0" w:firstLineChars="0"/>
                    <w:rPr>
                      <w:color w:val="auto"/>
                      <w:kern w:val="2"/>
                      <w:sz w:val="21"/>
                    </w:rPr>
                  </w:pPr>
                  <w:r>
                    <w:rPr>
                      <w:color w:val="auto"/>
                      <w:kern w:val="2"/>
                      <w:sz w:val="21"/>
                    </w:rPr>
                    <w:t>监控点处1h平均浓度值</w:t>
                  </w:r>
                </w:p>
              </w:tc>
              <w:tc>
                <w:tcPr>
                  <w:tcW w:w="790" w:type="pct"/>
                  <w:vMerge w:val="restart"/>
                  <w:vAlign w:val="center"/>
                </w:tcPr>
                <w:p w14:paraId="219BD07B">
                  <w:pPr>
                    <w:pStyle w:val="226"/>
                    <w:snapToGrid w:val="0"/>
                    <w:spacing w:before="0" w:line="240" w:lineRule="auto"/>
                    <w:ind w:firstLine="0" w:firstLineChars="0"/>
                    <w:rPr>
                      <w:color w:val="auto"/>
                      <w:kern w:val="2"/>
                      <w:sz w:val="21"/>
                    </w:rPr>
                  </w:pPr>
                  <w:r>
                    <w:rPr>
                      <w:color w:val="auto"/>
                      <w:kern w:val="2"/>
                      <w:sz w:val="21"/>
                    </w:rPr>
                    <w:t>在厂房外</w:t>
                  </w:r>
                </w:p>
                <w:p w14:paraId="59CA2EAD">
                  <w:pPr>
                    <w:pStyle w:val="226"/>
                    <w:snapToGrid w:val="0"/>
                    <w:spacing w:before="0" w:line="240" w:lineRule="auto"/>
                    <w:ind w:firstLine="0" w:firstLineChars="0"/>
                    <w:rPr>
                      <w:color w:val="auto"/>
                      <w:kern w:val="2"/>
                      <w:sz w:val="21"/>
                    </w:rPr>
                  </w:pPr>
                  <w:r>
                    <w:rPr>
                      <w:color w:val="auto"/>
                      <w:kern w:val="2"/>
                      <w:sz w:val="21"/>
                    </w:rPr>
                    <w:t>设置监控点</w:t>
                  </w:r>
                </w:p>
              </w:tc>
              <w:tc>
                <w:tcPr>
                  <w:tcW w:w="1052" w:type="pct"/>
                  <w:vMerge w:val="restart"/>
                  <w:shd w:val="clear" w:color="auto" w:fill="auto"/>
                  <w:vAlign w:val="center"/>
                </w:tcPr>
                <w:p w14:paraId="334C6D99">
                  <w:pPr>
                    <w:pStyle w:val="226"/>
                    <w:snapToGrid w:val="0"/>
                    <w:spacing w:before="0" w:line="240" w:lineRule="auto"/>
                    <w:ind w:firstLine="0" w:firstLineChars="0"/>
                    <w:rPr>
                      <w:color w:val="auto"/>
                      <w:kern w:val="2"/>
                      <w:sz w:val="21"/>
                      <w:szCs w:val="21"/>
                    </w:rPr>
                  </w:pPr>
                  <w:r>
                    <w:rPr>
                      <w:bCs/>
                      <w:color w:val="auto"/>
                      <w:sz w:val="21"/>
                      <w:szCs w:val="21"/>
                    </w:rPr>
                    <w:t>《大气污染物综合排放标准》</w:t>
                  </w:r>
                  <w:r>
                    <w:rPr>
                      <w:rFonts w:hint="eastAsia"/>
                      <w:bCs/>
                      <w:color w:val="auto"/>
                      <w:sz w:val="21"/>
                      <w:szCs w:val="21"/>
                      <w:lang w:eastAsia="zh-CN"/>
                    </w:rPr>
                    <w:t>（</w:t>
                  </w:r>
                  <w:r>
                    <w:rPr>
                      <w:bCs/>
                      <w:color w:val="auto"/>
                      <w:sz w:val="21"/>
                      <w:szCs w:val="21"/>
                    </w:rPr>
                    <w:t>DB32/4041-2021</w:t>
                  </w:r>
                  <w:r>
                    <w:rPr>
                      <w:rFonts w:hint="eastAsia"/>
                      <w:bCs/>
                      <w:color w:val="auto"/>
                      <w:sz w:val="21"/>
                      <w:szCs w:val="21"/>
                      <w:lang w:eastAsia="zh-CN"/>
                    </w:rPr>
                    <w:t>）</w:t>
                  </w:r>
                </w:p>
              </w:tc>
            </w:tr>
            <w:tr w14:paraId="75173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exact"/>
                <w:jc w:val="center"/>
              </w:trPr>
              <w:tc>
                <w:tcPr>
                  <w:tcW w:w="790" w:type="pct"/>
                  <w:vMerge w:val="continue"/>
                  <w:vAlign w:val="center"/>
                </w:tcPr>
                <w:p w14:paraId="11E27008">
                  <w:pPr>
                    <w:adjustRightInd w:val="0"/>
                    <w:snapToGrid w:val="0"/>
                    <w:spacing w:line="240" w:lineRule="auto"/>
                    <w:ind w:firstLine="0" w:firstLineChars="0"/>
                    <w:jc w:val="center"/>
                    <w:rPr>
                      <w:color w:val="auto"/>
                      <w:sz w:val="21"/>
                      <w:szCs w:val="21"/>
                    </w:rPr>
                  </w:pPr>
                </w:p>
              </w:tc>
              <w:tc>
                <w:tcPr>
                  <w:tcW w:w="790" w:type="pct"/>
                  <w:vAlign w:val="center"/>
                </w:tcPr>
                <w:p w14:paraId="3EC85435">
                  <w:pPr>
                    <w:pStyle w:val="226"/>
                    <w:snapToGrid w:val="0"/>
                    <w:spacing w:before="0" w:line="240" w:lineRule="auto"/>
                    <w:ind w:firstLine="0" w:firstLineChars="0"/>
                    <w:rPr>
                      <w:color w:val="auto"/>
                      <w:kern w:val="2"/>
                      <w:sz w:val="21"/>
                    </w:rPr>
                  </w:pPr>
                  <w:r>
                    <w:rPr>
                      <w:color w:val="auto"/>
                      <w:kern w:val="2"/>
                      <w:sz w:val="21"/>
                    </w:rPr>
                    <w:t>20</w:t>
                  </w:r>
                </w:p>
              </w:tc>
              <w:tc>
                <w:tcPr>
                  <w:tcW w:w="1577" w:type="pct"/>
                  <w:vAlign w:val="center"/>
                </w:tcPr>
                <w:p w14:paraId="16D4B253">
                  <w:pPr>
                    <w:pStyle w:val="226"/>
                    <w:snapToGrid w:val="0"/>
                    <w:spacing w:before="0" w:line="240" w:lineRule="auto"/>
                    <w:ind w:firstLine="0" w:firstLineChars="0"/>
                    <w:rPr>
                      <w:color w:val="auto"/>
                      <w:kern w:val="2"/>
                      <w:sz w:val="21"/>
                    </w:rPr>
                  </w:pPr>
                  <w:r>
                    <w:rPr>
                      <w:color w:val="auto"/>
                      <w:kern w:val="2"/>
                      <w:sz w:val="21"/>
                    </w:rPr>
                    <w:t>监控点处任意一次浓度值</w:t>
                  </w:r>
                </w:p>
              </w:tc>
              <w:tc>
                <w:tcPr>
                  <w:tcW w:w="790" w:type="pct"/>
                  <w:vMerge w:val="continue"/>
                  <w:vAlign w:val="center"/>
                </w:tcPr>
                <w:p w14:paraId="3ADEA236">
                  <w:pPr>
                    <w:pStyle w:val="226"/>
                    <w:snapToGrid w:val="0"/>
                    <w:spacing w:before="0" w:line="240" w:lineRule="auto"/>
                    <w:ind w:firstLine="0" w:firstLineChars="0"/>
                    <w:rPr>
                      <w:color w:val="auto"/>
                      <w:kern w:val="2"/>
                      <w:sz w:val="21"/>
                    </w:rPr>
                  </w:pPr>
                </w:p>
              </w:tc>
              <w:tc>
                <w:tcPr>
                  <w:tcW w:w="1052" w:type="pct"/>
                  <w:vMerge w:val="continue"/>
                  <w:vAlign w:val="center"/>
                </w:tcPr>
                <w:p w14:paraId="1F63F60B">
                  <w:pPr>
                    <w:pStyle w:val="226"/>
                    <w:snapToGrid w:val="0"/>
                    <w:spacing w:before="0" w:line="240" w:lineRule="auto"/>
                    <w:ind w:firstLine="0" w:firstLineChars="0"/>
                    <w:rPr>
                      <w:color w:val="auto"/>
                      <w:kern w:val="2"/>
                      <w:sz w:val="21"/>
                    </w:rPr>
                  </w:pPr>
                </w:p>
              </w:tc>
            </w:tr>
          </w:tbl>
          <w:p w14:paraId="526E409C">
            <w:pPr>
              <w:adjustRightInd w:val="0"/>
              <w:snapToGrid w:val="0"/>
              <w:spacing w:before="120" w:beforeLines="50" w:line="360" w:lineRule="auto"/>
              <w:ind w:firstLine="482"/>
              <w:rPr>
                <w:b/>
                <w:color w:val="auto"/>
              </w:rPr>
            </w:pPr>
            <w:r>
              <w:rPr>
                <w:rFonts w:hint="eastAsia"/>
                <w:b/>
                <w:color w:val="auto"/>
                <w:lang w:eastAsia="zh-CN"/>
              </w:rPr>
              <w:t>2.</w:t>
            </w:r>
            <w:r>
              <w:rPr>
                <w:b/>
                <w:color w:val="auto"/>
              </w:rPr>
              <w:t>水污染排放标准</w:t>
            </w:r>
          </w:p>
          <w:p w14:paraId="21027901">
            <w:pPr>
              <w:adjustRightInd w:val="0"/>
              <w:snapToGrid w:val="0"/>
              <w:spacing w:line="360" w:lineRule="auto"/>
              <w:ind w:firstLine="480" w:firstLineChars="200"/>
              <w:rPr>
                <w:rFonts w:hint="eastAsia"/>
                <w:color w:val="auto"/>
                <w:sz w:val="24"/>
              </w:rPr>
            </w:pPr>
            <w:r>
              <w:rPr>
                <w:color w:val="auto"/>
                <w:sz w:val="24"/>
              </w:rPr>
              <w:t>项目排放的废水为生活污水，生活污水经化粪池处理后排入</w:t>
            </w:r>
            <w:r>
              <w:rPr>
                <w:rFonts w:hint="eastAsia"/>
                <w:color w:val="auto"/>
                <w:sz w:val="24"/>
              </w:rPr>
              <w:t>泗阳县新袁镇污水处理厂</w:t>
            </w:r>
            <w:r>
              <w:rPr>
                <w:rStyle w:val="42"/>
                <w:b w:val="0"/>
                <w:bCs/>
                <w:color w:val="auto"/>
                <w:kern w:val="0"/>
                <w:sz w:val="24"/>
              </w:rPr>
              <w:t>处理</w:t>
            </w:r>
            <w:r>
              <w:rPr>
                <w:rFonts w:hint="eastAsia"/>
                <w:color w:val="auto"/>
                <w:sz w:val="24"/>
              </w:rPr>
              <w:t>。</w:t>
            </w:r>
            <w:r>
              <w:rPr>
                <w:color w:val="auto"/>
                <w:sz w:val="24"/>
              </w:rPr>
              <w:t>生产废</w:t>
            </w:r>
            <w:r>
              <w:rPr>
                <w:rFonts w:ascii="Times New Roman" w:hAnsi="Times New Roman" w:eastAsia="宋体" w:cs="Times New Roman"/>
                <w:color w:val="auto"/>
                <w:sz w:val="24"/>
              </w:rPr>
              <w:t>水</w:t>
            </w:r>
            <w:r>
              <w:rPr>
                <w:rFonts w:hint="eastAsia" w:ascii="Times New Roman" w:hAnsi="Times New Roman" w:eastAsia="宋体" w:cs="Times New Roman"/>
                <w:color w:val="auto"/>
                <w:sz w:val="24"/>
                <w:lang w:val="en-US" w:eastAsia="zh-CN"/>
              </w:rPr>
              <w:t>通过厂内污水站处理后100%回用。回用水参照执行</w:t>
            </w:r>
            <w:r>
              <w:rPr>
                <w:rFonts w:ascii="宋体" w:hAnsi="宋体" w:eastAsia="宋体" w:cs="宋体"/>
                <w:color w:val="auto"/>
                <w:sz w:val="24"/>
                <w:szCs w:val="24"/>
              </w:rPr>
              <w:t>《城市污水再生利用工业用水水质》</w:t>
            </w:r>
            <w:r>
              <w:rPr>
                <w:rFonts w:hint="default" w:ascii="Times New Roman" w:hAnsi="Times New Roman" w:eastAsia="宋体" w:cs="Times New Roman"/>
                <w:color w:val="auto"/>
                <w:sz w:val="24"/>
                <w:szCs w:val="24"/>
              </w:rPr>
              <w:t>（GB/T19923-2024）</w:t>
            </w:r>
            <w:r>
              <w:rPr>
                <w:rFonts w:ascii="宋体" w:hAnsi="宋体" w:eastAsia="宋体" w:cs="宋体"/>
                <w:color w:val="auto"/>
                <w:sz w:val="24"/>
                <w:szCs w:val="24"/>
              </w:rPr>
              <w:t>标准</w:t>
            </w:r>
            <w:r>
              <w:rPr>
                <w:rFonts w:hint="eastAsia" w:ascii="Times New Roman" w:hAnsi="Times New Roman" w:eastAsia="宋体" w:cs="Times New Roman"/>
                <w:color w:val="auto"/>
                <w:sz w:val="24"/>
                <w:lang w:val="en-US" w:eastAsia="zh-CN"/>
              </w:rPr>
              <w:t>。生活</w:t>
            </w:r>
            <w:r>
              <w:rPr>
                <w:rFonts w:hint="eastAsia"/>
                <w:color w:val="auto"/>
                <w:sz w:val="24"/>
              </w:rPr>
              <w:t>污水达到新袁镇污水处理厂接管标准，</w:t>
            </w:r>
            <w:r>
              <w:rPr>
                <w:rFonts w:hint="eastAsia"/>
                <w:color w:val="auto"/>
                <w:sz w:val="24"/>
                <w:lang w:val="en-US" w:eastAsia="zh-CN"/>
              </w:rPr>
              <w:t>接管至</w:t>
            </w:r>
            <w:r>
              <w:rPr>
                <w:rFonts w:hint="eastAsia"/>
                <w:color w:val="auto"/>
                <w:sz w:val="24"/>
              </w:rPr>
              <w:t>新袁镇污水处理厂进行深度处理。</w:t>
            </w:r>
            <w:r>
              <w:rPr>
                <w:color w:val="auto"/>
                <w:sz w:val="24"/>
              </w:rPr>
              <w:t>污水处理厂尾水排放执</w:t>
            </w:r>
            <w:r>
              <w:rPr>
                <w:rFonts w:hint="eastAsia"/>
                <w:color w:val="auto"/>
                <w:sz w:val="24"/>
              </w:rPr>
              <w:t>行</w:t>
            </w:r>
            <w:r>
              <w:rPr>
                <w:color w:val="auto"/>
              </w:rPr>
              <w:t>《城镇污水处理厂污染物排放标准》（GB18918-2002）中表</w:t>
            </w:r>
            <w:r>
              <w:rPr>
                <w:color w:val="auto"/>
                <w:sz w:val="24"/>
              </w:rPr>
              <w:t>1一级A标准</w:t>
            </w:r>
            <w:r>
              <w:rPr>
                <w:rFonts w:hint="eastAsia"/>
                <w:color w:val="auto"/>
                <w:sz w:val="24"/>
                <w:lang w:eastAsia="zh-CN"/>
              </w:rPr>
              <w:t>（新袁镇污水处理厂设计规模为5000t/d，2026年3月执行《城镇污水处理厂污染物排放标准》（</w:t>
            </w:r>
            <w:r>
              <w:rPr>
                <w:rFonts w:hint="eastAsia"/>
                <w:color w:val="auto"/>
                <w:sz w:val="24"/>
                <w:lang w:val="en-US" w:eastAsia="zh-CN"/>
              </w:rPr>
              <w:t>D</w:t>
            </w:r>
            <w:r>
              <w:rPr>
                <w:rFonts w:hint="eastAsia"/>
                <w:color w:val="auto"/>
                <w:sz w:val="24"/>
                <w:lang w:eastAsia="zh-CN"/>
              </w:rPr>
              <w:t>B</w:t>
            </w:r>
            <w:r>
              <w:rPr>
                <w:rFonts w:hint="eastAsia"/>
                <w:color w:val="auto"/>
                <w:sz w:val="24"/>
                <w:lang w:val="en-US" w:eastAsia="zh-CN"/>
              </w:rPr>
              <w:t>32/4440</w:t>
            </w:r>
            <w:r>
              <w:rPr>
                <w:rFonts w:hint="eastAsia"/>
                <w:color w:val="auto"/>
                <w:sz w:val="24"/>
                <w:lang w:eastAsia="zh-CN"/>
              </w:rPr>
              <w:t>-20</w:t>
            </w:r>
            <w:r>
              <w:rPr>
                <w:rFonts w:hint="eastAsia"/>
                <w:color w:val="auto"/>
                <w:sz w:val="24"/>
                <w:lang w:val="en-US" w:eastAsia="zh-CN"/>
              </w:rPr>
              <w:t>2</w:t>
            </w:r>
            <w:r>
              <w:rPr>
                <w:rFonts w:hint="eastAsia"/>
                <w:color w:val="auto"/>
                <w:sz w:val="24"/>
                <w:lang w:eastAsia="zh-CN"/>
              </w:rPr>
              <w:t>2）中表1一级C标准）</w:t>
            </w:r>
            <w:r>
              <w:rPr>
                <w:rFonts w:hint="eastAsia"/>
                <w:color w:val="auto"/>
                <w:sz w:val="24"/>
              </w:rPr>
              <w:t>，排入</w:t>
            </w:r>
            <w:r>
              <w:rPr>
                <w:rFonts w:hint="eastAsia"/>
                <w:color w:val="auto"/>
                <w:sz w:val="24"/>
                <w:lang w:eastAsia="zh-CN"/>
              </w:rPr>
              <w:t>黄码</w:t>
            </w:r>
            <w:r>
              <w:rPr>
                <w:rFonts w:hint="eastAsia"/>
                <w:color w:val="auto"/>
                <w:sz w:val="24"/>
              </w:rPr>
              <w:t>河。</w:t>
            </w:r>
            <w:r>
              <w:rPr>
                <w:color w:val="auto"/>
                <w:sz w:val="24"/>
              </w:rPr>
              <w:t>具体标准见表</w:t>
            </w:r>
            <w:r>
              <w:rPr>
                <w:rFonts w:hint="eastAsia"/>
                <w:color w:val="auto"/>
                <w:sz w:val="24"/>
              </w:rPr>
              <w:t>3-</w:t>
            </w:r>
            <w:r>
              <w:rPr>
                <w:rFonts w:hint="eastAsia"/>
                <w:color w:val="auto"/>
                <w:sz w:val="24"/>
                <w:lang w:val="en-US" w:eastAsia="zh-CN"/>
              </w:rPr>
              <w:t>6</w:t>
            </w:r>
            <w:r>
              <w:rPr>
                <w:color w:val="auto"/>
                <w:sz w:val="24"/>
              </w:rPr>
              <w:t>。</w:t>
            </w:r>
          </w:p>
          <w:p w14:paraId="69F2382E">
            <w:pPr>
              <w:pStyle w:val="131"/>
              <w:ind w:left="0" w:leftChars="0"/>
              <w:jc w:val="center"/>
              <w:rPr>
                <w:rFonts w:hint="eastAsia"/>
                <w:b/>
                <w:color w:val="auto"/>
                <w:szCs w:val="24"/>
              </w:rPr>
            </w:pPr>
            <w:r>
              <w:rPr>
                <w:rFonts w:hint="eastAsia"/>
                <w:b/>
                <w:color w:val="auto"/>
                <w:szCs w:val="24"/>
              </w:rPr>
              <w:t>表3</w:t>
            </w:r>
            <w:r>
              <w:rPr>
                <w:rFonts w:hint="eastAsia"/>
                <w:b/>
                <w:color w:val="auto"/>
                <w:szCs w:val="24"/>
                <w:lang w:val="en-US" w:eastAsia="zh-CN"/>
              </w:rPr>
              <w:t>-6</w:t>
            </w:r>
            <w:r>
              <w:rPr>
                <w:rFonts w:hint="eastAsia"/>
                <w:b/>
                <w:color w:val="auto"/>
                <w:szCs w:val="24"/>
              </w:rPr>
              <w:t>水污染物排放标准（单位：mg/L，pH无量纲）</w:t>
            </w:r>
          </w:p>
          <w:tbl>
            <w:tblPr>
              <w:tblStyle w:val="38"/>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799"/>
              <w:gridCol w:w="540"/>
              <w:gridCol w:w="683"/>
              <w:gridCol w:w="740"/>
              <w:gridCol w:w="605"/>
              <w:gridCol w:w="738"/>
              <w:gridCol w:w="1061"/>
              <w:gridCol w:w="595"/>
              <w:gridCol w:w="851"/>
            </w:tblGrid>
            <w:tr w14:paraId="4EF07F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3" w:hRule="atLeast"/>
              </w:trPr>
              <w:tc>
                <w:tcPr>
                  <w:tcW w:w="1636" w:type="pct"/>
                  <w:tcBorders>
                    <w:tl2br w:val="nil"/>
                    <w:tr2bl w:val="nil"/>
                  </w:tcBorders>
                  <w:noWrap w:val="0"/>
                  <w:vAlign w:val="center"/>
                </w:tcPr>
                <w:p w14:paraId="1E3064A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b/>
                      <w:bCs/>
                      <w:color w:val="auto"/>
                      <w:sz w:val="21"/>
                      <w:szCs w:val="21"/>
                    </w:rPr>
                    <w:t>项目</w:t>
                  </w:r>
                </w:p>
              </w:tc>
              <w:tc>
                <w:tcPr>
                  <w:tcW w:w="318" w:type="pct"/>
                  <w:tcBorders>
                    <w:tl2br w:val="nil"/>
                    <w:tr2bl w:val="nil"/>
                  </w:tcBorders>
                  <w:noWrap w:val="0"/>
                  <w:vAlign w:val="center"/>
                </w:tcPr>
                <w:p w14:paraId="56BEE3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b/>
                      <w:bCs/>
                      <w:color w:val="auto"/>
                      <w:sz w:val="21"/>
                      <w:szCs w:val="21"/>
                    </w:rPr>
                    <w:t>pH</w:t>
                  </w:r>
                </w:p>
              </w:tc>
              <w:tc>
                <w:tcPr>
                  <w:tcW w:w="403" w:type="pct"/>
                  <w:tcBorders>
                    <w:tl2br w:val="nil"/>
                    <w:tr2bl w:val="nil"/>
                  </w:tcBorders>
                  <w:noWrap w:val="0"/>
                  <w:vAlign w:val="center"/>
                </w:tcPr>
                <w:p w14:paraId="1F4871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b/>
                      <w:bCs/>
                      <w:color w:val="auto"/>
                      <w:sz w:val="21"/>
                      <w:szCs w:val="21"/>
                    </w:rPr>
                    <w:t>COD</w:t>
                  </w:r>
                </w:p>
              </w:tc>
              <w:tc>
                <w:tcPr>
                  <w:tcW w:w="375" w:type="pct"/>
                  <w:tcBorders>
                    <w:tl2br w:val="nil"/>
                    <w:tr2bl w:val="nil"/>
                  </w:tcBorders>
                  <w:noWrap w:val="0"/>
                  <w:vAlign w:val="center"/>
                </w:tcPr>
                <w:p w14:paraId="7052654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bCs/>
                      <w:color w:val="auto"/>
                      <w:sz w:val="21"/>
                      <w:szCs w:val="21"/>
                      <w:lang w:val="en-US" w:eastAsia="zh-CN"/>
                    </w:rPr>
                  </w:pPr>
                  <w:r>
                    <w:rPr>
                      <w:rFonts w:hint="eastAsia"/>
                      <w:b/>
                      <w:bCs/>
                      <w:color w:val="auto"/>
                      <w:sz w:val="21"/>
                      <w:szCs w:val="21"/>
                      <w:lang w:val="en-US" w:eastAsia="zh-CN"/>
                    </w:rPr>
                    <w:t>BOD</w:t>
                  </w:r>
                  <w:r>
                    <w:rPr>
                      <w:rFonts w:hint="eastAsia"/>
                      <w:b/>
                      <w:bCs/>
                      <w:color w:val="auto"/>
                      <w:sz w:val="21"/>
                      <w:szCs w:val="21"/>
                      <w:vertAlign w:val="subscript"/>
                      <w:lang w:val="en-US" w:eastAsia="zh-CN"/>
                    </w:rPr>
                    <w:t>5</w:t>
                  </w:r>
                </w:p>
              </w:tc>
              <w:tc>
                <w:tcPr>
                  <w:tcW w:w="375" w:type="pct"/>
                  <w:tcBorders>
                    <w:tl2br w:val="nil"/>
                    <w:tr2bl w:val="nil"/>
                  </w:tcBorders>
                  <w:noWrap w:val="0"/>
                  <w:vAlign w:val="center"/>
                </w:tcPr>
                <w:p w14:paraId="0C1D5C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b/>
                      <w:bCs/>
                      <w:color w:val="auto"/>
                      <w:sz w:val="21"/>
                      <w:szCs w:val="21"/>
                    </w:rPr>
                    <w:t>SS</w:t>
                  </w:r>
                </w:p>
              </w:tc>
              <w:tc>
                <w:tcPr>
                  <w:tcW w:w="440" w:type="pct"/>
                  <w:tcBorders>
                    <w:tl2br w:val="nil"/>
                    <w:tr2bl w:val="nil"/>
                  </w:tcBorders>
                  <w:noWrap w:val="0"/>
                  <w:vAlign w:val="center"/>
                </w:tcPr>
                <w:p w14:paraId="49FF43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b/>
                      <w:bCs/>
                      <w:color w:val="auto"/>
                      <w:sz w:val="21"/>
                      <w:szCs w:val="21"/>
                    </w:rPr>
                    <w:t>氨氮</w:t>
                  </w:r>
                </w:p>
              </w:tc>
              <w:tc>
                <w:tcPr>
                  <w:tcW w:w="627" w:type="pct"/>
                  <w:tcBorders>
                    <w:tl2br w:val="nil"/>
                    <w:tr2bl w:val="nil"/>
                  </w:tcBorders>
                  <w:noWrap w:val="0"/>
                  <w:vAlign w:val="center"/>
                </w:tcPr>
                <w:p w14:paraId="064CD4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b/>
                      <w:bCs/>
                      <w:color w:val="auto"/>
                      <w:sz w:val="21"/>
                      <w:szCs w:val="21"/>
                    </w:rPr>
                    <w:t>TN</w:t>
                  </w:r>
                </w:p>
              </w:tc>
              <w:tc>
                <w:tcPr>
                  <w:tcW w:w="319" w:type="pct"/>
                  <w:tcBorders>
                    <w:tl2br w:val="nil"/>
                    <w:tr2bl w:val="nil"/>
                  </w:tcBorders>
                  <w:noWrap w:val="0"/>
                  <w:vAlign w:val="center"/>
                </w:tcPr>
                <w:p w14:paraId="6C6943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sz w:val="21"/>
                      <w:szCs w:val="21"/>
                    </w:rPr>
                  </w:pPr>
                  <w:r>
                    <w:rPr>
                      <w:b/>
                      <w:bCs/>
                      <w:color w:val="auto"/>
                      <w:sz w:val="21"/>
                      <w:szCs w:val="21"/>
                    </w:rPr>
                    <w:t>TP</w:t>
                  </w:r>
                </w:p>
              </w:tc>
              <w:tc>
                <w:tcPr>
                  <w:tcW w:w="505" w:type="pct"/>
                  <w:tcBorders>
                    <w:tl2br w:val="nil"/>
                    <w:tr2bl w:val="nil"/>
                  </w:tcBorders>
                  <w:noWrap w:val="0"/>
                  <w:vAlign w:val="center"/>
                </w:tcPr>
                <w:p w14:paraId="10A31A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rPr>
                  </w:pPr>
                  <w:r>
                    <w:rPr>
                      <w:rFonts w:hint="eastAsia"/>
                      <w:b/>
                      <w:bCs/>
                      <w:color w:val="auto"/>
                      <w:sz w:val="21"/>
                      <w:szCs w:val="21"/>
                    </w:rPr>
                    <w:t>石油类</w:t>
                  </w:r>
                </w:p>
              </w:tc>
            </w:tr>
            <w:tr w14:paraId="2C7256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1636" w:type="pct"/>
                  <w:tcBorders>
                    <w:tl2br w:val="nil"/>
                    <w:tr2bl w:val="nil"/>
                  </w:tcBorders>
                  <w:noWrap w:val="0"/>
                  <w:vAlign w:val="center"/>
                </w:tcPr>
                <w:p w14:paraId="4899E47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新袁镇污水处理厂</w:t>
                  </w:r>
                  <w:r>
                    <w:rPr>
                      <w:color w:val="auto"/>
                      <w:sz w:val="21"/>
                      <w:szCs w:val="21"/>
                    </w:rPr>
                    <w:t>接管标准</w:t>
                  </w:r>
                </w:p>
              </w:tc>
              <w:tc>
                <w:tcPr>
                  <w:tcW w:w="318" w:type="pct"/>
                  <w:tcBorders>
                    <w:tl2br w:val="nil"/>
                    <w:tr2bl w:val="nil"/>
                  </w:tcBorders>
                  <w:noWrap w:val="0"/>
                  <w:vAlign w:val="center"/>
                </w:tcPr>
                <w:p w14:paraId="132517F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6~9</w:t>
                  </w:r>
                </w:p>
              </w:tc>
              <w:tc>
                <w:tcPr>
                  <w:tcW w:w="403" w:type="pct"/>
                  <w:tcBorders>
                    <w:tl2br w:val="nil"/>
                    <w:tr2bl w:val="nil"/>
                  </w:tcBorders>
                  <w:noWrap w:val="0"/>
                  <w:vAlign w:val="center"/>
                </w:tcPr>
                <w:p w14:paraId="288436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280</w:t>
                  </w:r>
                </w:p>
              </w:tc>
              <w:tc>
                <w:tcPr>
                  <w:tcW w:w="375" w:type="pct"/>
                  <w:tcBorders>
                    <w:tl2br w:val="nil"/>
                    <w:tr2bl w:val="nil"/>
                  </w:tcBorders>
                  <w:noWrap w:val="0"/>
                  <w:vAlign w:val="center"/>
                </w:tcPr>
                <w:p w14:paraId="125E23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160</w:t>
                  </w:r>
                </w:p>
              </w:tc>
              <w:tc>
                <w:tcPr>
                  <w:tcW w:w="375" w:type="pct"/>
                  <w:tcBorders>
                    <w:tl2br w:val="nil"/>
                    <w:tr2bl w:val="nil"/>
                  </w:tcBorders>
                  <w:noWrap w:val="0"/>
                  <w:vAlign w:val="center"/>
                </w:tcPr>
                <w:p w14:paraId="7B9D12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180</w:t>
                  </w:r>
                </w:p>
              </w:tc>
              <w:tc>
                <w:tcPr>
                  <w:tcW w:w="440" w:type="pct"/>
                  <w:tcBorders>
                    <w:tl2br w:val="nil"/>
                    <w:tr2bl w:val="nil"/>
                  </w:tcBorders>
                  <w:noWrap w:val="0"/>
                  <w:vAlign w:val="center"/>
                </w:tcPr>
                <w:p w14:paraId="19620D7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35</w:t>
                  </w:r>
                </w:p>
              </w:tc>
              <w:tc>
                <w:tcPr>
                  <w:tcW w:w="627" w:type="pct"/>
                  <w:tcBorders>
                    <w:tl2br w:val="nil"/>
                    <w:tr2bl w:val="nil"/>
                  </w:tcBorders>
                  <w:noWrap w:val="0"/>
                  <w:vAlign w:val="center"/>
                </w:tcPr>
                <w:p w14:paraId="361DD4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50</w:t>
                  </w:r>
                </w:p>
              </w:tc>
              <w:tc>
                <w:tcPr>
                  <w:tcW w:w="319" w:type="pct"/>
                  <w:tcBorders>
                    <w:tl2br w:val="nil"/>
                    <w:tr2bl w:val="nil"/>
                  </w:tcBorders>
                  <w:noWrap w:val="0"/>
                  <w:vAlign w:val="center"/>
                </w:tcPr>
                <w:p w14:paraId="5CA9D89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eastAsia="zh-CN"/>
                    </w:rPr>
                  </w:pPr>
                  <w:r>
                    <w:rPr>
                      <w:rFonts w:hint="eastAsia"/>
                      <w:color w:val="auto"/>
                      <w:sz w:val="21"/>
                      <w:szCs w:val="21"/>
                      <w:lang w:val="en-US" w:eastAsia="zh-CN"/>
                    </w:rPr>
                    <w:t>3</w:t>
                  </w:r>
                </w:p>
              </w:tc>
              <w:tc>
                <w:tcPr>
                  <w:tcW w:w="505" w:type="pct"/>
                  <w:tcBorders>
                    <w:tl2br w:val="nil"/>
                    <w:tr2bl w:val="nil"/>
                  </w:tcBorders>
                  <w:noWrap w:val="0"/>
                  <w:vAlign w:val="center"/>
                </w:tcPr>
                <w:p w14:paraId="34C4B8D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eastAsia="zh-CN"/>
                    </w:rPr>
                  </w:pPr>
                  <w:r>
                    <w:rPr>
                      <w:rFonts w:hint="eastAsia"/>
                      <w:color w:val="auto"/>
                      <w:sz w:val="21"/>
                      <w:szCs w:val="21"/>
                      <w:lang w:val="en-US" w:eastAsia="zh-CN"/>
                    </w:rPr>
                    <w:t>/</w:t>
                  </w:r>
                </w:p>
              </w:tc>
            </w:tr>
            <w:tr w14:paraId="0C0A2C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15" w:hRule="atLeast"/>
              </w:trPr>
              <w:tc>
                <w:tcPr>
                  <w:tcW w:w="1636" w:type="pct"/>
                  <w:tcBorders>
                    <w:tl2br w:val="nil"/>
                    <w:tr2bl w:val="nil"/>
                  </w:tcBorders>
                  <w:noWrap w:val="0"/>
                  <w:vAlign w:val="center"/>
                </w:tcPr>
                <w:p w14:paraId="7C19FE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新袁镇污水处理厂</w:t>
                  </w:r>
                  <w:r>
                    <w:rPr>
                      <w:color w:val="auto"/>
                      <w:sz w:val="21"/>
                      <w:szCs w:val="21"/>
                    </w:rPr>
                    <w:t>排放标准</w:t>
                  </w:r>
                </w:p>
                <w:p w14:paraId="6342430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（GB18918-2002）中表1一级A标准</w:t>
                  </w:r>
                </w:p>
              </w:tc>
              <w:tc>
                <w:tcPr>
                  <w:tcW w:w="318" w:type="pct"/>
                  <w:tcBorders>
                    <w:tl2br w:val="nil"/>
                    <w:tr2bl w:val="nil"/>
                  </w:tcBorders>
                  <w:noWrap w:val="0"/>
                  <w:vAlign w:val="center"/>
                </w:tcPr>
                <w:p w14:paraId="4DBBB7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6~9</w:t>
                  </w:r>
                </w:p>
              </w:tc>
              <w:tc>
                <w:tcPr>
                  <w:tcW w:w="403" w:type="pct"/>
                  <w:tcBorders>
                    <w:tl2br w:val="nil"/>
                    <w:tr2bl w:val="nil"/>
                  </w:tcBorders>
                  <w:shd w:val="clear" w:color="auto" w:fill="auto"/>
                  <w:noWrap w:val="0"/>
                  <w:vAlign w:val="center"/>
                </w:tcPr>
                <w:p w14:paraId="6972773C">
                  <w:pPr>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≤50</w:t>
                  </w:r>
                </w:p>
              </w:tc>
              <w:tc>
                <w:tcPr>
                  <w:tcW w:w="740" w:type="dxa"/>
                  <w:tcBorders>
                    <w:tl2br w:val="nil"/>
                    <w:tr2bl w:val="nil"/>
                  </w:tcBorders>
                  <w:shd w:val="clear" w:color="auto" w:fill="auto"/>
                  <w:noWrap w:val="0"/>
                  <w:vAlign w:val="center"/>
                </w:tcPr>
                <w:p w14:paraId="2405B975">
                  <w:pPr>
                    <w:spacing w:line="240" w:lineRule="auto"/>
                    <w:ind w:firstLine="0" w:firstLineChars="0"/>
                    <w:jc w:val="center"/>
                    <w:rPr>
                      <w:color w:val="auto"/>
                      <w:sz w:val="21"/>
                      <w:szCs w:val="21"/>
                    </w:rPr>
                  </w:pPr>
                  <w:r>
                    <w:rPr>
                      <w:color w:val="auto"/>
                      <w:sz w:val="21"/>
                      <w:szCs w:val="21"/>
                    </w:rPr>
                    <w:t>≤10</w:t>
                  </w:r>
                </w:p>
              </w:tc>
              <w:tc>
                <w:tcPr>
                  <w:tcW w:w="375" w:type="pct"/>
                  <w:tcBorders>
                    <w:tl2br w:val="nil"/>
                    <w:tr2bl w:val="nil"/>
                  </w:tcBorders>
                  <w:shd w:val="clear" w:color="auto" w:fill="auto"/>
                  <w:noWrap w:val="0"/>
                  <w:vAlign w:val="center"/>
                </w:tcPr>
                <w:p w14:paraId="17C37A75">
                  <w:pPr>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≤10</w:t>
                  </w:r>
                </w:p>
              </w:tc>
              <w:tc>
                <w:tcPr>
                  <w:tcW w:w="440" w:type="pct"/>
                  <w:tcBorders>
                    <w:tl2br w:val="nil"/>
                    <w:tr2bl w:val="nil"/>
                  </w:tcBorders>
                  <w:shd w:val="clear" w:color="auto" w:fill="auto"/>
                  <w:noWrap w:val="0"/>
                  <w:vAlign w:val="center"/>
                </w:tcPr>
                <w:p w14:paraId="391C7304">
                  <w:pPr>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w:t>
                  </w:r>
                  <w:r>
                    <w:rPr>
                      <w:rFonts w:hint="eastAsia"/>
                      <w:color w:val="auto"/>
                      <w:sz w:val="21"/>
                      <w:szCs w:val="21"/>
                      <w:lang w:val="en-US" w:eastAsia="zh-CN"/>
                    </w:rPr>
                    <w:t>5(8)</w:t>
                  </w:r>
                </w:p>
              </w:tc>
              <w:tc>
                <w:tcPr>
                  <w:tcW w:w="627" w:type="pct"/>
                  <w:tcBorders>
                    <w:tl2br w:val="nil"/>
                    <w:tr2bl w:val="nil"/>
                  </w:tcBorders>
                  <w:shd w:val="clear" w:color="auto" w:fill="auto"/>
                  <w:noWrap w:val="0"/>
                  <w:vAlign w:val="center"/>
                </w:tcPr>
                <w:p w14:paraId="5EE89659">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w:t>
                  </w:r>
                  <w:r>
                    <w:rPr>
                      <w:rFonts w:hint="eastAsia"/>
                      <w:color w:val="auto"/>
                      <w:sz w:val="21"/>
                      <w:szCs w:val="21"/>
                      <w:lang w:val="en-US" w:eastAsia="zh-CN"/>
                    </w:rPr>
                    <w:t>15</w:t>
                  </w:r>
                </w:p>
              </w:tc>
              <w:tc>
                <w:tcPr>
                  <w:tcW w:w="319" w:type="pct"/>
                  <w:tcBorders>
                    <w:tl2br w:val="nil"/>
                    <w:tr2bl w:val="nil"/>
                  </w:tcBorders>
                  <w:shd w:val="clear" w:color="auto" w:fill="auto"/>
                  <w:noWrap w:val="0"/>
                  <w:vAlign w:val="center"/>
                </w:tcPr>
                <w:p w14:paraId="4B69D5DF">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w:t>
                  </w:r>
                  <w:r>
                    <w:rPr>
                      <w:rFonts w:hint="eastAsia"/>
                      <w:color w:val="auto"/>
                      <w:sz w:val="21"/>
                      <w:szCs w:val="21"/>
                      <w:lang w:val="en-US" w:eastAsia="zh-CN"/>
                    </w:rPr>
                    <w:t>0.5</w:t>
                  </w:r>
                </w:p>
              </w:tc>
              <w:tc>
                <w:tcPr>
                  <w:tcW w:w="505" w:type="pct"/>
                  <w:tcBorders>
                    <w:tl2br w:val="nil"/>
                    <w:tr2bl w:val="nil"/>
                  </w:tcBorders>
                  <w:noWrap w:val="0"/>
                  <w:vAlign w:val="center"/>
                </w:tcPr>
                <w:p w14:paraId="636621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eastAsia="zh-CN"/>
                    </w:rPr>
                  </w:pPr>
                  <w:r>
                    <w:rPr>
                      <w:rFonts w:hint="eastAsia"/>
                      <w:color w:val="auto"/>
                      <w:sz w:val="21"/>
                      <w:szCs w:val="21"/>
                      <w:lang w:val="en-US" w:eastAsia="zh-CN"/>
                    </w:rPr>
                    <w:t>/</w:t>
                  </w:r>
                </w:p>
              </w:tc>
            </w:tr>
            <w:tr w14:paraId="72ED5E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15" w:hRule="atLeast"/>
              </w:trPr>
              <w:tc>
                <w:tcPr>
                  <w:tcW w:w="1636" w:type="pct"/>
                  <w:tcBorders>
                    <w:tl2br w:val="nil"/>
                    <w:tr2bl w:val="nil"/>
                  </w:tcBorders>
                  <w:noWrap w:val="0"/>
                  <w:vAlign w:val="center"/>
                </w:tcPr>
                <w:p w14:paraId="5193B8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新袁镇污水处理厂</w:t>
                  </w:r>
                  <w:r>
                    <w:rPr>
                      <w:color w:val="auto"/>
                      <w:sz w:val="21"/>
                      <w:szCs w:val="21"/>
                    </w:rPr>
                    <w:t>排放标准</w:t>
                  </w:r>
                </w:p>
                <w:p w14:paraId="441596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rPr>
                  </w:pPr>
                  <w:r>
                    <w:rPr>
                      <w:rFonts w:hint="eastAsia"/>
                      <w:color w:val="auto"/>
                      <w:sz w:val="21"/>
                      <w:szCs w:val="21"/>
                    </w:rPr>
                    <w:t>（</w:t>
                  </w:r>
                  <w:r>
                    <w:rPr>
                      <w:rFonts w:hint="eastAsia"/>
                      <w:color w:val="auto"/>
                      <w:sz w:val="21"/>
                      <w:szCs w:val="21"/>
                      <w:lang w:val="en-US" w:eastAsia="zh-CN"/>
                    </w:rPr>
                    <w:t>D</w:t>
                  </w:r>
                  <w:r>
                    <w:rPr>
                      <w:rFonts w:hint="eastAsia"/>
                      <w:color w:val="auto"/>
                      <w:sz w:val="21"/>
                      <w:szCs w:val="21"/>
                    </w:rPr>
                    <w:t>B</w:t>
                  </w:r>
                  <w:r>
                    <w:rPr>
                      <w:rFonts w:hint="eastAsia"/>
                      <w:color w:val="auto"/>
                      <w:sz w:val="21"/>
                      <w:szCs w:val="21"/>
                      <w:lang w:val="en-US" w:eastAsia="zh-CN"/>
                    </w:rPr>
                    <w:t>32/4440</w:t>
                  </w:r>
                  <w:r>
                    <w:rPr>
                      <w:rFonts w:hint="eastAsia"/>
                      <w:color w:val="auto"/>
                      <w:sz w:val="21"/>
                      <w:szCs w:val="21"/>
                    </w:rPr>
                    <w:t>-20</w:t>
                  </w:r>
                  <w:r>
                    <w:rPr>
                      <w:rFonts w:hint="eastAsia"/>
                      <w:color w:val="auto"/>
                      <w:sz w:val="21"/>
                      <w:szCs w:val="21"/>
                      <w:lang w:val="en-US" w:eastAsia="zh-CN"/>
                    </w:rPr>
                    <w:t>2</w:t>
                  </w:r>
                  <w:r>
                    <w:rPr>
                      <w:rFonts w:hint="eastAsia"/>
                      <w:color w:val="auto"/>
                      <w:sz w:val="21"/>
                      <w:szCs w:val="21"/>
                    </w:rPr>
                    <w:t>2）中表1一级C标准</w:t>
                  </w:r>
                </w:p>
              </w:tc>
              <w:tc>
                <w:tcPr>
                  <w:tcW w:w="318" w:type="pct"/>
                  <w:tcBorders>
                    <w:tl2br w:val="nil"/>
                    <w:tr2bl w:val="nil"/>
                  </w:tcBorders>
                  <w:noWrap w:val="0"/>
                  <w:vAlign w:val="center"/>
                </w:tcPr>
                <w:p w14:paraId="24AD74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6</w:t>
                  </w:r>
                  <w:r>
                    <w:rPr>
                      <w:color w:val="auto"/>
                      <w:sz w:val="21"/>
                      <w:szCs w:val="21"/>
                    </w:rPr>
                    <w:t>~9</w:t>
                  </w:r>
                </w:p>
              </w:tc>
              <w:tc>
                <w:tcPr>
                  <w:tcW w:w="403" w:type="pct"/>
                  <w:tcBorders>
                    <w:tl2br w:val="nil"/>
                    <w:tr2bl w:val="nil"/>
                  </w:tcBorders>
                  <w:shd w:val="clear" w:color="auto" w:fill="auto"/>
                  <w:noWrap w:val="0"/>
                  <w:vAlign w:val="center"/>
                </w:tcPr>
                <w:p w14:paraId="177BE9CF">
                  <w:pPr>
                    <w:spacing w:line="240" w:lineRule="auto"/>
                    <w:ind w:firstLine="0" w:firstLineChars="0"/>
                    <w:jc w:val="center"/>
                    <w:rPr>
                      <w:color w:val="auto"/>
                      <w:sz w:val="21"/>
                      <w:szCs w:val="21"/>
                    </w:rPr>
                  </w:pPr>
                  <w:r>
                    <w:rPr>
                      <w:color w:val="auto"/>
                      <w:sz w:val="21"/>
                      <w:szCs w:val="21"/>
                    </w:rPr>
                    <w:t>≤50</w:t>
                  </w:r>
                </w:p>
              </w:tc>
              <w:tc>
                <w:tcPr>
                  <w:tcW w:w="740" w:type="dxa"/>
                  <w:tcBorders>
                    <w:tl2br w:val="nil"/>
                    <w:tr2bl w:val="nil"/>
                  </w:tcBorders>
                  <w:shd w:val="clear" w:color="auto" w:fill="auto"/>
                  <w:noWrap w:val="0"/>
                  <w:vAlign w:val="center"/>
                </w:tcPr>
                <w:p w14:paraId="4CAF27F0">
                  <w:pPr>
                    <w:spacing w:line="240" w:lineRule="auto"/>
                    <w:ind w:firstLine="0" w:firstLineChars="0"/>
                    <w:jc w:val="center"/>
                    <w:rPr>
                      <w:color w:val="auto"/>
                      <w:sz w:val="21"/>
                      <w:szCs w:val="21"/>
                    </w:rPr>
                  </w:pPr>
                  <w:r>
                    <w:rPr>
                      <w:color w:val="auto"/>
                      <w:sz w:val="21"/>
                      <w:szCs w:val="21"/>
                    </w:rPr>
                    <w:t>≤10</w:t>
                  </w:r>
                </w:p>
              </w:tc>
              <w:tc>
                <w:tcPr>
                  <w:tcW w:w="605" w:type="dxa"/>
                  <w:tcBorders>
                    <w:tl2br w:val="nil"/>
                    <w:tr2bl w:val="nil"/>
                  </w:tcBorders>
                  <w:shd w:val="clear" w:color="auto" w:fill="auto"/>
                  <w:noWrap w:val="0"/>
                  <w:vAlign w:val="center"/>
                </w:tcPr>
                <w:p w14:paraId="0678A3A0">
                  <w:pPr>
                    <w:spacing w:line="240" w:lineRule="auto"/>
                    <w:ind w:firstLine="0" w:firstLineChars="0"/>
                    <w:jc w:val="center"/>
                    <w:rPr>
                      <w:color w:val="auto"/>
                      <w:sz w:val="21"/>
                      <w:szCs w:val="21"/>
                    </w:rPr>
                  </w:pPr>
                  <w:r>
                    <w:rPr>
                      <w:color w:val="auto"/>
                      <w:sz w:val="21"/>
                      <w:szCs w:val="21"/>
                    </w:rPr>
                    <w:t>≤10</w:t>
                  </w:r>
                </w:p>
              </w:tc>
              <w:tc>
                <w:tcPr>
                  <w:tcW w:w="440" w:type="pct"/>
                  <w:tcBorders>
                    <w:tl2br w:val="nil"/>
                    <w:tr2bl w:val="nil"/>
                  </w:tcBorders>
                  <w:shd w:val="clear" w:color="auto" w:fill="auto"/>
                  <w:noWrap w:val="0"/>
                  <w:vAlign w:val="center"/>
                </w:tcPr>
                <w:p w14:paraId="3E5837E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4</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6</w:t>
                  </w:r>
                  <w:r>
                    <w:rPr>
                      <w:rFonts w:hint="eastAsia" w:cs="Times New Roman"/>
                      <w:color w:val="auto"/>
                      <w:sz w:val="21"/>
                      <w:szCs w:val="21"/>
                      <w:lang w:val="en-US" w:eastAsia="zh-CN"/>
                    </w:rPr>
                    <w:t>)</w:t>
                  </w:r>
                </w:p>
              </w:tc>
              <w:tc>
                <w:tcPr>
                  <w:tcW w:w="627" w:type="pct"/>
                  <w:tcBorders>
                    <w:tl2br w:val="nil"/>
                    <w:tr2bl w:val="nil"/>
                  </w:tcBorders>
                  <w:shd w:val="clear" w:color="auto" w:fill="auto"/>
                  <w:noWrap w:val="0"/>
                  <w:vAlign w:val="center"/>
                </w:tcPr>
                <w:p w14:paraId="7E929E5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12</w:t>
                  </w:r>
                  <w:r>
                    <w:rPr>
                      <w:rFonts w:hint="eastAsia" w:cs="Times New Roman"/>
                      <w:color w:val="auto"/>
                      <w:sz w:val="21"/>
                      <w:szCs w:val="21"/>
                      <w:lang w:val="en-US" w:eastAsia="zh-CN"/>
                    </w:rPr>
                    <w:t>(</w:t>
                  </w:r>
                  <w:r>
                    <w:rPr>
                      <w:rFonts w:hint="default" w:ascii="Times New Roman" w:hAnsi="Times New Roman" w:cs="Times New Roman"/>
                      <w:color w:val="auto"/>
                      <w:sz w:val="21"/>
                      <w:szCs w:val="21"/>
                      <w:lang w:val="en-US" w:eastAsia="zh-CN"/>
                    </w:rPr>
                    <w:t>15</w:t>
                  </w:r>
                  <w:r>
                    <w:rPr>
                      <w:rFonts w:hint="eastAsia" w:cs="Times New Roman"/>
                      <w:color w:val="auto"/>
                      <w:sz w:val="21"/>
                      <w:szCs w:val="21"/>
                      <w:lang w:val="en-US" w:eastAsia="zh-CN"/>
                    </w:rPr>
                    <w:t>)</w:t>
                  </w:r>
                </w:p>
              </w:tc>
              <w:tc>
                <w:tcPr>
                  <w:tcW w:w="319" w:type="pct"/>
                  <w:tcBorders>
                    <w:tl2br w:val="nil"/>
                    <w:tr2bl w:val="nil"/>
                  </w:tcBorders>
                  <w:shd w:val="clear" w:color="auto" w:fill="auto"/>
                  <w:noWrap w:val="0"/>
                  <w:vAlign w:val="center"/>
                </w:tcPr>
                <w:p w14:paraId="24B86C5C">
                  <w:pPr>
                    <w:spacing w:line="240" w:lineRule="auto"/>
                    <w:ind w:firstLine="0" w:firstLineChars="0"/>
                    <w:jc w:val="center"/>
                    <w:rPr>
                      <w:color w:val="auto"/>
                      <w:sz w:val="21"/>
                      <w:szCs w:val="21"/>
                    </w:rPr>
                  </w:pPr>
                  <w:r>
                    <w:rPr>
                      <w:color w:val="auto"/>
                      <w:sz w:val="21"/>
                      <w:szCs w:val="21"/>
                    </w:rPr>
                    <w:t>≤</w:t>
                  </w:r>
                  <w:r>
                    <w:rPr>
                      <w:rFonts w:hint="eastAsia"/>
                      <w:color w:val="auto"/>
                      <w:sz w:val="21"/>
                      <w:szCs w:val="21"/>
                      <w:lang w:val="en-US" w:eastAsia="zh-CN"/>
                    </w:rPr>
                    <w:t>0.5</w:t>
                  </w:r>
                </w:p>
              </w:tc>
              <w:tc>
                <w:tcPr>
                  <w:tcW w:w="505" w:type="pct"/>
                  <w:tcBorders>
                    <w:tl2br w:val="nil"/>
                    <w:tr2bl w:val="nil"/>
                  </w:tcBorders>
                  <w:noWrap w:val="0"/>
                  <w:vAlign w:val="center"/>
                </w:tcPr>
                <w:p w14:paraId="406E54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lang w:val="en-US" w:eastAsia="zh-CN"/>
                    </w:rPr>
                  </w:pPr>
                  <w:r>
                    <w:rPr>
                      <w:color w:val="auto"/>
                      <w:sz w:val="21"/>
                      <w:szCs w:val="21"/>
                    </w:rPr>
                    <w:t>≤</w:t>
                  </w:r>
                  <w:r>
                    <w:rPr>
                      <w:rFonts w:hint="eastAsia"/>
                      <w:color w:val="auto"/>
                      <w:sz w:val="21"/>
                      <w:szCs w:val="21"/>
                      <w:lang w:val="en-US" w:eastAsia="zh-CN"/>
                    </w:rPr>
                    <w:t>1</w:t>
                  </w:r>
                </w:p>
              </w:tc>
            </w:tr>
            <w:tr w14:paraId="6DD61E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1636" w:type="pct"/>
                  <w:tcBorders>
                    <w:tl2br w:val="nil"/>
                    <w:tr2bl w:val="nil"/>
                  </w:tcBorders>
                  <w:noWrap w:val="0"/>
                  <w:vAlign w:val="center"/>
                </w:tcPr>
                <w:p w14:paraId="372359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回用标准</w:t>
                  </w:r>
                </w:p>
              </w:tc>
              <w:tc>
                <w:tcPr>
                  <w:tcW w:w="318" w:type="pct"/>
                  <w:tcBorders>
                    <w:tl2br w:val="nil"/>
                    <w:tr2bl w:val="nil"/>
                  </w:tcBorders>
                  <w:noWrap w:val="0"/>
                  <w:vAlign w:val="center"/>
                </w:tcPr>
                <w:p w14:paraId="245A192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sz w:val="21"/>
                      <w:szCs w:val="21"/>
                    </w:rPr>
                    <w:t>6</w:t>
                  </w:r>
                  <w:r>
                    <w:rPr>
                      <w:color w:val="auto"/>
                      <w:sz w:val="21"/>
                      <w:szCs w:val="21"/>
                    </w:rPr>
                    <w:t>~</w:t>
                  </w:r>
                  <w:r>
                    <w:rPr>
                      <w:rFonts w:hint="eastAsia"/>
                      <w:color w:val="auto"/>
                      <w:sz w:val="21"/>
                      <w:szCs w:val="21"/>
                    </w:rPr>
                    <w:t>9</w:t>
                  </w:r>
                </w:p>
              </w:tc>
              <w:tc>
                <w:tcPr>
                  <w:tcW w:w="403" w:type="pct"/>
                  <w:tcBorders>
                    <w:tl2br w:val="nil"/>
                    <w:tr2bl w:val="nil"/>
                  </w:tcBorders>
                  <w:noWrap w:val="0"/>
                  <w:vAlign w:val="center"/>
                </w:tcPr>
                <w:p w14:paraId="6A0CD3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lang w:val="en-US"/>
                    </w:rPr>
                  </w:pPr>
                  <w:r>
                    <w:rPr>
                      <w:color w:val="auto"/>
                      <w:sz w:val="21"/>
                      <w:szCs w:val="21"/>
                    </w:rPr>
                    <w:t>≤</w:t>
                  </w:r>
                  <w:r>
                    <w:rPr>
                      <w:rFonts w:hint="eastAsia"/>
                      <w:color w:val="auto"/>
                      <w:sz w:val="21"/>
                      <w:szCs w:val="21"/>
                      <w:lang w:val="en-US" w:eastAsia="zh-CN"/>
                    </w:rPr>
                    <w:t>50</w:t>
                  </w:r>
                </w:p>
              </w:tc>
              <w:tc>
                <w:tcPr>
                  <w:tcW w:w="740" w:type="dxa"/>
                  <w:tcBorders>
                    <w:tl2br w:val="nil"/>
                    <w:tr2bl w:val="nil"/>
                  </w:tcBorders>
                  <w:noWrap w:val="0"/>
                  <w:vAlign w:val="center"/>
                </w:tcPr>
                <w:p w14:paraId="78AE2E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color w:val="auto"/>
                      <w:sz w:val="21"/>
                      <w:szCs w:val="21"/>
                    </w:rPr>
                    <w:t>≤</w:t>
                  </w:r>
                  <w:r>
                    <w:rPr>
                      <w:rFonts w:hint="eastAsia"/>
                      <w:color w:val="auto"/>
                      <w:sz w:val="21"/>
                      <w:szCs w:val="21"/>
                      <w:lang w:val="en-US" w:eastAsia="zh-CN"/>
                    </w:rPr>
                    <w:t>10</w:t>
                  </w:r>
                </w:p>
              </w:tc>
              <w:tc>
                <w:tcPr>
                  <w:tcW w:w="375" w:type="pct"/>
                  <w:tcBorders>
                    <w:tl2br w:val="nil"/>
                    <w:tr2bl w:val="nil"/>
                  </w:tcBorders>
                  <w:noWrap w:val="0"/>
                  <w:vAlign w:val="center"/>
                </w:tcPr>
                <w:p w14:paraId="3840BBF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rPr>
                  </w:pPr>
                  <w:r>
                    <w:rPr>
                      <w:rFonts w:hint="eastAsia"/>
                      <w:color w:val="auto"/>
                      <w:sz w:val="21"/>
                      <w:szCs w:val="21"/>
                    </w:rPr>
                    <w:t>/</w:t>
                  </w:r>
                </w:p>
              </w:tc>
              <w:tc>
                <w:tcPr>
                  <w:tcW w:w="440" w:type="pct"/>
                  <w:tcBorders>
                    <w:tl2br w:val="nil"/>
                    <w:tr2bl w:val="nil"/>
                  </w:tcBorders>
                  <w:noWrap w:val="0"/>
                  <w:vAlign w:val="center"/>
                </w:tcPr>
                <w:p w14:paraId="434B18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eastAsia="zh-CN"/>
                    </w:rPr>
                  </w:pPr>
                  <w:r>
                    <w:rPr>
                      <w:color w:val="auto"/>
                      <w:sz w:val="21"/>
                      <w:szCs w:val="21"/>
                    </w:rPr>
                    <w:t>≤</w:t>
                  </w:r>
                  <w:r>
                    <w:rPr>
                      <w:rFonts w:hint="eastAsia"/>
                      <w:color w:val="auto"/>
                      <w:sz w:val="21"/>
                      <w:szCs w:val="21"/>
                      <w:lang w:val="en-US" w:eastAsia="zh-CN"/>
                    </w:rPr>
                    <w:t>5</w:t>
                  </w:r>
                </w:p>
              </w:tc>
              <w:tc>
                <w:tcPr>
                  <w:tcW w:w="627" w:type="pct"/>
                  <w:tcBorders>
                    <w:tl2br w:val="nil"/>
                    <w:tr2bl w:val="nil"/>
                  </w:tcBorders>
                  <w:noWrap w:val="0"/>
                  <w:vAlign w:val="center"/>
                </w:tcPr>
                <w:p w14:paraId="603436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color w:val="auto"/>
                      <w:sz w:val="21"/>
                      <w:szCs w:val="21"/>
                    </w:rPr>
                    <w:t>≤</w:t>
                  </w:r>
                  <w:r>
                    <w:rPr>
                      <w:rFonts w:hint="eastAsia"/>
                      <w:color w:val="auto"/>
                      <w:sz w:val="21"/>
                      <w:szCs w:val="21"/>
                      <w:lang w:val="en-US" w:eastAsia="zh-CN"/>
                    </w:rPr>
                    <w:t>15</w:t>
                  </w:r>
                </w:p>
              </w:tc>
              <w:tc>
                <w:tcPr>
                  <w:tcW w:w="319" w:type="pct"/>
                  <w:tcBorders>
                    <w:tl2br w:val="nil"/>
                    <w:tr2bl w:val="nil"/>
                  </w:tcBorders>
                  <w:noWrap w:val="0"/>
                  <w:vAlign w:val="center"/>
                </w:tcPr>
                <w:p w14:paraId="7C4D50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color w:val="auto"/>
                      <w:sz w:val="21"/>
                      <w:szCs w:val="21"/>
                    </w:rPr>
                    <w:t>≤</w:t>
                  </w:r>
                  <w:r>
                    <w:rPr>
                      <w:rFonts w:hint="eastAsia"/>
                      <w:color w:val="auto"/>
                      <w:sz w:val="21"/>
                      <w:szCs w:val="21"/>
                      <w:lang w:val="en-US" w:eastAsia="zh-CN"/>
                    </w:rPr>
                    <w:t>0.5</w:t>
                  </w:r>
                </w:p>
              </w:tc>
              <w:tc>
                <w:tcPr>
                  <w:tcW w:w="505" w:type="pct"/>
                  <w:tcBorders>
                    <w:tl2br w:val="nil"/>
                    <w:tr2bl w:val="nil"/>
                  </w:tcBorders>
                  <w:noWrap w:val="0"/>
                  <w:vAlign w:val="center"/>
                </w:tcPr>
                <w:p w14:paraId="3FA34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color w:val="auto"/>
                      <w:sz w:val="21"/>
                      <w:szCs w:val="21"/>
                    </w:rPr>
                    <w:t>≤</w:t>
                  </w:r>
                  <w:r>
                    <w:rPr>
                      <w:rFonts w:hint="eastAsia"/>
                      <w:color w:val="auto"/>
                      <w:sz w:val="21"/>
                      <w:szCs w:val="21"/>
                      <w:lang w:val="en-US" w:eastAsia="zh-CN"/>
                    </w:rPr>
                    <w:t>1</w:t>
                  </w:r>
                </w:p>
              </w:tc>
            </w:tr>
          </w:tbl>
          <w:p w14:paraId="64EABC3D">
            <w:pPr>
              <w:pStyle w:val="227"/>
              <w:tabs>
                <w:tab w:val="left" w:pos="1084"/>
              </w:tabs>
              <w:spacing w:line="360" w:lineRule="auto"/>
              <w:ind w:firstLine="0" w:firstLineChars="0"/>
              <w:rPr>
                <w:rFonts w:hint="default" w:ascii="Times New Roman" w:hAnsi="Times New Roman" w:cs="Times New Roman"/>
                <w:b w:val="0"/>
                <w:bCs w:val="0"/>
                <w:color w:val="auto"/>
                <w:sz w:val="21"/>
                <w:szCs w:val="21"/>
                <w:lang w:val="en-US" w:eastAsia="zh-CN"/>
              </w:rPr>
            </w:pPr>
            <w:r>
              <w:rPr>
                <w:rFonts w:ascii="Times New Roman" w:hAnsi="Times New Roman" w:cs="Times New Roman"/>
                <w:b w:val="0"/>
                <w:bCs w:val="0"/>
                <w:color w:val="auto"/>
                <w:sz w:val="21"/>
                <w:szCs w:val="21"/>
                <w:lang w:val="en-US" w:eastAsia="zh-CN"/>
              </w:rPr>
              <w:t>注：</w:t>
            </w:r>
            <w:r>
              <w:rPr>
                <w:rFonts w:hint="eastAsia" w:ascii="Times New Roman" w:hAnsi="Times New Roman" w:cs="Times New Roman"/>
                <w:b w:val="0"/>
                <w:bCs w:val="0"/>
                <w:color w:val="auto"/>
                <w:sz w:val="21"/>
                <w:szCs w:val="21"/>
                <w:lang w:val="en-US" w:eastAsia="zh-CN"/>
              </w:rPr>
              <w:t>（1）新袁镇污水处理厂排放标准（GB18918-2002）中表1一级A标准中，氨氮括号外数值为水温</w:t>
            </w:r>
            <w:r>
              <w:rPr>
                <w:rFonts w:hint="default" w:ascii="Times New Roman" w:hAnsi="Times New Roman" w:cs="Times New Roman"/>
                <w:b w:val="0"/>
                <w:bCs w:val="0"/>
                <w:color w:val="auto"/>
                <w:sz w:val="21"/>
                <w:szCs w:val="21"/>
                <w:lang w:val="en-US" w:eastAsia="zh-CN"/>
              </w:rPr>
              <w:t>＞12℃时的控制指标，括号内数值为水温≤12</w:t>
            </w:r>
            <w:r>
              <w:rPr>
                <w:rFonts w:hint="eastAsia" w:ascii="Times New Roman" w:hAnsi="Times New Roman" w:cs="Times New Roman"/>
                <w:b w:val="0"/>
                <w:bCs w:val="0"/>
                <w:color w:val="auto"/>
                <w:sz w:val="21"/>
                <w:szCs w:val="21"/>
                <w:lang w:val="en-US" w:eastAsia="zh-CN"/>
              </w:rPr>
              <w:t>℃时的控制指标。</w:t>
            </w:r>
          </w:p>
          <w:p w14:paraId="2E76C4F5">
            <w:pPr>
              <w:pStyle w:val="227"/>
              <w:tabs>
                <w:tab w:val="left" w:pos="1084"/>
              </w:tabs>
              <w:spacing w:line="360" w:lineRule="auto"/>
              <w:ind w:firstLine="0" w:firstLineChars="0"/>
              <w:rPr>
                <w:rFonts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（2）新袁镇污水处理厂排放标准（DB32/4440-2022）中表1一级C标准中，氨氮和总氮</w:t>
            </w:r>
            <w:r>
              <w:rPr>
                <w:rFonts w:ascii="Times New Roman" w:hAnsi="Times New Roman" w:cs="Times New Roman"/>
                <w:b w:val="0"/>
                <w:bCs w:val="0"/>
                <w:color w:val="auto"/>
                <w:sz w:val="21"/>
                <w:szCs w:val="21"/>
                <w:lang w:val="en-US" w:eastAsia="zh-CN"/>
              </w:rPr>
              <w:t>每年11月1日至次年3月31日执行括号内排放限值。</w:t>
            </w:r>
          </w:p>
          <w:p w14:paraId="2500FA9D">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auto"/>
              </w:rPr>
            </w:pPr>
            <w:r>
              <w:rPr>
                <w:rFonts w:hint="eastAsia"/>
                <w:b/>
                <w:color w:val="auto"/>
                <w:lang w:eastAsia="zh-CN"/>
              </w:rPr>
              <w:t>3.</w:t>
            </w:r>
            <w:r>
              <w:rPr>
                <w:b/>
                <w:color w:val="auto"/>
              </w:rPr>
              <w:t>噪声排放标准</w:t>
            </w:r>
          </w:p>
          <w:p w14:paraId="79BEC600">
            <w:pPr>
              <w:adjustRightInd w:val="0"/>
              <w:snapToGrid w:val="0"/>
              <w:spacing w:line="360" w:lineRule="auto"/>
              <w:ind w:firstLine="480"/>
              <w:rPr>
                <w:color w:val="auto"/>
              </w:rPr>
            </w:pPr>
            <w:r>
              <w:rPr>
                <w:color w:val="auto"/>
              </w:rPr>
              <w:t>项目营运期厂界噪声执行《工业企业厂界环境噪声排放标准》（GB12348-2008）</w:t>
            </w:r>
            <w:r>
              <w:rPr>
                <w:rFonts w:hint="eastAsia"/>
                <w:color w:val="auto"/>
              </w:rPr>
              <w:t>3</w:t>
            </w:r>
            <w:r>
              <w:rPr>
                <w:color w:val="auto"/>
              </w:rPr>
              <w:t>类标准</w:t>
            </w:r>
            <w:r>
              <w:rPr>
                <w:rFonts w:hint="eastAsia"/>
                <w:color w:val="auto"/>
                <w:lang w:eastAsia="zh-CN"/>
              </w:rPr>
              <w:t>，</w:t>
            </w:r>
            <w:r>
              <w:rPr>
                <w:color w:val="auto"/>
              </w:rPr>
              <w:t>具体标准值见表3-</w:t>
            </w:r>
            <w:r>
              <w:rPr>
                <w:rFonts w:hint="eastAsia"/>
                <w:color w:val="auto"/>
                <w:lang w:val="en-US" w:eastAsia="zh-CN"/>
              </w:rPr>
              <w:t>7</w:t>
            </w:r>
            <w:r>
              <w:rPr>
                <w:color w:val="auto"/>
              </w:rPr>
              <w:t>。</w:t>
            </w:r>
          </w:p>
          <w:p w14:paraId="150774F1">
            <w:pPr>
              <w:adjustRightInd w:val="0"/>
              <w:snapToGrid w:val="0"/>
              <w:spacing w:line="240" w:lineRule="auto"/>
              <w:ind w:firstLine="0" w:firstLineChars="0"/>
              <w:jc w:val="center"/>
              <w:rPr>
                <w:b/>
                <w:color w:val="auto"/>
              </w:rPr>
            </w:pPr>
            <w:r>
              <w:rPr>
                <w:b/>
                <w:color w:val="auto"/>
              </w:rPr>
              <w:t>表3-</w:t>
            </w:r>
            <w:r>
              <w:rPr>
                <w:rFonts w:hint="eastAsia"/>
                <w:b/>
                <w:color w:val="auto"/>
                <w:lang w:val="en-US" w:eastAsia="zh-CN"/>
              </w:rPr>
              <w:t>7</w:t>
            </w:r>
            <w:r>
              <w:rPr>
                <w:b/>
                <w:color w:val="auto"/>
              </w:rPr>
              <w:t>项目厂界噪声标准值</w:t>
            </w:r>
            <w:r>
              <w:rPr>
                <w:rFonts w:hint="eastAsia"/>
                <w:b/>
                <w:bCs w:val="0"/>
                <w:color w:val="auto"/>
                <w:sz w:val="21"/>
                <w:szCs w:val="21"/>
              </w:rPr>
              <w:t>单位：</w:t>
            </w:r>
            <w:r>
              <w:rPr>
                <w:b/>
                <w:bCs w:val="0"/>
                <w:color w:val="auto"/>
                <w:sz w:val="21"/>
                <w:szCs w:val="21"/>
              </w:rPr>
              <w:t>dB（A）</w:t>
            </w:r>
          </w:p>
          <w:tbl>
            <w:tblPr>
              <w:tblStyle w:val="38"/>
              <w:tblW w:w="5000"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661"/>
              <w:gridCol w:w="3368"/>
              <w:gridCol w:w="3586"/>
            </w:tblGrid>
            <w:tr w14:paraId="24F67CD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64" w:type="pct"/>
                  <w:vAlign w:val="center"/>
                </w:tcPr>
                <w:p w14:paraId="3163FC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类别</w:t>
                  </w:r>
                </w:p>
              </w:tc>
              <w:tc>
                <w:tcPr>
                  <w:tcW w:w="1954" w:type="pct"/>
                  <w:vAlign w:val="center"/>
                </w:tcPr>
                <w:p w14:paraId="631B60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昼间</w:t>
                  </w:r>
                </w:p>
              </w:tc>
              <w:tc>
                <w:tcPr>
                  <w:tcW w:w="2081" w:type="pct"/>
                  <w:vAlign w:val="center"/>
                </w:tcPr>
                <w:p w14:paraId="1F38F58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color w:val="auto"/>
                      <w:sz w:val="21"/>
                      <w:szCs w:val="21"/>
                    </w:rPr>
                  </w:pPr>
                  <w:r>
                    <w:rPr>
                      <w:b/>
                      <w:color w:val="auto"/>
                      <w:sz w:val="21"/>
                      <w:szCs w:val="21"/>
                    </w:rPr>
                    <w:t>夜间</w:t>
                  </w:r>
                </w:p>
              </w:tc>
            </w:tr>
            <w:tr w14:paraId="30682C9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964" w:type="pct"/>
                  <w:vAlign w:val="center"/>
                </w:tcPr>
                <w:p w14:paraId="4F68F3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 w:val="21"/>
                      <w:szCs w:val="21"/>
                    </w:rPr>
                  </w:pPr>
                  <w:r>
                    <w:rPr>
                      <w:rFonts w:hint="eastAsia"/>
                      <w:bCs/>
                      <w:color w:val="auto"/>
                      <w:sz w:val="21"/>
                      <w:szCs w:val="21"/>
                    </w:rPr>
                    <w:t>3类</w:t>
                  </w:r>
                </w:p>
              </w:tc>
              <w:tc>
                <w:tcPr>
                  <w:tcW w:w="1954" w:type="pct"/>
                  <w:vAlign w:val="center"/>
                </w:tcPr>
                <w:p w14:paraId="3B8591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 w:val="21"/>
                      <w:szCs w:val="21"/>
                    </w:rPr>
                  </w:pPr>
                  <w:r>
                    <w:rPr>
                      <w:rFonts w:hint="eastAsia"/>
                      <w:bCs/>
                      <w:color w:val="auto"/>
                      <w:sz w:val="21"/>
                      <w:szCs w:val="21"/>
                    </w:rPr>
                    <w:t>65</w:t>
                  </w:r>
                </w:p>
              </w:tc>
              <w:tc>
                <w:tcPr>
                  <w:tcW w:w="2081" w:type="pct"/>
                  <w:vAlign w:val="center"/>
                </w:tcPr>
                <w:p w14:paraId="2FE8CE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Cs/>
                      <w:color w:val="auto"/>
                      <w:sz w:val="21"/>
                      <w:szCs w:val="21"/>
                    </w:rPr>
                  </w:pPr>
                  <w:r>
                    <w:rPr>
                      <w:rFonts w:hint="eastAsia"/>
                      <w:bCs/>
                      <w:color w:val="auto"/>
                      <w:sz w:val="21"/>
                      <w:szCs w:val="21"/>
                    </w:rPr>
                    <w:t>55</w:t>
                  </w:r>
                </w:p>
              </w:tc>
            </w:tr>
          </w:tbl>
          <w:p w14:paraId="78E886E8">
            <w:pPr>
              <w:snapToGrid w:val="0"/>
              <w:spacing w:before="120" w:beforeLines="50" w:line="360" w:lineRule="auto"/>
              <w:ind w:firstLine="482"/>
              <w:rPr>
                <w:b/>
                <w:color w:val="auto"/>
              </w:rPr>
            </w:pPr>
            <w:r>
              <w:rPr>
                <w:rFonts w:hint="eastAsia"/>
                <w:b/>
                <w:color w:val="auto"/>
                <w:lang w:eastAsia="zh-CN"/>
              </w:rPr>
              <w:t>4.</w:t>
            </w:r>
            <w:r>
              <w:rPr>
                <w:b/>
                <w:color w:val="auto"/>
              </w:rPr>
              <w:t>固废标准</w:t>
            </w:r>
          </w:p>
          <w:p w14:paraId="7191C831">
            <w:pPr>
              <w:pStyle w:val="14"/>
              <w:keepNext w:val="0"/>
              <w:keepLines w:val="0"/>
              <w:pageBreakBefore w:val="0"/>
              <w:widowControl/>
              <w:kinsoku/>
              <w:wordWrap/>
              <w:overflowPunct/>
              <w:topLinePunct w:val="0"/>
              <w:autoSpaceDE/>
              <w:autoSpaceDN/>
              <w:bidi w:val="0"/>
              <w:adjustRightInd w:val="0"/>
              <w:snapToGrid w:val="0"/>
              <w:spacing w:before="0" w:after="0" w:line="360" w:lineRule="auto"/>
              <w:ind w:right="0" w:firstLine="360"/>
              <w:textAlignment w:val="auto"/>
              <w:rPr>
                <w:color w:val="auto"/>
              </w:rPr>
            </w:pPr>
            <w:r>
              <w:rPr>
                <w:color w:val="auto"/>
                <w:sz w:val="24"/>
                <w:szCs w:val="28"/>
              </w:rPr>
              <w:t>本项目一般固废贮存、处置过程执行《一般工业固体废物贮存和填埋污染控制标准》</w:t>
            </w:r>
            <w:r>
              <w:rPr>
                <w:rFonts w:hint="eastAsia"/>
                <w:color w:val="auto"/>
                <w:sz w:val="24"/>
                <w:szCs w:val="28"/>
                <w:lang w:eastAsia="zh-CN"/>
              </w:rPr>
              <w:t>（</w:t>
            </w:r>
            <w:r>
              <w:rPr>
                <w:color w:val="auto"/>
                <w:sz w:val="24"/>
                <w:szCs w:val="28"/>
              </w:rPr>
              <w:t>GB18599-2020</w:t>
            </w:r>
            <w:r>
              <w:rPr>
                <w:rFonts w:hint="eastAsia"/>
                <w:color w:val="auto"/>
                <w:sz w:val="24"/>
                <w:szCs w:val="28"/>
                <w:lang w:eastAsia="zh-CN"/>
              </w:rPr>
              <w:t>）</w:t>
            </w:r>
            <w:r>
              <w:rPr>
                <w:color w:val="auto"/>
                <w:sz w:val="24"/>
                <w:szCs w:val="28"/>
              </w:rPr>
              <w:t>；危险废物贮存执行《危险废物贮存污染控制标准》</w:t>
            </w:r>
            <w:r>
              <w:rPr>
                <w:rFonts w:hint="eastAsia"/>
                <w:color w:val="auto"/>
                <w:sz w:val="24"/>
                <w:szCs w:val="28"/>
                <w:lang w:eastAsia="zh-CN"/>
              </w:rPr>
              <w:t>（</w:t>
            </w:r>
            <w:r>
              <w:rPr>
                <w:color w:val="auto"/>
                <w:sz w:val="24"/>
                <w:szCs w:val="28"/>
              </w:rPr>
              <w:t>GB18597-2023</w:t>
            </w:r>
            <w:r>
              <w:rPr>
                <w:rFonts w:hint="eastAsia"/>
                <w:color w:val="auto"/>
                <w:sz w:val="24"/>
                <w:szCs w:val="28"/>
                <w:lang w:eastAsia="zh-CN"/>
              </w:rPr>
              <w:t>）</w:t>
            </w:r>
            <w:r>
              <w:rPr>
                <w:color w:val="auto"/>
                <w:sz w:val="24"/>
                <w:szCs w:val="28"/>
              </w:rPr>
              <w:t>中相关规定，并需满足</w:t>
            </w:r>
            <w:r>
              <w:rPr>
                <w:color w:val="auto"/>
                <w:kern w:val="0"/>
                <w:sz w:val="24"/>
                <w:szCs w:val="28"/>
                <w:lang w:bidi="ar"/>
              </w:rPr>
              <w:t>省生态环境厅关于印发《江苏省固体废物全过程环境监管工作意见》的通知</w:t>
            </w:r>
            <w:r>
              <w:rPr>
                <w:rFonts w:hint="eastAsia"/>
                <w:color w:val="auto"/>
                <w:kern w:val="0"/>
                <w:sz w:val="24"/>
                <w:szCs w:val="28"/>
                <w:lang w:eastAsia="zh-CN" w:bidi="ar"/>
              </w:rPr>
              <w:t>（</w:t>
            </w:r>
            <w:r>
              <w:rPr>
                <w:color w:val="auto"/>
                <w:kern w:val="0"/>
                <w:sz w:val="24"/>
                <w:szCs w:val="28"/>
                <w:lang w:bidi="ar"/>
              </w:rPr>
              <w:t>苏环办〔2024〕16号</w:t>
            </w:r>
            <w:r>
              <w:rPr>
                <w:rFonts w:hint="eastAsia"/>
                <w:color w:val="auto"/>
                <w:kern w:val="0"/>
                <w:sz w:val="24"/>
                <w:szCs w:val="28"/>
                <w:lang w:eastAsia="zh-CN" w:bidi="ar"/>
              </w:rPr>
              <w:t>）</w:t>
            </w:r>
            <w:r>
              <w:rPr>
                <w:color w:val="auto"/>
                <w:sz w:val="24"/>
                <w:szCs w:val="28"/>
              </w:rPr>
              <w:t>的相关要求。</w:t>
            </w:r>
          </w:p>
        </w:tc>
      </w:tr>
      <w:tr w14:paraId="271F85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66" w:hRule="atLeast"/>
          <w:jc w:val="center"/>
        </w:trPr>
        <w:tc>
          <w:tcPr>
            <w:tcW w:w="456" w:type="dxa"/>
            <w:vAlign w:val="center"/>
          </w:tcPr>
          <w:p w14:paraId="7989214E">
            <w:pPr>
              <w:adjustRightInd w:val="0"/>
              <w:snapToGrid w:val="0"/>
              <w:ind w:firstLine="0" w:firstLineChars="0"/>
              <w:jc w:val="center"/>
              <w:rPr>
                <w:color w:val="auto"/>
                <w:kern w:val="0"/>
                <w:szCs w:val="21"/>
              </w:rPr>
            </w:pPr>
            <w:r>
              <w:rPr>
                <w:color w:val="auto"/>
                <w:kern w:val="0"/>
                <w:szCs w:val="21"/>
              </w:rPr>
              <w:t>总量</w:t>
            </w:r>
          </w:p>
          <w:p w14:paraId="3F1F91A6">
            <w:pPr>
              <w:adjustRightInd w:val="0"/>
              <w:snapToGrid w:val="0"/>
              <w:ind w:firstLine="0" w:firstLineChars="0"/>
              <w:jc w:val="center"/>
              <w:rPr>
                <w:color w:val="auto"/>
                <w:kern w:val="0"/>
                <w:szCs w:val="21"/>
              </w:rPr>
            </w:pPr>
            <w:r>
              <w:rPr>
                <w:color w:val="auto"/>
                <w:kern w:val="0"/>
                <w:szCs w:val="21"/>
              </w:rPr>
              <w:t>控制</w:t>
            </w:r>
          </w:p>
          <w:p w14:paraId="6CEAE792">
            <w:pPr>
              <w:adjustRightInd w:val="0"/>
              <w:snapToGrid w:val="0"/>
              <w:ind w:firstLine="0" w:firstLineChars="0"/>
              <w:jc w:val="center"/>
              <w:rPr>
                <w:color w:val="auto"/>
                <w:kern w:val="0"/>
                <w:szCs w:val="21"/>
              </w:rPr>
            </w:pPr>
            <w:r>
              <w:rPr>
                <w:color w:val="auto"/>
                <w:kern w:val="0"/>
                <w:szCs w:val="21"/>
              </w:rPr>
              <w:t>指标</w:t>
            </w:r>
          </w:p>
        </w:tc>
        <w:tc>
          <w:tcPr>
            <w:tcW w:w="8831" w:type="dxa"/>
            <w:vAlign w:val="center"/>
          </w:tcPr>
          <w:p w14:paraId="7729019C">
            <w:pPr>
              <w:adjustRightInd w:val="0"/>
              <w:snapToGrid w:val="0"/>
              <w:spacing w:before="120" w:beforeLines="50" w:line="360" w:lineRule="auto"/>
              <w:ind w:firstLine="480"/>
              <w:rPr>
                <w:color w:val="auto"/>
              </w:rPr>
            </w:pPr>
            <w:r>
              <w:rPr>
                <w:color w:val="auto"/>
              </w:rPr>
              <w:t>本项目污染物排放总量控制指标建议见表</w:t>
            </w:r>
            <w:r>
              <w:rPr>
                <w:rFonts w:hint="eastAsia"/>
                <w:color w:val="auto"/>
              </w:rPr>
              <w:t>3-</w:t>
            </w:r>
            <w:r>
              <w:rPr>
                <w:rFonts w:hint="eastAsia"/>
                <w:color w:val="auto"/>
                <w:lang w:val="en-US" w:eastAsia="zh-CN"/>
              </w:rPr>
              <w:t>8</w:t>
            </w:r>
            <w:r>
              <w:rPr>
                <w:rFonts w:hint="eastAsia"/>
                <w:color w:val="auto"/>
              </w:rPr>
              <w:t>。</w:t>
            </w:r>
          </w:p>
          <w:p w14:paraId="2AAB9BF2">
            <w:pPr>
              <w:adjustRightInd w:val="0"/>
              <w:snapToGrid w:val="0"/>
              <w:spacing w:line="240" w:lineRule="auto"/>
              <w:ind w:firstLine="0" w:firstLineChars="0"/>
              <w:jc w:val="center"/>
              <w:rPr>
                <w:b/>
                <w:bCs/>
                <w:color w:val="auto"/>
              </w:rPr>
            </w:pPr>
            <w:r>
              <w:rPr>
                <w:b/>
                <w:color w:val="auto"/>
              </w:rPr>
              <w:t>表3-</w:t>
            </w:r>
            <w:r>
              <w:rPr>
                <w:rFonts w:hint="eastAsia"/>
                <w:b/>
                <w:color w:val="auto"/>
                <w:lang w:val="en-US" w:eastAsia="zh-CN"/>
              </w:rPr>
              <w:t>8</w:t>
            </w:r>
            <w:r>
              <w:rPr>
                <w:b/>
                <w:color w:val="auto"/>
              </w:rPr>
              <w:t>项目污染物排放总量控制指标</w:t>
            </w:r>
            <w:r>
              <w:rPr>
                <w:rFonts w:hint="eastAsia"/>
                <w:b/>
                <w:color w:val="0000FF"/>
                <w:lang w:val="en-US" w:eastAsia="zh-CN"/>
              </w:rPr>
              <w:t xml:space="preserve">   </w:t>
            </w:r>
            <w:r>
              <w:rPr>
                <w:bCs/>
                <w:color w:val="auto"/>
                <w:sz w:val="21"/>
                <w:szCs w:val="21"/>
              </w:rPr>
              <w:t>单位：t/a</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683"/>
              <w:gridCol w:w="1520"/>
              <w:gridCol w:w="1355"/>
              <w:gridCol w:w="1465"/>
              <w:gridCol w:w="1236"/>
              <w:gridCol w:w="1260"/>
            </w:tblGrid>
            <w:tr w14:paraId="69009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914" w:type="pct"/>
                  <w:gridSpan w:val="3"/>
                  <w:vAlign w:val="center"/>
                </w:tcPr>
                <w:p w14:paraId="00DCD648">
                  <w:pPr>
                    <w:snapToGrid w:val="0"/>
                    <w:spacing w:line="240" w:lineRule="auto"/>
                    <w:ind w:firstLine="0" w:firstLineChars="0"/>
                    <w:jc w:val="center"/>
                    <w:rPr>
                      <w:b/>
                      <w:bCs/>
                      <w:color w:val="auto"/>
                      <w:sz w:val="21"/>
                      <w:szCs w:val="21"/>
                    </w:rPr>
                  </w:pPr>
                  <w:r>
                    <w:rPr>
                      <w:b/>
                      <w:bCs/>
                      <w:color w:val="auto"/>
                      <w:sz w:val="21"/>
                      <w:szCs w:val="21"/>
                    </w:rPr>
                    <w:t>污染物</w:t>
                  </w:r>
                </w:p>
              </w:tc>
              <w:tc>
                <w:tcPr>
                  <w:tcW w:w="786" w:type="pct"/>
                  <w:vAlign w:val="center"/>
                </w:tcPr>
                <w:p w14:paraId="7197B6AF">
                  <w:pPr>
                    <w:snapToGrid w:val="0"/>
                    <w:spacing w:line="240" w:lineRule="auto"/>
                    <w:ind w:firstLine="0" w:firstLineChars="0"/>
                    <w:jc w:val="center"/>
                    <w:rPr>
                      <w:b/>
                      <w:bCs/>
                      <w:color w:val="auto"/>
                      <w:sz w:val="21"/>
                      <w:szCs w:val="21"/>
                    </w:rPr>
                  </w:pPr>
                  <w:r>
                    <w:rPr>
                      <w:b/>
                      <w:bCs/>
                      <w:color w:val="auto"/>
                      <w:sz w:val="21"/>
                      <w:szCs w:val="21"/>
                    </w:rPr>
                    <w:t>产生量</w:t>
                  </w:r>
                </w:p>
              </w:tc>
              <w:tc>
                <w:tcPr>
                  <w:tcW w:w="850" w:type="pct"/>
                  <w:vAlign w:val="center"/>
                </w:tcPr>
                <w:p w14:paraId="6E51355C">
                  <w:pPr>
                    <w:snapToGrid w:val="0"/>
                    <w:spacing w:line="240" w:lineRule="auto"/>
                    <w:ind w:firstLine="0" w:firstLineChars="0"/>
                    <w:jc w:val="center"/>
                    <w:rPr>
                      <w:b/>
                      <w:bCs/>
                      <w:color w:val="auto"/>
                      <w:sz w:val="21"/>
                      <w:szCs w:val="21"/>
                    </w:rPr>
                  </w:pPr>
                  <w:r>
                    <w:rPr>
                      <w:b/>
                      <w:bCs/>
                      <w:color w:val="auto"/>
                      <w:sz w:val="21"/>
                      <w:szCs w:val="21"/>
                    </w:rPr>
                    <w:t>削减量</w:t>
                  </w:r>
                </w:p>
              </w:tc>
              <w:tc>
                <w:tcPr>
                  <w:tcW w:w="717" w:type="pct"/>
                  <w:vAlign w:val="center"/>
                </w:tcPr>
                <w:p w14:paraId="43A1D885">
                  <w:pPr>
                    <w:snapToGrid w:val="0"/>
                    <w:spacing w:line="240" w:lineRule="auto"/>
                    <w:ind w:firstLine="0" w:firstLineChars="0"/>
                    <w:jc w:val="center"/>
                    <w:rPr>
                      <w:rFonts w:hint="eastAsia" w:eastAsia="宋体"/>
                      <w:b/>
                      <w:bCs/>
                      <w:color w:val="auto"/>
                      <w:sz w:val="21"/>
                      <w:szCs w:val="21"/>
                      <w:lang w:eastAsia="zh-CN"/>
                    </w:rPr>
                  </w:pPr>
                  <w:r>
                    <w:rPr>
                      <w:rFonts w:hint="eastAsia"/>
                      <w:b/>
                      <w:bCs/>
                      <w:color w:val="auto"/>
                      <w:sz w:val="21"/>
                      <w:szCs w:val="21"/>
                    </w:rPr>
                    <w:t>接管量</w:t>
                  </w:r>
                  <w:r>
                    <w:rPr>
                      <w:rFonts w:hint="eastAsia"/>
                      <w:b/>
                      <w:bCs/>
                      <w:color w:val="auto"/>
                      <w:sz w:val="21"/>
                      <w:szCs w:val="21"/>
                      <w:lang w:eastAsia="zh-CN"/>
                    </w:rPr>
                    <w:t>（</w:t>
                  </w:r>
                  <w:r>
                    <w:rPr>
                      <w:rFonts w:hint="eastAsia"/>
                      <w:b/>
                      <w:bCs/>
                      <w:color w:val="auto"/>
                      <w:sz w:val="21"/>
                      <w:szCs w:val="21"/>
                      <w:lang w:val="en-US" w:eastAsia="zh-CN"/>
                    </w:rPr>
                    <w:t>固废为处置量</w:t>
                  </w:r>
                  <w:r>
                    <w:rPr>
                      <w:rFonts w:hint="eastAsia"/>
                      <w:b/>
                      <w:bCs/>
                      <w:color w:val="auto"/>
                      <w:sz w:val="21"/>
                      <w:szCs w:val="21"/>
                      <w:lang w:eastAsia="zh-CN"/>
                    </w:rPr>
                    <w:t>）</w:t>
                  </w:r>
                </w:p>
              </w:tc>
              <w:tc>
                <w:tcPr>
                  <w:tcW w:w="731" w:type="pct"/>
                  <w:vAlign w:val="center"/>
                </w:tcPr>
                <w:p w14:paraId="2DD06B93">
                  <w:pPr>
                    <w:snapToGrid w:val="0"/>
                    <w:spacing w:line="240" w:lineRule="auto"/>
                    <w:ind w:firstLine="0" w:firstLineChars="0"/>
                    <w:jc w:val="center"/>
                    <w:rPr>
                      <w:b/>
                      <w:bCs/>
                      <w:color w:val="auto"/>
                      <w:sz w:val="21"/>
                      <w:szCs w:val="21"/>
                    </w:rPr>
                  </w:pPr>
                  <w:r>
                    <w:rPr>
                      <w:rFonts w:hint="eastAsia"/>
                      <w:b/>
                      <w:bCs/>
                      <w:color w:val="auto"/>
                      <w:sz w:val="21"/>
                      <w:szCs w:val="21"/>
                    </w:rPr>
                    <w:t>进入</w:t>
                  </w:r>
                  <w:r>
                    <w:rPr>
                      <w:b/>
                      <w:bCs/>
                      <w:color w:val="auto"/>
                      <w:sz w:val="21"/>
                      <w:szCs w:val="21"/>
                    </w:rPr>
                    <w:t>环境量</w:t>
                  </w:r>
                </w:p>
              </w:tc>
            </w:tr>
            <w:tr w14:paraId="4034FC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restart"/>
                  <w:vAlign w:val="center"/>
                </w:tcPr>
                <w:p w14:paraId="334E7F58">
                  <w:pPr>
                    <w:snapToGrid w:val="0"/>
                    <w:spacing w:line="240" w:lineRule="auto"/>
                    <w:ind w:firstLine="0" w:firstLineChars="0"/>
                    <w:jc w:val="center"/>
                    <w:rPr>
                      <w:color w:val="auto"/>
                      <w:sz w:val="21"/>
                      <w:szCs w:val="21"/>
                    </w:rPr>
                  </w:pPr>
                  <w:r>
                    <w:rPr>
                      <w:color w:val="auto"/>
                      <w:sz w:val="21"/>
                      <w:szCs w:val="21"/>
                    </w:rPr>
                    <w:t>废水</w:t>
                  </w:r>
                </w:p>
              </w:tc>
              <w:tc>
                <w:tcPr>
                  <w:tcW w:w="1278" w:type="pct"/>
                  <w:gridSpan w:val="2"/>
                  <w:vAlign w:val="center"/>
                </w:tcPr>
                <w:p w14:paraId="4F18FB33">
                  <w:pPr>
                    <w:snapToGrid w:val="0"/>
                    <w:spacing w:line="240" w:lineRule="auto"/>
                    <w:ind w:firstLine="0" w:firstLineChars="0"/>
                    <w:jc w:val="center"/>
                    <w:rPr>
                      <w:color w:val="auto"/>
                      <w:sz w:val="21"/>
                      <w:szCs w:val="21"/>
                    </w:rPr>
                  </w:pPr>
                  <w:r>
                    <w:rPr>
                      <w:color w:val="auto"/>
                      <w:sz w:val="21"/>
                      <w:szCs w:val="21"/>
                    </w:rPr>
                    <w:t>废水量</w:t>
                  </w:r>
                </w:p>
              </w:tc>
              <w:tc>
                <w:tcPr>
                  <w:tcW w:w="786" w:type="pct"/>
                  <w:vAlign w:val="center"/>
                </w:tcPr>
                <w:p w14:paraId="44CEE85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r>
                    <w:rPr>
                      <w:rFonts w:hint="default" w:ascii="Times New Roman" w:hAnsi="Times New Roman" w:cs="Times New Roman"/>
                      <w:color w:val="auto"/>
                      <w:sz w:val="21"/>
                      <w:szCs w:val="21"/>
                      <w:lang w:val="en-US" w:eastAsia="zh-CN"/>
                    </w:rPr>
                    <w:t>00</w:t>
                  </w:r>
                </w:p>
              </w:tc>
              <w:tc>
                <w:tcPr>
                  <w:tcW w:w="850" w:type="pct"/>
                  <w:vAlign w:val="center"/>
                </w:tcPr>
                <w:p w14:paraId="5B3D71A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c>
                <w:tcPr>
                  <w:tcW w:w="717" w:type="pct"/>
                  <w:vAlign w:val="center"/>
                </w:tcPr>
                <w:p w14:paraId="7B3DDE8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600</w:t>
                  </w:r>
                </w:p>
              </w:tc>
              <w:tc>
                <w:tcPr>
                  <w:tcW w:w="731" w:type="pct"/>
                  <w:vAlign w:val="center"/>
                </w:tcPr>
                <w:p w14:paraId="0A060770">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600</w:t>
                  </w:r>
                </w:p>
              </w:tc>
            </w:tr>
            <w:tr w14:paraId="3333B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4125128D">
                  <w:pPr>
                    <w:snapToGrid w:val="0"/>
                    <w:spacing w:line="240" w:lineRule="auto"/>
                    <w:ind w:firstLine="0" w:firstLineChars="0"/>
                    <w:jc w:val="center"/>
                    <w:rPr>
                      <w:color w:val="auto"/>
                      <w:sz w:val="21"/>
                      <w:szCs w:val="21"/>
                    </w:rPr>
                  </w:pPr>
                </w:p>
              </w:tc>
              <w:tc>
                <w:tcPr>
                  <w:tcW w:w="1278" w:type="pct"/>
                  <w:gridSpan w:val="2"/>
                  <w:vAlign w:val="center"/>
                </w:tcPr>
                <w:p w14:paraId="2147CCB8">
                  <w:pPr>
                    <w:snapToGrid w:val="0"/>
                    <w:spacing w:line="240" w:lineRule="auto"/>
                    <w:ind w:firstLine="0" w:firstLineChars="0"/>
                    <w:jc w:val="center"/>
                    <w:rPr>
                      <w:color w:val="auto"/>
                      <w:sz w:val="21"/>
                      <w:szCs w:val="21"/>
                    </w:rPr>
                  </w:pPr>
                  <w:r>
                    <w:rPr>
                      <w:color w:val="auto"/>
                      <w:sz w:val="21"/>
                      <w:szCs w:val="21"/>
                    </w:rPr>
                    <w:t>COD</w:t>
                  </w:r>
                </w:p>
              </w:tc>
              <w:tc>
                <w:tcPr>
                  <w:tcW w:w="786" w:type="pct"/>
                  <w:shd w:val="clear" w:color="auto" w:fill="auto"/>
                  <w:vAlign w:val="center"/>
                </w:tcPr>
                <w:p w14:paraId="23381272">
                  <w:pPr>
                    <w:adjustRightInd w:val="0"/>
                    <w:snapToGrid w:val="0"/>
                    <w:spacing w:line="240" w:lineRule="auto"/>
                    <w:ind w:firstLine="0" w:firstLineChars="0"/>
                    <w:jc w:val="center"/>
                    <w:rPr>
                      <w:rFonts w:hint="default" w:ascii="Times New Roman" w:hAnsi="Times New Roman" w:eastAsia="宋体" w:cs="Times New Roman"/>
                      <w:color w:val="0000FF"/>
                      <w:kern w:val="2"/>
                      <w:sz w:val="21"/>
                      <w:szCs w:val="21"/>
                      <w:lang w:val="en-US" w:eastAsia="zh-CN" w:bidi="ar-SA"/>
                    </w:rPr>
                  </w:pPr>
                  <w:r>
                    <w:rPr>
                      <w:rFonts w:hint="eastAsia" w:cs="Times New Roman"/>
                      <w:color w:val="auto"/>
                      <w:sz w:val="21"/>
                      <w:szCs w:val="21"/>
                      <w:lang w:val="en-US" w:eastAsia="zh-CN"/>
                    </w:rPr>
                    <w:t>0.21</w:t>
                  </w:r>
                </w:p>
              </w:tc>
              <w:tc>
                <w:tcPr>
                  <w:tcW w:w="850" w:type="pct"/>
                  <w:vAlign w:val="center"/>
                </w:tcPr>
                <w:p w14:paraId="7FDABEE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0.042</w:t>
                  </w:r>
                </w:p>
              </w:tc>
              <w:tc>
                <w:tcPr>
                  <w:tcW w:w="717" w:type="pct"/>
                  <w:vAlign w:val="center"/>
                </w:tcPr>
                <w:p w14:paraId="59E84C8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0.168</w:t>
                  </w:r>
                </w:p>
              </w:tc>
              <w:tc>
                <w:tcPr>
                  <w:tcW w:w="731" w:type="pct"/>
                  <w:vAlign w:val="center"/>
                </w:tcPr>
                <w:p w14:paraId="51F42077">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0.03</w:t>
                  </w:r>
                </w:p>
              </w:tc>
            </w:tr>
            <w:tr w14:paraId="7DD15A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199CAAFB">
                  <w:pPr>
                    <w:snapToGrid w:val="0"/>
                    <w:spacing w:line="240" w:lineRule="auto"/>
                    <w:ind w:firstLine="0" w:firstLineChars="0"/>
                    <w:jc w:val="center"/>
                    <w:rPr>
                      <w:color w:val="auto"/>
                      <w:sz w:val="21"/>
                      <w:szCs w:val="21"/>
                    </w:rPr>
                  </w:pPr>
                </w:p>
              </w:tc>
              <w:tc>
                <w:tcPr>
                  <w:tcW w:w="1278" w:type="pct"/>
                  <w:gridSpan w:val="2"/>
                  <w:vAlign w:val="center"/>
                </w:tcPr>
                <w:p w14:paraId="406AFDF0">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BOD</w:t>
                  </w:r>
                  <w:r>
                    <w:rPr>
                      <w:rFonts w:hint="eastAsia"/>
                      <w:color w:val="auto"/>
                      <w:sz w:val="21"/>
                      <w:szCs w:val="21"/>
                      <w:vertAlign w:val="subscript"/>
                      <w:lang w:val="en-US" w:eastAsia="zh-CN"/>
                    </w:rPr>
                    <w:t>5</w:t>
                  </w:r>
                </w:p>
              </w:tc>
              <w:tc>
                <w:tcPr>
                  <w:tcW w:w="786" w:type="pct"/>
                  <w:shd w:val="clear" w:color="auto" w:fill="auto"/>
                  <w:vAlign w:val="center"/>
                </w:tcPr>
                <w:p w14:paraId="06EB263E">
                  <w:pPr>
                    <w:adjustRightInd w:val="0"/>
                    <w:snapToGrid w:val="0"/>
                    <w:spacing w:line="240" w:lineRule="auto"/>
                    <w:ind w:firstLine="0" w:firstLineChars="0"/>
                    <w:jc w:val="center"/>
                    <w:rPr>
                      <w:rFonts w:hint="default" w:ascii="Times New Roman" w:hAnsi="Times New Roman" w:eastAsia="宋体" w:cs="Times New Roman"/>
                      <w:i w:val="0"/>
                      <w:iCs w:val="0"/>
                      <w:color w:val="0000FF"/>
                      <w:kern w:val="0"/>
                      <w:sz w:val="21"/>
                      <w:szCs w:val="21"/>
                      <w:u w:val="none"/>
                      <w:lang w:val="en-US" w:eastAsia="zh-CN" w:bidi="ar"/>
                    </w:rPr>
                  </w:pPr>
                  <w:r>
                    <w:rPr>
                      <w:rFonts w:hint="eastAsia" w:cs="Times New Roman"/>
                      <w:color w:val="auto"/>
                      <w:sz w:val="21"/>
                      <w:szCs w:val="21"/>
                      <w:lang w:val="en-US" w:eastAsia="zh-CN"/>
                    </w:rPr>
                    <w:t>0.15</w:t>
                  </w:r>
                </w:p>
              </w:tc>
              <w:tc>
                <w:tcPr>
                  <w:tcW w:w="850" w:type="pct"/>
                  <w:vAlign w:val="center"/>
                </w:tcPr>
                <w:p w14:paraId="3FB6260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0.054</w:t>
                  </w:r>
                </w:p>
              </w:tc>
              <w:tc>
                <w:tcPr>
                  <w:tcW w:w="717" w:type="pct"/>
                  <w:vAlign w:val="center"/>
                </w:tcPr>
                <w:p w14:paraId="3EC953D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0.096</w:t>
                  </w:r>
                </w:p>
              </w:tc>
              <w:tc>
                <w:tcPr>
                  <w:tcW w:w="731" w:type="pct"/>
                  <w:vAlign w:val="center"/>
                </w:tcPr>
                <w:p w14:paraId="325E750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0.006</w:t>
                  </w:r>
                </w:p>
              </w:tc>
            </w:tr>
            <w:tr w14:paraId="3DADB8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3B3B5A13">
                  <w:pPr>
                    <w:snapToGrid w:val="0"/>
                    <w:spacing w:line="240" w:lineRule="auto"/>
                    <w:ind w:firstLine="0" w:firstLineChars="0"/>
                    <w:jc w:val="center"/>
                    <w:rPr>
                      <w:color w:val="auto"/>
                      <w:sz w:val="21"/>
                      <w:szCs w:val="21"/>
                    </w:rPr>
                  </w:pPr>
                </w:p>
              </w:tc>
              <w:tc>
                <w:tcPr>
                  <w:tcW w:w="1278" w:type="pct"/>
                  <w:gridSpan w:val="2"/>
                  <w:vAlign w:val="center"/>
                </w:tcPr>
                <w:p w14:paraId="56D8A9B8">
                  <w:pPr>
                    <w:snapToGrid w:val="0"/>
                    <w:spacing w:line="240" w:lineRule="auto"/>
                    <w:ind w:firstLine="0" w:firstLineChars="0"/>
                    <w:jc w:val="center"/>
                    <w:rPr>
                      <w:color w:val="auto"/>
                      <w:sz w:val="21"/>
                      <w:szCs w:val="21"/>
                    </w:rPr>
                  </w:pPr>
                  <w:r>
                    <w:rPr>
                      <w:color w:val="auto"/>
                      <w:sz w:val="21"/>
                      <w:szCs w:val="21"/>
                    </w:rPr>
                    <w:t>SS</w:t>
                  </w:r>
                </w:p>
              </w:tc>
              <w:tc>
                <w:tcPr>
                  <w:tcW w:w="786" w:type="pct"/>
                  <w:shd w:val="clear" w:color="auto" w:fill="auto"/>
                  <w:vAlign w:val="center"/>
                </w:tcPr>
                <w:p w14:paraId="0C29AD72">
                  <w:pPr>
                    <w:adjustRightInd w:val="0"/>
                    <w:snapToGrid w:val="0"/>
                    <w:spacing w:line="240" w:lineRule="auto"/>
                    <w:ind w:firstLine="0" w:firstLineChars="0"/>
                    <w:jc w:val="center"/>
                    <w:rPr>
                      <w:rFonts w:hint="default" w:ascii="Times New Roman" w:hAnsi="Times New Roman" w:eastAsia="宋体" w:cs="Times New Roman"/>
                      <w:color w:val="0000FF"/>
                      <w:kern w:val="2"/>
                      <w:sz w:val="21"/>
                      <w:szCs w:val="21"/>
                      <w:lang w:val="en-US" w:eastAsia="zh-CN" w:bidi="ar-SA"/>
                    </w:rPr>
                  </w:pPr>
                  <w:r>
                    <w:rPr>
                      <w:rFonts w:hint="eastAsia" w:cs="Times New Roman"/>
                      <w:color w:val="auto"/>
                      <w:sz w:val="21"/>
                      <w:szCs w:val="21"/>
                      <w:lang w:val="en-US" w:eastAsia="zh-CN"/>
                    </w:rPr>
                    <w:t>0.12</w:t>
                  </w:r>
                </w:p>
              </w:tc>
              <w:tc>
                <w:tcPr>
                  <w:tcW w:w="850" w:type="pct"/>
                  <w:vAlign w:val="center"/>
                </w:tcPr>
                <w:p w14:paraId="54661F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0.024</w:t>
                  </w:r>
                </w:p>
              </w:tc>
              <w:tc>
                <w:tcPr>
                  <w:tcW w:w="717" w:type="pct"/>
                  <w:vAlign w:val="center"/>
                </w:tcPr>
                <w:p w14:paraId="5CFB632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0.096</w:t>
                  </w:r>
                </w:p>
              </w:tc>
              <w:tc>
                <w:tcPr>
                  <w:tcW w:w="731" w:type="pct"/>
                  <w:vAlign w:val="center"/>
                </w:tcPr>
                <w:p w14:paraId="175AD4B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0.006</w:t>
                  </w:r>
                </w:p>
              </w:tc>
            </w:tr>
            <w:tr w14:paraId="4AA48B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45C41E62">
                  <w:pPr>
                    <w:snapToGrid w:val="0"/>
                    <w:spacing w:line="240" w:lineRule="auto"/>
                    <w:ind w:firstLine="0" w:firstLineChars="0"/>
                    <w:jc w:val="center"/>
                    <w:rPr>
                      <w:color w:val="auto"/>
                      <w:sz w:val="21"/>
                      <w:szCs w:val="21"/>
                    </w:rPr>
                  </w:pPr>
                </w:p>
              </w:tc>
              <w:tc>
                <w:tcPr>
                  <w:tcW w:w="1278" w:type="pct"/>
                  <w:gridSpan w:val="2"/>
                  <w:vAlign w:val="center"/>
                </w:tcPr>
                <w:p w14:paraId="0D9F29D9">
                  <w:pPr>
                    <w:snapToGrid w:val="0"/>
                    <w:spacing w:line="240" w:lineRule="auto"/>
                    <w:ind w:firstLine="0" w:firstLineChars="0"/>
                    <w:jc w:val="center"/>
                    <w:rPr>
                      <w:color w:val="auto"/>
                      <w:sz w:val="21"/>
                      <w:szCs w:val="21"/>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786" w:type="pct"/>
                  <w:shd w:val="clear" w:color="auto" w:fill="auto"/>
                  <w:vAlign w:val="center"/>
                </w:tcPr>
                <w:p w14:paraId="6F1BF3F1">
                  <w:pPr>
                    <w:adjustRightInd w:val="0"/>
                    <w:snapToGrid w:val="0"/>
                    <w:spacing w:line="240" w:lineRule="auto"/>
                    <w:ind w:firstLine="0" w:firstLineChars="0"/>
                    <w:jc w:val="center"/>
                    <w:rPr>
                      <w:rFonts w:hint="default" w:ascii="Times New Roman" w:hAnsi="Times New Roman" w:eastAsia="宋体" w:cs="Times New Roman"/>
                      <w:color w:val="0000FF"/>
                      <w:kern w:val="2"/>
                      <w:sz w:val="21"/>
                      <w:szCs w:val="21"/>
                      <w:lang w:val="en-US" w:eastAsia="zh-CN" w:bidi="ar-SA"/>
                    </w:rPr>
                  </w:pPr>
                  <w:r>
                    <w:rPr>
                      <w:rFonts w:hint="eastAsia" w:cs="Times New Roman"/>
                      <w:color w:val="auto"/>
                      <w:sz w:val="21"/>
                      <w:szCs w:val="21"/>
                      <w:lang w:val="en-US" w:eastAsia="zh-CN"/>
                    </w:rPr>
                    <w:t>0.021</w:t>
                  </w:r>
                </w:p>
              </w:tc>
              <w:tc>
                <w:tcPr>
                  <w:tcW w:w="850" w:type="pct"/>
                  <w:vAlign w:val="center"/>
                </w:tcPr>
                <w:p w14:paraId="6D18C4D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0.003</w:t>
                  </w:r>
                </w:p>
              </w:tc>
              <w:tc>
                <w:tcPr>
                  <w:tcW w:w="717" w:type="pct"/>
                  <w:vAlign w:val="center"/>
                </w:tcPr>
                <w:p w14:paraId="5CB19AF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731" w:type="pct"/>
                  <w:vAlign w:val="center"/>
                </w:tcPr>
                <w:p w14:paraId="2302B28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0.003</w:t>
                  </w:r>
                </w:p>
              </w:tc>
            </w:tr>
            <w:tr w14:paraId="77704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71B002A7">
                  <w:pPr>
                    <w:snapToGrid w:val="0"/>
                    <w:spacing w:line="240" w:lineRule="auto"/>
                    <w:ind w:firstLine="0" w:firstLineChars="0"/>
                    <w:jc w:val="center"/>
                    <w:rPr>
                      <w:color w:val="auto"/>
                      <w:sz w:val="21"/>
                      <w:szCs w:val="21"/>
                    </w:rPr>
                  </w:pPr>
                </w:p>
              </w:tc>
              <w:tc>
                <w:tcPr>
                  <w:tcW w:w="1278" w:type="pct"/>
                  <w:gridSpan w:val="2"/>
                  <w:vAlign w:val="center"/>
                </w:tcPr>
                <w:p w14:paraId="062C9FBF">
                  <w:pPr>
                    <w:snapToGrid w:val="0"/>
                    <w:spacing w:line="240" w:lineRule="auto"/>
                    <w:ind w:firstLine="0" w:firstLineChars="0"/>
                    <w:jc w:val="center"/>
                    <w:rPr>
                      <w:rFonts w:hint="eastAsia" w:eastAsia="宋体"/>
                      <w:color w:val="auto"/>
                      <w:sz w:val="21"/>
                      <w:szCs w:val="21"/>
                      <w:lang w:val="en-US" w:eastAsia="zh-CN"/>
                    </w:rPr>
                  </w:pPr>
                  <w:r>
                    <w:rPr>
                      <w:color w:val="auto"/>
                      <w:sz w:val="21"/>
                      <w:szCs w:val="21"/>
                    </w:rPr>
                    <w:t>T</w:t>
                  </w:r>
                  <w:r>
                    <w:rPr>
                      <w:rFonts w:hint="eastAsia"/>
                      <w:color w:val="auto"/>
                      <w:sz w:val="21"/>
                      <w:szCs w:val="21"/>
                      <w:lang w:val="en-US" w:eastAsia="zh-CN"/>
                    </w:rPr>
                    <w:t>N</w:t>
                  </w:r>
                </w:p>
              </w:tc>
              <w:tc>
                <w:tcPr>
                  <w:tcW w:w="786" w:type="pct"/>
                  <w:vAlign w:val="center"/>
                </w:tcPr>
                <w:p w14:paraId="6DB6BCA0">
                  <w:pPr>
                    <w:adjustRightInd w:val="0"/>
                    <w:snapToGrid w:val="0"/>
                    <w:spacing w:line="240" w:lineRule="auto"/>
                    <w:ind w:firstLine="0" w:firstLineChars="0"/>
                    <w:jc w:val="center"/>
                    <w:rPr>
                      <w:rFonts w:hint="default" w:ascii="Times New Roman" w:hAnsi="Times New Roman" w:cs="Times New Roman"/>
                      <w:color w:val="0000FF"/>
                      <w:sz w:val="21"/>
                      <w:szCs w:val="21"/>
                      <w:lang w:val="en-US"/>
                    </w:rPr>
                  </w:pPr>
                  <w:r>
                    <w:rPr>
                      <w:rFonts w:hint="eastAsia" w:cs="Times New Roman"/>
                      <w:color w:val="auto"/>
                      <w:sz w:val="21"/>
                      <w:szCs w:val="21"/>
                      <w:lang w:val="en-US" w:eastAsia="zh-CN"/>
                    </w:rPr>
                    <w:t>0.027</w:t>
                  </w:r>
                </w:p>
              </w:tc>
              <w:tc>
                <w:tcPr>
                  <w:tcW w:w="850" w:type="pct"/>
                  <w:vAlign w:val="center"/>
                </w:tcPr>
                <w:p w14:paraId="5BBDD4B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0.003</w:t>
                  </w:r>
                </w:p>
              </w:tc>
              <w:tc>
                <w:tcPr>
                  <w:tcW w:w="717" w:type="pct"/>
                  <w:vAlign w:val="center"/>
                </w:tcPr>
                <w:p w14:paraId="6081A01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0.024</w:t>
                  </w:r>
                </w:p>
              </w:tc>
              <w:tc>
                <w:tcPr>
                  <w:tcW w:w="731" w:type="pct"/>
                  <w:vAlign w:val="center"/>
                </w:tcPr>
                <w:p w14:paraId="6ADE2601">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0.009</w:t>
                  </w:r>
                </w:p>
              </w:tc>
            </w:tr>
            <w:tr w14:paraId="4D280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7258DBA0">
                  <w:pPr>
                    <w:snapToGrid w:val="0"/>
                    <w:spacing w:line="240" w:lineRule="auto"/>
                    <w:ind w:firstLine="0" w:firstLineChars="0"/>
                    <w:jc w:val="center"/>
                    <w:rPr>
                      <w:color w:val="auto"/>
                      <w:sz w:val="21"/>
                      <w:szCs w:val="21"/>
                    </w:rPr>
                  </w:pPr>
                </w:p>
              </w:tc>
              <w:tc>
                <w:tcPr>
                  <w:tcW w:w="1278" w:type="pct"/>
                  <w:gridSpan w:val="2"/>
                  <w:vAlign w:val="center"/>
                </w:tcPr>
                <w:p w14:paraId="75F27691">
                  <w:pPr>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rPr>
                    <w:t>T</w:t>
                  </w:r>
                  <w:r>
                    <w:rPr>
                      <w:rFonts w:hint="eastAsia"/>
                      <w:color w:val="auto"/>
                      <w:sz w:val="21"/>
                      <w:szCs w:val="21"/>
                      <w:lang w:val="en-US" w:eastAsia="zh-CN"/>
                    </w:rPr>
                    <w:t>P</w:t>
                  </w:r>
                </w:p>
              </w:tc>
              <w:tc>
                <w:tcPr>
                  <w:tcW w:w="786" w:type="pct"/>
                  <w:vAlign w:val="center"/>
                </w:tcPr>
                <w:p w14:paraId="57B479CF">
                  <w:pPr>
                    <w:adjustRightInd w:val="0"/>
                    <w:snapToGrid w:val="0"/>
                    <w:spacing w:line="240" w:lineRule="auto"/>
                    <w:ind w:firstLine="0" w:firstLineChars="0"/>
                    <w:jc w:val="center"/>
                    <w:rPr>
                      <w:rFonts w:hint="default" w:ascii="Times New Roman" w:hAnsi="Times New Roman" w:eastAsia="宋体" w:cs="Times New Roman"/>
                      <w:color w:val="0000FF"/>
                      <w:sz w:val="21"/>
                      <w:szCs w:val="21"/>
                      <w:lang w:val="en-US" w:eastAsia="zh-CN"/>
                    </w:rPr>
                  </w:pPr>
                  <w:r>
                    <w:rPr>
                      <w:rFonts w:hint="eastAsia" w:cs="Times New Roman"/>
                      <w:color w:val="auto"/>
                      <w:sz w:val="21"/>
                      <w:szCs w:val="21"/>
                      <w:lang w:val="en-US" w:eastAsia="zh-CN"/>
                    </w:rPr>
                    <w:t>0.0024</w:t>
                  </w:r>
                </w:p>
              </w:tc>
              <w:tc>
                <w:tcPr>
                  <w:tcW w:w="850" w:type="pct"/>
                  <w:vAlign w:val="center"/>
                </w:tcPr>
                <w:p w14:paraId="53060EC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0.0012</w:t>
                  </w:r>
                </w:p>
              </w:tc>
              <w:tc>
                <w:tcPr>
                  <w:tcW w:w="717" w:type="pct"/>
                  <w:vAlign w:val="center"/>
                </w:tcPr>
                <w:p w14:paraId="789C1C7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0.0012</w:t>
                  </w:r>
                </w:p>
              </w:tc>
              <w:tc>
                <w:tcPr>
                  <w:tcW w:w="731" w:type="pct"/>
                  <w:vAlign w:val="center"/>
                </w:tcPr>
                <w:p w14:paraId="50AE9FA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0.0003</w:t>
                  </w:r>
                </w:p>
              </w:tc>
            </w:tr>
            <w:tr w14:paraId="7DDCB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Align w:val="center"/>
                </w:tcPr>
                <w:p w14:paraId="0491AC33">
                  <w:pPr>
                    <w:snapToGrid w:val="0"/>
                    <w:spacing w:line="240" w:lineRule="auto"/>
                    <w:ind w:firstLine="0" w:firstLineChars="0"/>
                    <w:jc w:val="center"/>
                    <w:rPr>
                      <w:color w:val="auto"/>
                      <w:sz w:val="21"/>
                      <w:szCs w:val="21"/>
                    </w:rPr>
                  </w:pPr>
                  <w:r>
                    <w:rPr>
                      <w:rFonts w:hint="eastAsia"/>
                      <w:color w:val="auto"/>
                      <w:sz w:val="21"/>
                      <w:szCs w:val="21"/>
                    </w:rPr>
                    <w:t>废气</w:t>
                  </w:r>
                </w:p>
              </w:tc>
              <w:tc>
                <w:tcPr>
                  <w:tcW w:w="396" w:type="pct"/>
                  <w:vAlign w:val="center"/>
                </w:tcPr>
                <w:p w14:paraId="60EFCB1B">
                  <w:pPr>
                    <w:spacing w:line="240" w:lineRule="auto"/>
                    <w:ind w:firstLine="0" w:firstLineChars="0"/>
                    <w:jc w:val="center"/>
                    <w:rPr>
                      <w:color w:val="auto"/>
                      <w:sz w:val="21"/>
                      <w:szCs w:val="21"/>
                    </w:rPr>
                  </w:pPr>
                  <w:r>
                    <w:rPr>
                      <w:rFonts w:hint="eastAsia"/>
                      <w:color w:val="auto"/>
                      <w:sz w:val="21"/>
                      <w:szCs w:val="21"/>
                    </w:rPr>
                    <w:t>有组织</w:t>
                  </w:r>
                </w:p>
              </w:tc>
              <w:tc>
                <w:tcPr>
                  <w:tcW w:w="882" w:type="pct"/>
                  <w:vAlign w:val="center"/>
                </w:tcPr>
                <w:p w14:paraId="565BE8B6">
                  <w:pPr>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VOCs（以非甲烷总烃表征）</w:t>
                  </w:r>
                </w:p>
              </w:tc>
              <w:tc>
                <w:tcPr>
                  <w:tcW w:w="786" w:type="pct"/>
                  <w:vAlign w:val="center"/>
                </w:tcPr>
                <w:p w14:paraId="64F65C7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lang w:val="en-US"/>
                    </w:rPr>
                  </w:pPr>
                  <w:r>
                    <w:rPr>
                      <w:rFonts w:hint="eastAsia" w:cs="Times New Roman"/>
                      <w:i w:val="0"/>
                      <w:iCs w:val="0"/>
                      <w:color w:val="auto"/>
                      <w:kern w:val="0"/>
                      <w:sz w:val="21"/>
                      <w:szCs w:val="21"/>
                      <w:u w:val="none"/>
                      <w:lang w:val="en-US" w:eastAsia="zh-CN" w:bidi="ar"/>
                    </w:rPr>
                    <w:t>2.351</w:t>
                  </w:r>
                </w:p>
              </w:tc>
              <w:tc>
                <w:tcPr>
                  <w:tcW w:w="850" w:type="pct"/>
                  <w:vAlign w:val="center"/>
                </w:tcPr>
                <w:p w14:paraId="765AF733">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2.116</w:t>
                  </w:r>
                </w:p>
              </w:tc>
              <w:tc>
                <w:tcPr>
                  <w:tcW w:w="717" w:type="pct"/>
                  <w:vAlign w:val="center"/>
                </w:tcPr>
                <w:p w14:paraId="2572381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31" w:type="pct"/>
                  <w:shd w:val="clear" w:color="auto" w:fill="auto"/>
                  <w:vAlign w:val="center"/>
                </w:tcPr>
                <w:p w14:paraId="1EAE63A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0.235</w:t>
                  </w:r>
                </w:p>
              </w:tc>
            </w:tr>
            <w:tr w14:paraId="43B63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636" w:type="pct"/>
                  <w:vMerge w:val="restart"/>
                  <w:vAlign w:val="center"/>
                </w:tcPr>
                <w:p w14:paraId="5FA4DE2A">
                  <w:pPr>
                    <w:snapToGrid w:val="0"/>
                    <w:spacing w:line="240" w:lineRule="auto"/>
                    <w:ind w:firstLine="0" w:firstLineChars="0"/>
                    <w:jc w:val="center"/>
                    <w:rPr>
                      <w:color w:val="auto"/>
                      <w:sz w:val="21"/>
                      <w:szCs w:val="21"/>
                    </w:rPr>
                  </w:pPr>
                  <w:r>
                    <w:rPr>
                      <w:color w:val="auto"/>
                      <w:sz w:val="21"/>
                      <w:szCs w:val="21"/>
                    </w:rPr>
                    <w:t>固废</w:t>
                  </w:r>
                </w:p>
              </w:tc>
              <w:tc>
                <w:tcPr>
                  <w:tcW w:w="396" w:type="pct"/>
                  <w:vMerge w:val="restart"/>
                  <w:vAlign w:val="center"/>
                </w:tcPr>
                <w:p w14:paraId="163148F0">
                  <w:pPr>
                    <w:adjustRightInd w:val="0"/>
                    <w:snapToGrid w:val="0"/>
                    <w:spacing w:line="240" w:lineRule="auto"/>
                    <w:ind w:firstLine="0" w:firstLineChars="0"/>
                    <w:jc w:val="center"/>
                    <w:rPr>
                      <w:color w:val="auto"/>
                      <w:sz w:val="21"/>
                      <w:szCs w:val="21"/>
                      <w:highlight w:val="none"/>
                    </w:rPr>
                  </w:pPr>
                  <w:r>
                    <w:rPr>
                      <w:rFonts w:hint="eastAsia"/>
                      <w:color w:val="auto"/>
                      <w:sz w:val="21"/>
                      <w:szCs w:val="21"/>
                      <w:highlight w:val="none"/>
                    </w:rPr>
                    <w:t>一般</w:t>
                  </w:r>
                </w:p>
                <w:p w14:paraId="731E4A1F">
                  <w:pPr>
                    <w:adjustRightInd w:val="0"/>
                    <w:snapToGrid w:val="0"/>
                    <w:spacing w:line="240" w:lineRule="auto"/>
                    <w:ind w:firstLine="0" w:firstLineChars="0"/>
                    <w:jc w:val="center"/>
                    <w:rPr>
                      <w:color w:val="auto"/>
                      <w:sz w:val="21"/>
                      <w:szCs w:val="21"/>
                      <w:highlight w:val="none"/>
                    </w:rPr>
                  </w:pPr>
                  <w:r>
                    <w:rPr>
                      <w:rFonts w:hint="eastAsia"/>
                      <w:color w:val="auto"/>
                      <w:sz w:val="21"/>
                      <w:szCs w:val="21"/>
                      <w:highlight w:val="none"/>
                    </w:rPr>
                    <w:t>固废</w:t>
                  </w:r>
                </w:p>
              </w:tc>
              <w:tc>
                <w:tcPr>
                  <w:tcW w:w="882" w:type="pct"/>
                  <w:vAlign w:val="center"/>
                </w:tcPr>
                <w:p w14:paraId="00EE6D1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color w:val="auto"/>
                      <w:sz w:val="21"/>
                      <w:szCs w:val="21"/>
                    </w:rPr>
                  </w:pPr>
                  <w:r>
                    <w:rPr>
                      <w:rFonts w:hint="eastAsia" w:ascii="宋体" w:hAnsi="宋体" w:eastAsia="宋体" w:cs="宋体"/>
                      <w:i w:val="0"/>
                      <w:iCs w:val="0"/>
                      <w:color w:val="auto"/>
                      <w:kern w:val="0"/>
                      <w:sz w:val="21"/>
                      <w:szCs w:val="21"/>
                      <w:u w:val="none"/>
                      <w:lang w:val="en-US" w:eastAsia="zh-CN" w:bidi="ar"/>
                    </w:rPr>
                    <w:t>废丝</w:t>
                  </w:r>
                </w:p>
              </w:tc>
              <w:tc>
                <w:tcPr>
                  <w:tcW w:w="786" w:type="pct"/>
                  <w:vAlign w:val="center"/>
                </w:tcPr>
                <w:p w14:paraId="2AE4C39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w:t>
                  </w:r>
                </w:p>
              </w:tc>
              <w:tc>
                <w:tcPr>
                  <w:tcW w:w="850" w:type="pct"/>
                  <w:vAlign w:val="center"/>
                </w:tcPr>
                <w:p w14:paraId="12654D6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7" w:type="pct"/>
                  <w:vAlign w:val="center"/>
                </w:tcPr>
                <w:p w14:paraId="73FCF631">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w:t>
                  </w:r>
                </w:p>
              </w:tc>
              <w:tc>
                <w:tcPr>
                  <w:tcW w:w="731" w:type="pct"/>
                  <w:vAlign w:val="center"/>
                </w:tcPr>
                <w:p w14:paraId="64919B1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w:t>
                  </w:r>
                </w:p>
              </w:tc>
            </w:tr>
            <w:tr w14:paraId="031D31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636" w:type="pct"/>
                  <w:vMerge w:val="continue"/>
                  <w:vAlign w:val="center"/>
                </w:tcPr>
                <w:p w14:paraId="49AC2604">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rPr>
                  </w:pPr>
                </w:p>
              </w:tc>
              <w:tc>
                <w:tcPr>
                  <w:tcW w:w="396" w:type="pct"/>
                  <w:vMerge w:val="continue"/>
                  <w:vAlign w:val="center"/>
                </w:tcPr>
                <w:p w14:paraId="367D838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color w:val="auto"/>
                      <w:highlight w:val="none"/>
                    </w:rPr>
                  </w:pPr>
                </w:p>
              </w:tc>
              <w:tc>
                <w:tcPr>
                  <w:tcW w:w="882" w:type="pct"/>
                  <w:vAlign w:val="center"/>
                </w:tcPr>
                <w:p w14:paraId="55ABAF5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auto"/>
                      <w:sz w:val="21"/>
                      <w:szCs w:val="21"/>
                    </w:rPr>
                  </w:pPr>
                  <w:r>
                    <w:rPr>
                      <w:rFonts w:hint="eastAsia" w:ascii="宋体" w:hAnsi="宋体" w:eastAsia="宋体" w:cs="宋体"/>
                      <w:i w:val="0"/>
                      <w:iCs w:val="0"/>
                      <w:color w:val="auto"/>
                      <w:kern w:val="0"/>
                      <w:sz w:val="21"/>
                      <w:szCs w:val="21"/>
                      <w:u w:val="none"/>
                      <w:lang w:val="en-US" w:eastAsia="zh-CN" w:bidi="ar"/>
                    </w:rPr>
                    <w:t>废布</w:t>
                  </w:r>
                </w:p>
              </w:tc>
              <w:tc>
                <w:tcPr>
                  <w:tcW w:w="786" w:type="pct"/>
                  <w:vAlign w:val="center"/>
                </w:tcPr>
                <w:p w14:paraId="6970D54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w:t>
                  </w:r>
                </w:p>
              </w:tc>
              <w:tc>
                <w:tcPr>
                  <w:tcW w:w="850" w:type="pct"/>
                  <w:vAlign w:val="center"/>
                </w:tcPr>
                <w:p w14:paraId="560826A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auto"/>
                      <w:sz w:val="21"/>
                      <w:szCs w:val="21"/>
                    </w:rPr>
                  </w:pPr>
                  <w:r>
                    <w:rPr>
                      <w:rFonts w:hint="default" w:ascii="Times New Roman" w:hAnsi="Times New Roman" w:cs="Times New Roman"/>
                      <w:color w:val="auto"/>
                      <w:sz w:val="21"/>
                      <w:szCs w:val="21"/>
                      <w:lang w:val="en-US" w:eastAsia="zh-CN"/>
                    </w:rPr>
                    <w:t>0</w:t>
                  </w:r>
                </w:p>
              </w:tc>
              <w:tc>
                <w:tcPr>
                  <w:tcW w:w="717" w:type="pct"/>
                  <w:vAlign w:val="center"/>
                </w:tcPr>
                <w:p w14:paraId="2489C87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w:t>
                  </w:r>
                </w:p>
              </w:tc>
              <w:tc>
                <w:tcPr>
                  <w:tcW w:w="731" w:type="pct"/>
                  <w:vAlign w:val="center"/>
                </w:tcPr>
                <w:p w14:paraId="7C0AB3C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olor w:val="auto"/>
                      <w:sz w:val="21"/>
                      <w:szCs w:val="21"/>
                    </w:rPr>
                  </w:pPr>
                  <w:r>
                    <w:rPr>
                      <w:rFonts w:hint="default" w:ascii="Times New Roman" w:hAnsi="Times New Roman" w:cs="Times New Roman"/>
                      <w:color w:val="auto"/>
                      <w:sz w:val="21"/>
                      <w:szCs w:val="21"/>
                      <w:lang w:val="en-US" w:eastAsia="zh-CN"/>
                    </w:rPr>
                    <w:t>0</w:t>
                  </w:r>
                </w:p>
              </w:tc>
            </w:tr>
            <w:tr w14:paraId="0F5169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5075660D">
                  <w:pPr>
                    <w:snapToGrid w:val="0"/>
                    <w:spacing w:line="240" w:lineRule="auto"/>
                    <w:ind w:firstLine="0" w:firstLineChars="0"/>
                    <w:jc w:val="center"/>
                    <w:rPr>
                      <w:color w:val="auto"/>
                      <w:sz w:val="21"/>
                      <w:szCs w:val="21"/>
                    </w:rPr>
                  </w:pPr>
                </w:p>
              </w:tc>
              <w:tc>
                <w:tcPr>
                  <w:tcW w:w="396" w:type="pct"/>
                  <w:vMerge w:val="restart"/>
                  <w:vAlign w:val="center"/>
                </w:tcPr>
                <w:p w14:paraId="34919AB0">
                  <w:pPr>
                    <w:adjustRightInd w:val="0"/>
                    <w:snapToGrid w:val="0"/>
                    <w:spacing w:line="240" w:lineRule="auto"/>
                    <w:ind w:firstLine="0" w:firstLineChars="0"/>
                    <w:jc w:val="center"/>
                    <w:rPr>
                      <w:color w:val="auto"/>
                      <w:sz w:val="21"/>
                      <w:szCs w:val="21"/>
                      <w:highlight w:val="none"/>
                    </w:rPr>
                  </w:pPr>
                  <w:r>
                    <w:rPr>
                      <w:rFonts w:hint="eastAsia"/>
                      <w:color w:val="auto"/>
                      <w:sz w:val="21"/>
                      <w:szCs w:val="21"/>
                      <w:highlight w:val="none"/>
                    </w:rPr>
                    <w:t>危险</w:t>
                  </w:r>
                </w:p>
                <w:p w14:paraId="0B0A6A5E">
                  <w:pPr>
                    <w:adjustRightInd w:val="0"/>
                    <w:snapToGrid w:val="0"/>
                    <w:spacing w:line="240" w:lineRule="auto"/>
                    <w:ind w:firstLine="0" w:firstLineChars="0"/>
                    <w:jc w:val="center"/>
                    <w:rPr>
                      <w:color w:val="auto"/>
                      <w:sz w:val="21"/>
                      <w:szCs w:val="21"/>
                      <w:highlight w:val="none"/>
                    </w:rPr>
                  </w:pPr>
                  <w:r>
                    <w:rPr>
                      <w:rFonts w:hint="eastAsia"/>
                      <w:color w:val="auto"/>
                      <w:sz w:val="21"/>
                      <w:szCs w:val="21"/>
                      <w:highlight w:val="none"/>
                    </w:rPr>
                    <w:t>废物</w:t>
                  </w:r>
                </w:p>
              </w:tc>
              <w:tc>
                <w:tcPr>
                  <w:tcW w:w="882" w:type="pct"/>
                  <w:vAlign w:val="center"/>
                </w:tcPr>
                <w:p w14:paraId="5D3A0A92">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color w:val="auto"/>
                      <w:sz w:val="21"/>
                      <w:szCs w:val="21"/>
                    </w:rPr>
                  </w:pPr>
                  <w:r>
                    <w:rPr>
                      <w:rFonts w:hint="eastAsia" w:ascii="宋体" w:hAnsi="宋体" w:eastAsia="宋体" w:cs="宋体"/>
                      <w:i w:val="0"/>
                      <w:iCs w:val="0"/>
                      <w:color w:val="auto"/>
                      <w:kern w:val="0"/>
                      <w:sz w:val="21"/>
                      <w:szCs w:val="21"/>
                      <w:u w:val="none"/>
                      <w:lang w:val="en-US" w:eastAsia="zh-CN" w:bidi="ar"/>
                    </w:rPr>
                    <w:t>废油桶</w:t>
                  </w:r>
                </w:p>
              </w:tc>
              <w:tc>
                <w:tcPr>
                  <w:tcW w:w="786" w:type="pct"/>
                  <w:vAlign w:val="center"/>
                </w:tcPr>
                <w:p w14:paraId="758C7E3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w:t>
                  </w:r>
                </w:p>
              </w:tc>
              <w:tc>
                <w:tcPr>
                  <w:tcW w:w="850" w:type="pct"/>
                  <w:vAlign w:val="center"/>
                </w:tcPr>
                <w:p w14:paraId="1C075BF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7" w:type="pct"/>
                  <w:vAlign w:val="center"/>
                </w:tcPr>
                <w:p w14:paraId="57DB100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w:t>
                  </w:r>
                </w:p>
              </w:tc>
              <w:tc>
                <w:tcPr>
                  <w:tcW w:w="731" w:type="pct"/>
                  <w:vAlign w:val="center"/>
                </w:tcPr>
                <w:p w14:paraId="4F6EFAE5">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w:t>
                  </w:r>
                </w:p>
              </w:tc>
            </w:tr>
            <w:tr w14:paraId="4E56FF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09C47FF7">
                  <w:pPr>
                    <w:snapToGrid w:val="0"/>
                    <w:spacing w:line="240" w:lineRule="auto"/>
                    <w:ind w:firstLine="0" w:firstLineChars="0"/>
                    <w:jc w:val="center"/>
                    <w:rPr>
                      <w:color w:val="auto"/>
                      <w:sz w:val="21"/>
                      <w:szCs w:val="21"/>
                    </w:rPr>
                  </w:pPr>
                </w:p>
              </w:tc>
              <w:tc>
                <w:tcPr>
                  <w:tcW w:w="396" w:type="pct"/>
                  <w:vMerge w:val="continue"/>
                  <w:vAlign w:val="center"/>
                </w:tcPr>
                <w:p w14:paraId="76B9CDF8">
                  <w:pPr>
                    <w:adjustRightInd w:val="0"/>
                    <w:snapToGrid w:val="0"/>
                    <w:spacing w:line="240" w:lineRule="auto"/>
                    <w:ind w:firstLine="0" w:firstLineChars="0"/>
                    <w:jc w:val="center"/>
                    <w:rPr>
                      <w:color w:val="auto"/>
                      <w:sz w:val="21"/>
                      <w:szCs w:val="21"/>
                    </w:rPr>
                  </w:pPr>
                </w:p>
              </w:tc>
              <w:tc>
                <w:tcPr>
                  <w:tcW w:w="882" w:type="pct"/>
                  <w:vAlign w:val="center"/>
                </w:tcPr>
                <w:p w14:paraId="694F116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color w:val="auto"/>
                      <w:sz w:val="21"/>
                      <w:szCs w:val="21"/>
                    </w:rPr>
                  </w:pPr>
                  <w:r>
                    <w:rPr>
                      <w:rFonts w:hint="eastAsia" w:ascii="宋体" w:hAnsi="宋体" w:eastAsia="宋体" w:cs="宋体"/>
                      <w:i w:val="0"/>
                      <w:iCs w:val="0"/>
                      <w:color w:val="auto"/>
                      <w:kern w:val="0"/>
                      <w:sz w:val="21"/>
                      <w:szCs w:val="21"/>
                      <w:u w:val="none"/>
                      <w:lang w:val="en-US" w:eastAsia="zh-CN" w:bidi="ar"/>
                    </w:rPr>
                    <w:t>废机油</w:t>
                  </w:r>
                </w:p>
              </w:tc>
              <w:tc>
                <w:tcPr>
                  <w:tcW w:w="786" w:type="pct"/>
                  <w:vAlign w:val="center"/>
                </w:tcPr>
                <w:p w14:paraId="54C5814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0.2</w:t>
                  </w:r>
                </w:p>
              </w:tc>
              <w:tc>
                <w:tcPr>
                  <w:tcW w:w="850" w:type="pct"/>
                  <w:vAlign w:val="center"/>
                </w:tcPr>
                <w:p w14:paraId="67D7468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7" w:type="pct"/>
                  <w:vAlign w:val="center"/>
                </w:tcPr>
                <w:p w14:paraId="0433588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0.2</w:t>
                  </w:r>
                </w:p>
              </w:tc>
              <w:tc>
                <w:tcPr>
                  <w:tcW w:w="731" w:type="pct"/>
                  <w:vAlign w:val="center"/>
                </w:tcPr>
                <w:p w14:paraId="5496846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w:t>
                  </w:r>
                </w:p>
              </w:tc>
            </w:tr>
            <w:tr w14:paraId="0EE8E1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449B07BA">
                  <w:pPr>
                    <w:snapToGrid w:val="0"/>
                    <w:spacing w:line="240" w:lineRule="auto"/>
                    <w:ind w:firstLine="0" w:firstLineChars="0"/>
                    <w:jc w:val="center"/>
                    <w:rPr>
                      <w:color w:val="auto"/>
                      <w:sz w:val="21"/>
                      <w:szCs w:val="21"/>
                    </w:rPr>
                  </w:pPr>
                </w:p>
              </w:tc>
              <w:tc>
                <w:tcPr>
                  <w:tcW w:w="396" w:type="pct"/>
                  <w:vMerge w:val="continue"/>
                  <w:vAlign w:val="center"/>
                </w:tcPr>
                <w:p w14:paraId="3F6A89A8">
                  <w:pPr>
                    <w:adjustRightInd w:val="0"/>
                    <w:snapToGrid w:val="0"/>
                    <w:spacing w:line="240" w:lineRule="auto"/>
                    <w:ind w:firstLine="0" w:firstLineChars="0"/>
                    <w:jc w:val="center"/>
                    <w:rPr>
                      <w:color w:val="auto"/>
                      <w:sz w:val="21"/>
                      <w:szCs w:val="21"/>
                    </w:rPr>
                  </w:pPr>
                </w:p>
              </w:tc>
              <w:tc>
                <w:tcPr>
                  <w:tcW w:w="882" w:type="pct"/>
                  <w:vAlign w:val="center"/>
                </w:tcPr>
                <w:p w14:paraId="54F20323">
                  <w:pPr>
                    <w:snapToGrid w:val="0"/>
                    <w:spacing w:line="240" w:lineRule="auto"/>
                    <w:ind w:firstLine="0" w:firstLineChars="0"/>
                    <w:jc w:val="center"/>
                    <w:rPr>
                      <w:color w:val="auto"/>
                      <w:sz w:val="21"/>
                      <w:szCs w:val="21"/>
                    </w:rPr>
                  </w:pPr>
                  <w:r>
                    <w:rPr>
                      <w:rFonts w:hint="eastAsia"/>
                      <w:b w:val="0"/>
                      <w:bCs w:val="0"/>
                      <w:color w:val="auto"/>
                      <w:kern w:val="0"/>
                      <w:sz w:val="21"/>
                      <w:szCs w:val="21"/>
                      <w:lang w:val="en-US" w:eastAsia="zh-CN"/>
                    </w:rPr>
                    <w:t>油烟净化器废油</w:t>
                  </w:r>
                </w:p>
              </w:tc>
              <w:tc>
                <w:tcPr>
                  <w:tcW w:w="786" w:type="pct"/>
                  <w:vAlign w:val="center"/>
                </w:tcPr>
                <w:p w14:paraId="1193CFA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850" w:type="pct"/>
                  <w:vAlign w:val="center"/>
                </w:tcPr>
                <w:p w14:paraId="5516FF40">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7" w:type="pct"/>
                  <w:vAlign w:val="center"/>
                </w:tcPr>
                <w:p w14:paraId="1BAB5F4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731" w:type="pct"/>
                  <w:vAlign w:val="center"/>
                </w:tcPr>
                <w:p w14:paraId="6AD85076">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w:t>
                  </w:r>
                </w:p>
              </w:tc>
            </w:tr>
            <w:tr w14:paraId="3A7AD5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16D440FF">
                  <w:pPr>
                    <w:snapToGrid w:val="0"/>
                    <w:spacing w:line="240" w:lineRule="auto"/>
                    <w:ind w:firstLine="0" w:firstLineChars="0"/>
                    <w:jc w:val="center"/>
                    <w:rPr>
                      <w:color w:val="auto"/>
                      <w:sz w:val="21"/>
                      <w:szCs w:val="21"/>
                    </w:rPr>
                  </w:pPr>
                </w:p>
              </w:tc>
              <w:tc>
                <w:tcPr>
                  <w:tcW w:w="396" w:type="pct"/>
                  <w:vMerge w:val="continue"/>
                  <w:vAlign w:val="center"/>
                </w:tcPr>
                <w:p w14:paraId="1712BA3C">
                  <w:pPr>
                    <w:adjustRightInd w:val="0"/>
                    <w:snapToGrid w:val="0"/>
                    <w:spacing w:line="240" w:lineRule="auto"/>
                    <w:ind w:firstLine="0" w:firstLineChars="0"/>
                    <w:jc w:val="center"/>
                    <w:rPr>
                      <w:color w:val="auto"/>
                      <w:sz w:val="21"/>
                      <w:szCs w:val="21"/>
                    </w:rPr>
                  </w:pPr>
                </w:p>
              </w:tc>
              <w:tc>
                <w:tcPr>
                  <w:tcW w:w="882" w:type="pct"/>
                  <w:vAlign w:val="center"/>
                </w:tcPr>
                <w:p w14:paraId="3F3B4AA6">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auto"/>
                      <w:sz w:val="21"/>
                      <w:szCs w:val="21"/>
                    </w:rPr>
                  </w:pPr>
                  <w:r>
                    <w:rPr>
                      <w:rFonts w:hint="eastAsia" w:ascii="宋体" w:hAnsi="宋体" w:eastAsia="宋体" w:cs="宋体"/>
                      <w:i w:val="0"/>
                      <w:iCs w:val="0"/>
                      <w:color w:val="auto"/>
                      <w:kern w:val="0"/>
                      <w:sz w:val="21"/>
                      <w:szCs w:val="21"/>
                      <w:u w:val="none"/>
                      <w:lang w:val="en-US" w:eastAsia="zh-CN" w:bidi="ar"/>
                    </w:rPr>
                    <w:t>污（油）泥</w:t>
                  </w:r>
                </w:p>
              </w:tc>
              <w:tc>
                <w:tcPr>
                  <w:tcW w:w="786" w:type="pct"/>
                  <w:vAlign w:val="center"/>
                </w:tcPr>
                <w:p w14:paraId="286AEAFE">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17.675</w:t>
                  </w:r>
                </w:p>
              </w:tc>
              <w:tc>
                <w:tcPr>
                  <w:tcW w:w="850" w:type="pct"/>
                  <w:vAlign w:val="center"/>
                </w:tcPr>
                <w:p w14:paraId="4D9C91F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7" w:type="pct"/>
                  <w:vAlign w:val="center"/>
                </w:tcPr>
                <w:p w14:paraId="51B402CD">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17.675</w:t>
                  </w:r>
                </w:p>
              </w:tc>
              <w:tc>
                <w:tcPr>
                  <w:tcW w:w="731" w:type="pct"/>
                  <w:vAlign w:val="center"/>
                </w:tcPr>
                <w:p w14:paraId="0BA7DAFB">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r w14:paraId="4F0532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0773A940">
                  <w:pPr>
                    <w:snapToGrid w:val="0"/>
                    <w:spacing w:line="240" w:lineRule="auto"/>
                    <w:ind w:firstLine="0" w:firstLineChars="0"/>
                    <w:jc w:val="center"/>
                    <w:rPr>
                      <w:color w:val="auto"/>
                      <w:sz w:val="21"/>
                      <w:szCs w:val="21"/>
                    </w:rPr>
                  </w:pPr>
                </w:p>
              </w:tc>
              <w:tc>
                <w:tcPr>
                  <w:tcW w:w="396" w:type="pct"/>
                  <w:vMerge w:val="continue"/>
                  <w:vAlign w:val="center"/>
                </w:tcPr>
                <w:p w14:paraId="699340E2">
                  <w:pPr>
                    <w:adjustRightInd w:val="0"/>
                    <w:snapToGrid w:val="0"/>
                    <w:spacing w:line="240" w:lineRule="auto"/>
                    <w:ind w:firstLine="0" w:firstLineChars="0"/>
                    <w:jc w:val="center"/>
                    <w:rPr>
                      <w:color w:val="auto"/>
                      <w:sz w:val="21"/>
                      <w:szCs w:val="21"/>
                    </w:rPr>
                  </w:pPr>
                </w:p>
              </w:tc>
              <w:tc>
                <w:tcPr>
                  <w:tcW w:w="882" w:type="pct"/>
                  <w:vAlign w:val="center"/>
                </w:tcPr>
                <w:p w14:paraId="5A8C61A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color w:val="auto"/>
                      <w:sz w:val="21"/>
                      <w:szCs w:val="21"/>
                    </w:rPr>
                  </w:pPr>
                  <w:r>
                    <w:rPr>
                      <w:rFonts w:hint="eastAsia" w:ascii="宋体" w:hAnsi="宋体" w:eastAsia="宋体" w:cs="宋体"/>
                      <w:i w:val="0"/>
                      <w:iCs w:val="0"/>
                      <w:color w:val="auto"/>
                      <w:kern w:val="0"/>
                      <w:sz w:val="21"/>
                      <w:szCs w:val="21"/>
                      <w:u w:val="none"/>
                      <w:lang w:val="en-US" w:eastAsia="zh-CN" w:bidi="ar"/>
                    </w:rPr>
                    <w:t>生化污泥</w:t>
                  </w:r>
                  <w:r>
                    <w:rPr>
                      <w:rFonts w:hint="eastAsia"/>
                      <w:color w:val="auto"/>
                      <w:sz w:val="21"/>
                      <w:szCs w:val="21"/>
                      <w:lang w:val="en-US" w:eastAsia="zh-CN"/>
                    </w:rPr>
                    <w:t>（待鉴别，鉴别前按危废管理）</w:t>
                  </w:r>
                </w:p>
              </w:tc>
              <w:tc>
                <w:tcPr>
                  <w:tcW w:w="786" w:type="pct"/>
                  <w:vAlign w:val="center"/>
                </w:tcPr>
                <w:p w14:paraId="63D7C8E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206.55</w:t>
                  </w:r>
                </w:p>
              </w:tc>
              <w:tc>
                <w:tcPr>
                  <w:tcW w:w="850" w:type="pct"/>
                  <w:vAlign w:val="center"/>
                </w:tcPr>
                <w:p w14:paraId="34F3904D">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7" w:type="pct"/>
                  <w:vAlign w:val="center"/>
                </w:tcPr>
                <w:p w14:paraId="5D268A0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206.55</w:t>
                  </w:r>
                </w:p>
              </w:tc>
              <w:tc>
                <w:tcPr>
                  <w:tcW w:w="731" w:type="pct"/>
                  <w:vAlign w:val="center"/>
                </w:tcPr>
                <w:p w14:paraId="36F573C9">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r>
            <w:tr w14:paraId="79EDFB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4976CB05">
                  <w:pPr>
                    <w:snapToGrid w:val="0"/>
                    <w:spacing w:line="240" w:lineRule="auto"/>
                    <w:ind w:firstLine="0" w:firstLineChars="0"/>
                    <w:jc w:val="center"/>
                    <w:rPr>
                      <w:color w:val="auto"/>
                      <w:sz w:val="21"/>
                      <w:szCs w:val="21"/>
                    </w:rPr>
                  </w:pPr>
                </w:p>
              </w:tc>
              <w:tc>
                <w:tcPr>
                  <w:tcW w:w="396" w:type="pct"/>
                  <w:vMerge w:val="continue"/>
                  <w:vAlign w:val="center"/>
                </w:tcPr>
                <w:p w14:paraId="227B1AED">
                  <w:pPr>
                    <w:adjustRightInd w:val="0"/>
                    <w:snapToGrid w:val="0"/>
                    <w:spacing w:line="240" w:lineRule="auto"/>
                    <w:ind w:firstLine="0" w:firstLineChars="0"/>
                    <w:jc w:val="center"/>
                    <w:rPr>
                      <w:color w:val="auto"/>
                      <w:sz w:val="21"/>
                      <w:szCs w:val="21"/>
                    </w:rPr>
                  </w:pPr>
                </w:p>
              </w:tc>
              <w:tc>
                <w:tcPr>
                  <w:tcW w:w="882" w:type="pct"/>
                  <w:vAlign w:val="center"/>
                </w:tcPr>
                <w:p w14:paraId="7E44151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废过滤介质</w:t>
                  </w:r>
                  <w:r>
                    <w:rPr>
                      <w:rFonts w:hint="eastAsia"/>
                      <w:color w:val="auto"/>
                      <w:sz w:val="21"/>
                      <w:szCs w:val="21"/>
                      <w:lang w:val="en-US" w:eastAsia="zh-CN"/>
                    </w:rPr>
                    <w:t>（待鉴别，鉴别前按危废管理）</w:t>
                  </w:r>
                </w:p>
              </w:tc>
              <w:tc>
                <w:tcPr>
                  <w:tcW w:w="786" w:type="pct"/>
                  <w:vAlign w:val="center"/>
                </w:tcPr>
                <w:p w14:paraId="3A283253">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18.4</w:t>
                  </w:r>
                </w:p>
              </w:tc>
              <w:tc>
                <w:tcPr>
                  <w:tcW w:w="850" w:type="pct"/>
                  <w:vAlign w:val="center"/>
                </w:tcPr>
                <w:p w14:paraId="5FA6FFEF">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w:t>
                  </w:r>
                </w:p>
              </w:tc>
              <w:tc>
                <w:tcPr>
                  <w:tcW w:w="717" w:type="pct"/>
                  <w:vAlign w:val="center"/>
                </w:tcPr>
                <w:p w14:paraId="5ECAF66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18.4</w:t>
                  </w:r>
                </w:p>
              </w:tc>
              <w:tc>
                <w:tcPr>
                  <w:tcW w:w="731" w:type="pct"/>
                  <w:vAlign w:val="center"/>
                </w:tcPr>
                <w:p w14:paraId="2924495A">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w:t>
                  </w:r>
                </w:p>
              </w:tc>
            </w:tr>
            <w:tr w14:paraId="49EF7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6" w:type="pct"/>
                  <w:vMerge w:val="continue"/>
                  <w:vAlign w:val="center"/>
                </w:tcPr>
                <w:p w14:paraId="4201CFC5">
                  <w:pPr>
                    <w:snapToGrid w:val="0"/>
                    <w:spacing w:line="240" w:lineRule="auto"/>
                    <w:ind w:firstLine="0" w:firstLineChars="0"/>
                    <w:jc w:val="center"/>
                    <w:rPr>
                      <w:color w:val="auto"/>
                      <w:sz w:val="21"/>
                      <w:szCs w:val="21"/>
                    </w:rPr>
                  </w:pPr>
                </w:p>
              </w:tc>
              <w:tc>
                <w:tcPr>
                  <w:tcW w:w="396" w:type="pct"/>
                  <w:vAlign w:val="center"/>
                </w:tcPr>
                <w:p w14:paraId="0939A522">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生活垃圾</w:t>
                  </w:r>
                </w:p>
              </w:tc>
              <w:tc>
                <w:tcPr>
                  <w:tcW w:w="882" w:type="pct"/>
                  <w:vAlign w:val="center"/>
                </w:tcPr>
                <w:p w14:paraId="21AF63D2">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生活垃圾</w:t>
                  </w:r>
                </w:p>
              </w:tc>
              <w:tc>
                <w:tcPr>
                  <w:tcW w:w="786" w:type="pct"/>
                  <w:vAlign w:val="center"/>
                </w:tcPr>
                <w:p w14:paraId="63216A1B">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2.5</w:t>
                  </w:r>
                </w:p>
              </w:tc>
              <w:tc>
                <w:tcPr>
                  <w:tcW w:w="850" w:type="pct"/>
                  <w:vAlign w:val="center"/>
                </w:tcPr>
                <w:p w14:paraId="1B61943E">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w:t>
                  </w:r>
                </w:p>
              </w:tc>
              <w:tc>
                <w:tcPr>
                  <w:tcW w:w="717" w:type="pct"/>
                  <w:vAlign w:val="center"/>
                </w:tcPr>
                <w:p w14:paraId="352A889A">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2.5</w:t>
                  </w:r>
                </w:p>
              </w:tc>
              <w:tc>
                <w:tcPr>
                  <w:tcW w:w="731" w:type="pct"/>
                  <w:vAlign w:val="center"/>
                </w:tcPr>
                <w:p w14:paraId="68B234CC">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0</w:t>
                  </w:r>
                </w:p>
              </w:tc>
            </w:tr>
          </w:tbl>
          <w:p w14:paraId="7C17DD83">
            <w:pPr>
              <w:pStyle w:val="19"/>
              <w:adjustRightInd w:val="0"/>
              <w:snapToGrid w:val="0"/>
              <w:spacing w:line="360" w:lineRule="auto"/>
              <w:ind w:firstLine="482"/>
              <w:jc w:val="left"/>
              <w:rPr>
                <w:rFonts w:ascii="Times New Roman" w:hAnsi="Times New Roman"/>
                <w:b/>
                <w:color w:val="auto"/>
                <w:sz w:val="24"/>
                <w:szCs w:val="24"/>
              </w:rPr>
            </w:pPr>
            <w:r>
              <w:rPr>
                <w:rFonts w:ascii="Times New Roman" w:hAnsi="Times New Roman"/>
                <w:b/>
                <w:color w:val="auto"/>
                <w:sz w:val="24"/>
                <w:szCs w:val="24"/>
              </w:rPr>
              <w:t>总量控制要求</w:t>
            </w:r>
            <w:r>
              <w:rPr>
                <w:rFonts w:hint="eastAsia" w:ascii="Times New Roman" w:hAnsi="Times New Roman"/>
                <w:b/>
                <w:color w:val="auto"/>
                <w:sz w:val="24"/>
                <w:szCs w:val="24"/>
              </w:rPr>
              <w:t>：</w:t>
            </w:r>
          </w:p>
          <w:p w14:paraId="54D82F4C">
            <w:pPr>
              <w:pStyle w:val="19"/>
              <w:adjustRightInd w:val="0"/>
              <w:snapToGrid w:val="0"/>
              <w:spacing w:line="360" w:lineRule="auto"/>
              <w:ind w:firstLine="48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废气：</w:t>
            </w:r>
            <w:r>
              <w:rPr>
                <w:rFonts w:hint="default" w:ascii="Times New Roman" w:hAnsi="Times New Roman" w:eastAsia="宋体" w:cs="Times New Roman"/>
                <w:bCs/>
                <w:color w:val="auto"/>
                <w:sz w:val="24"/>
                <w:szCs w:val="24"/>
                <w:lang w:val="en-US" w:eastAsia="zh-CN"/>
              </w:rPr>
              <w:t>VOCs（以非甲烷总烃表征）</w:t>
            </w:r>
            <w:r>
              <w:rPr>
                <w:rFonts w:hint="default" w:ascii="Times New Roman" w:hAnsi="Times New Roman" w:eastAsia="宋体" w:cs="Times New Roman"/>
                <w:bCs/>
                <w:color w:val="auto"/>
                <w:sz w:val="24"/>
                <w:szCs w:val="24"/>
              </w:rPr>
              <w:t>≤</w:t>
            </w:r>
            <w:r>
              <w:rPr>
                <w:rFonts w:hint="eastAsia" w:ascii="Times New Roman" w:hAnsi="Times New Roman" w:cs="Times New Roman"/>
                <w:bCs/>
                <w:color w:val="auto"/>
                <w:sz w:val="24"/>
                <w:szCs w:val="24"/>
                <w:lang w:val="en-US" w:eastAsia="zh-CN"/>
              </w:rPr>
              <w:t>0.235</w:t>
            </w:r>
            <w:r>
              <w:rPr>
                <w:rFonts w:hint="default" w:ascii="Times New Roman" w:hAnsi="Times New Roman" w:eastAsia="宋体" w:cs="Times New Roman"/>
                <w:bCs/>
                <w:color w:val="auto"/>
                <w:sz w:val="24"/>
                <w:szCs w:val="24"/>
              </w:rPr>
              <w:t>t/a；</w:t>
            </w:r>
          </w:p>
          <w:p w14:paraId="501873C6">
            <w:pPr>
              <w:pStyle w:val="12"/>
              <w:adjustRightInd w:val="0"/>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w:t>
            </w:r>
            <w:r>
              <w:rPr>
                <w:rFonts w:hint="default" w:ascii="Times New Roman" w:hAnsi="Times New Roman" w:eastAsia="宋体" w:cs="Times New Roman"/>
                <w:bCs/>
                <w:color w:val="auto"/>
                <w:sz w:val="24"/>
                <w:szCs w:val="24"/>
                <w:lang w:val="en-US" w:eastAsia="zh-CN"/>
              </w:rPr>
              <w:t>VOCs（以非甲烷总烃表征）</w:t>
            </w:r>
            <w:r>
              <w:rPr>
                <w:rFonts w:hint="default" w:ascii="Times New Roman" w:hAnsi="Times New Roman" w:eastAsia="宋体" w:cs="Times New Roman"/>
                <w:color w:val="auto"/>
                <w:sz w:val="24"/>
              </w:rPr>
              <w:t>排放总量从泗阳县总量库中进行平衡。</w:t>
            </w:r>
          </w:p>
          <w:p w14:paraId="6F76A7D4">
            <w:pPr>
              <w:adjustRightInd w:val="0"/>
              <w:snapToGrid w:val="0"/>
              <w:spacing w:line="360" w:lineRule="auto"/>
              <w:ind w:firstLine="480"/>
              <w:rPr>
                <w:rFonts w:hint="default" w:ascii="Times New Roman" w:hAnsi="Times New Roman" w:eastAsia="宋体" w:cs="Times New Roman"/>
                <w:bCs/>
                <w:color w:val="auto"/>
              </w:rPr>
            </w:pPr>
            <w:r>
              <w:rPr>
                <w:rFonts w:hint="default" w:ascii="Times New Roman" w:hAnsi="Times New Roman" w:eastAsia="宋体" w:cs="Times New Roman"/>
                <w:bCs/>
                <w:color w:val="auto"/>
              </w:rPr>
              <w:t>废水：接管考核量：废水总量≤</w:t>
            </w:r>
            <w:r>
              <w:rPr>
                <w:rFonts w:hint="eastAsia" w:cs="Times New Roman"/>
                <w:color w:val="auto"/>
                <w:lang w:val="en-US" w:eastAsia="zh-CN"/>
              </w:rPr>
              <w:t>60</w:t>
            </w:r>
            <w:r>
              <w:rPr>
                <w:rFonts w:hint="default" w:ascii="Times New Roman" w:hAnsi="Times New Roman" w:eastAsia="宋体" w:cs="Times New Roman"/>
                <w:color w:val="auto"/>
              </w:rPr>
              <w:t>0</w:t>
            </w:r>
            <w:r>
              <w:rPr>
                <w:rFonts w:hint="default" w:ascii="Times New Roman" w:hAnsi="Times New Roman" w:eastAsia="宋体" w:cs="Times New Roman"/>
                <w:color w:val="auto"/>
                <w:sz w:val="21"/>
                <w:szCs w:val="21"/>
              </w:rPr>
              <w:t>m³</w:t>
            </w:r>
            <w:r>
              <w:rPr>
                <w:rFonts w:hint="default" w:ascii="Times New Roman" w:hAnsi="Times New Roman" w:eastAsia="宋体" w:cs="Times New Roman"/>
                <w:color w:val="auto"/>
              </w:rPr>
              <w:t>/a</w:t>
            </w:r>
            <w:r>
              <w:rPr>
                <w:rFonts w:hint="default" w:ascii="Times New Roman" w:hAnsi="Times New Roman" w:eastAsia="宋体" w:cs="Times New Roman"/>
                <w:bCs/>
                <w:color w:val="auto"/>
              </w:rPr>
              <w:t>、COD≤</w:t>
            </w:r>
            <w:r>
              <w:rPr>
                <w:rFonts w:hint="eastAsia" w:cs="Times New Roman"/>
                <w:bCs/>
                <w:color w:val="auto"/>
                <w:lang w:val="en-US" w:eastAsia="zh-CN"/>
              </w:rPr>
              <w:t>0.168</w:t>
            </w:r>
            <w:r>
              <w:rPr>
                <w:rFonts w:hint="default" w:ascii="Times New Roman" w:hAnsi="Times New Roman" w:eastAsia="宋体" w:cs="Times New Roman"/>
                <w:bCs/>
                <w:color w:val="auto"/>
              </w:rPr>
              <w:t>t/a、</w:t>
            </w:r>
            <w:r>
              <w:rPr>
                <w:rFonts w:hint="eastAsia" w:cs="Times New Roman"/>
                <w:bCs/>
                <w:color w:val="auto"/>
                <w:lang w:val="en-US" w:eastAsia="zh-CN"/>
              </w:rPr>
              <w:t>B</w:t>
            </w:r>
            <w:r>
              <w:rPr>
                <w:rFonts w:hint="default" w:ascii="Times New Roman" w:hAnsi="Times New Roman" w:eastAsia="宋体" w:cs="Times New Roman"/>
                <w:bCs/>
                <w:color w:val="auto"/>
              </w:rPr>
              <w:t>OD</w:t>
            </w:r>
            <w:r>
              <w:rPr>
                <w:rFonts w:hint="eastAsia" w:cs="Times New Roman"/>
                <w:bCs/>
                <w:color w:val="auto"/>
                <w:vertAlign w:val="subscript"/>
                <w:lang w:val="en-US" w:eastAsia="zh-CN"/>
              </w:rPr>
              <w:t>5</w:t>
            </w:r>
            <w:r>
              <w:rPr>
                <w:rFonts w:hint="default" w:ascii="Times New Roman" w:hAnsi="Times New Roman" w:eastAsia="宋体" w:cs="Times New Roman"/>
                <w:bCs/>
                <w:color w:val="auto"/>
              </w:rPr>
              <w:t>≤</w:t>
            </w:r>
            <w:r>
              <w:rPr>
                <w:rFonts w:hint="eastAsia" w:cs="Times New Roman"/>
                <w:bCs/>
                <w:color w:val="auto"/>
                <w:lang w:val="en-US" w:eastAsia="zh-CN"/>
              </w:rPr>
              <w:t>0.096</w:t>
            </w:r>
            <w:r>
              <w:rPr>
                <w:rFonts w:hint="default" w:ascii="Times New Roman" w:hAnsi="Times New Roman" w:eastAsia="宋体" w:cs="Times New Roman"/>
                <w:bCs/>
                <w:color w:val="auto"/>
              </w:rPr>
              <w:t>t/a</w:t>
            </w:r>
            <w:r>
              <w:rPr>
                <w:rFonts w:hint="eastAsia" w:cs="Times New Roman"/>
                <w:bCs/>
                <w:color w:val="auto"/>
                <w:lang w:eastAsia="zh-CN"/>
              </w:rPr>
              <w:t>、</w:t>
            </w:r>
            <w:r>
              <w:rPr>
                <w:rFonts w:hint="default" w:ascii="Times New Roman" w:hAnsi="Times New Roman" w:eastAsia="宋体" w:cs="Times New Roman"/>
                <w:bCs/>
                <w:color w:val="auto"/>
              </w:rPr>
              <w:t>SS≤</w:t>
            </w:r>
            <w:r>
              <w:rPr>
                <w:rFonts w:hint="default" w:ascii="Times New Roman" w:hAnsi="Times New Roman" w:eastAsia="宋体" w:cs="Times New Roman"/>
                <w:color w:val="auto"/>
              </w:rPr>
              <w:t>0.</w:t>
            </w:r>
            <w:r>
              <w:rPr>
                <w:rFonts w:hint="eastAsia" w:cs="Times New Roman"/>
                <w:color w:val="auto"/>
                <w:lang w:val="en-US" w:eastAsia="zh-CN"/>
              </w:rPr>
              <w:t>096</w:t>
            </w:r>
            <w:r>
              <w:rPr>
                <w:rFonts w:hint="default" w:ascii="Times New Roman" w:hAnsi="Times New Roman" w:eastAsia="宋体" w:cs="Times New Roman"/>
                <w:bCs/>
                <w:color w:val="auto"/>
              </w:rPr>
              <w:t>t/a、氨氮≤</w:t>
            </w:r>
            <w:r>
              <w:rPr>
                <w:rFonts w:hint="default" w:ascii="Times New Roman" w:hAnsi="Times New Roman" w:eastAsia="宋体" w:cs="Times New Roman"/>
                <w:color w:val="auto"/>
              </w:rPr>
              <w:t>0.</w:t>
            </w:r>
            <w:r>
              <w:rPr>
                <w:rFonts w:hint="eastAsia" w:cs="Times New Roman"/>
                <w:color w:val="auto"/>
                <w:lang w:val="en-US" w:eastAsia="zh-CN"/>
              </w:rPr>
              <w:t>018</w:t>
            </w:r>
            <w:r>
              <w:rPr>
                <w:rFonts w:hint="default" w:ascii="Times New Roman" w:hAnsi="Times New Roman" w:eastAsia="宋体" w:cs="Times New Roman"/>
                <w:bCs/>
                <w:color w:val="auto"/>
              </w:rPr>
              <w:t>t/a、总氮≤</w:t>
            </w:r>
            <w:r>
              <w:rPr>
                <w:rFonts w:hint="eastAsia" w:cs="Times New Roman"/>
                <w:color w:val="auto"/>
                <w:lang w:val="en-US" w:eastAsia="zh-CN"/>
              </w:rPr>
              <w:t>0.024</w:t>
            </w:r>
            <w:r>
              <w:rPr>
                <w:rFonts w:hint="default" w:ascii="Times New Roman" w:hAnsi="Times New Roman" w:eastAsia="宋体" w:cs="Times New Roman"/>
                <w:bCs/>
                <w:color w:val="auto"/>
              </w:rPr>
              <w:t>t/a、总磷≤0.</w:t>
            </w:r>
            <w:r>
              <w:rPr>
                <w:rFonts w:hint="eastAsia" w:cs="Times New Roman"/>
                <w:bCs/>
                <w:color w:val="auto"/>
                <w:lang w:val="en-US" w:eastAsia="zh-CN"/>
              </w:rPr>
              <w:t>0012</w:t>
            </w:r>
            <w:r>
              <w:rPr>
                <w:rFonts w:hint="default" w:ascii="Times New Roman" w:hAnsi="Times New Roman" w:eastAsia="宋体" w:cs="Times New Roman"/>
                <w:bCs/>
                <w:color w:val="auto"/>
              </w:rPr>
              <w:t>t/a；</w:t>
            </w:r>
          </w:p>
          <w:p w14:paraId="544B06C2">
            <w:pPr>
              <w:adjustRightInd w:val="0"/>
              <w:snapToGrid w:val="0"/>
              <w:spacing w:line="360" w:lineRule="auto"/>
              <w:ind w:firstLine="480"/>
              <w:rPr>
                <w:rFonts w:hint="default" w:ascii="Times New Roman" w:hAnsi="Times New Roman" w:eastAsia="宋体" w:cs="Times New Roman"/>
                <w:color w:val="auto"/>
              </w:rPr>
            </w:pPr>
            <w:r>
              <w:rPr>
                <w:rFonts w:hint="default" w:ascii="Times New Roman" w:hAnsi="Times New Roman" w:eastAsia="宋体" w:cs="Times New Roman"/>
                <w:bCs/>
                <w:color w:val="auto"/>
              </w:rPr>
              <w:t>进入环境量：废水总量≤</w:t>
            </w:r>
            <w:r>
              <w:rPr>
                <w:rFonts w:hint="eastAsia" w:cs="Times New Roman"/>
                <w:color w:val="auto"/>
                <w:lang w:val="en-US" w:eastAsia="zh-CN"/>
              </w:rPr>
              <w:t>60</w:t>
            </w:r>
            <w:r>
              <w:rPr>
                <w:rFonts w:hint="default" w:ascii="Times New Roman" w:hAnsi="Times New Roman" w:eastAsia="宋体" w:cs="Times New Roman"/>
                <w:color w:val="auto"/>
              </w:rPr>
              <w:t>0</w:t>
            </w:r>
            <w:r>
              <w:rPr>
                <w:rFonts w:hint="default" w:ascii="Times New Roman" w:hAnsi="Times New Roman" w:eastAsia="宋体" w:cs="Times New Roman"/>
                <w:color w:val="auto"/>
                <w:sz w:val="21"/>
                <w:szCs w:val="21"/>
              </w:rPr>
              <w:t>m³</w:t>
            </w:r>
            <w:r>
              <w:rPr>
                <w:rFonts w:hint="default" w:ascii="Times New Roman" w:hAnsi="Times New Roman" w:eastAsia="宋体" w:cs="Times New Roman"/>
                <w:color w:val="auto"/>
              </w:rPr>
              <w:t>/a</w:t>
            </w:r>
            <w:r>
              <w:rPr>
                <w:rFonts w:hint="default" w:ascii="Times New Roman" w:hAnsi="Times New Roman" w:eastAsia="宋体" w:cs="Times New Roman"/>
                <w:bCs/>
                <w:color w:val="auto"/>
              </w:rPr>
              <w:t>、COD≤</w:t>
            </w:r>
            <w:r>
              <w:rPr>
                <w:rFonts w:hint="eastAsia" w:cs="Times New Roman"/>
                <w:bCs/>
                <w:color w:val="auto"/>
                <w:lang w:val="en-US" w:eastAsia="zh-CN"/>
              </w:rPr>
              <w:t>0.03</w:t>
            </w:r>
            <w:r>
              <w:rPr>
                <w:rFonts w:hint="default" w:ascii="Times New Roman" w:hAnsi="Times New Roman" w:eastAsia="宋体" w:cs="Times New Roman"/>
                <w:bCs/>
                <w:color w:val="auto"/>
              </w:rPr>
              <w:t>t/a、</w:t>
            </w:r>
            <w:r>
              <w:rPr>
                <w:rFonts w:hint="eastAsia" w:cs="Times New Roman"/>
                <w:bCs/>
                <w:color w:val="auto"/>
                <w:lang w:val="en-US" w:eastAsia="zh-CN"/>
              </w:rPr>
              <w:t>B</w:t>
            </w:r>
            <w:r>
              <w:rPr>
                <w:rFonts w:hint="default" w:ascii="Times New Roman" w:hAnsi="Times New Roman" w:eastAsia="宋体" w:cs="Times New Roman"/>
                <w:bCs/>
                <w:color w:val="auto"/>
              </w:rPr>
              <w:t>OD</w:t>
            </w:r>
            <w:r>
              <w:rPr>
                <w:rFonts w:hint="eastAsia" w:cs="Times New Roman"/>
                <w:bCs/>
                <w:color w:val="auto"/>
                <w:vertAlign w:val="subscript"/>
                <w:lang w:val="en-US" w:eastAsia="zh-CN"/>
              </w:rPr>
              <w:t>5</w:t>
            </w:r>
            <w:r>
              <w:rPr>
                <w:rFonts w:hint="default" w:ascii="Times New Roman" w:hAnsi="Times New Roman" w:eastAsia="宋体" w:cs="Times New Roman"/>
                <w:bCs/>
                <w:color w:val="auto"/>
              </w:rPr>
              <w:t>≤</w:t>
            </w:r>
            <w:r>
              <w:rPr>
                <w:rFonts w:hint="eastAsia" w:cs="Times New Roman"/>
                <w:bCs/>
                <w:color w:val="auto"/>
                <w:lang w:val="en-US" w:eastAsia="zh-CN"/>
              </w:rPr>
              <w:t>0.006</w:t>
            </w:r>
            <w:r>
              <w:rPr>
                <w:rFonts w:hint="default" w:ascii="Times New Roman" w:hAnsi="Times New Roman" w:eastAsia="宋体" w:cs="Times New Roman"/>
                <w:bCs/>
                <w:color w:val="auto"/>
              </w:rPr>
              <w:t>t/a</w:t>
            </w:r>
            <w:r>
              <w:rPr>
                <w:rFonts w:hint="eastAsia" w:cs="Times New Roman"/>
                <w:bCs/>
                <w:color w:val="auto"/>
                <w:lang w:eastAsia="zh-CN"/>
              </w:rPr>
              <w:t>、</w:t>
            </w:r>
            <w:r>
              <w:rPr>
                <w:rFonts w:hint="default" w:ascii="Times New Roman" w:hAnsi="Times New Roman" w:eastAsia="宋体" w:cs="Times New Roman"/>
                <w:bCs/>
                <w:color w:val="auto"/>
              </w:rPr>
              <w:t>SS≤</w:t>
            </w:r>
            <w:r>
              <w:rPr>
                <w:rFonts w:hint="eastAsia" w:cs="Times New Roman"/>
                <w:color w:val="auto"/>
                <w:lang w:val="en-US" w:eastAsia="zh-CN"/>
              </w:rPr>
              <w:t>0.006</w:t>
            </w:r>
            <w:r>
              <w:rPr>
                <w:rFonts w:hint="default" w:ascii="Times New Roman" w:hAnsi="Times New Roman" w:eastAsia="宋体" w:cs="Times New Roman"/>
                <w:bCs/>
                <w:color w:val="auto"/>
              </w:rPr>
              <w:t>t/a、氨氮≤</w:t>
            </w:r>
            <w:r>
              <w:rPr>
                <w:rFonts w:hint="eastAsia" w:cs="Times New Roman"/>
                <w:color w:val="auto"/>
                <w:lang w:val="en-US" w:eastAsia="zh-CN"/>
              </w:rPr>
              <w:t>0.003</w:t>
            </w:r>
            <w:r>
              <w:rPr>
                <w:rFonts w:hint="default" w:ascii="Times New Roman" w:hAnsi="Times New Roman" w:eastAsia="宋体" w:cs="Times New Roman"/>
                <w:bCs/>
                <w:color w:val="auto"/>
              </w:rPr>
              <w:t>t/a、总氮≤</w:t>
            </w:r>
            <w:r>
              <w:rPr>
                <w:rFonts w:hint="eastAsia" w:cs="Times New Roman"/>
                <w:color w:val="auto"/>
                <w:lang w:val="en-US" w:eastAsia="zh-CN"/>
              </w:rPr>
              <w:t>0.009</w:t>
            </w:r>
            <w:r>
              <w:rPr>
                <w:rFonts w:hint="default" w:ascii="Times New Roman" w:hAnsi="Times New Roman" w:eastAsia="宋体" w:cs="Times New Roman"/>
                <w:bCs/>
                <w:color w:val="auto"/>
              </w:rPr>
              <w:t>t/a、总磷≤0</w:t>
            </w:r>
            <w:r>
              <w:rPr>
                <w:rFonts w:hint="eastAsia" w:cs="Times New Roman"/>
                <w:bCs/>
                <w:color w:val="auto"/>
                <w:lang w:val="en-US" w:eastAsia="zh-CN"/>
              </w:rPr>
              <w:t>.0003</w:t>
            </w:r>
            <w:r>
              <w:rPr>
                <w:rFonts w:hint="default" w:ascii="Times New Roman" w:hAnsi="Times New Roman" w:eastAsia="宋体" w:cs="Times New Roman"/>
                <w:bCs/>
                <w:color w:val="auto"/>
              </w:rPr>
              <w:t>t/a；</w:t>
            </w:r>
          </w:p>
          <w:p w14:paraId="7CCAA5BE">
            <w:pPr>
              <w:widowControl/>
              <w:adjustRightInd w:val="0"/>
              <w:snapToGrid w:val="0"/>
              <w:spacing w:line="360" w:lineRule="auto"/>
              <w:ind w:firstLine="480"/>
              <w:jc w:val="left"/>
              <w:rPr>
                <w:color w:val="auto"/>
                <w:kern w:val="0"/>
              </w:rPr>
            </w:pPr>
            <w:r>
              <w:rPr>
                <w:rFonts w:hint="default" w:ascii="Times New Roman" w:hAnsi="Times New Roman" w:eastAsia="宋体" w:cs="Times New Roman"/>
                <w:bCs/>
                <w:color w:val="auto"/>
              </w:rPr>
              <w:t>固废：零排放。</w:t>
            </w:r>
          </w:p>
        </w:tc>
      </w:tr>
    </w:tbl>
    <w:p w14:paraId="5714E91C">
      <w:pPr>
        <w:pStyle w:val="30"/>
        <w:spacing w:before="0" w:beforeAutospacing="0" w:after="0" w:afterAutospacing="0" w:line="500" w:lineRule="exact"/>
        <w:ind w:firstLine="0" w:firstLineChars="0"/>
        <w:jc w:val="center"/>
        <w:outlineLvl w:val="0"/>
        <w:rPr>
          <w:rFonts w:ascii="Times New Roman" w:hAnsi="Times New Roman"/>
          <w:b/>
          <w:snapToGrid w:val="0"/>
          <w:color w:val="auto"/>
          <w:sz w:val="30"/>
          <w:szCs w:val="30"/>
        </w:rPr>
      </w:pPr>
      <w:r>
        <w:rPr>
          <w:rFonts w:ascii="Times New Roman" w:hAnsi="Times New Roman"/>
          <w:snapToGrid w:val="0"/>
          <w:color w:val="auto"/>
          <w:sz w:val="36"/>
          <w:szCs w:val="36"/>
        </w:rPr>
        <w:br w:type="page"/>
      </w:r>
      <w:bookmarkStart w:id="6" w:name="_Toc3460"/>
      <w:r>
        <w:rPr>
          <w:rFonts w:ascii="Times New Roman" w:hAnsi="Times New Roman"/>
          <w:b/>
          <w:snapToGrid w:val="0"/>
          <w:color w:val="auto"/>
          <w:sz w:val="30"/>
          <w:szCs w:val="30"/>
        </w:rPr>
        <w:t>四、主要环境影响和保护措施</w:t>
      </w:r>
      <w:bookmarkEnd w:id="6"/>
    </w:p>
    <w:tbl>
      <w:tblPr>
        <w:tblStyle w:val="38"/>
        <w:tblW w:w="96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9"/>
        <w:gridCol w:w="9053"/>
      </w:tblGrid>
      <w:tr w14:paraId="71B960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285" w:hRule="atLeast"/>
          <w:jc w:val="center"/>
        </w:trPr>
        <w:tc>
          <w:tcPr>
            <w:tcW w:w="569" w:type="dxa"/>
            <w:tcMar>
              <w:left w:w="28" w:type="dxa"/>
              <w:right w:w="28" w:type="dxa"/>
            </w:tcMar>
            <w:vAlign w:val="center"/>
          </w:tcPr>
          <w:p w14:paraId="76BED6F6">
            <w:pPr>
              <w:pStyle w:val="30"/>
              <w:adjustRightInd w:val="0"/>
              <w:snapToGrid w:val="0"/>
              <w:spacing w:before="0" w:beforeAutospacing="0" w:after="0" w:afterAutospacing="0"/>
              <w:ind w:firstLine="0" w:firstLineChars="0"/>
              <w:jc w:val="center"/>
              <w:rPr>
                <w:rFonts w:ascii="Times New Roman" w:hAnsi="Times New Roman"/>
                <w:color w:val="auto"/>
                <w:kern w:val="2"/>
                <w:szCs w:val="21"/>
              </w:rPr>
            </w:pPr>
            <w:r>
              <w:rPr>
                <w:rFonts w:ascii="Times New Roman" w:hAnsi="Times New Roman"/>
                <w:color w:val="auto"/>
                <w:kern w:val="2"/>
                <w:szCs w:val="21"/>
              </w:rPr>
              <w:t>施工</w:t>
            </w:r>
          </w:p>
          <w:p w14:paraId="1AF26C0C">
            <w:pPr>
              <w:pStyle w:val="30"/>
              <w:adjustRightInd w:val="0"/>
              <w:snapToGrid w:val="0"/>
              <w:spacing w:before="0" w:beforeAutospacing="0" w:after="0" w:afterAutospacing="0"/>
              <w:ind w:firstLine="0" w:firstLineChars="0"/>
              <w:jc w:val="center"/>
              <w:rPr>
                <w:rFonts w:ascii="Times New Roman" w:hAnsi="Times New Roman"/>
                <w:color w:val="auto"/>
                <w:kern w:val="2"/>
                <w:szCs w:val="21"/>
              </w:rPr>
            </w:pPr>
            <w:r>
              <w:rPr>
                <w:rFonts w:ascii="Times New Roman" w:hAnsi="Times New Roman"/>
                <w:color w:val="auto"/>
                <w:kern w:val="2"/>
                <w:szCs w:val="21"/>
              </w:rPr>
              <w:t>期环</w:t>
            </w:r>
          </w:p>
          <w:p w14:paraId="0F0A6107">
            <w:pPr>
              <w:pStyle w:val="30"/>
              <w:adjustRightInd w:val="0"/>
              <w:snapToGrid w:val="0"/>
              <w:spacing w:before="0" w:beforeAutospacing="0" w:after="0" w:afterAutospacing="0"/>
              <w:ind w:firstLine="0" w:firstLineChars="0"/>
              <w:jc w:val="center"/>
              <w:rPr>
                <w:rFonts w:ascii="Times New Roman" w:hAnsi="Times New Roman"/>
                <w:color w:val="auto"/>
                <w:kern w:val="2"/>
                <w:szCs w:val="21"/>
              </w:rPr>
            </w:pPr>
            <w:r>
              <w:rPr>
                <w:rFonts w:ascii="Times New Roman" w:hAnsi="Times New Roman"/>
                <w:color w:val="auto"/>
                <w:kern w:val="2"/>
                <w:szCs w:val="21"/>
              </w:rPr>
              <w:t>境保</w:t>
            </w:r>
          </w:p>
          <w:p w14:paraId="72548A28">
            <w:pPr>
              <w:pStyle w:val="30"/>
              <w:adjustRightInd w:val="0"/>
              <w:snapToGrid w:val="0"/>
              <w:spacing w:before="0" w:beforeAutospacing="0" w:after="0" w:afterAutospacing="0"/>
              <w:ind w:firstLine="0" w:firstLineChars="0"/>
              <w:jc w:val="center"/>
              <w:rPr>
                <w:rFonts w:ascii="Times New Roman" w:hAnsi="Times New Roman"/>
                <w:color w:val="auto"/>
                <w:kern w:val="2"/>
                <w:szCs w:val="21"/>
              </w:rPr>
            </w:pPr>
            <w:r>
              <w:rPr>
                <w:rFonts w:ascii="Times New Roman" w:hAnsi="Times New Roman"/>
                <w:color w:val="auto"/>
                <w:kern w:val="2"/>
                <w:szCs w:val="21"/>
              </w:rPr>
              <w:t>护措</w:t>
            </w:r>
          </w:p>
          <w:p w14:paraId="385B1C35">
            <w:pPr>
              <w:pStyle w:val="30"/>
              <w:adjustRightInd w:val="0"/>
              <w:snapToGrid w:val="0"/>
              <w:spacing w:before="0" w:beforeAutospacing="0" w:after="0" w:afterAutospacing="0"/>
              <w:ind w:firstLine="0" w:firstLineChars="0"/>
              <w:jc w:val="center"/>
              <w:rPr>
                <w:rFonts w:ascii="Times New Roman" w:hAnsi="Times New Roman"/>
                <w:bCs/>
                <w:color w:val="auto"/>
                <w:kern w:val="2"/>
                <w:sz w:val="21"/>
                <w:szCs w:val="21"/>
              </w:rPr>
            </w:pPr>
            <w:r>
              <w:rPr>
                <w:rFonts w:ascii="Times New Roman" w:hAnsi="Times New Roman"/>
                <w:color w:val="auto"/>
                <w:kern w:val="2"/>
                <w:szCs w:val="21"/>
              </w:rPr>
              <w:t>施</w:t>
            </w:r>
          </w:p>
        </w:tc>
        <w:tc>
          <w:tcPr>
            <w:tcW w:w="9053" w:type="dxa"/>
            <w:vAlign w:val="center"/>
          </w:tcPr>
          <w:p w14:paraId="7A0EB39C">
            <w:pPr>
              <w:tabs>
                <w:tab w:val="left" w:pos="2790"/>
              </w:tabs>
              <w:snapToGrid w:val="0"/>
              <w:spacing w:line="500" w:lineRule="exact"/>
              <w:ind w:firstLine="480"/>
              <w:rPr>
                <w:color w:val="auto"/>
              </w:rPr>
            </w:pPr>
            <w:r>
              <w:rPr>
                <w:color w:val="auto"/>
              </w:rPr>
              <w:t>本项目</w:t>
            </w:r>
            <w:r>
              <w:rPr>
                <w:rFonts w:hint="eastAsia"/>
                <w:color w:val="auto"/>
              </w:rPr>
              <w:t>位于</w:t>
            </w:r>
            <w:r>
              <w:rPr>
                <w:rFonts w:hint="eastAsia"/>
                <w:color w:val="auto"/>
                <w:szCs w:val="21"/>
                <w:lang w:eastAsia="zh-CN"/>
              </w:rPr>
              <w:t>宿迁市泗阳县新袁镇仁和路东侧、新河路南侧（3）2#厂房</w:t>
            </w:r>
            <w:r>
              <w:rPr>
                <w:rFonts w:hint="eastAsia"/>
                <w:color w:val="auto"/>
              </w:rPr>
              <w:t>，租赁园区</w:t>
            </w:r>
            <w:r>
              <w:rPr>
                <w:color w:val="auto"/>
              </w:rPr>
              <w:t>现有闲置厂房进行生产</w:t>
            </w:r>
            <w:r>
              <w:rPr>
                <w:rFonts w:hint="eastAsia"/>
                <w:color w:val="auto"/>
              </w:rPr>
              <w:t>。项目</w:t>
            </w:r>
            <w:r>
              <w:rPr>
                <w:rFonts w:hint="eastAsia"/>
                <w:bCs/>
                <w:color w:val="auto"/>
              </w:rPr>
              <w:t>不存在土建工程，</w:t>
            </w:r>
            <w:r>
              <w:rPr>
                <w:color w:val="auto"/>
              </w:rPr>
              <w:t>施工期主要是机器设备的安装，施工期产生的污染较小，不会对环境造成较大的影响，本环评仅对运营期的污染因素进行分析并规定相应的防治措施。</w:t>
            </w:r>
          </w:p>
        </w:tc>
      </w:tr>
      <w:tr w14:paraId="119583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69" w:type="dxa"/>
            <w:tcMar>
              <w:left w:w="28" w:type="dxa"/>
              <w:right w:w="28" w:type="dxa"/>
            </w:tcMar>
            <w:vAlign w:val="center"/>
          </w:tcPr>
          <w:p w14:paraId="1388D351">
            <w:pPr>
              <w:adjustRightInd w:val="0"/>
              <w:snapToGrid w:val="0"/>
              <w:ind w:firstLine="0" w:firstLineChars="0"/>
              <w:jc w:val="center"/>
              <w:rPr>
                <w:bCs/>
                <w:color w:val="auto"/>
                <w:szCs w:val="21"/>
              </w:rPr>
            </w:pPr>
            <w:r>
              <w:rPr>
                <w:bCs/>
                <w:color w:val="auto"/>
                <w:szCs w:val="21"/>
              </w:rPr>
              <w:t>运营</w:t>
            </w:r>
          </w:p>
          <w:p w14:paraId="3BBC3563">
            <w:pPr>
              <w:adjustRightInd w:val="0"/>
              <w:snapToGrid w:val="0"/>
              <w:ind w:firstLine="0" w:firstLineChars="0"/>
              <w:jc w:val="center"/>
              <w:rPr>
                <w:bCs/>
                <w:color w:val="auto"/>
                <w:szCs w:val="21"/>
              </w:rPr>
            </w:pPr>
            <w:r>
              <w:rPr>
                <w:bCs/>
                <w:color w:val="auto"/>
                <w:szCs w:val="21"/>
              </w:rPr>
              <w:t>期环</w:t>
            </w:r>
          </w:p>
          <w:p w14:paraId="60615F73">
            <w:pPr>
              <w:adjustRightInd w:val="0"/>
              <w:snapToGrid w:val="0"/>
              <w:ind w:firstLine="0" w:firstLineChars="0"/>
              <w:jc w:val="center"/>
              <w:rPr>
                <w:bCs/>
                <w:color w:val="auto"/>
                <w:szCs w:val="21"/>
              </w:rPr>
            </w:pPr>
            <w:r>
              <w:rPr>
                <w:bCs/>
                <w:color w:val="auto"/>
                <w:szCs w:val="21"/>
              </w:rPr>
              <w:t>境影</w:t>
            </w:r>
          </w:p>
          <w:p w14:paraId="5D4F287D">
            <w:pPr>
              <w:adjustRightInd w:val="0"/>
              <w:snapToGrid w:val="0"/>
              <w:ind w:firstLine="0" w:firstLineChars="0"/>
              <w:jc w:val="center"/>
              <w:rPr>
                <w:bCs/>
                <w:color w:val="auto"/>
                <w:szCs w:val="21"/>
              </w:rPr>
            </w:pPr>
            <w:r>
              <w:rPr>
                <w:bCs/>
                <w:color w:val="auto"/>
                <w:szCs w:val="21"/>
              </w:rPr>
              <w:t>响和</w:t>
            </w:r>
          </w:p>
          <w:p w14:paraId="29EDEF35">
            <w:pPr>
              <w:adjustRightInd w:val="0"/>
              <w:snapToGrid w:val="0"/>
              <w:ind w:firstLine="0" w:firstLineChars="0"/>
              <w:jc w:val="center"/>
              <w:rPr>
                <w:bCs/>
                <w:color w:val="auto"/>
                <w:szCs w:val="21"/>
              </w:rPr>
            </w:pPr>
            <w:r>
              <w:rPr>
                <w:bCs/>
                <w:color w:val="auto"/>
                <w:szCs w:val="21"/>
              </w:rPr>
              <w:t>保护</w:t>
            </w:r>
          </w:p>
          <w:p w14:paraId="53342EEE">
            <w:pPr>
              <w:adjustRightInd w:val="0"/>
              <w:snapToGrid w:val="0"/>
              <w:ind w:firstLine="0" w:firstLineChars="0"/>
              <w:jc w:val="center"/>
              <w:rPr>
                <w:bCs/>
                <w:color w:val="auto"/>
                <w:szCs w:val="21"/>
              </w:rPr>
            </w:pPr>
            <w:r>
              <w:rPr>
                <w:bCs/>
                <w:color w:val="auto"/>
                <w:szCs w:val="21"/>
              </w:rPr>
              <w:t>措施</w:t>
            </w:r>
          </w:p>
        </w:tc>
        <w:tc>
          <w:tcPr>
            <w:tcW w:w="9053" w:type="dxa"/>
            <w:vAlign w:val="center"/>
          </w:tcPr>
          <w:p w14:paraId="6FAC3C41">
            <w:pPr>
              <w:pStyle w:val="127"/>
              <w:keepNext w:val="0"/>
              <w:keepLines w:val="0"/>
              <w:pageBreakBefore w:val="0"/>
              <w:kinsoku/>
              <w:wordWrap/>
              <w:topLinePunct w:val="0"/>
              <w:bidi w:val="0"/>
              <w:snapToGrid w:val="0"/>
              <w:spacing w:before="0" w:beforeLines="0" w:after="0" w:afterLines="0" w:line="360" w:lineRule="auto"/>
              <w:ind w:right="0" w:rightChars="0" w:firstLine="482" w:firstLineChars="200"/>
              <w:textAlignment w:val="auto"/>
              <w:rPr>
                <w:rFonts w:hint="default" w:eastAsia="宋体"/>
                <w:color w:val="auto"/>
                <w:sz w:val="24"/>
                <w:szCs w:val="24"/>
                <w:lang w:val="en-US" w:eastAsia="zh-CN"/>
              </w:rPr>
            </w:pPr>
            <w:r>
              <w:rPr>
                <w:color w:val="auto"/>
                <w:sz w:val="24"/>
                <w:szCs w:val="24"/>
              </w:rPr>
              <w:t>运营期</w:t>
            </w:r>
            <w:r>
              <w:rPr>
                <w:rFonts w:hint="eastAsia"/>
                <w:color w:val="auto"/>
                <w:sz w:val="24"/>
                <w:szCs w:val="24"/>
                <w:lang w:val="en-US" w:eastAsia="zh-CN"/>
              </w:rPr>
              <w:t>污染物产生情况</w:t>
            </w:r>
          </w:p>
          <w:p w14:paraId="0525A1FB">
            <w:pPr>
              <w:pStyle w:val="127"/>
              <w:keepNext w:val="0"/>
              <w:keepLines w:val="0"/>
              <w:pageBreakBefore w:val="0"/>
              <w:kinsoku/>
              <w:wordWrap/>
              <w:topLinePunct w:val="0"/>
              <w:bidi w:val="0"/>
              <w:adjustRightInd w:val="0"/>
              <w:snapToGrid w:val="0"/>
              <w:spacing w:before="0" w:beforeLines="0" w:after="0" w:afterLines="0" w:line="360" w:lineRule="auto"/>
              <w:ind w:right="0" w:rightChars="0" w:firstLine="480" w:firstLineChars="200"/>
              <w:textAlignment w:val="auto"/>
              <w:rPr>
                <w:b w:val="0"/>
                <w:bCs/>
                <w:color w:val="auto"/>
                <w:sz w:val="24"/>
                <w:szCs w:val="24"/>
              </w:rPr>
            </w:pPr>
            <w:r>
              <w:rPr>
                <w:b w:val="0"/>
                <w:bCs/>
                <w:color w:val="auto"/>
                <w:sz w:val="24"/>
                <w:szCs w:val="24"/>
              </w:rPr>
              <w:t>本项目营运期污染物主要包括废气、废水、固体废物和噪声。</w:t>
            </w:r>
          </w:p>
          <w:p w14:paraId="547A5D0B">
            <w:pPr>
              <w:pStyle w:val="30"/>
              <w:keepNext w:val="0"/>
              <w:keepLines w:val="0"/>
              <w:pageBreakBefore w:val="0"/>
              <w:kinsoku/>
              <w:wordWrap/>
              <w:topLinePunct w:val="0"/>
              <w:bidi w:val="0"/>
              <w:adjustRightInd w:val="0"/>
              <w:snapToGrid w:val="0"/>
              <w:spacing w:before="0" w:beforeAutospacing="0" w:after="0" w:afterAutospacing="0" w:line="360" w:lineRule="auto"/>
              <w:ind w:firstLine="480"/>
              <w:textAlignment w:val="auto"/>
              <w:rPr>
                <w:rFonts w:hint="default" w:eastAsia="宋体"/>
                <w:b/>
                <w:color w:val="auto"/>
                <w:lang w:val="en-US" w:eastAsia="zh-CN"/>
              </w:rPr>
            </w:pPr>
            <w:r>
              <w:rPr>
                <w:rFonts w:hint="eastAsia"/>
                <w:b/>
                <w:color w:val="auto"/>
                <w:lang w:val="en-US" w:eastAsia="zh-CN"/>
              </w:rPr>
              <w:t>一、大气污染物</w:t>
            </w:r>
          </w:p>
          <w:p w14:paraId="63209D62">
            <w:pPr>
              <w:pStyle w:val="30"/>
              <w:keepNext w:val="0"/>
              <w:keepLines w:val="0"/>
              <w:pageBreakBefore w:val="0"/>
              <w:kinsoku/>
              <w:wordWrap/>
              <w:topLinePunct w:val="0"/>
              <w:bidi w:val="0"/>
              <w:adjustRightInd w:val="0"/>
              <w:snapToGrid w:val="0"/>
              <w:spacing w:before="0" w:beforeAutospacing="0" w:after="0" w:afterAutospacing="0" w:line="360" w:lineRule="auto"/>
              <w:ind w:firstLine="480"/>
              <w:textAlignment w:val="auto"/>
              <w:rPr>
                <w:rFonts w:hint="eastAsia"/>
                <w:b/>
                <w:bCs/>
                <w:color w:val="auto"/>
                <w:sz w:val="24"/>
                <w:szCs w:val="24"/>
                <w:lang w:val="en-US" w:eastAsia="zh-CN"/>
              </w:rPr>
            </w:pPr>
            <w:r>
              <w:rPr>
                <w:rFonts w:hint="eastAsia"/>
                <w:b/>
                <w:color w:val="auto"/>
                <w:lang w:eastAsia="zh-CN"/>
              </w:rPr>
              <w:t>1.</w:t>
            </w:r>
            <w:r>
              <w:rPr>
                <w:rFonts w:hint="eastAsia"/>
                <w:b/>
                <w:bCs/>
                <w:color w:val="auto"/>
                <w:sz w:val="24"/>
                <w:szCs w:val="24"/>
                <w:lang w:val="en-US" w:eastAsia="zh-CN"/>
              </w:rPr>
              <w:t>污染物产生及排放情况</w:t>
            </w:r>
          </w:p>
          <w:p w14:paraId="7ABD484A">
            <w:pPr>
              <w:pStyle w:val="30"/>
              <w:keepNext w:val="0"/>
              <w:keepLines w:val="0"/>
              <w:pageBreakBefore w:val="0"/>
              <w:kinsoku/>
              <w:wordWrap/>
              <w:topLinePunct w:val="0"/>
              <w:bidi w:val="0"/>
              <w:adjustRightInd w:val="0"/>
              <w:snapToGrid w:val="0"/>
              <w:spacing w:before="0" w:beforeAutospacing="0" w:after="0" w:afterAutospacing="0" w:line="360" w:lineRule="auto"/>
              <w:ind w:firstLine="480"/>
              <w:textAlignment w:val="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（1）加弹废气</w:t>
            </w:r>
          </w:p>
          <w:p w14:paraId="7CAA7267">
            <w:pPr>
              <w:pStyle w:val="30"/>
              <w:keepNext w:val="0"/>
              <w:keepLines w:val="0"/>
              <w:pageBreakBefore w:val="0"/>
              <w:kinsoku/>
              <w:wordWrap/>
              <w:topLinePunct w:val="0"/>
              <w:bidi w:val="0"/>
              <w:adjustRightInd w:val="0"/>
              <w:snapToGrid w:val="0"/>
              <w:spacing w:before="0" w:beforeAutospacing="0" w:after="0" w:afterAutospacing="0" w:line="360" w:lineRule="auto"/>
              <w:ind w:firstLine="480"/>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项目营运期废气主要为加弹过程产生的油雾。原料POY丝本身含有少量油剂，加弹上油过程、POY丝在上/下热箱中加热定型时均会产生油雾，POY丝所含油剂和本项目所用加弹油剂成分均为液态烷烃，因此加弹废气以非甲烷总烃计。</w:t>
            </w:r>
          </w:p>
          <w:p w14:paraId="504D8B1D">
            <w:pPr>
              <w:pStyle w:val="30"/>
              <w:keepNext w:val="0"/>
              <w:keepLines w:val="0"/>
              <w:pageBreakBefore w:val="0"/>
              <w:kinsoku/>
              <w:wordWrap/>
              <w:topLinePunct w:val="0"/>
              <w:bidi w:val="0"/>
              <w:adjustRightInd w:val="0"/>
              <w:snapToGrid w:val="0"/>
              <w:spacing w:before="0" w:beforeAutospacing="0" w:after="0" w:afterAutospacing="0" w:line="360" w:lineRule="auto"/>
              <w:ind w:firstLine="480"/>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根据《排放源统计调查产排污核算方法和系数手册》</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生态环境部公告2021年第24号</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“2822涤纶纤维制造行业系数手册，涤纶POY制成涤纶DTY的“牵伸－加捻－卷绕”工艺有机废气的产污系数为411.05克/吨</w:t>
            </w:r>
            <w:r>
              <w:rPr>
                <w:rFonts w:hint="eastAsia"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lang w:val="en-US" w:eastAsia="zh-CN"/>
              </w:rPr>
              <w:t>产品”。本项目加弹使用的原POY丝用量约为</w:t>
            </w:r>
            <w:r>
              <w:rPr>
                <w:rFonts w:hint="eastAsia" w:ascii="Times New Roman" w:hAnsi="Times New Roman" w:cs="Times New Roman"/>
                <w:b w:val="0"/>
                <w:bCs w:val="0"/>
                <w:color w:val="auto"/>
                <w:sz w:val="24"/>
                <w:szCs w:val="24"/>
                <w:lang w:val="en-US" w:eastAsia="zh-CN"/>
              </w:rPr>
              <w:t>6</w:t>
            </w:r>
            <w:r>
              <w:rPr>
                <w:rFonts w:hint="default" w:ascii="Times New Roman" w:hAnsi="Times New Roman" w:cs="Times New Roman"/>
                <w:b w:val="0"/>
                <w:bCs w:val="0"/>
                <w:color w:val="auto"/>
                <w:sz w:val="24"/>
                <w:szCs w:val="24"/>
                <w:lang w:val="en-US" w:eastAsia="zh-CN"/>
              </w:rPr>
              <w:t>000t/a，加弹油剂用量约为</w:t>
            </w:r>
            <w:r>
              <w:rPr>
                <w:rFonts w:hint="eastAsia"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val="en-US" w:eastAsia="zh-CN"/>
              </w:rPr>
              <w:t>0t/a，</w:t>
            </w:r>
            <w:r>
              <w:rPr>
                <w:rFonts w:hint="eastAsia" w:ascii="Times New Roman" w:hAnsi="Times New Roman" w:cs="Times New Roman"/>
                <w:b w:val="0"/>
                <w:bCs w:val="0"/>
                <w:color w:val="auto"/>
                <w:sz w:val="24"/>
                <w:szCs w:val="24"/>
                <w:lang w:val="en-US" w:eastAsia="zh-CN"/>
              </w:rPr>
              <w:t>加弹过程中会产生废丝、喷水织机过程中亦会产生废丝，本环评按照最大产生量，最不利影响计算，因此不排除废丝过程中产生的废气，</w:t>
            </w:r>
            <w:r>
              <w:rPr>
                <w:rFonts w:hint="default" w:ascii="Times New Roman" w:hAnsi="Times New Roman" w:cs="Times New Roman"/>
                <w:b w:val="0"/>
                <w:bCs w:val="0"/>
                <w:color w:val="auto"/>
                <w:sz w:val="24"/>
                <w:szCs w:val="24"/>
                <w:lang w:val="en-US" w:eastAsia="zh-CN"/>
              </w:rPr>
              <w:t>故本项目加弹过程中非甲烷总烃总产生量约为</w:t>
            </w:r>
            <w:r>
              <w:rPr>
                <w:rFonts w:hint="eastAsia" w:ascii="Times New Roman" w:hAnsi="Times New Roman" w:cs="Times New Roman"/>
                <w:b w:val="0"/>
                <w:bCs w:val="0"/>
                <w:color w:val="auto"/>
                <w:sz w:val="24"/>
                <w:szCs w:val="24"/>
                <w:lang w:val="en-US" w:eastAsia="zh-CN"/>
              </w:rPr>
              <w:t>2.475</w:t>
            </w:r>
            <w:r>
              <w:rPr>
                <w:rFonts w:hint="default" w:ascii="Times New Roman" w:hAnsi="Times New Roman" w:cs="Times New Roman"/>
                <w:b w:val="0"/>
                <w:bCs w:val="0"/>
                <w:color w:val="auto"/>
                <w:sz w:val="24"/>
                <w:szCs w:val="24"/>
                <w:lang w:val="en-US" w:eastAsia="zh-CN"/>
              </w:rPr>
              <w:t>t/a。</w:t>
            </w:r>
          </w:p>
          <w:p w14:paraId="66D635B2">
            <w:pPr>
              <w:pStyle w:val="30"/>
              <w:keepNext w:val="0"/>
              <w:keepLines w:val="0"/>
              <w:pageBreakBefore w:val="0"/>
              <w:kinsoku/>
              <w:wordWrap/>
              <w:topLinePunct w:val="0"/>
              <w:bidi w:val="0"/>
              <w:adjustRightInd w:val="0"/>
              <w:snapToGrid w:val="0"/>
              <w:spacing w:before="0" w:beforeAutospacing="0" w:after="0" w:afterAutospacing="0" w:line="360" w:lineRule="auto"/>
              <w:ind w:firstLine="480"/>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本项目加弹油烟通过加弹机自带管道收集，收集效率可达95%。本项目共设置</w:t>
            </w:r>
          </w:p>
          <w:p w14:paraId="22FE98E4">
            <w:pPr>
              <w:pStyle w:val="30"/>
              <w:keepNext w:val="0"/>
              <w:keepLines w:val="0"/>
              <w:pageBreakBefore w:val="0"/>
              <w:kinsoku/>
              <w:wordWrap/>
              <w:topLinePunct w:val="0"/>
              <w:bidi w:val="0"/>
              <w:adjustRightInd w:val="0"/>
              <w:snapToGrid w:val="0"/>
              <w:spacing w:before="0" w:beforeAutospacing="0" w:after="0" w:afterAutospacing="0" w:line="360" w:lineRule="auto"/>
              <w:ind w:left="0" w:leftChars="0" w:firstLine="0" w:firstLineChars="0"/>
              <w:textAlignment w:val="auto"/>
              <w:rPr>
                <w:rFonts w:hint="default"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6</w:t>
            </w:r>
            <w:r>
              <w:rPr>
                <w:rFonts w:hint="default" w:ascii="Times New Roman" w:hAnsi="Times New Roman" w:cs="Times New Roman"/>
                <w:b w:val="0"/>
                <w:bCs w:val="0"/>
                <w:color w:val="auto"/>
                <w:sz w:val="24"/>
                <w:szCs w:val="24"/>
                <w:lang w:val="en-US" w:eastAsia="zh-CN"/>
              </w:rPr>
              <w:t>台加弹机，每台加弹机集气系统的风机风量是</w:t>
            </w:r>
            <w:r>
              <w:rPr>
                <w:rFonts w:hint="eastAsia"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val="en-US" w:eastAsia="zh-CN"/>
              </w:rPr>
              <w:t>000m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/h，</w:t>
            </w:r>
            <w:r>
              <w:rPr>
                <w:rFonts w:hint="eastAsia" w:ascii="Times New Roman" w:hAnsi="Times New Roman" w:cs="Times New Roman"/>
                <w:b w:val="0"/>
                <w:bCs w:val="0"/>
                <w:color w:val="auto"/>
                <w:sz w:val="24"/>
                <w:szCs w:val="24"/>
                <w:lang w:val="en-US" w:eastAsia="zh-CN"/>
              </w:rPr>
              <w:t>6</w:t>
            </w:r>
            <w:r>
              <w:rPr>
                <w:rFonts w:hint="default" w:ascii="Times New Roman" w:hAnsi="Times New Roman" w:cs="Times New Roman"/>
                <w:b w:val="0"/>
                <w:bCs w:val="0"/>
                <w:color w:val="auto"/>
                <w:sz w:val="24"/>
                <w:szCs w:val="24"/>
                <w:lang w:val="en-US" w:eastAsia="zh-CN"/>
              </w:rPr>
              <w:t>台加弹机共用1套</w:t>
            </w:r>
          </w:p>
          <w:p w14:paraId="237CDB4B">
            <w:pPr>
              <w:pStyle w:val="30"/>
              <w:keepNext w:val="0"/>
              <w:keepLines w:val="0"/>
              <w:pageBreakBefore w:val="0"/>
              <w:kinsoku/>
              <w:wordWrap/>
              <w:topLinePunct w:val="0"/>
              <w:bidi w:val="0"/>
              <w:adjustRightInd w:val="0"/>
              <w:snapToGrid w:val="0"/>
              <w:spacing w:before="0" w:beforeAutospacing="0" w:after="0" w:afterAutospacing="0" w:line="360" w:lineRule="auto"/>
              <w:ind w:left="0" w:leftChars="0" w:firstLine="0" w:firstLineChars="0"/>
              <w:textAlignment w:val="auto"/>
              <w:rPr>
                <w:rFonts w:hint="eastAsia" w:ascii="Times New Roman" w:hAnsi="Times New Roman" w:eastAsia="宋体" w:cs="Times New Roman"/>
                <w:sz w:val="24"/>
                <w:szCs w:val="24"/>
                <w:lang w:eastAsia="zh-CN"/>
              </w:rPr>
            </w:pPr>
            <w:r>
              <w:rPr>
                <w:rFonts w:hint="default" w:ascii="Times New Roman" w:hAnsi="Times New Roman" w:cs="Times New Roman"/>
                <w:b w:val="0"/>
                <w:bCs w:val="0"/>
                <w:color w:val="auto"/>
                <w:sz w:val="24"/>
                <w:szCs w:val="24"/>
                <w:lang w:val="en-US" w:eastAsia="zh-CN"/>
              </w:rPr>
              <w:t>高压静电油烟净化器处理装置，则高压静电油烟净化器处理装置总风量</w:t>
            </w:r>
            <w:r>
              <w:rPr>
                <w:rFonts w:hint="eastAsia" w:ascii="Times New Roman" w:hAnsi="Times New Roman" w:cs="Times New Roman"/>
                <w:b w:val="0"/>
                <w:bCs w:val="0"/>
                <w:color w:val="auto"/>
                <w:sz w:val="24"/>
                <w:szCs w:val="24"/>
                <w:lang w:val="en-US" w:eastAsia="zh-CN"/>
              </w:rPr>
              <w:t>12</w:t>
            </w:r>
            <w:r>
              <w:rPr>
                <w:rFonts w:hint="default" w:ascii="Times New Roman" w:hAnsi="Times New Roman" w:cs="Times New Roman"/>
                <w:b w:val="0"/>
                <w:bCs w:val="0"/>
                <w:color w:val="auto"/>
                <w:sz w:val="24"/>
                <w:szCs w:val="24"/>
                <w:lang w:val="en-US" w:eastAsia="zh-CN"/>
              </w:rPr>
              <w:t>000m</w:t>
            </w:r>
            <w:r>
              <w:rPr>
                <w:rFonts w:hint="default" w:ascii="Times New Roman" w:hAnsi="Times New Roman" w:cs="Times New Roman"/>
                <w:b w:val="0"/>
                <w:bCs w:val="0"/>
                <w:color w:val="auto"/>
                <w:sz w:val="24"/>
                <w:szCs w:val="24"/>
                <w:vertAlign w:val="superscript"/>
                <w:lang w:val="en-US" w:eastAsia="zh-CN"/>
              </w:rPr>
              <w:t>3</w:t>
            </w:r>
            <w:r>
              <w:rPr>
                <w:rFonts w:hint="default" w:ascii="Times New Roman" w:hAnsi="Times New Roman" w:cs="Times New Roman"/>
                <w:b w:val="0"/>
                <w:bCs w:val="0"/>
                <w:color w:val="auto"/>
                <w:sz w:val="24"/>
                <w:szCs w:val="24"/>
                <w:lang w:val="en-US" w:eastAsia="zh-CN"/>
              </w:rPr>
              <w:t>/h，</w:t>
            </w:r>
            <w:r>
              <w:rPr>
                <w:rFonts w:hint="eastAsia" w:ascii="Times New Roman" w:hAnsi="Times New Roman" w:cs="Times New Roman"/>
                <w:b w:val="0"/>
                <w:bCs w:val="0"/>
                <w:color w:val="auto"/>
                <w:sz w:val="24"/>
                <w:szCs w:val="24"/>
                <w:lang w:val="en-US" w:eastAsia="zh-CN"/>
              </w:rPr>
              <w:t>加弹废气</w:t>
            </w:r>
            <w:r>
              <w:rPr>
                <w:rFonts w:hint="default" w:ascii="Times New Roman" w:hAnsi="Times New Roman" w:cs="Times New Roman"/>
                <w:b w:val="0"/>
                <w:bCs w:val="0"/>
                <w:color w:val="auto"/>
                <w:sz w:val="24"/>
                <w:szCs w:val="24"/>
                <w:lang w:val="en-US" w:eastAsia="zh-CN"/>
              </w:rPr>
              <w:t>经收集后通过</w:t>
            </w:r>
            <w:r>
              <w:rPr>
                <w:rFonts w:hint="eastAsia" w:ascii="Times New Roman" w:hAnsi="Times New Roman" w:cs="Times New Roman"/>
                <w:b w:val="0"/>
                <w:bCs w:val="0"/>
                <w:color w:val="auto"/>
                <w:sz w:val="24"/>
                <w:szCs w:val="24"/>
                <w:lang w:val="en-US" w:eastAsia="zh-CN"/>
              </w:rPr>
              <w:t>1</w:t>
            </w:r>
            <w:r>
              <w:rPr>
                <w:rFonts w:hint="default" w:ascii="Times New Roman" w:hAnsi="Times New Roman" w:cs="Times New Roman"/>
                <w:b w:val="0"/>
                <w:bCs w:val="0"/>
                <w:color w:val="auto"/>
                <w:sz w:val="24"/>
                <w:szCs w:val="24"/>
                <w:lang w:val="en-US" w:eastAsia="zh-CN"/>
              </w:rPr>
              <w:t>套高压静电油烟净化器处理，处理后尾气通过</w:t>
            </w:r>
            <w:r>
              <w:rPr>
                <w:rFonts w:hint="eastAsia" w:ascii="Times New Roman" w:hAnsi="Times New Roman" w:cs="Times New Roman"/>
                <w:b w:val="0"/>
                <w:bCs w:val="0"/>
                <w:color w:val="auto"/>
                <w:sz w:val="24"/>
                <w:szCs w:val="24"/>
                <w:lang w:val="en-US" w:eastAsia="zh-CN"/>
              </w:rPr>
              <w:t>1</w:t>
            </w:r>
            <w:r>
              <w:rPr>
                <w:rFonts w:hint="default" w:ascii="Times New Roman" w:hAnsi="Times New Roman" w:cs="Times New Roman"/>
                <w:b w:val="0"/>
                <w:bCs w:val="0"/>
                <w:color w:val="auto"/>
                <w:sz w:val="24"/>
                <w:szCs w:val="24"/>
                <w:lang w:val="en-US" w:eastAsia="zh-CN"/>
              </w:rPr>
              <w:t>根15米高排</w:t>
            </w:r>
            <w:r>
              <w:rPr>
                <w:rFonts w:hint="eastAsia" w:ascii="Times New Roman" w:hAnsi="Times New Roman" w:cs="Times New Roman"/>
                <w:b w:val="0"/>
                <w:bCs w:val="0"/>
                <w:color w:val="auto"/>
                <w:sz w:val="24"/>
                <w:szCs w:val="24"/>
                <w:lang w:val="en-US" w:eastAsia="zh-CN"/>
              </w:rPr>
              <w:t>气筒</w:t>
            </w:r>
            <w:r>
              <w:rPr>
                <w:rFonts w:hint="default" w:ascii="Times New Roman" w:hAnsi="Times New Roman" w:cs="Times New Roman"/>
                <w:b w:val="0"/>
                <w:bCs w:val="0"/>
                <w:color w:val="auto"/>
                <w:sz w:val="24"/>
                <w:szCs w:val="24"/>
                <w:lang w:val="en-US" w:eastAsia="zh-CN"/>
              </w:rPr>
              <w:t>DA001排放</w:t>
            </w:r>
            <w:r>
              <w:rPr>
                <w:rFonts w:hint="eastAsia" w:ascii="Times New Roman" w:hAnsi="Times New Roman" w:cs="Times New Roman"/>
                <w:b w:val="0"/>
                <w:bCs w:val="0"/>
                <w:color w:val="auto"/>
                <w:sz w:val="24"/>
                <w:szCs w:val="24"/>
                <w:lang w:val="en-US" w:eastAsia="zh-CN"/>
              </w:rPr>
              <w:t>。</w:t>
            </w:r>
            <w:r>
              <w:rPr>
                <w:rFonts w:hint="eastAsia"/>
                <w:sz w:val="24"/>
                <w:lang w:val="en-US" w:eastAsia="zh-CN"/>
              </w:rPr>
              <w:t>本项目生产线年生产时间</w:t>
            </w:r>
            <w:r>
              <w:rPr>
                <w:rFonts w:hint="default" w:ascii="Times New Roman" w:hAnsi="Times New Roman" w:cs="Times New Roman"/>
                <w:sz w:val="24"/>
                <w:lang w:val="en-US" w:eastAsia="zh-CN"/>
              </w:rPr>
              <w:t>为7200h，</w:t>
            </w:r>
            <w:r>
              <w:rPr>
                <w:rFonts w:hint="eastAsia" w:ascii="Times New Roman" w:hAnsi="Times New Roman" w:cs="Times New Roman"/>
                <w:sz w:val="24"/>
                <w:lang w:val="en-US" w:eastAsia="zh-CN"/>
              </w:rPr>
              <w:t>则</w:t>
            </w:r>
            <w:r>
              <w:rPr>
                <w:rFonts w:hint="default" w:ascii="Times New Roman" w:hAnsi="Times New Roman" w:cs="Times New Roman"/>
                <w:sz w:val="24"/>
                <w:lang w:val="en-US" w:eastAsia="zh-CN"/>
              </w:rPr>
              <w:t>废气量为</w:t>
            </w:r>
            <w:r>
              <w:rPr>
                <w:rFonts w:hint="eastAsia" w:ascii="Times New Roman" w:hAnsi="Times New Roman" w:cs="Times New Roman"/>
                <w:color w:val="auto"/>
                <w:sz w:val="24"/>
                <w:lang w:val="en-US" w:eastAsia="zh-CN"/>
              </w:rPr>
              <w:t>8640</w:t>
            </w:r>
            <w:r>
              <w:rPr>
                <w:rFonts w:hint="default" w:ascii="Times New Roman" w:hAnsi="Times New Roman" w:cs="Times New Roman"/>
                <w:sz w:val="24"/>
                <w:lang w:val="en-US" w:eastAsia="zh-CN"/>
              </w:rPr>
              <w:t>万m</w:t>
            </w:r>
            <w:r>
              <w:rPr>
                <w:rFonts w:hint="default" w:ascii="Times New Roman" w:hAnsi="Times New Roman" w:cs="Times New Roman"/>
                <w:sz w:val="24"/>
                <w:vertAlign w:val="superscript"/>
                <w:lang w:val="en-US" w:eastAsia="zh-CN"/>
              </w:rPr>
              <w:t>3</w:t>
            </w:r>
            <w:r>
              <w:rPr>
                <w:rFonts w:hint="default" w:ascii="Times New Roman" w:hAnsi="Times New Roman" w:cs="Times New Roman"/>
                <w:sz w:val="24"/>
                <w:lang w:val="en-US" w:eastAsia="zh-CN"/>
              </w:rPr>
              <w:t>/a，</w:t>
            </w:r>
            <w:r>
              <w:rPr>
                <w:rFonts w:hint="default" w:ascii="Times New Roman" w:hAnsi="Times New Roman" w:cs="Times New Roman"/>
                <w:color w:val="auto"/>
                <w:sz w:val="24"/>
              </w:rPr>
              <w:t>有组织</w:t>
            </w:r>
            <w:r>
              <w:rPr>
                <w:rFonts w:hint="default" w:ascii="Times New Roman" w:hAnsi="Times New Roman" w:cs="Times New Roman"/>
                <w:color w:val="auto"/>
                <w:sz w:val="24"/>
                <w:lang w:val="en-US" w:eastAsia="zh-CN"/>
              </w:rPr>
              <w:t>非甲烷总烃</w:t>
            </w:r>
            <w:r>
              <w:rPr>
                <w:rFonts w:hint="default" w:ascii="Times New Roman" w:hAnsi="Times New Roman" w:cs="Times New Roman"/>
                <w:color w:val="auto"/>
                <w:sz w:val="24"/>
              </w:rPr>
              <w:t>的产生量为</w:t>
            </w:r>
            <w:r>
              <w:rPr>
                <w:rFonts w:hint="eastAsia" w:ascii="Times New Roman" w:hAnsi="Times New Roman" w:cs="Times New Roman"/>
                <w:color w:val="auto"/>
                <w:sz w:val="24"/>
                <w:lang w:val="en-US" w:eastAsia="zh-CN"/>
              </w:rPr>
              <w:t>2.351</w:t>
            </w:r>
            <w:r>
              <w:rPr>
                <w:rFonts w:hint="default" w:ascii="Times New Roman" w:hAnsi="Times New Roman" w:cs="Times New Roman"/>
                <w:color w:val="auto"/>
                <w:sz w:val="24"/>
              </w:rPr>
              <w:t>t/a</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产生浓度为</w:t>
            </w:r>
            <w:r>
              <w:rPr>
                <w:rFonts w:hint="eastAsia" w:ascii="Times New Roman" w:hAnsi="Times New Roman" w:cs="Times New Roman"/>
                <w:color w:val="auto"/>
                <w:sz w:val="24"/>
                <w:lang w:val="en-US" w:eastAsia="zh-CN"/>
              </w:rPr>
              <w:t>27.211</w:t>
            </w:r>
            <w:r>
              <w:rPr>
                <w:rFonts w:hint="default" w:ascii="Times New Roman" w:hAnsi="Times New Roman" w:cs="Times New Roman"/>
                <w:color w:val="auto"/>
                <w:sz w:val="24"/>
              </w:rPr>
              <w:t>mg/m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vertAlign w:val="baseline"/>
                <w:lang w:eastAsia="zh-CN"/>
              </w:rPr>
              <w:t>、</w:t>
            </w:r>
            <w:r>
              <w:rPr>
                <w:rFonts w:hint="default" w:ascii="Times New Roman" w:hAnsi="Times New Roman" w:cs="Times New Roman"/>
                <w:color w:val="auto"/>
                <w:sz w:val="24"/>
                <w:vertAlign w:val="baseline"/>
                <w:lang w:val="en-US" w:eastAsia="zh-CN"/>
              </w:rPr>
              <w:t>产生速率为</w:t>
            </w:r>
            <w:r>
              <w:rPr>
                <w:rFonts w:hint="eastAsia" w:ascii="Times New Roman" w:hAnsi="Times New Roman" w:cs="Times New Roman"/>
                <w:color w:val="auto"/>
                <w:sz w:val="24"/>
                <w:vertAlign w:val="baseline"/>
                <w:lang w:val="en-US" w:eastAsia="zh-CN"/>
              </w:rPr>
              <w:t>0.327</w:t>
            </w:r>
            <w:r>
              <w:rPr>
                <w:rFonts w:hint="default" w:ascii="Times New Roman" w:hAnsi="Times New Roman" w:cs="Times New Roman"/>
                <w:color w:val="auto"/>
                <w:sz w:val="24"/>
                <w:vertAlign w:val="baseline"/>
                <w:lang w:val="en-US" w:eastAsia="zh-CN"/>
              </w:rPr>
              <w:t>kg/h；</w:t>
            </w:r>
            <w:r>
              <w:rPr>
                <w:rFonts w:hint="eastAsia" w:ascii="Times New Roman" w:hAnsi="Times New Roman" w:cs="Times New Roman"/>
                <w:color w:val="auto"/>
                <w:sz w:val="24"/>
                <w:lang w:val="en-US" w:eastAsia="zh-CN"/>
              </w:rPr>
              <w:t>高压静电油烟净化器</w:t>
            </w:r>
            <w:r>
              <w:rPr>
                <w:rFonts w:hint="default" w:ascii="Times New Roman" w:hAnsi="Times New Roman" w:cs="Times New Roman"/>
                <w:color w:val="auto"/>
                <w:sz w:val="24"/>
                <w:lang w:val="en-US" w:eastAsia="zh-CN"/>
              </w:rPr>
              <w:t>对非甲烷总烃的净化效率按90%计，则</w:t>
            </w:r>
            <w:r>
              <w:rPr>
                <w:rFonts w:hint="eastAsia" w:ascii="Times New Roman" w:hAnsi="Times New Roman" w:eastAsia="宋体" w:cs="Times New Roman"/>
                <w:color w:val="auto"/>
                <w:sz w:val="24"/>
                <w:szCs w:val="24"/>
                <w:lang w:val="en-US" w:eastAsia="zh-CN"/>
              </w:rPr>
              <w:t>有组</w:t>
            </w:r>
            <w:r>
              <w:rPr>
                <w:rFonts w:hint="eastAsia" w:ascii="Times New Roman" w:hAnsi="Times New Roman" w:eastAsia="宋体" w:cs="Times New Roman"/>
                <w:sz w:val="24"/>
                <w:szCs w:val="24"/>
                <w:lang w:val="en-US" w:eastAsia="zh-CN"/>
              </w:rPr>
              <w:t>织非甲烷总烃</w:t>
            </w:r>
            <w:r>
              <w:rPr>
                <w:rFonts w:hint="default" w:ascii="Times New Roman" w:hAnsi="Times New Roman" w:eastAsia="宋体" w:cs="Times New Roman"/>
                <w:sz w:val="24"/>
                <w:szCs w:val="24"/>
              </w:rPr>
              <w:t>排放量为</w:t>
            </w:r>
            <w:r>
              <w:rPr>
                <w:rFonts w:hint="eastAsia" w:ascii="Times New Roman" w:hAnsi="Times New Roman" w:eastAsia="宋体" w:cs="Times New Roman"/>
                <w:sz w:val="24"/>
                <w:szCs w:val="24"/>
                <w:lang w:val="en-US" w:eastAsia="zh-CN"/>
              </w:rPr>
              <w:t>0.235</w:t>
            </w:r>
            <w:r>
              <w:rPr>
                <w:rFonts w:hint="default" w:ascii="Times New Roman" w:hAnsi="Times New Roman" w:eastAsia="宋体" w:cs="Times New Roman"/>
                <w:sz w:val="24"/>
                <w:szCs w:val="24"/>
              </w:rPr>
              <w:t>t/a</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排放浓度为</w:t>
            </w:r>
            <w:r>
              <w:rPr>
                <w:rFonts w:hint="eastAsia" w:ascii="Times New Roman" w:hAnsi="Times New Roman" w:eastAsia="宋体" w:cs="Times New Roman"/>
                <w:sz w:val="24"/>
                <w:szCs w:val="24"/>
                <w:highlight w:val="none"/>
                <w:lang w:val="en-US" w:eastAsia="zh-CN"/>
              </w:rPr>
              <w:t>2.720</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highlight w:val="none"/>
                <w:vertAlign w:val="superscript"/>
              </w:rPr>
              <w:t>3</w:t>
            </w:r>
            <w:r>
              <w:rPr>
                <w:rFonts w:hint="eastAsia" w:ascii="Times New Roman" w:hAnsi="Times New Roman" w:eastAsia="宋体" w:cs="Times New Roman"/>
                <w:sz w:val="24"/>
                <w:szCs w:val="24"/>
                <w:highlight w:val="none"/>
                <w:vertAlign w:val="baseline"/>
                <w:lang w:eastAsia="zh-CN"/>
              </w:rPr>
              <w:t>、</w:t>
            </w:r>
            <w:r>
              <w:rPr>
                <w:rFonts w:hint="default" w:ascii="Times New Roman" w:hAnsi="Times New Roman" w:eastAsia="宋体" w:cs="Times New Roman"/>
                <w:sz w:val="24"/>
                <w:szCs w:val="24"/>
                <w:highlight w:val="none"/>
              </w:rPr>
              <w:t>排放速率为</w:t>
            </w:r>
            <w:r>
              <w:rPr>
                <w:rFonts w:hint="eastAsia" w:ascii="Times New Roman" w:hAnsi="Times New Roman" w:eastAsia="宋体" w:cs="Times New Roman"/>
                <w:sz w:val="24"/>
                <w:szCs w:val="24"/>
                <w:highlight w:val="none"/>
                <w:lang w:val="en-US" w:eastAsia="zh-CN"/>
              </w:rPr>
              <w:t>0.033</w:t>
            </w:r>
            <w:r>
              <w:rPr>
                <w:rFonts w:hint="default" w:ascii="Times New Roman" w:hAnsi="Times New Roman" w:eastAsia="宋体" w:cs="Times New Roman"/>
                <w:sz w:val="24"/>
                <w:szCs w:val="24"/>
                <w:highlight w:val="none"/>
              </w:rPr>
              <w:t>kg/h</w:t>
            </w:r>
            <w:r>
              <w:rPr>
                <w:rFonts w:hint="eastAsia" w:ascii="Times New Roman" w:hAnsi="Times New Roman" w:eastAsia="宋体" w:cs="Times New Roman"/>
                <w:sz w:val="24"/>
                <w:szCs w:val="24"/>
                <w:highlight w:val="none"/>
                <w:lang w:eastAsia="zh-CN"/>
              </w:rPr>
              <w:t>。</w:t>
            </w:r>
          </w:p>
          <w:p w14:paraId="49B96675">
            <w:pPr>
              <w:keepNext w:val="0"/>
              <w:keepLines w:val="0"/>
              <w:pageBreakBefore w:val="0"/>
              <w:kinsoku/>
              <w:wordWrap/>
              <w:topLinePunct w:val="0"/>
              <w:bidi w:val="0"/>
              <w:spacing w:line="360" w:lineRule="auto"/>
              <w:ind w:firstLine="480" w:firstLineChars="200"/>
              <w:textAlignment w:val="auto"/>
              <w:rPr>
                <w:rFonts w:hint="eastAsia"/>
                <w:b/>
                <w:bCs/>
                <w:sz w:val="24"/>
                <w:lang w:val="en-US" w:eastAsia="zh-CN"/>
              </w:rPr>
            </w:pPr>
            <w:r>
              <w:rPr>
                <w:rFonts w:hint="eastAsia"/>
                <w:sz w:val="24"/>
                <w:lang w:val="en-US" w:eastAsia="zh-CN"/>
              </w:rPr>
              <w:t>未被收集的非甲烷总烃在生产车间内无组织排放，未收集的无组织非甲烷总烃产生量为0.124t/a，产生速率为0.017kg/h。</w:t>
            </w:r>
          </w:p>
          <w:p w14:paraId="6DF774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（2）危废仓库废气</w:t>
            </w:r>
          </w:p>
          <w:p w14:paraId="6463AD81">
            <w:pPr>
              <w:pStyle w:val="33"/>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lang w:val="en-US" w:eastAsia="zh-CN"/>
              </w:rPr>
              <w:t>建设项目危废仓库主要暂存废油、废机油及废机油桶，危废仓库废气主要是废油中挥发的少量非甲烷总烃</w:t>
            </w:r>
            <w:r>
              <w:rPr>
                <w:rFonts w:hint="eastAsia" w:ascii="Times New Roman" w:hAnsi="Times New Roman" w:eastAsia="宋体" w:cs="Times New Roman"/>
                <w:color w:val="auto"/>
                <w:sz w:val="24"/>
                <w:szCs w:val="24"/>
                <w:highlight w:val="none"/>
                <w:lang w:val="en-US" w:eastAsia="zh-CN"/>
              </w:rPr>
              <w:t>，考虑到建设项目危险废物均密闭包装暂存，产生的挥发性有机物极少，因此不核算危废库污染物排放量，本次评价对危险废物暂存废气不进行定量分析。危废仓库设置废气收集、导排系统，危废间废气接入加弹废气处理系统“高压油烟净化器”处理后通过DA001排气筒排放。</w:t>
            </w:r>
          </w:p>
          <w:p w14:paraId="51237F9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color w:val="auto"/>
              </w:rPr>
            </w:pPr>
            <w:r>
              <w:rPr>
                <w:rFonts w:hint="eastAsia" w:cs="Times New Roman"/>
                <w:b/>
                <w:bCs/>
                <w:color w:val="auto"/>
                <w:lang w:val="en-US" w:eastAsia="zh-CN"/>
              </w:rPr>
              <w:t>2.</w:t>
            </w:r>
            <w:r>
              <w:rPr>
                <w:rFonts w:hint="eastAsia" w:ascii="Times New Roman" w:hAnsi="Times New Roman" w:eastAsia="宋体" w:cs="Times New Roman"/>
                <w:b/>
                <w:bCs/>
                <w:color w:val="auto"/>
              </w:rPr>
              <w:t>污染防治措施及达标排放情况</w:t>
            </w:r>
          </w:p>
          <w:p w14:paraId="0B19C4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eastAsia="宋体"/>
                <w:color w:val="auto"/>
                <w:lang w:val="en-US" w:eastAsia="zh-CN"/>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废气</w:t>
            </w:r>
            <w:r>
              <w:rPr>
                <w:rFonts w:hint="eastAsia"/>
                <w:color w:val="auto"/>
                <w:lang w:val="en-US" w:eastAsia="zh-CN"/>
              </w:rPr>
              <w:t>治理措施</w:t>
            </w:r>
          </w:p>
          <w:p w14:paraId="36B18D05">
            <w:pPr>
              <w:keepNext w:val="0"/>
              <w:keepLines w:val="0"/>
              <w:pageBreakBefore w:val="0"/>
              <w:kinsoku/>
              <w:wordWrap/>
              <w:topLinePunct w:val="0"/>
              <w:bidi w:val="0"/>
              <w:spacing w:line="360" w:lineRule="auto"/>
              <w:ind w:firstLine="480" w:firstLineChars="200"/>
              <w:textAlignment w:val="auto"/>
              <w:rPr>
                <w:rFonts w:hint="eastAsia"/>
                <w:b w:val="0"/>
                <w:bCs w:val="0"/>
                <w:sz w:val="24"/>
                <w:lang w:val="en-US" w:eastAsia="zh-CN"/>
              </w:rPr>
            </w:pPr>
            <w:r>
              <w:rPr>
                <w:rFonts w:hint="eastAsia"/>
                <w:b w:val="0"/>
                <w:bCs w:val="0"/>
                <w:sz w:val="24"/>
                <w:lang w:val="en-US" w:eastAsia="zh-CN"/>
              </w:rPr>
              <w:t>加弹产生的非甲烷总烃经收集后经油烟净化器处理后通过15米排气筒高空排放（DA001）。</w:t>
            </w:r>
          </w:p>
          <w:p w14:paraId="4A4C2708">
            <w:pPr>
              <w:pStyle w:val="14"/>
              <w:keepNext w:val="0"/>
              <w:keepLines w:val="0"/>
              <w:pageBreakBefore w:val="0"/>
              <w:kinsoku/>
              <w:wordWrap/>
              <w:topLinePunct w:val="0"/>
              <w:bidi w:val="0"/>
              <w:spacing w:line="360" w:lineRule="auto"/>
              <w:textAlignment w:val="auto"/>
              <w:rPr>
                <w:rFonts w:hint="eastAsia"/>
                <w:lang w:val="en-US" w:eastAsia="zh-CN"/>
              </w:rPr>
            </w:pPr>
            <w:r>
              <w:rPr>
                <w:rFonts w:hint="default" w:ascii="Times New Roman" w:hAnsi="Times New Roman" w:cs="Times New Roman"/>
                <w:b/>
                <w:bCs/>
                <w:color w:val="auto"/>
                <w:spacing w:val="0"/>
                <w:kern w:val="21"/>
                <w:sz w:val="24"/>
                <w:szCs w:val="24"/>
                <w:lang w:val="en-US" w:eastAsia="zh-CN"/>
              </w:rPr>
              <w:t>高压</w:t>
            </w:r>
            <w:r>
              <w:rPr>
                <w:rFonts w:hint="default" w:ascii="Times New Roman" w:hAnsi="Times New Roman" w:cs="Times New Roman"/>
                <w:b/>
                <w:bCs/>
                <w:color w:val="auto"/>
                <w:spacing w:val="0"/>
                <w:kern w:val="21"/>
                <w:sz w:val="24"/>
                <w:szCs w:val="24"/>
              </w:rPr>
              <w:t>静电</w:t>
            </w:r>
            <w:r>
              <w:rPr>
                <w:rFonts w:hint="default" w:ascii="Times New Roman" w:hAnsi="Times New Roman" w:cs="Times New Roman"/>
                <w:b/>
                <w:bCs/>
                <w:color w:val="auto"/>
                <w:spacing w:val="0"/>
                <w:kern w:val="21"/>
                <w:sz w:val="24"/>
                <w:szCs w:val="24"/>
                <w:lang w:val="en-US" w:eastAsia="zh-CN"/>
              </w:rPr>
              <w:t>油烟净化器</w:t>
            </w:r>
            <w:r>
              <w:rPr>
                <w:rFonts w:hint="default" w:ascii="Times New Roman" w:hAnsi="Times New Roman" w:cs="Times New Roman"/>
                <w:b/>
                <w:bCs/>
                <w:color w:val="auto"/>
                <w:spacing w:val="0"/>
                <w:kern w:val="21"/>
                <w:sz w:val="24"/>
                <w:szCs w:val="24"/>
                <w:lang w:eastAsia="zh-CN"/>
              </w:rPr>
              <w:t>：</w:t>
            </w:r>
            <w:r>
              <w:rPr>
                <w:color w:val="auto"/>
                <w:spacing w:val="0"/>
                <w:kern w:val="21"/>
                <w:sz w:val="24"/>
                <w:szCs w:val="24"/>
              </w:rPr>
              <w:t>油烟</w:t>
            </w:r>
            <w:r>
              <w:rPr>
                <w:rFonts w:hint="eastAsia"/>
                <w:color w:val="auto"/>
                <w:spacing w:val="0"/>
                <w:kern w:val="21"/>
                <w:sz w:val="24"/>
                <w:szCs w:val="24"/>
                <w:lang w:eastAsia="zh-CN"/>
              </w:rPr>
              <w:t>（</w:t>
            </w:r>
            <w:r>
              <w:rPr>
                <w:rFonts w:hint="eastAsia"/>
                <w:color w:val="auto"/>
                <w:spacing w:val="0"/>
                <w:kern w:val="21"/>
                <w:sz w:val="24"/>
                <w:szCs w:val="24"/>
                <w:lang w:val="en-US" w:eastAsia="zh-CN"/>
              </w:rPr>
              <w:t>以非甲烷总烃计</w:t>
            </w:r>
            <w:r>
              <w:rPr>
                <w:rFonts w:hint="eastAsia"/>
                <w:color w:val="auto"/>
                <w:spacing w:val="0"/>
                <w:kern w:val="21"/>
                <w:sz w:val="24"/>
                <w:szCs w:val="24"/>
                <w:lang w:eastAsia="zh-CN"/>
              </w:rPr>
              <w:t>）</w:t>
            </w:r>
            <w:r>
              <w:rPr>
                <w:color w:val="auto"/>
                <w:spacing w:val="0"/>
                <w:kern w:val="21"/>
                <w:sz w:val="24"/>
                <w:szCs w:val="24"/>
              </w:rPr>
              <w:t>由风机吸入高压静电油烟净化器，其中部分较大的油雾滴、油污颗粒在均流板上由于机械碰撞、阻留而被捕集。 当气流进入高压静电场时，在高压电场的作用下，油烟气体电离，油雾荷电，大部分得以降解炭化；少部分微小油粒在吸附电场的 电场力及气流作用下向电场的正负极板运动被收集在极板上并在自身重力的作用下流到集油盘，经排油通道排出，余下的微米级油 雾被电场降解成二氧化碳和水，最终排出洁净空气；同时在高压发生器的作用下，电场内空气产生臭氧，除去了烟气中大部分的气味，本次环评高压静电式油烟净化器对油烟</w:t>
            </w:r>
            <w:r>
              <w:rPr>
                <w:rFonts w:hint="eastAsia"/>
                <w:color w:val="auto"/>
                <w:spacing w:val="0"/>
                <w:kern w:val="21"/>
                <w:sz w:val="24"/>
                <w:szCs w:val="24"/>
                <w:lang w:eastAsia="zh-CN"/>
              </w:rPr>
              <w:t>（</w:t>
            </w:r>
            <w:r>
              <w:rPr>
                <w:rFonts w:hint="eastAsia"/>
                <w:color w:val="auto"/>
                <w:spacing w:val="0"/>
                <w:kern w:val="21"/>
                <w:sz w:val="24"/>
                <w:szCs w:val="24"/>
                <w:lang w:val="en-US" w:eastAsia="zh-CN"/>
              </w:rPr>
              <w:t>以非甲烷总烃计</w:t>
            </w:r>
            <w:r>
              <w:rPr>
                <w:rFonts w:hint="eastAsia"/>
                <w:color w:val="auto"/>
                <w:spacing w:val="0"/>
                <w:kern w:val="21"/>
                <w:sz w:val="24"/>
                <w:szCs w:val="24"/>
                <w:lang w:eastAsia="zh-CN"/>
              </w:rPr>
              <w:t>）</w:t>
            </w:r>
            <w:r>
              <w:rPr>
                <w:color w:val="auto"/>
                <w:spacing w:val="0"/>
                <w:kern w:val="21"/>
                <w:sz w:val="24"/>
                <w:szCs w:val="24"/>
              </w:rPr>
              <w:t>的去除率以</w:t>
            </w:r>
            <w:r>
              <w:rPr>
                <w:rFonts w:ascii="Times New Roman" w:hAnsi="Times New Roman" w:eastAsia="Times New Roman" w:cs="Times New Roman"/>
                <w:color w:val="auto"/>
                <w:spacing w:val="0"/>
                <w:kern w:val="21"/>
                <w:sz w:val="24"/>
                <w:szCs w:val="24"/>
              </w:rPr>
              <w:t>90%</w:t>
            </w:r>
            <w:r>
              <w:rPr>
                <w:color w:val="auto"/>
                <w:spacing w:val="0"/>
                <w:kern w:val="21"/>
                <w:sz w:val="24"/>
                <w:szCs w:val="24"/>
              </w:rPr>
              <w:t>计。</w:t>
            </w:r>
          </w:p>
          <w:p w14:paraId="4A6F83C0">
            <w:pPr>
              <w:keepNext w:val="0"/>
              <w:keepLines w:val="0"/>
              <w:pageBreakBefore w:val="0"/>
              <w:kinsoku/>
              <w:wordWrap/>
              <w:topLinePunct w:val="0"/>
              <w:bidi w:val="0"/>
              <w:spacing w:line="360" w:lineRule="auto"/>
              <w:textAlignment w:val="auto"/>
              <w:rPr>
                <w:rFonts w:hint="eastAsia"/>
                <w:b w:val="0"/>
                <w:bCs w:val="0"/>
                <w:sz w:val="24"/>
              </w:rPr>
            </w:pPr>
            <w:r>
              <w:rPr>
                <w:rFonts w:hint="eastAsia"/>
                <w:b w:val="0"/>
                <w:bCs w:val="0"/>
                <w:sz w:val="24"/>
                <w:lang w:val="en-US" w:eastAsia="zh-CN"/>
              </w:rPr>
              <w:t>（2）</w:t>
            </w:r>
            <w:r>
              <w:rPr>
                <w:rFonts w:hint="eastAsia"/>
                <w:b w:val="0"/>
                <w:bCs w:val="0"/>
                <w:sz w:val="24"/>
              </w:rPr>
              <w:t>可行性分析</w:t>
            </w:r>
          </w:p>
          <w:p w14:paraId="55A09FED">
            <w:pPr>
              <w:pStyle w:val="224"/>
              <w:keepNext w:val="0"/>
              <w:keepLines w:val="0"/>
              <w:pageBreakBefore w:val="0"/>
              <w:widowControl/>
              <w:kinsoku/>
              <w:wordWrap/>
              <w:overflowPunct w:val="0"/>
              <w:topLinePunct w:val="0"/>
              <w:autoSpaceDE w:val="0"/>
              <w:autoSpaceDN w:val="0"/>
              <w:bidi w:val="0"/>
              <w:adjustRightInd w:val="0"/>
              <w:snapToGrid w:val="0"/>
              <w:spacing w:after="0" w:line="360" w:lineRule="auto"/>
              <w:ind w:left="0" w:right="0" w:firstLine="480" w:firstLineChars="200"/>
              <w:textAlignment w:val="auto"/>
              <w:rPr>
                <w:color w:val="auto"/>
                <w:spacing w:val="0"/>
                <w:kern w:val="21"/>
                <w:sz w:val="24"/>
              </w:rPr>
            </w:pPr>
            <w:r>
              <w:rPr>
                <w:color w:val="auto"/>
                <w:spacing w:val="0"/>
                <w:kern w:val="21"/>
                <w:sz w:val="24"/>
              </w:rPr>
              <w:t>根据《纺织工业污染防治可行技术指南》（</w:t>
            </w:r>
            <w:r>
              <w:rPr>
                <w:rFonts w:ascii="Times New Roman" w:hAnsi="Times New Roman" w:eastAsia="Times New Roman" w:cs="Times New Roman"/>
                <w:color w:val="auto"/>
                <w:spacing w:val="0"/>
                <w:kern w:val="21"/>
                <w:sz w:val="24"/>
              </w:rPr>
              <w:t>HJ1177-2021</w:t>
            </w:r>
            <w:r>
              <w:rPr>
                <w:color w:val="auto"/>
                <w:spacing w:val="0"/>
                <w:kern w:val="21"/>
                <w:sz w:val="24"/>
              </w:rPr>
              <w:t>），静电处理是利用静电场使颗粒物形成荷电粒子，使其在电场作用下向集尘极定向移动进而被捕获实现废气净化。废气处理效率类比江苏鑫港欣纺织科技有限公司年产</w:t>
            </w:r>
            <w:r>
              <w:rPr>
                <w:rFonts w:ascii="Times New Roman" w:hAnsi="Times New Roman" w:eastAsia="Times New Roman" w:cs="Times New Roman"/>
                <w:color w:val="auto"/>
                <w:spacing w:val="0"/>
                <w:kern w:val="21"/>
                <w:sz w:val="24"/>
              </w:rPr>
              <w:t>1</w:t>
            </w:r>
            <w:r>
              <w:rPr>
                <w:color w:val="auto"/>
                <w:spacing w:val="0"/>
                <w:kern w:val="21"/>
                <w:sz w:val="24"/>
              </w:rPr>
              <w:t>亿米化纤纺织面料项目（第一阶段）竣工环境保护验收报告中监测数据，该项目生产工艺与本项目相近，采用相同废气处理设施。根据监测数据，高压静电油烟净化器治理效率达到</w:t>
            </w:r>
            <w:r>
              <w:rPr>
                <w:rFonts w:ascii="Times New Roman" w:hAnsi="Times New Roman" w:eastAsia="Times New Roman" w:cs="Times New Roman"/>
                <w:color w:val="auto"/>
                <w:spacing w:val="0"/>
                <w:kern w:val="21"/>
                <w:sz w:val="24"/>
              </w:rPr>
              <w:t>91</w:t>
            </w:r>
            <w:r>
              <w:rPr>
                <w:rFonts w:hint="eastAsia" w:ascii="Times New Roman" w:hAnsi="Times New Roman" w:eastAsia="宋体" w:cs="Times New Roman"/>
                <w:color w:val="auto"/>
                <w:spacing w:val="0"/>
                <w:kern w:val="21"/>
                <w:sz w:val="24"/>
                <w:lang w:eastAsia="zh-CN"/>
              </w:rPr>
              <w:t>%～</w:t>
            </w:r>
            <w:r>
              <w:rPr>
                <w:rFonts w:hint="eastAsia" w:ascii="Times New Roman" w:hAnsi="Times New Roman" w:eastAsia="宋体" w:cs="Times New Roman"/>
                <w:color w:val="auto"/>
                <w:spacing w:val="0"/>
                <w:kern w:val="21"/>
                <w:sz w:val="24"/>
                <w:lang w:val="en-US" w:eastAsia="zh-CN"/>
              </w:rPr>
              <w:t>95</w:t>
            </w:r>
            <w:r>
              <w:rPr>
                <w:rFonts w:ascii="Times New Roman" w:hAnsi="Times New Roman" w:eastAsia="Times New Roman" w:cs="Times New Roman"/>
                <w:color w:val="auto"/>
                <w:spacing w:val="0"/>
                <w:kern w:val="21"/>
                <w:sz w:val="24"/>
              </w:rPr>
              <w:t>%</w:t>
            </w:r>
            <w:r>
              <w:rPr>
                <w:color w:val="auto"/>
                <w:spacing w:val="0"/>
                <w:kern w:val="21"/>
                <w:sz w:val="24"/>
              </w:rPr>
              <w:t>，故本项目采用高压静电油烟净化器装置处理效率以</w:t>
            </w:r>
            <w:r>
              <w:rPr>
                <w:rFonts w:ascii="Times New Roman" w:hAnsi="Times New Roman" w:eastAsia="Times New Roman" w:cs="Times New Roman"/>
                <w:color w:val="auto"/>
                <w:spacing w:val="0"/>
                <w:kern w:val="21"/>
                <w:sz w:val="24"/>
              </w:rPr>
              <w:t>90%</w:t>
            </w:r>
            <w:r>
              <w:rPr>
                <w:color w:val="auto"/>
                <w:spacing w:val="0"/>
                <w:kern w:val="21"/>
                <w:sz w:val="24"/>
              </w:rPr>
              <w:t>计是可行的，具体数据见下表。</w:t>
            </w:r>
          </w:p>
          <w:p w14:paraId="4AD04698">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center"/>
              <w:textAlignment w:val="auto"/>
              <w:rPr>
                <w:b/>
                <w:bCs/>
                <w:color w:val="auto"/>
                <w:spacing w:val="0"/>
                <w:kern w:val="21"/>
              </w:rPr>
            </w:pPr>
            <w:r>
              <w:rPr>
                <w:b/>
                <w:bCs/>
                <w:color w:val="auto"/>
                <w:spacing w:val="0"/>
                <w:kern w:val="21"/>
              </w:rPr>
              <w:t>表</w:t>
            </w:r>
            <w:r>
              <w:rPr>
                <w:rFonts w:ascii="Times New Roman" w:hAnsi="Times New Roman" w:eastAsia="Times New Roman" w:cs="Times New Roman"/>
                <w:b/>
                <w:bCs/>
                <w:color w:val="auto"/>
                <w:spacing w:val="0"/>
                <w:kern w:val="21"/>
              </w:rPr>
              <w:t>4-</w:t>
            </w:r>
            <w:r>
              <w:rPr>
                <w:rFonts w:hint="eastAsia" w:cs="Times New Roman"/>
                <w:b/>
                <w:bCs/>
                <w:color w:val="auto"/>
                <w:spacing w:val="0"/>
                <w:kern w:val="21"/>
                <w:lang w:val="en-US" w:eastAsia="zh-CN"/>
              </w:rPr>
              <w:t>1</w:t>
            </w:r>
            <w:r>
              <w:rPr>
                <w:b/>
                <w:bCs/>
                <w:color w:val="auto"/>
                <w:spacing w:val="0"/>
                <w:kern w:val="21"/>
              </w:rPr>
              <w:t>江苏鑫港欣纺织科技有限公司年产</w:t>
            </w:r>
            <w:r>
              <w:rPr>
                <w:rFonts w:ascii="Times New Roman" w:hAnsi="Times New Roman" w:eastAsia="Times New Roman" w:cs="Times New Roman"/>
                <w:b/>
                <w:bCs/>
                <w:color w:val="auto"/>
                <w:spacing w:val="0"/>
                <w:kern w:val="21"/>
              </w:rPr>
              <w:t>1</w:t>
            </w:r>
            <w:r>
              <w:rPr>
                <w:b/>
                <w:bCs/>
                <w:color w:val="auto"/>
                <w:spacing w:val="0"/>
                <w:kern w:val="21"/>
              </w:rPr>
              <w:t>亿米化纤纺织面料项目（第一阶段）竣工环境保护验收报告中监测数据</w:t>
            </w:r>
          </w:p>
          <w:tbl>
            <w:tblPr>
              <w:tblStyle w:val="3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8"/>
              <w:gridCol w:w="1280"/>
              <w:gridCol w:w="2273"/>
              <w:gridCol w:w="2042"/>
              <w:gridCol w:w="1869"/>
            </w:tblGrid>
            <w:tr w14:paraId="7ED650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68" w:type="dxa"/>
                  <w:vMerge w:val="restart"/>
                  <w:tcBorders>
                    <w:tl2br w:val="nil"/>
                    <w:tr2bl w:val="nil"/>
                  </w:tcBorders>
                  <w:shd w:val="clear" w:color="auto" w:fill="auto"/>
                  <w:vAlign w:val="center"/>
                </w:tcPr>
                <w:p w14:paraId="7D9F9AB9">
                  <w:pPr>
                    <w:adjustRightInd w:val="0"/>
                    <w:spacing w:line="240" w:lineRule="auto"/>
                    <w:ind w:firstLine="0" w:firstLineChars="0"/>
                    <w:jc w:val="center"/>
                    <w:rPr>
                      <w:rFonts w:hint="default" w:ascii="Times New Roman" w:hAnsi="Times New Roman" w:eastAsia="宋体" w:cs="Times New Roman"/>
                      <w:b/>
                      <w:sz w:val="21"/>
                      <w:szCs w:val="21"/>
                      <w:lang w:val="en-AU" w:eastAsia="en-US"/>
                    </w:rPr>
                  </w:pPr>
                  <w:r>
                    <w:rPr>
                      <w:rFonts w:hint="default" w:ascii="Times New Roman" w:hAnsi="Times New Roman" w:eastAsia="宋体" w:cs="Times New Roman"/>
                      <w:b/>
                      <w:sz w:val="21"/>
                      <w:szCs w:val="21"/>
                    </w:rPr>
                    <w:t>监测点位</w:t>
                  </w:r>
                </w:p>
              </w:tc>
              <w:tc>
                <w:tcPr>
                  <w:tcW w:w="1280" w:type="dxa"/>
                  <w:vMerge w:val="restart"/>
                  <w:tcBorders>
                    <w:tl2br w:val="nil"/>
                    <w:tr2bl w:val="nil"/>
                  </w:tcBorders>
                  <w:shd w:val="clear" w:color="auto" w:fill="auto"/>
                  <w:vAlign w:val="center"/>
                </w:tcPr>
                <w:p w14:paraId="6746F63C">
                  <w:pPr>
                    <w:adjustRightInd w:val="0"/>
                    <w:spacing w:line="240" w:lineRule="auto"/>
                    <w:ind w:firstLine="0" w:firstLineChars="0"/>
                    <w:jc w:val="center"/>
                    <w:rPr>
                      <w:rFonts w:hint="default" w:ascii="Times New Roman" w:hAnsi="Times New Roman" w:eastAsia="宋体" w:cs="Times New Roman"/>
                      <w:b/>
                      <w:sz w:val="21"/>
                      <w:szCs w:val="21"/>
                      <w:lang w:val="en-AU" w:eastAsia="en-US"/>
                    </w:rPr>
                  </w:pPr>
                  <w:r>
                    <w:rPr>
                      <w:rFonts w:hint="default" w:ascii="Times New Roman" w:hAnsi="Times New Roman" w:eastAsia="宋体" w:cs="Times New Roman"/>
                      <w:b/>
                      <w:sz w:val="21"/>
                      <w:szCs w:val="21"/>
                    </w:rPr>
                    <w:t>监测因子</w:t>
                  </w:r>
                </w:p>
              </w:tc>
              <w:tc>
                <w:tcPr>
                  <w:tcW w:w="4315" w:type="dxa"/>
                  <w:gridSpan w:val="2"/>
                  <w:tcBorders>
                    <w:tl2br w:val="nil"/>
                    <w:tr2bl w:val="nil"/>
                  </w:tcBorders>
                  <w:shd w:val="clear" w:color="auto" w:fill="auto"/>
                  <w:vAlign w:val="center"/>
                </w:tcPr>
                <w:p w14:paraId="11AFE00F">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监测结果</w:t>
                  </w:r>
                </w:p>
              </w:tc>
              <w:tc>
                <w:tcPr>
                  <w:tcW w:w="1869" w:type="dxa"/>
                  <w:vMerge w:val="restart"/>
                  <w:tcBorders>
                    <w:tl2br w:val="nil"/>
                    <w:tr2bl w:val="nil"/>
                  </w:tcBorders>
                  <w:vAlign w:val="center"/>
                </w:tcPr>
                <w:p w14:paraId="3F444588">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处理效率（%）</w:t>
                  </w:r>
                </w:p>
              </w:tc>
            </w:tr>
            <w:tr w14:paraId="0B7039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68" w:type="dxa"/>
                  <w:vMerge w:val="continue"/>
                  <w:tcBorders>
                    <w:tl2br w:val="nil"/>
                    <w:tr2bl w:val="nil"/>
                  </w:tcBorders>
                  <w:vAlign w:val="center"/>
                </w:tcPr>
                <w:p w14:paraId="63556807">
                  <w:pPr>
                    <w:adjustRightInd w:val="0"/>
                    <w:spacing w:line="240" w:lineRule="auto"/>
                    <w:ind w:firstLine="0" w:firstLineChars="0"/>
                    <w:jc w:val="center"/>
                    <w:rPr>
                      <w:rFonts w:hint="default" w:ascii="Times New Roman" w:hAnsi="Times New Roman" w:eastAsia="宋体" w:cs="Times New Roman"/>
                      <w:b/>
                      <w:sz w:val="21"/>
                      <w:szCs w:val="21"/>
                    </w:rPr>
                  </w:pPr>
                </w:p>
              </w:tc>
              <w:tc>
                <w:tcPr>
                  <w:tcW w:w="1280" w:type="dxa"/>
                  <w:vMerge w:val="continue"/>
                  <w:tcBorders>
                    <w:tl2br w:val="nil"/>
                    <w:tr2bl w:val="nil"/>
                  </w:tcBorders>
                  <w:vAlign w:val="center"/>
                </w:tcPr>
                <w:p w14:paraId="68779104">
                  <w:pPr>
                    <w:adjustRightInd w:val="0"/>
                    <w:spacing w:line="240" w:lineRule="auto"/>
                    <w:ind w:firstLine="0" w:firstLineChars="0"/>
                    <w:jc w:val="center"/>
                    <w:rPr>
                      <w:rFonts w:hint="default" w:ascii="Times New Roman" w:hAnsi="Times New Roman" w:eastAsia="宋体" w:cs="Times New Roman"/>
                      <w:b/>
                      <w:sz w:val="21"/>
                      <w:szCs w:val="21"/>
                    </w:rPr>
                  </w:pPr>
                </w:p>
              </w:tc>
              <w:tc>
                <w:tcPr>
                  <w:tcW w:w="2273" w:type="dxa"/>
                  <w:tcBorders>
                    <w:tl2br w:val="nil"/>
                    <w:tr2bl w:val="nil"/>
                  </w:tcBorders>
                  <w:shd w:val="clear" w:color="auto" w:fill="auto"/>
                  <w:vAlign w:val="center"/>
                </w:tcPr>
                <w:p w14:paraId="3CE505C9">
                  <w:pPr>
                    <w:adjustRightInd w:val="0"/>
                    <w:spacing w:line="240" w:lineRule="auto"/>
                    <w:ind w:firstLine="0" w:firstLineChars="0"/>
                    <w:jc w:val="center"/>
                    <w:rPr>
                      <w:rFonts w:hint="default" w:ascii="Times New Roman" w:hAnsi="Times New Roman" w:eastAsia="宋体" w:cs="Times New Roman"/>
                      <w:b/>
                      <w:sz w:val="21"/>
                      <w:szCs w:val="21"/>
                      <w:lang w:val="en-AU" w:eastAsia="en-US"/>
                    </w:rPr>
                  </w:pPr>
                  <w:r>
                    <w:rPr>
                      <w:rFonts w:hint="default" w:ascii="Times New Roman" w:hAnsi="Times New Roman" w:eastAsia="宋体" w:cs="Times New Roman"/>
                      <w:b/>
                      <w:sz w:val="21"/>
                      <w:szCs w:val="21"/>
                    </w:rPr>
                    <w:t>进口浓度（mg/m³</w:t>
                  </w:r>
                  <w:r>
                    <w:rPr>
                      <w:rFonts w:hint="eastAsia" w:cs="Times New Roman"/>
                      <w:b/>
                      <w:sz w:val="21"/>
                      <w:szCs w:val="21"/>
                      <w:lang w:eastAsia="zh-CN"/>
                    </w:rPr>
                    <w:t>）</w:t>
                  </w:r>
                </w:p>
              </w:tc>
              <w:tc>
                <w:tcPr>
                  <w:tcW w:w="2042" w:type="dxa"/>
                  <w:tcBorders>
                    <w:tl2br w:val="nil"/>
                    <w:tr2bl w:val="nil"/>
                  </w:tcBorders>
                  <w:shd w:val="clear" w:color="auto" w:fill="auto"/>
                  <w:vAlign w:val="center"/>
                </w:tcPr>
                <w:p w14:paraId="6BF3A5F3">
                  <w:pPr>
                    <w:adjustRightInd w:val="0"/>
                    <w:spacing w:line="240" w:lineRule="auto"/>
                    <w:ind w:firstLine="0" w:firstLineChars="0"/>
                    <w:jc w:val="center"/>
                    <w:rPr>
                      <w:rFonts w:hint="default" w:ascii="Times New Roman" w:hAnsi="Times New Roman" w:eastAsia="宋体" w:cs="Times New Roman"/>
                      <w:b/>
                      <w:sz w:val="21"/>
                      <w:szCs w:val="21"/>
                      <w:lang w:val="en-AU" w:eastAsia="en-US"/>
                    </w:rPr>
                  </w:pPr>
                  <w:r>
                    <w:rPr>
                      <w:rFonts w:hint="default" w:ascii="Times New Roman" w:hAnsi="Times New Roman" w:eastAsia="宋体" w:cs="Times New Roman"/>
                      <w:b/>
                      <w:sz w:val="21"/>
                      <w:szCs w:val="21"/>
                    </w:rPr>
                    <w:t>排口浓度（mg/m³</w:t>
                  </w:r>
                  <w:r>
                    <w:rPr>
                      <w:rFonts w:hint="eastAsia" w:cs="Times New Roman"/>
                      <w:b/>
                      <w:sz w:val="21"/>
                      <w:szCs w:val="21"/>
                      <w:lang w:eastAsia="zh-CN"/>
                    </w:rPr>
                    <w:t>）</w:t>
                  </w:r>
                </w:p>
              </w:tc>
              <w:tc>
                <w:tcPr>
                  <w:tcW w:w="1869" w:type="dxa"/>
                  <w:vMerge w:val="continue"/>
                  <w:tcBorders>
                    <w:tl2br w:val="nil"/>
                    <w:tr2bl w:val="nil"/>
                  </w:tcBorders>
                  <w:vAlign w:val="center"/>
                </w:tcPr>
                <w:p w14:paraId="492735CF">
                  <w:pPr>
                    <w:adjustRightInd w:val="0"/>
                    <w:spacing w:line="240" w:lineRule="auto"/>
                    <w:ind w:firstLine="0" w:firstLineChars="0"/>
                    <w:jc w:val="center"/>
                    <w:rPr>
                      <w:rFonts w:hint="default" w:ascii="Times New Roman" w:hAnsi="Times New Roman" w:eastAsia="宋体" w:cs="Times New Roman"/>
                      <w:b/>
                      <w:sz w:val="21"/>
                      <w:szCs w:val="21"/>
                    </w:rPr>
                  </w:pPr>
                </w:p>
              </w:tc>
            </w:tr>
            <w:tr w14:paraId="23CAC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68" w:type="dxa"/>
                  <w:vMerge w:val="restart"/>
                  <w:tcBorders>
                    <w:tl2br w:val="nil"/>
                    <w:tr2bl w:val="nil"/>
                  </w:tcBorders>
                  <w:shd w:val="clear" w:color="auto" w:fill="auto"/>
                  <w:vAlign w:val="center"/>
                </w:tcPr>
                <w:p w14:paraId="24F61CAC">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DA001加单废气排气</w:t>
                  </w:r>
                  <w:r>
                    <w:rPr>
                      <w:rFonts w:hint="eastAsia" w:ascii="Times New Roman" w:hAnsi="Times New Roman" w:eastAsia="宋体" w:cs="Times New Roman"/>
                      <w:b w:val="0"/>
                      <w:bCs/>
                      <w:sz w:val="21"/>
                      <w:szCs w:val="21"/>
                      <w:lang w:val="en-US" w:eastAsia="zh-CN"/>
                    </w:rPr>
                    <w:t>筒</w:t>
                  </w:r>
                </w:p>
              </w:tc>
              <w:tc>
                <w:tcPr>
                  <w:tcW w:w="1280" w:type="dxa"/>
                  <w:vMerge w:val="restart"/>
                  <w:tcBorders>
                    <w:tl2br w:val="nil"/>
                    <w:tr2bl w:val="nil"/>
                  </w:tcBorders>
                  <w:shd w:val="clear" w:color="auto" w:fill="auto"/>
                  <w:vAlign w:val="center"/>
                </w:tcPr>
                <w:p w14:paraId="391337C8">
                  <w:pPr>
                    <w:adjustRightInd w:val="0"/>
                    <w:spacing w:line="240" w:lineRule="auto"/>
                    <w:ind w:firstLine="0" w:firstLineChars="0"/>
                    <w:jc w:val="center"/>
                    <w:rPr>
                      <w:rFonts w:hint="default" w:ascii="Times New Roman" w:hAnsi="Times New Roman" w:eastAsia="宋体" w:cs="Times New Roman"/>
                      <w:b w:val="0"/>
                      <w:bCs/>
                      <w:sz w:val="21"/>
                      <w:szCs w:val="21"/>
                      <w:lang w:val="en-AU" w:eastAsia="en-US"/>
                    </w:rPr>
                  </w:pPr>
                  <w:r>
                    <w:rPr>
                      <w:rFonts w:hint="default" w:ascii="Times New Roman" w:hAnsi="Times New Roman" w:eastAsia="宋体" w:cs="Times New Roman"/>
                      <w:b w:val="0"/>
                      <w:bCs/>
                      <w:sz w:val="21"/>
                      <w:szCs w:val="21"/>
                    </w:rPr>
                    <w:t>挥发性有机物</w:t>
                  </w:r>
                </w:p>
              </w:tc>
              <w:tc>
                <w:tcPr>
                  <w:tcW w:w="2273" w:type="dxa"/>
                  <w:tcBorders>
                    <w:tl2br w:val="nil"/>
                    <w:tr2bl w:val="nil"/>
                  </w:tcBorders>
                  <w:shd w:val="clear" w:color="auto" w:fill="auto"/>
                  <w:vAlign w:val="center"/>
                </w:tcPr>
                <w:p w14:paraId="0DFA0195">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8.93</w:t>
                  </w:r>
                </w:p>
              </w:tc>
              <w:tc>
                <w:tcPr>
                  <w:tcW w:w="2042" w:type="dxa"/>
                  <w:tcBorders>
                    <w:tl2br w:val="nil"/>
                    <w:tr2bl w:val="nil"/>
                  </w:tcBorders>
                  <w:shd w:val="clear" w:color="auto" w:fill="auto"/>
                  <w:vAlign w:val="center"/>
                </w:tcPr>
                <w:p w14:paraId="3E966F67">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0.807</w:t>
                  </w:r>
                </w:p>
              </w:tc>
              <w:tc>
                <w:tcPr>
                  <w:tcW w:w="1869" w:type="dxa"/>
                  <w:tcBorders>
                    <w:tl2br w:val="nil"/>
                    <w:tr2bl w:val="nil"/>
                  </w:tcBorders>
                  <w:shd w:val="clear" w:color="auto" w:fill="auto"/>
                  <w:vAlign w:val="center"/>
                </w:tcPr>
                <w:p w14:paraId="75EB4047">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91</w:t>
                  </w:r>
                </w:p>
              </w:tc>
            </w:tr>
            <w:tr w14:paraId="7E3432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68" w:type="dxa"/>
                  <w:vMerge w:val="continue"/>
                  <w:tcBorders>
                    <w:tl2br w:val="nil"/>
                    <w:tr2bl w:val="nil"/>
                  </w:tcBorders>
                  <w:vAlign w:val="center"/>
                </w:tcPr>
                <w:p w14:paraId="18A0C3E2">
                  <w:pPr>
                    <w:adjustRightInd w:val="0"/>
                    <w:spacing w:line="240" w:lineRule="auto"/>
                    <w:ind w:firstLine="0" w:firstLineChars="0"/>
                    <w:jc w:val="center"/>
                    <w:rPr>
                      <w:rFonts w:hint="default" w:ascii="Times New Roman" w:hAnsi="Times New Roman" w:eastAsia="宋体" w:cs="Times New Roman"/>
                      <w:b w:val="0"/>
                      <w:bCs/>
                      <w:sz w:val="21"/>
                      <w:szCs w:val="21"/>
                    </w:rPr>
                  </w:pPr>
                </w:p>
              </w:tc>
              <w:tc>
                <w:tcPr>
                  <w:tcW w:w="1280" w:type="dxa"/>
                  <w:vMerge w:val="continue"/>
                  <w:tcBorders>
                    <w:tl2br w:val="nil"/>
                    <w:tr2bl w:val="nil"/>
                  </w:tcBorders>
                  <w:vAlign w:val="center"/>
                </w:tcPr>
                <w:p w14:paraId="5472FBBA">
                  <w:pPr>
                    <w:adjustRightInd w:val="0"/>
                    <w:spacing w:line="240" w:lineRule="auto"/>
                    <w:ind w:firstLine="0" w:firstLineChars="0"/>
                    <w:jc w:val="center"/>
                    <w:rPr>
                      <w:rFonts w:hint="default" w:ascii="Times New Roman" w:hAnsi="Times New Roman" w:eastAsia="宋体" w:cs="Times New Roman"/>
                      <w:b w:val="0"/>
                      <w:bCs/>
                      <w:sz w:val="21"/>
                      <w:szCs w:val="21"/>
                    </w:rPr>
                  </w:pPr>
                </w:p>
              </w:tc>
              <w:tc>
                <w:tcPr>
                  <w:tcW w:w="2273" w:type="dxa"/>
                  <w:tcBorders>
                    <w:tl2br w:val="nil"/>
                    <w:tr2bl w:val="nil"/>
                  </w:tcBorders>
                  <w:shd w:val="clear" w:color="auto" w:fill="auto"/>
                  <w:vAlign w:val="center"/>
                </w:tcPr>
                <w:p w14:paraId="3FF6AA44">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8.81</w:t>
                  </w:r>
                </w:p>
              </w:tc>
              <w:tc>
                <w:tcPr>
                  <w:tcW w:w="2042" w:type="dxa"/>
                  <w:tcBorders>
                    <w:tl2br w:val="nil"/>
                    <w:tr2bl w:val="nil"/>
                  </w:tcBorders>
                  <w:shd w:val="clear" w:color="auto" w:fill="auto"/>
                  <w:vAlign w:val="center"/>
                </w:tcPr>
                <w:p w14:paraId="79EF1BB3">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0.476</w:t>
                  </w:r>
                </w:p>
              </w:tc>
              <w:tc>
                <w:tcPr>
                  <w:tcW w:w="1869" w:type="dxa"/>
                  <w:tcBorders>
                    <w:tl2br w:val="nil"/>
                    <w:tr2bl w:val="nil"/>
                  </w:tcBorders>
                  <w:shd w:val="clear" w:color="auto" w:fill="auto"/>
                  <w:vAlign w:val="center"/>
                </w:tcPr>
                <w:p w14:paraId="50E457C0">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95</w:t>
                  </w:r>
                </w:p>
              </w:tc>
            </w:tr>
            <w:tr w14:paraId="5D767B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68" w:type="dxa"/>
                  <w:vMerge w:val="continue"/>
                  <w:tcBorders>
                    <w:tl2br w:val="nil"/>
                    <w:tr2bl w:val="nil"/>
                  </w:tcBorders>
                  <w:vAlign w:val="center"/>
                </w:tcPr>
                <w:p w14:paraId="13BAFCBD">
                  <w:pPr>
                    <w:adjustRightInd w:val="0"/>
                    <w:spacing w:line="240" w:lineRule="auto"/>
                    <w:ind w:firstLine="0" w:firstLineChars="0"/>
                    <w:jc w:val="center"/>
                    <w:rPr>
                      <w:rFonts w:hint="default" w:ascii="Times New Roman" w:hAnsi="Times New Roman" w:eastAsia="宋体" w:cs="Times New Roman"/>
                      <w:b w:val="0"/>
                      <w:bCs/>
                      <w:sz w:val="21"/>
                      <w:szCs w:val="21"/>
                    </w:rPr>
                  </w:pPr>
                </w:p>
              </w:tc>
              <w:tc>
                <w:tcPr>
                  <w:tcW w:w="1280" w:type="dxa"/>
                  <w:vMerge w:val="continue"/>
                  <w:tcBorders>
                    <w:tl2br w:val="nil"/>
                    <w:tr2bl w:val="nil"/>
                  </w:tcBorders>
                  <w:vAlign w:val="center"/>
                </w:tcPr>
                <w:p w14:paraId="65B66CB3">
                  <w:pPr>
                    <w:adjustRightInd w:val="0"/>
                    <w:spacing w:line="240" w:lineRule="auto"/>
                    <w:ind w:firstLine="0" w:firstLineChars="0"/>
                    <w:jc w:val="center"/>
                    <w:rPr>
                      <w:rFonts w:hint="default" w:ascii="Times New Roman" w:hAnsi="Times New Roman" w:eastAsia="宋体" w:cs="Times New Roman"/>
                      <w:b w:val="0"/>
                      <w:bCs/>
                      <w:sz w:val="21"/>
                      <w:szCs w:val="21"/>
                    </w:rPr>
                  </w:pPr>
                </w:p>
              </w:tc>
              <w:tc>
                <w:tcPr>
                  <w:tcW w:w="2273" w:type="dxa"/>
                  <w:tcBorders>
                    <w:tl2br w:val="nil"/>
                    <w:tr2bl w:val="nil"/>
                  </w:tcBorders>
                  <w:shd w:val="clear" w:color="auto" w:fill="auto"/>
                  <w:vAlign w:val="center"/>
                </w:tcPr>
                <w:p w14:paraId="64B027F2">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11.06</w:t>
                  </w:r>
                </w:p>
              </w:tc>
              <w:tc>
                <w:tcPr>
                  <w:tcW w:w="2042" w:type="dxa"/>
                  <w:tcBorders>
                    <w:tl2br w:val="nil"/>
                    <w:tr2bl w:val="nil"/>
                  </w:tcBorders>
                  <w:shd w:val="clear" w:color="auto" w:fill="auto"/>
                  <w:vAlign w:val="center"/>
                </w:tcPr>
                <w:p w14:paraId="20DB334B">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0.914</w:t>
                  </w:r>
                </w:p>
              </w:tc>
              <w:tc>
                <w:tcPr>
                  <w:tcW w:w="1869" w:type="dxa"/>
                  <w:tcBorders>
                    <w:tl2br w:val="nil"/>
                    <w:tr2bl w:val="nil"/>
                  </w:tcBorders>
                  <w:shd w:val="clear" w:color="auto" w:fill="auto"/>
                  <w:vAlign w:val="center"/>
                </w:tcPr>
                <w:p w14:paraId="63B96561">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92</w:t>
                  </w:r>
                </w:p>
              </w:tc>
            </w:tr>
          </w:tbl>
          <w:p w14:paraId="56F77C65">
            <w:pPr>
              <w:pStyle w:val="224"/>
              <w:keepNext w:val="0"/>
              <w:keepLines w:val="0"/>
              <w:pageBreakBefore w:val="0"/>
              <w:widowControl/>
              <w:kinsoku/>
              <w:wordWrap/>
              <w:overflowPunct w:val="0"/>
              <w:topLinePunct w:val="0"/>
              <w:autoSpaceDE w:val="0"/>
              <w:autoSpaceDN w:val="0"/>
              <w:bidi w:val="0"/>
              <w:adjustRightInd w:val="0"/>
              <w:snapToGrid w:val="0"/>
              <w:spacing w:after="0" w:line="360" w:lineRule="auto"/>
              <w:ind w:left="0" w:right="0" w:firstLine="480" w:firstLineChars="200"/>
              <w:textAlignment w:val="auto"/>
              <w:rPr>
                <w:rFonts w:hint="default" w:ascii="Times New Roman" w:hAnsi="Times New Roman" w:cs="Times New Roman"/>
                <w:color w:val="auto"/>
                <w:spacing w:val="0"/>
                <w:w w:val="100"/>
                <w:kern w:val="21"/>
                <w:position w:val="0"/>
                <w:sz w:val="24"/>
                <w:szCs w:val="24"/>
              </w:rPr>
            </w:pPr>
            <w:r>
              <w:rPr>
                <w:rFonts w:hint="eastAsia" w:ascii="Times New Roman" w:hAnsi="Times New Roman" w:cs="Times New Roman"/>
                <w:color w:val="auto"/>
                <w:spacing w:val="0"/>
                <w:w w:val="100"/>
                <w:kern w:val="21"/>
                <w:position w:val="0"/>
                <w:sz w:val="24"/>
                <w:szCs w:val="24"/>
                <w:lang w:val="en-US" w:eastAsia="zh-CN"/>
              </w:rPr>
              <w:t>本项目</w:t>
            </w:r>
            <w:r>
              <w:rPr>
                <w:rFonts w:hint="default" w:ascii="Times New Roman" w:hAnsi="Times New Roman" w:cs="Times New Roman"/>
                <w:color w:val="auto"/>
                <w:spacing w:val="0"/>
                <w:w w:val="100"/>
                <w:kern w:val="21"/>
                <w:position w:val="0"/>
                <w:sz w:val="24"/>
                <w:szCs w:val="24"/>
              </w:rPr>
              <w:t>经处理后，</w:t>
            </w:r>
            <w:r>
              <w:rPr>
                <w:rFonts w:hint="eastAsia" w:ascii="Times New Roman" w:hAnsi="Times New Roman" w:cs="Times New Roman"/>
                <w:color w:val="auto"/>
                <w:spacing w:val="0"/>
                <w:w w:val="100"/>
                <w:kern w:val="21"/>
                <w:position w:val="0"/>
                <w:sz w:val="24"/>
                <w:szCs w:val="24"/>
                <w:lang w:val="en-US" w:eastAsia="zh-CN"/>
              </w:rPr>
              <w:t>非甲烷总烃</w:t>
            </w:r>
            <w:r>
              <w:rPr>
                <w:rFonts w:hint="default" w:ascii="Times New Roman" w:hAnsi="Times New Roman" w:cs="Times New Roman"/>
                <w:color w:val="auto"/>
                <w:spacing w:val="0"/>
                <w:w w:val="100"/>
                <w:kern w:val="21"/>
                <w:position w:val="0"/>
                <w:sz w:val="24"/>
                <w:szCs w:val="24"/>
              </w:rPr>
              <w:t>排放速率为</w:t>
            </w:r>
            <w:r>
              <w:rPr>
                <w:rFonts w:hint="eastAsia" w:ascii="Times New Roman" w:hAnsi="Times New Roman" w:cs="Times New Roman"/>
                <w:color w:val="auto"/>
                <w:spacing w:val="0"/>
                <w:w w:val="100"/>
                <w:kern w:val="21"/>
                <w:position w:val="0"/>
                <w:sz w:val="24"/>
                <w:szCs w:val="24"/>
                <w:lang w:val="en-US" w:eastAsia="zh-CN"/>
              </w:rPr>
              <w:t>0.033</w:t>
            </w:r>
            <w:r>
              <w:rPr>
                <w:rFonts w:hint="default" w:ascii="Times New Roman" w:hAnsi="Times New Roman" w:eastAsia="Times New Roman" w:cs="Times New Roman"/>
                <w:color w:val="auto"/>
                <w:spacing w:val="0"/>
                <w:w w:val="100"/>
                <w:kern w:val="21"/>
                <w:position w:val="0"/>
                <w:sz w:val="24"/>
                <w:szCs w:val="24"/>
              </w:rPr>
              <w:t xml:space="preserve">kg/h </w:t>
            </w:r>
            <w:r>
              <w:rPr>
                <w:rFonts w:hint="default" w:ascii="Times New Roman" w:hAnsi="Times New Roman" w:cs="Times New Roman"/>
                <w:color w:val="auto"/>
                <w:spacing w:val="0"/>
                <w:w w:val="100"/>
                <w:kern w:val="21"/>
                <w:position w:val="0"/>
                <w:sz w:val="24"/>
                <w:szCs w:val="24"/>
              </w:rPr>
              <w:t>，排放浓度为</w:t>
            </w:r>
            <w:r>
              <w:rPr>
                <w:rFonts w:hint="eastAsia" w:ascii="Times New Roman" w:hAnsi="Times New Roman" w:cs="Times New Roman"/>
                <w:color w:val="auto"/>
                <w:spacing w:val="0"/>
                <w:w w:val="100"/>
                <w:kern w:val="21"/>
                <w:position w:val="0"/>
                <w:sz w:val="24"/>
                <w:szCs w:val="24"/>
                <w:lang w:val="en-US" w:eastAsia="zh-CN"/>
              </w:rPr>
              <w:t>2.720</w:t>
            </w:r>
            <w:r>
              <w:rPr>
                <w:rFonts w:hint="default" w:ascii="Times New Roman" w:hAnsi="Times New Roman" w:eastAsia="Times New Roman" w:cs="Times New Roman"/>
                <w:color w:val="auto"/>
                <w:spacing w:val="0"/>
                <w:w w:val="100"/>
                <w:kern w:val="21"/>
                <w:position w:val="0"/>
                <w:sz w:val="24"/>
                <w:szCs w:val="24"/>
              </w:rPr>
              <w:t>mg/m</w:t>
            </w:r>
            <w:r>
              <w:rPr>
                <w:rFonts w:hint="default" w:ascii="Times New Roman" w:hAnsi="Times New Roman" w:eastAsia="Times New Roman" w:cs="Times New Roman"/>
                <w:color w:val="auto"/>
                <w:spacing w:val="0"/>
                <w:w w:val="100"/>
                <w:kern w:val="21"/>
                <w:position w:val="0"/>
                <w:sz w:val="24"/>
                <w:szCs w:val="24"/>
                <w:vertAlign w:val="superscript"/>
              </w:rPr>
              <w:t>3</w:t>
            </w:r>
            <w:r>
              <w:rPr>
                <w:rFonts w:hint="default" w:ascii="Times New Roman" w:hAnsi="Times New Roman" w:cs="Times New Roman"/>
                <w:color w:val="auto"/>
                <w:spacing w:val="0"/>
                <w:w w:val="100"/>
                <w:kern w:val="21"/>
                <w:position w:val="0"/>
                <w:sz w:val="24"/>
                <w:szCs w:val="24"/>
              </w:rPr>
              <w:t>，能够满足《大气污染物综合排放标准》（</w:t>
            </w:r>
            <w:r>
              <w:rPr>
                <w:rFonts w:hint="default" w:ascii="Times New Roman" w:hAnsi="Times New Roman" w:eastAsia="Times New Roman" w:cs="Times New Roman"/>
                <w:color w:val="auto"/>
                <w:spacing w:val="0"/>
                <w:w w:val="100"/>
                <w:kern w:val="21"/>
                <w:position w:val="0"/>
                <w:sz w:val="24"/>
                <w:szCs w:val="24"/>
              </w:rPr>
              <w:t>DB32/4041-2021</w:t>
            </w:r>
            <w:r>
              <w:rPr>
                <w:rFonts w:hint="default" w:ascii="Times New Roman" w:hAnsi="Times New Roman" w:cs="Times New Roman"/>
                <w:color w:val="auto"/>
                <w:spacing w:val="0"/>
                <w:w w:val="100"/>
                <w:kern w:val="21"/>
                <w:position w:val="0"/>
                <w:sz w:val="24"/>
                <w:szCs w:val="24"/>
              </w:rPr>
              <w:t>）表</w:t>
            </w:r>
            <w:r>
              <w:rPr>
                <w:rFonts w:hint="default" w:ascii="Times New Roman" w:hAnsi="Times New Roman" w:eastAsia="Times New Roman" w:cs="Times New Roman"/>
                <w:color w:val="auto"/>
                <w:spacing w:val="0"/>
                <w:w w:val="100"/>
                <w:kern w:val="21"/>
                <w:position w:val="0"/>
                <w:sz w:val="24"/>
                <w:szCs w:val="24"/>
              </w:rPr>
              <w:t>1</w:t>
            </w:r>
            <w:r>
              <w:rPr>
                <w:rFonts w:hint="default" w:ascii="Times New Roman" w:hAnsi="Times New Roman" w:cs="Times New Roman"/>
                <w:color w:val="auto"/>
                <w:spacing w:val="0"/>
                <w:w w:val="100"/>
                <w:kern w:val="21"/>
                <w:position w:val="0"/>
                <w:sz w:val="24"/>
                <w:szCs w:val="24"/>
              </w:rPr>
              <w:t xml:space="preserve">中的 </w:t>
            </w:r>
            <w:r>
              <w:rPr>
                <w:rFonts w:hint="default" w:ascii="Times New Roman" w:hAnsi="Times New Roman" w:eastAsia="Times New Roman" w:cs="Times New Roman"/>
                <w:color w:val="auto"/>
                <w:spacing w:val="0"/>
                <w:w w:val="100"/>
                <w:kern w:val="21"/>
                <w:position w:val="0"/>
                <w:sz w:val="24"/>
                <w:szCs w:val="24"/>
              </w:rPr>
              <w:t>NMHC</w:t>
            </w:r>
            <w:r>
              <w:rPr>
                <w:rFonts w:hint="default" w:ascii="Times New Roman" w:hAnsi="Times New Roman" w:cs="Times New Roman"/>
                <w:color w:val="auto"/>
                <w:spacing w:val="0"/>
                <w:w w:val="100"/>
                <w:kern w:val="21"/>
                <w:position w:val="0"/>
                <w:sz w:val="24"/>
                <w:szCs w:val="24"/>
              </w:rPr>
              <w:t>限值要求</w:t>
            </w:r>
            <w:r>
              <w:rPr>
                <w:rFonts w:hint="eastAsia" w:ascii="Times New Roman" w:hAnsi="Times New Roman" w:cs="Times New Roman"/>
                <w:color w:val="auto"/>
                <w:spacing w:val="0"/>
                <w:w w:val="100"/>
                <w:kern w:val="21"/>
                <w:position w:val="0"/>
                <w:sz w:val="24"/>
                <w:szCs w:val="24"/>
                <w:lang w:eastAsia="zh-CN"/>
              </w:rPr>
              <w:t>（</w:t>
            </w:r>
            <w:r>
              <w:rPr>
                <w:rFonts w:hint="eastAsia" w:ascii="Times New Roman" w:hAnsi="Times New Roman" w:cs="Times New Roman"/>
                <w:color w:val="auto"/>
                <w:spacing w:val="0"/>
                <w:w w:val="100"/>
                <w:kern w:val="21"/>
                <w:position w:val="0"/>
                <w:sz w:val="24"/>
                <w:szCs w:val="24"/>
                <w:lang w:val="en-US" w:eastAsia="zh-CN"/>
              </w:rPr>
              <w:t>NMHC</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60mg/m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ascii="Times New Roman" w:hAnsi="Times New Roman" w:eastAsia="宋体" w:cs="Times New Roman"/>
                <w:b w:val="0"/>
                <w:bCs w:val="0"/>
                <w:color w:val="auto"/>
                <w:kern w:val="2"/>
                <w:sz w:val="24"/>
                <w:szCs w:val="24"/>
                <w:highlight w:val="none"/>
                <w:vertAlign w:val="baseline"/>
                <w:lang w:val="en-US" w:eastAsia="zh-CN" w:bidi="ar-SA"/>
              </w:rPr>
              <w:t>、排放速率</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3kg/h</w:t>
            </w:r>
            <w:r>
              <w:rPr>
                <w:rFonts w:hint="eastAsia" w:ascii="Times New Roman" w:hAnsi="Times New Roman" w:cs="Times New Roman"/>
                <w:color w:val="auto"/>
                <w:spacing w:val="0"/>
                <w:w w:val="100"/>
                <w:kern w:val="21"/>
                <w:position w:val="0"/>
                <w:sz w:val="24"/>
                <w:szCs w:val="24"/>
                <w:lang w:eastAsia="zh-CN"/>
              </w:rPr>
              <w:t>）</w:t>
            </w:r>
            <w:r>
              <w:rPr>
                <w:rFonts w:hint="default" w:ascii="Times New Roman" w:hAnsi="Times New Roman" w:cs="Times New Roman"/>
                <w:color w:val="auto"/>
                <w:spacing w:val="0"/>
                <w:w w:val="100"/>
                <w:kern w:val="21"/>
                <w:position w:val="0"/>
                <w:sz w:val="24"/>
                <w:szCs w:val="24"/>
              </w:rPr>
              <w:t>，对外环境影响较小。</w:t>
            </w:r>
          </w:p>
          <w:p w14:paraId="3130F4B0">
            <w:pPr>
              <w:pStyle w:val="30"/>
              <w:adjustRightInd w:val="0"/>
              <w:snapToGrid w:val="0"/>
              <w:spacing w:before="0" w:beforeAutospacing="0" w:after="0" w:afterAutospacing="0" w:line="360" w:lineRule="auto"/>
              <w:ind w:left="0" w:leftChars="0" w:firstLine="0" w:firstLineChars="0"/>
              <w:rPr>
                <w:rFonts w:hint="default" w:ascii="Times New Roman" w:hAnsi="Times New Roman" w:cs="Times New Roman"/>
                <w:b w:val="0"/>
                <w:bCs w:val="0"/>
                <w:color w:val="auto"/>
                <w:sz w:val="24"/>
                <w:szCs w:val="24"/>
                <w:lang w:val="en-US" w:eastAsia="zh-CN"/>
              </w:rPr>
            </w:pPr>
          </w:p>
        </w:tc>
      </w:tr>
    </w:tbl>
    <w:p w14:paraId="5290A233">
      <w:pPr>
        <w:adjustRightInd w:val="0"/>
        <w:snapToGrid w:val="0"/>
        <w:ind w:firstLine="0" w:firstLineChars="0"/>
        <w:jc w:val="center"/>
        <w:rPr>
          <w:bCs/>
          <w:color w:val="auto"/>
          <w:szCs w:val="21"/>
        </w:rPr>
        <w:sectPr>
          <w:pgSz w:w="11906" w:h="16838"/>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8"/>
        <w:tblW w:w="502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13788"/>
      </w:tblGrid>
      <w:tr w14:paraId="66EDD8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63" w:hRule="atLeast"/>
          <w:jc w:val="center"/>
        </w:trPr>
        <w:tc>
          <w:tcPr>
            <w:tcW w:w="226" w:type="pct"/>
            <w:tcMar>
              <w:left w:w="28" w:type="dxa"/>
              <w:right w:w="28" w:type="dxa"/>
            </w:tcMar>
            <w:vAlign w:val="center"/>
          </w:tcPr>
          <w:p w14:paraId="48CCD9EB">
            <w:pPr>
              <w:adjustRightInd w:val="0"/>
              <w:snapToGrid w:val="0"/>
              <w:ind w:firstLine="0" w:firstLineChars="0"/>
              <w:jc w:val="center"/>
              <w:rPr>
                <w:bCs/>
                <w:color w:val="auto"/>
                <w:szCs w:val="21"/>
              </w:rPr>
            </w:pPr>
          </w:p>
        </w:tc>
        <w:tc>
          <w:tcPr>
            <w:tcW w:w="4773" w:type="pct"/>
            <w:vAlign w:val="center"/>
          </w:tcPr>
          <w:p w14:paraId="1FCF8641">
            <w:pPr>
              <w:adjustRightInd w:val="0"/>
              <w:snapToGrid w:val="0"/>
              <w:spacing w:line="500" w:lineRule="exact"/>
              <w:ind w:left="0" w:leftChars="0" w:firstLine="0" w:firstLineChars="0"/>
              <w:jc w:val="center"/>
              <w:rPr>
                <w:b/>
                <w:bCs/>
                <w:sz w:val="24"/>
              </w:rPr>
            </w:pPr>
            <w:r>
              <w:rPr>
                <w:b/>
                <w:bCs/>
                <w:sz w:val="24"/>
              </w:rPr>
              <w:t>表</w:t>
            </w:r>
            <w:r>
              <w:rPr>
                <w:rFonts w:hint="eastAsia"/>
                <w:b/>
                <w:bCs/>
                <w:sz w:val="24"/>
              </w:rPr>
              <w:t>4</w:t>
            </w:r>
            <w:r>
              <w:rPr>
                <w:b/>
                <w:bCs/>
                <w:sz w:val="24"/>
              </w:rPr>
              <w:t>-</w:t>
            </w:r>
            <w:r>
              <w:rPr>
                <w:rFonts w:hint="eastAsia"/>
                <w:b/>
                <w:bCs/>
                <w:sz w:val="24"/>
                <w:lang w:val="en-US" w:eastAsia="zh-CN"/>
              </w:rPr>
              <w:t>2</w:t>
            </w:r>
            <w:r>
              <w:rPr>
                <w:b/>
                <w:bCs/>
                <w:sz w:val="24"/>
              </w:rPr>
              <w:t xml:space="preserve"> </w:t>
            </w:r>
            <w:r>
              <w:rPr>
                <w:rFonts w:hint="eastAsia"/>
                <w:b/>
                <w:bCs/>
                <w:sz w:val="24"/>
              </w:rPr>
              <w:t>项目废气污染源源强核算结果及相关参数一览表</w:t>
            </w:r>
          </w:p>
          <w:tbl>
            <w:tblPr>
              <w:tblStyle w:val="38"/>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Layout w:type="autofit"/>
              <w:tblCellMar>
                <w:top w:w="0" w:type="dxa"/>
                <w:left w:w="0" w:type="dxa"/>
                <w:bottom w:w="0" w:type="dxa"/>
                <w:right w:w="0" w:type="dxa"/>
              </w:tblCellMar>
            </w:tblPr>
            <w:tblGrid>
              <w:gridCol w:w="552"/>
              <w:gridCol w:w="937"/>
              <w:gridCol w:w="651"/>
              <w:gridCol w:w="651"/>
              <w:gridCol w:w="1024"/>
              <w:gridCol w:w="1140"/>
              <w:gridCol w:w="816"/>
              <w:gridCol w:w="931"/>
              <w:gridCol w:w="868"/>
              <w:gridCol w:w="725"/>
              <w:gridCol w:w="651"/>
              <w:gridCol w:w="981"/>
              <w:gridCol w:w="1056"/>
              <w:gridCol w:w="912"/>
              <w:gridCol w:w="932"/>
              <w:gridCol w:w="745"/>
            </w:tblGrid>
            <w:tr w14:paraId="001EDF5B">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restart"/>
                  <w:noWrap w:val="0"/>
                  <w:vAlign w:val="center"/>
                </w:tcPr>
                <w:p w14:paraId="27A61A2B">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工 序</w:t>
                  </w:r>
                </w:p>
                <w:p w14:paraId="198A3C5D">
                  <w:pPr>
                    <w:adjustRightInd w:val="0"/>
                    <w:spacing w:line="240" w:lineRule="auto"/>
                    <w:ind w:firstLine="0" w:firstLineChars="0"/>
                    <w:jc w:val="center"/>
                    <w:rPr>
                      <w:rFonts w:hint="default" w:ascii="Times New Roman" w:hAnsi="Times New Roman" w:eastAsia="宋体" w:cs="Times New Roman"/>
                      <w:b/>
                      <w:sz w:val="21"/>
                      <w:szCs w:val="21"/>
                      <w:lang w:val="en-US" w:eastAsia="zh-CN"/>
                    </w:rPr>
                  </w:pPr>
                  <w:r>
                    <w:rPr>
                      <w:rFonts w:hint="eastAsia" w:ascii="Times New Roman" w:hAnsi="Times New Roman" w:eastAsia="宋体" w:cs="Times New Roman"/>
                      <w:b/>
                      <w:sz w:val="21"/>
                      <w:szCs w:val="21"/>
                      <w:lang w:val="en-US" w:eastAsia="zh-CN"/>
                    </w:rPr>
                    <w:t>/生产线</w:t>
                  </w:r>
                </w:p>
              </w:tc>
              <w:tc>
                <w:tcPr>
                  <w:tcW w:w="937" w:type="dxa"/>
                  <w:vMerge w:val="restart"/>
                  <w:noWrap w:val="0"/>
                  <w:vAlign w:val="center"/>
                </w:tcPr>
                <w:p w14:paraId="56DE3823">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污染源</w:t>
                  </w:r>
                </w:p>
              </w:tc>
              <w:tc>
                <w:tcPr>
                  <w:tcW w:w="651" w:type="dxa"/>
                  <w:vMerge w:val="restart"/>
                  <w:noWrap w:val="0"/>
                  <w:vAlign w:val="center"/>
                </w:tcPr>
                <w:p w14:paraId="06BF8C15">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w:t>
                  </w:r>
                </w:p>
              </w:tc>
              <w:tc>
                <w:tcPr>
                  <w:tcW w:w="4562" w:type="dxa"/>
                  <w:gridSpan w:val="5"/>
                  <w:noWrap w:val="0"/>
                  <w:vAlign w:val="center"/>
                </w:tcPr>
                <w:p w14:paraId="25980208">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污染物产生</w:t>
                  </w:r>
                </w:p>
              </w:tc>
              <w:tc>
                <w:tcPr>
                  <w:tcW w:w="868" w:type="dxa"/>
                  <w:vMerge w:val="restart"/>
                  <w:noWrap w:val="0"/>
                  <w:vAlign w:val="center"/>
                </w:tcPr>
                <w:p w14:paraId="5C3EA45F">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治理措施</w:t>
                  </w:r>
                </w:p>
              </w:tc>
              <w:tc>
                <w:tcPr>
                  <w:tcW w:w="725" w:type="dxa"/>
                  <w:vMerge w:val="restart"/>
                  <w:noWrap w:val="0"/>
                  <w:vAlign w:val="center"/>
                </w:tcPr>
                <w:p w14:paraId="53A0BD71">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处理</w:t>
                  </w:r>
                  <w:r>
                    <w:rPr>
                      <w:rFonts w:hint="default" w:ascii="Times New Roman" w:hAnsi="Times New Roman" w:eastAsia="宋体" w:cs="Times New Roman"/>
                      <w:b/>
                      <w:sz w:val="21"/>
                      <w:szCs w:val="21"/>
                    </w:rPr>
                    <w:t>效率</w:t>
                  </w:r>
                </w:p>
              </w:tc>
              <w:tc>
                <w:tcPr>
                  <w:tcW w:w="4532" w:type="dxa"/>
                  <w:gridSpan w:val="5"/>
                  <w:noWrap w:val="0"/>
                  <w:vAlign w:val="center"/>
                </w:tcPr>
                <w:p w14:paraId="030D5E94">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污染物排放</w:t>
                  </w:r>
                </w:p>
              </w:tc>
              <w:tc>
                <w:tcPr>
                  <w:tcW w:w="745" w:type="dxa"/>
                  <w:vMerge w:val="restart"/>
                  <w:noWrap w:val="0"/>
                  <w:vAlign w:val="center"/>
                </w:tcPr>
                <w:p w14:paraId="04771C9B">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排放 时间</w:t>
                  </w:r>
                </w:p>
                <w:p w14:paraId="6FEB983E">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h</w:t>
                  </w:r>
                </w:p>
              </w:tc>
            </w:tr>
            <w:tr w14:paraId="72E03B96">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continue"/>
                  <w:noWrap w:val="0"/>
                  <w:vAlign w:val="center"/>
                </w:tcPr>
                <w:p w14:paraId="7C4AAFD5">
                  <w:pPr>
                    <w:adjustRightInd w:val="0"/>
                    <w:spacing w:line="240" w:lineRule="auto"/>
                    <w:ind w:firstLine="0" w:firstLineChars="0"/>
                    <w:jc w:val="center"/>
                    <w:rPr>
                      <w:rFonts w:hint="default" w:ascii="Times New Roman" w:hAnsi="Times New Roman" w:eastAsia="宋体" w:cs="Times New Roman"/>
                      <w:b/>
                      <w:sz w:val="21"/>
                      <w:szCs w:val="21"/>
                    </w:rPr>
                  </w:pPr>
                </w:p>
              </w:tc>
              <w:tc>
                <w:tcPr>
                  <w:tcW w:w="937" w:type="dxa"/>
                  <w:vMerge w:val="continue"/>
                  <w:noWrap w:val="0"/>
                  <w:vAlign w:val="center"/>
                </w:tcPr>
                <w:p w14:paraId="2A5BAC2C">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438DEE51">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restart"/>
                  <w:noWrap w:val="0"/>
                  <w:vAlign w:val="center"/>
                </w:tcPr>
                <w:p w14:paraId="55EE7FB6">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核算方法</w:t>
                  </w:r>
                </w:p>
              </w:tc>
              <w:tc>
                <w:tcPr>
                  <w:tcW w:w="1024" w:type="dxa"/>
                  <w:vMerge w:val="restart"/>
                  <w:noWrap w:val="0"/>
                  <w:vAlign w:val="center"/>
                </w:tcPr>
                <w:p w14:paraId="05A8E1CF">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废气产生 量m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/h</w:t>
                  </w:r>
                </w:p>
              </w:tc>
              <w:tc>
                <w:tcPr>
                  <w:tcW w:w="2887" w:type="dxa"/>
                  <w:gridSpan w:val="3"/>
                  <w:noWrap w:val="0"/>
                  <w:vAlign w:val="center"/>
                </w:tcPr>
                <w:p w14:paraId="75B541D3">
                  <w:pPr>
                    <w:adjustRightInd w:val="0"/>
                    <w:spacing w:line="240" w:lineRule="auto"/>
                    <w:ind w:firstLine="0" w:firstLineChars="0"/>
                    <w:jc w:val="center"/>
                    <w:rPr>
                      <w:rFonts w:hint="eastAsia"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rPr>
                    <w:t>产生</w:t>
                  </w:r>
                  <w:r>
                    <w:rPr>
                      <w:rFonts w:hint="eastAsia" w:ascii="Times New Roman" w:hAnsi="Times New Roman" w:eastAsia="宋体" w:cs="Times New Roman"/>
                      <w:b/>
                      <w:sz w:val="21"/>
                      <w:szCs w:val="21"/>
                      <w:lang w:val="en-US" w:eastAsia="zh-CN"/>
                    </w:rPr>
                    <w:t>状况</w:t>
                  </w:r>
                </w:p>
              </w:tc>
              <w:tc>
                <w:tcPr>
                  <w:tcW w:w="868" w:type="dxa"/>
                  <w:vMerge w:val="continue"/>
                  <w:noWrap w:val="0"/>
                  <w:vAlign w:val="center"/>
                </w:tcPr>
                <w:p w14:paraId="223D12AF">
                  <w:pPr>
                    <w:adjustRightInd w:val="0"/>
                    <w:spacing w:line="240" w:lineRule="auto"/>
                    <w:ind w:firstLine="0" w:firstLineChars="0"/>
                    <w:jc w:val="center"/>
                    <w:rPr>
                      <w:rFonts w:hint="default" w:ascii="Times New Roman" w:hAnsi="Times New Roman" w:eastAsia="宋体" w:cs="Times New Roman"/>
                      <w:b/>
                      <w:sz w:val="21"/>
                      <w:szCs w:val="21"/>
                    </w:rPr>
                  </w:pPr>
                </w:p>
              </w:tc>
              <w:tc>
                <w:tcPr>
                  <w:tcW w:w="725" w:type="dxa"/>
                  <w:vMerge w:val="continue"/>
                  <w:noWrap w:val="0"/>
                  <w:vAlign w:val="center"/>
                </w:tcPr>
                <w:p w14:paraId="01474ED3">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restart"/>
                  <w:noWrap w:val="0"/>
                  <w:vAlign w:val="center"/>
                </w:tcPr>
                <w:p w14:paraId="4230416B">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核算方法</w:t>
                  </w:r>
                </w:p>
              </w:tc>
              <w:tc>
                <w:tcPr>
                  <w:tcW w:w="981" w:type="dxa"/>
                  <w:vMerge w:val="restart"/>
                  <w:noWrap w:val="0"/>
                  <w:vAlign w:val="center"/>
                </w:tcPr>
                <w:p w14:paraId="5AE5B8D7">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废气排放量m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/h</w:t>
                  </w:r>
                </w:p>
              </w:tc>
              <w:tc>
                <w:tcPr>
                  <w:tcW w:w="2900" w:type="dxa"/>
                  <w:gridSpan w:val="3"/>
                  <w:noWrap w:val="0"/>
                  <w:vAlign w:val="center"/>
                </w:tcPr>
                <w:p w14:paraId="38838A43">
                  <w:pPr>
                    <w:adjustRightInd w:val="0"/>
                    <w:spacing w:line="240" w:lineRule="auto"/>
                    <w:ind w:firstLine="0" w:firstLineChars="0"/>
                    <w:jc w:val="center"/>
                    <w:rPr>
                      <w:rFonts w:hint="eastAsia"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rPr>
                    <w:t>排放</w:t>
                  </w:r>
                  <w:r>
                    <w:rPr>
                      <w:rFonts w:hint="eastAsia" w:ascii="Times New Roman" w:hAnsi="Times New Roman" w:eastAsia="宋体" w:cs="Times New Roman"/>
                      <w:b/>
                      <w:sz w:val="21"/>
                      <w:szCs w:val="21"/>
                      <w:lang w:val="en-US" w:eastAsia="zh-CN"/>
                    </w:rPr>
                    <w:t>状况</w:t>
                  </w:r>
                </w:p>
              </w:tc>
              <w:tc>
                <w:tcPr>
                  <w:tcW w:w="745" w:type="dxa"/>
                  <w:vMerge w:val="continue"/>
                  <w:noWrap w:val="0"/>
                  <w:vAlign w:val="center"/>
                </w:tcPr>
                <w:p w14:paraId="5085C252">
                  <w:pPr>
                    <w:adjustRightInd w:val="0"/>
                    <w:spacing w:line="240" w:lineRule="auto"/>
                    <w:ind w:firstLine="0" w:firstLineChars="0"/>
                    <w:jc w:val="center"/>
                    <w:rPr>
                      <w:rFonts w:hint="default" w:ascii="Times New Roman" w:hAnsi="Times New Roman" w:eastAsia="宋体" w:cs="Times New Roman"/>
                      <w:b/>
                      <w:sz w:val="21"/>
                      <w:szCs w:val="21"/>
                    </w:rPr>
                  </w:pPr>
                </w:p>
              </w:tc>
            </w:tr>
            <w:tr w14:paraId="38CB3A7B">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continue"/>
                  <w:noWrap w:val="0"/>
                  <w:vAlign w:val="center"/>
                </w:tcPr>
                <w:p w14:paraId="098D0AB1">
                  <w:pPr>
                    <w:adjustRightInd w:val="0"/>
                    <w:spacing w:line="240" w:lineRule="auto"/>
                    <w:ind w:firstLine="0" w:firstLineChars="0"/>
                    <w:jc w:val="center"/>
                    <w:rPr>
                      <w:rFonts w:hint="default" w:ascii="Times New Roman" w:hAnsi="Times New Roman" w:eastAsia="宋体" w:cs="Times New Roman"/>
                      <w:b/>
                      <w:sz w:val="21"/>
                      <w:szCs w:val="21"/>
                    </w:rPr>
                  </w:pPr>
                </w:p>
              </w:tc>
              <w:tc>
                <w:tcPr>
                  <w:tcW w:w="937" w:type="dxa"/>
                  <w:vMerge w:val="continue"/>
                  <w:noWrap w:val="0"/>
                  <w:vAlign w:val="center"/>
                </w:tcPr>
                <w:p w14:paraId="78C17519">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3E065236">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2CFD288D">
                  <w:pPr>
                    <w:adjustRightInd w:val="0"/>
                    <w:spacing w:line="240" w:lineRule="auto"/>
                    <w:ind w:firstLine="0" w:firstLineChars="0"/>
                    <w:jc w:val="center"/>
                    <w:rPr>
                      <w:rFonts w:hint="default" w:ascii="Times New Roman" w:hAnsi="Times New Roman" w:eastAsia="宋体" w:cs="Times New Roman"/>
                      <w:b/>
                      <w:sz w:val="21"/>
                      <w:szCs w:val="21"/>
                    </w:rPr>
                  </w:pPr>
                </w:p>
              </w:tc>
              <w:tc>
                <w:tcPr>
                  <w:tcW w:w="1024" w:type="dxa"/>
                  <w:vMerge w:val="continue"/>
                  <w:noWrap w:val="0"/>
                  <w:vAlign w:val="center"/>
                </w:tcPr>
                <w:p w14:paraId="01D28830">
                  <w:pPr>
                    <w:adjustRightInd w:val="0"/>
                    <w:spacing w:line="240" w:lineRule="auto"/>
                    <w:ind w:firstLine="0" w:firstLineChars="0"/>
                    <w:jc w:val="center"/>
                    <w:rPr>
                      <w:rFonts w:hint="default" w:ascii="Times New Roman" w:hAnsi="Times New Roman" w:eastAsia="宋体" w:cs="Times New Roman"/>
                      <w:b/>
                      <w:sz w:val="21"/>
                      <w:szCs w:val="21"/>
                    </w:rPr>
                  </w:pPr>
                </w:p>
              </w:tc>
              <w:tc>
                <w:tcPr>
                  <w:tcW w:w="1140" w:type="dxa"/>
                  <w:noWrap w:val="0"/>
                  <w:vAlign w:val="center"/>
                </w:tcPr>
                <w:p w14:paraId="3E1D4DA0">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浓度mg/m</w:t>
                  </w:r>
                  <w:r>
                    <w:rPr>
                      <w:rFonts w:hint="default" w:ascii="Times New Roman" w:hAnsi="Times New Roman" w:eastAsia="宋体" w:cs="Times New Roman"/>
                      <w:b/>
                      <w:sz w:val="21"/>
                      <w:szCs w:val="21"/>
                      <w:vertAlign w:val="superscript"/>
                    </w:rPr>
                    <w:t>3</w:t>
                  </w:r>
                </w:p>
              </w:tc>
              <w:tc>
                <w:tcPr>
                  <w:tcW w:w="816" w:type="dxa"/>
                  <w:noWrap w:val="0"/>
                  <w:vAlign w:val="center"/>
                </w:tcPr>
                <w:p w14:paraId="28AF8D68">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速率</w:t>
                  </w:r>
                  <w:r>
                    <w:rPr>
                      <w:rFonts w:hint="default" w:ascii="Times New Roman" w:hAnsi="Times New Roman" w:eastAsia="宋体" w:cs="Times New Roman"/>
                      <w:b/>
                      <w:sz w:val="21"/>
                      <w:szCs w:val="21"/>
                    </w:rPr>
                    <w:t>kg/h</w:t>
                  </w:r>
                </w:p>
              </w:tc>
              <w:tc>
                <w:tcPr>
                  <w:tcW w:w="931" w:type="dxa"/>
                  <w:noWrap w:val="0"/>
                  <w:vAlign w:val="center"/>
                </w:tcPr>
                <w:p w14:paraId="78B32352">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产生量</w:t>
                  </w:r>
                  <w:r>
                    <w:rPr>
                      <w:rFonts w:hint="default" w:ascii="Times New Roman" w:hAnsi="Times New Roman" w:eastAsia="宋体" w:cs="Times New Roman"/>
                      <w:b/>
                      <w:sz w:val="21"/>
                      <w:szCs w:val="21"/>
                    </w:rPr>
                    <w:t>t/a</w:t>
                  </w:r>
                </w:p>
              </w:tc>
              <w:tc>
                <w:tcPr>
                  <w:tcW w:w="868" w:type="dxa"/>
                  <w:vMerge w:val="continue"/>
                  <w:noWrap w:val="0"/>
                  <w:vAlign w:val="center"/>
                </w:tcPr>
                <w:p w14:paraId="42274D0E">
                  <w:pPr>
                    <w:adjustRightInd w:val="0"/>
                    <w:spacing w:line="240" w:lineRule="auto"/>
                    <w:ind w:firstLine="0" w:firstLineChars="0"/>
                    <w:jc w:val="center"/>
                    <w:rPr>
                      <w:rFonts w:hint="default" w:ascii="Times New Roman" w:hAnsi="Times New Roman" w:eastAsia="宋体" w:cs="Times New Roman"/>
                      <w:b/>
                      <w:sz w:val="21"/>
                      <w:szCs w:val="21"/>
                    </w:rPr>
                  </w:pPr>
                </w:p>
              </w:tc>
              <w:tc>
                <w:tcPr>
                  <w:tcW w:w="725" w:type="dxa"/>
                  <w:vMerge w:val="continue"/>
                  <w:noWrap w:val="0"/>
                  <w:vAlign w:val="center"/>
                </w:tcPr>
                <w:p w14:paraId="4769526A">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60E92AB9">
                  <w:pPr>
                    <w:adjustRightInd w:val="0"/>
                    <w:spacing w:line="240" w:lineRule="auto"/>
                    <w:ind w:firstLine="0" w:firstLineChars="0"/>
                    <w:jc w:val="center"/>
                    <w:rPr>
                      <w:rFonts w:hint="default" w:ascii="Times New Roman" w:hAnsi="Times New Roman" w:eastAsia="宋体" w:cs="Times New Roman"/>
                      <w:b/>
                      <w:sz w:val="21"/>
                      <w:szCs w:val="21"/>
                    </w:rPr>
                  </w:pPr>
                </w:p>
              </w:tc>
              <w:tc>
                <w:tcPr>
                  <w:tcW w:w="981" w:type="dxa"/>
                  <w:vMerge w:val="continue"/>
                  <w:noWrap w:val="0"/>
                  <w:vAlign w:val="center"/>
                </w:tcPr>
                <w:p w14:paraId="5B56A76D">
                  <w:pPr>
                    <w:adjustRightInd w:val="0"/>
                    <w:spacing w:line="240" w:lineRule="auto"/>
                    <w:ind w:firstLine="0" w:firstLineChars="0"/>
                    <w:jc w:val="center"/>
                    <w:rPr>
                      <w:rFonts w:hint="default" w:ascii="Times New Roman" w:hAnsi="Times New Roman" w:eastAsia="宋体" w:cs="Times New Roman"/>
                      <w:b/>
                      <w:sz w:val="21"/>
                      <w:szCs w:val="21"/>
                    </w:rPr>
                  </w:pPr>
                </w:p>
              </w:tc>
              <w:tc>
                <w:tcPr>
                  <w:tcW w:w="1056" w:type="dxa"/>
                  <w:noWrap w:val="0"/>
                  <w:vAlign w:val="center"/>
                </w:tcPr>
                <w:p w14:paraId="7094EAC9">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浓度 mg/m</w:t>
                  </w:r>
                  <w:r>
                    <w:rPr>
                      <w:rFonts w:hint="default" w:ascii="Times New Roman" w:hAnsi="Times New Roman" w:eastAsia="宋体" w:cs="Times New Roman"/>
                      <w:b/>
                      <w:sz w:val="21"/>
                      <w:szCs w:val="21"/>
                      <w:vertAlign w:val="superscript"/>
                    </w:rPr>
                    <w:t>3</w:t>
                  </w:r>
                </w:p>
              </w:tc>
              <w:tc>
                <w:tcPr>
                  <w:tcW w:w="912" w:type="dxa"/>
                  <w:noWrap w:val="0"/>
                  <w:vAlign w:val="center"/>
                </w:tcPr>
                <w:p w14:paraId="697F1ED9">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速率</w:t>
                  </w:r>
                  <w:r>
                    <w:rPr>
                      <w:rFonts w:hint="default" w:ascii="Times New Roman" w:hAnsi="Times New Roman" w:eastAsia="宋体" w:cs="Times New Roman"/>
                      <w:b/>
                      <w:sz w:val="21"/>
                      <w:szCs w:val="21"/>
                    </w:rPr>
                    <w:t>kg/h</w:t>
                  </w:r>
                </w:p>
              </w:tc>
              <w:tc>
                <w:tcPr>
                  <w:tcW w:w="932" w:type="dxa"/>
                  <w:noWrap w:val="0"/>
                  <w:vAlign w:val="center"/>
                </w:tcPr>
                <w:p w14:paraId="39D5F80F">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排放量</w:t>
                  </w:r>
                  <w:r>
                    <w:rPr>
                      <w:rFonts w:hint="default" w:ascii="Times New Roman" w:hAnsi="Times New Roman" w:eastAsia="宋体" w:cs="Times New Roman"/>
                      <w:b/>
                      <w:sz w:val="21"/>
                      <w:szCs w:val="21"/>
                    </w:rPr>
                    <w:t>t/a</w:t>
                  </w:r>
                </w:p>
              </w:tc>
              <w:tc>
                <w:tcPr>
                  <w:tcW w:w="745" w:type="dxa"/>
                  <w:vMerge w:val="continue"/>
                  <w:noWrap w:val="0"/>
                  <w:vAlign w:val="center"/>
                </w:tcPr>
                <w:p w14:paraId="3061B18D">
                  <w:pPr>
                    <w:adjustRightInd w:val="0"/>
                    <w:spacing w:line="240" w:lineRule="auto"/>
                    <w:ind w:firstLine="0" w:firstLineChars="0"/>
                    <w:jc w:val="center"/>
                    <w:rPr>
                      <w:rFonts w:hint="default" w:ascii="Times New Roman" w:hAnsi="Times New Roman" w:eastAsia="宋体" w:cs="Times New Roman"/>
                      <w:b/>
                      <w:sz w:val="21"/>
                      <w:szCs w:val="21"/>
                    </w:rPr>
                  </w:pPr>
                </w:p>
              </w:tc>
            </w:tr>
            <w:tr w14:paraId="6CCD7152">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restart"/>
                  <w:noWrap w:val="0"/>
                  <w:vAlign w:val="center"/>
                </w:tcPr>
                <w:p w14:paraId="7CEE708A">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加弹</w:t>
                  </w:r>
                </w:p>
              </w:tc>
              <w:tc>
                <w:tcPr>
                  <w:tcW w:w="937" w:type="dxa"/>
                  <w:noWrap w:val="0"/>
                  <w:vAlign w:val="center"/>
                </w:tcPr>
                <w:p w14:paraId="4DEA3B26">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DA001</w:t>
                  </w:r>
                </w:p>
              </w:tc>
              <w:tc>
                <w:tcPr>
                  <w:tcW w:w="651" w:type="dxa"/>
                  <w:noWrap w:val="0"/>
                  <w:vAlign w:val="center"/>
                </w:tcPr>
                <w:p w14:paraId="52120F34">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非甲烷总烃</w:t>
                  </w:r>
                </w:p>
              </w:tc>
              <w:tc>
                <w:tcPr>
                  <w:tcW w:w="651" w:type="dxa"/>
                  <w:vMerge w:val="restart"/>
                  <w:noWrap w:val="0"/>
                  <w:vAlign w:val="center"/>
                </w:tcPr>
                <w:p w14:paraId="2CD68912">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产污系数法</w:t>
                  </w:r>
                </w:p>
              </w:tc>
              <w:tc>
                <w:tcPr>
                  <w:tcW w:w="1024" w:type="dxa"/>
                  <w:noWrap w:val="0"/>
                  <w:vAlign w:val="center"/>
                </w:tcPr>
                <w:p w14:paraId="545A040C">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12000</w:t>
                  </w:r>
                </w:p>
              </w:tc>
              <w:tc>
                <w:tcPr>
                  <w:tcW w:w="1140" w:type="dxa"/>
                  <w:noWrap w:val="0"/>
                  <w:vAlign w:val="center"/>
                </w:tcPr>
                <w:p w14:paraId="267C4973">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27.211</w:t>
                  </w:r>
                </w:p>
              </w:tc>
              <w:tc>
                <w:tcPr>
                  <w:tcW w:w="816" w:type="dxa"/>
                  <w:noWrap w:val="0"/>
                  <w:vAlign w:val="center"/>
                </w:tcPr>
                <w:p w14:paraId="7C48210D">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0.327</w:t>
                  </w:r>
                </w:p>
              </w:tc>
              <w:tc>
                <w:tcPr>
                  <w:tcW w:w="931" w:type="dxa"/>
                  <w:noWrap w:val="0"/>
                  <w:vAlign w:val="center"/>
                </w:tcPr>
                <w:p w14:paraId="6058DB14">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2.351</w:t>
                  </w:r>
                </w:p>
              </w:tc>
              <w:tc>
                <w:tcPr>
                  <w:tcW w:w="868" w:type="dxa"/>
                  <w:noWrap w:val="0"/>
                  <w:vAlign w:val="center"/>
                </w:tcPr>
                <w:p w14:paraId="703A4A1B">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高压静电油烟净化器</w:t>
                  </w:r>
                </w:p>
              </w:tc>
              <w:tc>
                <w:tcPr>
                  <w:tcW w:w="725" w:type="dxa"/>
                  <w:noWrap w:val="0"/>
                  <w:vAlign w:val="center"/>
                </w:tcPr>
                <w:p w14:paraId="5031B28E">
                  <w:pPr>
                    <w:adjustRightInd w:val="0"/>
                    <w:spacing w:line="240" w:lineRule="auto"/>
                    <w:ind w:firstLine="0" w:firstLineChars="0"/>
                    <w:jc w:val="center"/>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eastAsia="zh-CN"/>
                    </w:rPr>
                    <w:t>90%</w:t>
                  </w:r>
                </w:p>
              </w:tc>
              <w:tc>
                <w:tcPr>
                  <w:tcW w:w="651" w:type="dxa"/>
                  <w:vMerge w:val="restart"/>
                  <w:noWrap w:val="0"/>
                  <w:vAlign w:val="center"/>
                </w:tcPr>
                <w:p w14:paraId="7A8FD953">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产污系数法</w:t>
                  </w:r>
                </w:p>
                <w:p w14:paraId="5C323F8E">
                  <w:pPr>
                    <w:adjustRightInd w:val="0"/>
                    <w:spacing w:line="240" w:lineRule="auto"/>
                    <w:ind w:firstLine="0" w:firstLineChars="0"/>
                    <w:jc w:val="center"/>
                    <w:rPr>
                      <w:rFonts w:hint="default" w:ascii="Times New Roman" w:hAnsi="Times New Roman" w:eastAsia="宋体" w:cs="Times New Roman"/>
                      <w:b w:val="0"/>
                      <w:bCs/>
                      <w:sz w:val="21"/>
                      <w:szCs w:val="21"/>
                    </w:rPr>
                  </w:pPr>
                </w:p>
              </w:tc>
              <w:tc>
                <w:tcPr>
                  <w:tcW w:w="981" w:type="dxa"/>
                  <w:noWrap w:val="0"/>
                  <w:vAlign w:val="center"/>
                </w:tcPr>
                <w:p w14:paraId="1A3C379C">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12</w:t>
                  </w:r>
                  <w:r>
                    <w:rPr>
                      <w:rFonts w:hint="default" w:ascii="Times New Roman" w:hAnsi="Times New Roman" w:eastAsia="宋体" w:cs="Times New Roman"/>
                      <w:b w:val="0"/>
                      <w:bCs/>
                      <w:sz w:val="21"/>
                      <w:szCs w:val="21"/>
                      <w:lang w:val="en-US" w:eastAsia="zh-CN"/>
                    </w:rPr>
                    <w:t>000</w:t>
                  </w:r>
                </w:p>
              </w:tc>
              <w:tc>
                <w:tcPr>
                  <w:tcW w:w="1056" w:type="dxa"/>
                  <w:noWrap w:val="0"/>
                  <w:vAlign w:val="center"/>
                </w:tcPr>
                <w:p w14:paraId="5DBA43F7">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2.720</w:t>
                  </w:r>
                </w:p>
              </w:tc>
              <w:tc>
                <w:tcPr>
                  <w:tcW w:w="912" w:type="dxa"/>
                  <w:noWrap w:val="0"/>
                  <w:vAlign w:val="center"/>
                </w:tcPr>
                <w:p w14:paraId="03EAA9E5">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0.033</w:t>
                  </w:r>
                </w:p>
              </w:tc>
              <w:tc>
                <w:tcPr>
                  <w:tcW w:w="932" w:type="dxa"/>
                  <w:noWrap w:val="0"/>
                  <w:vAlign w:val="center"/>
                </w:tcPr>
                <w:p w14:paraId="09235149">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0.235</w:t>
                  </w:r>
                </w:p>
              </w:tc>
              <w:tc>
                <w:tcPr>
                  <w:tcW w:w="745" w:type="dxa"/>
                  <w:vMerge w:val="restart"/>
                  <w:noWrap w:val="0"/>
                  <w:vAlign w:val="center"/>
                </w:tcPr>
                <w:p w14:paraId="232398CA">
                  <w:pPr>
                    <w:adjustRightInd w:val="0"/>
                    <w:spacing w:line="240" w:lineRule="auto"/>
                    <w:ind w:firstLine="0" w:firstLineChars="0"/>
                    <w:jc w:val="center"/>
                    <w:rPr>
                      <w:rFonts w:hint="default" w:ascii="Times New Roman" w:hAnsi="Times New Roman" w:eastAsia="宋体" w:cs="Times New Roman"/>
                      <w:b/>
                      <w:sz w:val="21"/>
                      <w:szCs w:val="21"/>
                      <w:lang w:val="en-US" w:eastAsia="zh-CN"/>
                    </w:rPr>
                  </w:pPr>
                  <w:r>
                    <w:rPr>
                      <w:rFonts w:hint="eastAsia" w:ascii="Times New Roman" w:hAnsi="Times New Roman" w:eastAsia="宋体" w:cs="Times New Roman"/>
                      <w:b w:val="0"/>
                      <w:bCs/>
                      <w:sz w:val="21"/>
                      <w:szCs w:val="21"/>
                      <w:lang w:val="en-US" w:eastAsia="zh-CN"/>
                    </w:rPr>
                    <w:t>72</w:t>
                  </w:r>
                  <w:r>
                    <w:rPr>
                      <w:rFonts w:hint="default" w:ascii="Times New Roman" w:hAnsi="Times New Roman" w:eastAsia="宋体" w:cs="Times New Roman"/>
                      <w:b w:val="0"/>
                      <w:bCs/>
                      <w:sz w:val="21"/>
                      <w:szCs w:val="21"/>
                      <w:lang w:val="en-US" w:eastAsia="zh-CN"/>
                    </w:rPr>
                    <w:t>00</w:t>
                  </w:r>
                </w:p>
              </w:tc>
            </w:tr>
            <w:tr w14:paraId="5E81C563">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continue"/>
                  <w:noWrap w:val="0"/>
                  <w:vAlign w:val="center"/>
                </w:tcPr>
                <w:p w14:paraId="469492D0">
                  <w:pPr>
                    <w:adjustRightInd w:val="0"/>
                    <w:spacing w:line="240" w:lineRule="auto"/>
                    <w:ind w:firstLine="0" w:firstLineChars="0"/>
                    <w:jc w:val="center"/>
                    <w:rPr>
                      <w:rFonts w:hint="default" w:ascii="Times New Roman" w:hAnsi="Times New Roman" w:eastAsia="宋体" w:cs="Times New Roman"/>
                      <w:b w:val="0"/>
                      <w:bCs/>
                      <w:sz w:val="21"/>
                      <w:szCs w:val="21"/>
                    </w:rPr>
                  </w:pPr>
                </w:p>
              </w:tc>
              <w:tc>
                <w:tcPr>
                  <w:tcW w:w="937" w:type="dxa"/>
                  <w:noWrap w:val="0"/>
                  <w:vAlign w:val="center"/>
                </w:tcPr>
                <w:p w14:paraId="3E506E1B">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无组织</w:t>
                  </w:r>
                </w:p>
              </w:tc>
              <w:tc>
                <w:tcPr>
                  <w:tcW w:w="651" w:type="dxa"/>
                  <w:noWrap w:val="0"/>
                  <w:vAlign w:val="center"/>
                </w:tcPr>
                <w:p w14:paraId="2523ADDB">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非甲烷总烃</w:t>
                  </w:r>
                </w:p>
              </w:tc>
              <w:tc>
                <w:tcPr>
                  <w:tcW w:w="651" w:type="dxa"/>
                  <w:vMerge w:val="continue"/>
                  <w:noWrap w:val="0"/>
                  <w:vAlign w:val="center"/>
                </w:tcPr>
                <w:p w14:paraId="3F7DC7CF">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p>
              </w:tc>
              <w:tc>
                <w:tcPr>
                  <w:tcW w:w="1024" w:type="dxa"/>
                  <w:noWrap w:val="0"/>
                  <w:vAlign w:val="center"/>
                </w:tcPr>
                <w:p w14:paraId="1F30AB0F">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1140" w:type="dxa"/>
                  <w:noWrap w:val="0"/>
                  <w:vAlign w:val="center"/>
                </w:tcPr>
                <w:p w14:paraId="7B698D0C">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816" w:type="dxa"/>
                  <w:noWrap w:val="0"/>
                  <w:vAlign w:val="center"/>
                </w:tcPr>
                <w:p w14:paraId="20ECE037">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0.017</w:t>
                  </w:r>
                </w:p>
              </w:tc>
              <w:tc>
                <w:tcPr>
                  <w:tcW w:w="931" w:type="dxa"/>
                  <w:noWrap w:val="0"/>
                  <w:vAlign w:val="center"/>
                </w:tcPr>
                <w:p w14:paraId="7E2AD7E9">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0.124</w:t>
                  </w:r>
                </w:p>
              </w:tc>
              <w:tc>
                <w:tcPr>
                  <w:tcW w:w="868" w:type="dxa"/>
                  <w:noWrap w:val="0"/>
                  <w:vAlign w:val="center"/>
                </w:tcPr>
                <w:p w14:paraId="6E80A2DC">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725" w:type="dxa"/>
                  <w:noWrap w:val="0"/>
                  <w:vAlign w:val="center"/>
                </w:tcPr>
                <w:p w14:paraId="5F05039E">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651" w:type="dxa"/>
                  <w:vMerge w:val="continue"/>
                  <w:noWrap w:val="0"/>
                  <w:vAlign w:val="center"/>
                </w:tcPr>
                <w:p w14:paraId="37611E3B">
                  <w:pPr>
                    <w:adjustRightInd w:val="0"/>
                    <w:spacing w:line="240" w:lineRule="auto"/>
                    <w:ind w:firstLine="0" w:firstLineChars="0"/>
                    <w:jc w:val="both"/>
                    <w:rPr>
                      <w:rFonts w:hint="eastAsia" w:ascii="Times New Roman" w:hAnsi="Times New Roman" w:eastAsia="宋体" w:cs="Times New Roman"/>
                      <w:b w:val="0"/>
                      <w:bCs/>
                      <w:sz w:val="21"/>
                      <w:szCs w:val="21"/>
                      <w:lang w:val="en-US" w:eastAsia="zh-CN"/>
                    </w:rPr>
                  </w:pPr>
                </w:p>
              </w:tc>
              <w:tc>
                <w:tcPr>
                  <w:tcW w:w="981" w:type="dxa"/>
                  <w:noWrap w:val="0"/>
                  <w:vAlign w:val="center"/>
                </w:tcPr>
                <w:p w14:paraId="0D3993DC">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1056" w:type="dxa"/>
                  <w:noWrap w:val="0"/>
                  <w:vAlign w:val="center"/>
                </w:tcPr>
                <w:p w14:paraId="4B673FBA">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912" w:type="dxa"/>
                  <w:noWrap w:val="0"/>
                  <w:vAlign w:val="center"/>
                </w:tcPr>
                <w:p w14:paraId="6C5AE23C">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0.017</w:t>
                  </w:r>
                </w:p>
              </w:tc>
              <w:tc>
                <w:tcPr>
                  <w:tcW w:w="932" w:type="dxa"/>
                  <w:noWrap w:val="0"/>
                  <w:vAlign w:val="center"/>
                </w:tcPr>
                <w:p w14:paraId="510197BF">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0.124</w:t>
                  </w:r>
                </w:p>
              </w:tc>
              <w:tc>
                <w:tcPr>
                  <w:tcW w:w="745" w:type="dxa"/>
                  <w:vMerge w:val="continue"/>
                  <w:noWrap w:val="0"/>
                  <w:vAlign w:val="center"/>
                </w:tcPr>
                <w:p w14:paraId="07D1931C">
                  <w:pPr>
                    <w:adjustRightInd w:val="0"/>
                    <w:spacing w:line="240" w:lineRule="auto"/>
                    <w:ind w:firstLine="0" w:firstLineChars="0"/>
                    <w:jc w:val="center"/>
                    <w:rPr>
                      <w:rFonts w:hint="default" w:ascii="Times New Roman" w:hAnsi="Times New Roman" w:eastAsia="宋体" w:cs="Times New Roman"/>
                      <w:b/>
                      <w:sz w:val="21"/>
                      <w:szCs w:val="21"/>
                    </w:rPr>
                  </w:pPr>
                </w:p>
              </w:tc>
            </w:tr>
          </w:tbl>
          <w:p w14:paraId="5F1AC226">
            <w:pPr>
              <w:adjustRightInd w:val="0"/>
              <w:snapToGrid w:val="0"/>
              <w:spacing w:before="120" w:beforeLines="50"/>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表4-</w:t>
            </w:r>
            <w:r>
              <w:rPr>
                <w:rFonts w:hint="eastAsia" w:cs="Times New Roman"/>
                <w:b/>
                <w:bCs/>
                <w:color w:val="000000"/>
                <w:szCs w:val="21"/>
                <w:lang w:val="en-US" w:eastAsia="zh-CN"/>
              </w:rPr>
              <w:t>3</w:t>
            </w:r>
            <w:r>
              <w:rPr>
                <w:rFonts w:hint="default" w:ascii="Times New Roman" w:hAnsi="Times New Roman" w:cs="Times New Roman"/>
                <w:b/>
                <w:bCs/>
                <w:color w:val="000000"/>
                <w:szCs w:val="21"/>
              </w:rPr>
              <w:tab/>
            </w:r>
            <w:r>
              <w:rPr>
                <w:rFonts w:hint="default" w:ascii="Times New Roman" w:hAnsi="Times New Roman" w:cs="Times New Roman"/>
                <w:b/>
                <w:bCs/>
                <w:color w:val="000000"/>
                <w:szCs w:val="21"/>
              </w:rPr>
              <w:t xml:space="preserve"> 项目有组织废气污染源源强核算结果及相关参数一览表</w:t>
            </w:r>
          </w:p>
          <w:tbl>
            <w:tblPr>
              <w:tblStyle w:val="38"/>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Layout w:type="autofit"/>
              <w:tblCellMar>
                <w:top w:w="0" w:type="dxa"/>
                <w:left w:w="0" w:type="dxa"/>
                <w:bottom w:w="0" w:type="dxa"/>
                <w:right w:w="0" w:type="dxa"/>
              </w:tblCellMar>
            </w:tblPr>
            <w:tblGrid>
              <w:gridCol w:w="552"/>
              <w:gridCol w:w="937"/>
              <w:gridCol w:w="651"/>
              <w:gridCol w:w="651"/>
              <w:gridCol w:w="1024"/>
              <w:gridCol w:w="1140"/>
              <w:gridCol w:w="816"/>
              <w:gridCol w:w="931"/>
              <w:gridCol w:w="868"/>
              <w:gridCol w:w="725"/>
              <w:gridCol w:w="651"/>
              <w:gridCol w:w="981"/>
              <w:gridCol w:w="1056"/>
              <w:gridCol w:w="912"/>
              <w:gridCol w:w="932"/>
              <w:gridCol w:w="745"/>
            </w:tblGrid>
            <w:tr w14:paraId="31408996">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restart"/>
                  <w:noWrap w:val="0"/>
                  <w:vAlign w:val="center"/>
                </w:tcPr>
                <w:p w14:paraId="735CF07E">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工 序</w:t>
                  </w:r>
                </w:p>
                <w:p w14:paraId="0B94E336">
                  <w:pPr>
                    <w:adjustRightInd w:val="0"/>
                    <w:spacing w:line="240" w:lineRule="auto"/>
                    <w:ind w:firstLine="0" w:firstLineChars="0"/>
                    <w:jc w:val="center"/>
                    <w:rPr>
                      <w:rFonts w:hint="default" w:ascii="Times New Roman" w:hAnsi="Times New Roman" w:eastAsia="宋体" w:cs="Times New Roman"/>
                      <w:b/>
                      <w:sz w:val="21"/>
                      <w:szCs w:val="21"/>
                      <w:lang w:val="en-US" w:eastAsia="zh-CN"/>
                    </w:rPr>
                  </w:pPr>
                  <w:r>
                    <w:rPr>
                      <w:rFonts w:hint="eastAsia" w:ascii="Times New Roman" w:hAnsi="Times New Roman" w:eastAsia="宋体" w:cs="Times New Roman"/>
                      <w:b/>
                      <w:sz w:val="21"/>
                      <w:szCs w:val="21"/>
                      <w:lang w:val="en-US" w:eastAsia="zh-CN"/>
                    </w:rPr>
                    <w:t>/生产线</w:t>
                  </w:r>
                </w:p>
              </w:tc>
              <w:tc>
                <w:tcPr>
                  <w:tcW w:w="937" w:type="dxa"/>
                  <w:vMerge w:val="restart"/>
                  <w:noWrap w:val="0"/>
                  <w:vAlign w:val="center"/>
                </w:tcPr>
                <w:p w14:paraId="3D7443B7">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污染源</w:t>
                  </w:r>
                </w:p>
              </w:tc>
              <w:tc>
                <w:tcPr>
                  <w:tcW w:w="651" w:type="dxa"/>
                  <w:vMerge w:val="restart"/>
                  <w:noWrap w:val="0"/>
                  <w:vAlign w:val="center"/>
                </w:tcPr>
                <w:p w14:paraId="3B5630ED">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w:t>
                  </w:r>
                </w:p>
              </w:tc>
              <w:tc>
                <w:tcPr>
                  <w:tcW w:w="4562" w:type="dxa"/>
                  <w:gridSpan w:val="5"/>
                  <w:noWrap w:val="0"/>
                  <w:vAlign w:val="center"/>
                </w:tcPr>
                <w:p w14:paraId="37FA15BC">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污染物产生</w:t>
                  </w:r>
                </w:p>
              </w:tc>
              <w:tc>
                <w:tcPr>
                  <w:tcW w:w="868" w:type="dxa"/>
                  <w:vMerge w:val="restart"/>
                  <w:noWrap w:val="0"/>
                  <w:vAlign w:val="center"/>
                </w:tcPr>
                <w:p w14:paraId="4CC80CEB">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治理措施</w:t>
                  </w:r>
                </w:p>
              </w:tc>
              <w:tc>
                <w:tcPr>
                  <w:tcW w:w="725" w:type="dxa"/>
                  <w:vMerge w:val="restart"/>
                  <w:noWrap w:val="0"/>
                  <w:vAlign w:val="center"/>
                </w:tcPr>
                <w:p w14:paraId="152E2442">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处理</w:t>
                  </w:r>
                  <w:r>
                    <w:rPr>
                      <w:rFonts w:hint="default" w:ascii="Times New Roman" w:hAnsi="Times New Roman" w:eastAsia="宋体" w:cs="Times New Roman"/>
                      <w:b/>
                      <w:sz w:val="21"/>
                      <w:szCs w:val="21"/>
                    </w:rPr>
                    <w:t>效率</w:t>
                  </w:r>
                </w:p>
              </w:tc>
              <w:tc>
                <w:tcPr>
                  <w:tcW w:w="4532" w:type="dxa"/>
                  <w:gridSpan w:val="5"/>
                  <w:noWrap w:val="0"/>
                  <w:vAlign w:val="center"/>
                </w:tcPr>
                <w:p w14:paraId="29429E52">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污染物排放</w:t>
                  </w:r>
                </w:p>
              </w:tc>
              <w:tc>
                <w:tcPr>
                  <w:tcW w:w="745" w:type="dxa"/>
                  <w:vMerge w:val="restart"/>
                  <w:noWrap w:val="0"/>
                  <w:vAlign w:val="center"/>
                </w:tcPr>
                <w:p w14:paraId="7E05FAEA">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排放 时间</w:t>
                  </w:r>
                </w:p>
                <w:p w14:paraId="5A1C745B">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h</w:t>
                  </w:r>
                </w:p>
              </w:tc>
            </w:tr>
            <w:tr w14:paraId="7F07A0E5">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continue"/>
                  <w:noWrap w:val="0"/>
                  <w:vAlign w:val="center"/>
                </w:tcPr>
                <w:p w14:paraId="063CC2E4">
                  <w:pPr>
                    <w:adjustRightInd w:val="0"/>
                    <w:spacing w:line="240" w:lineRule="auto"/>
                    <w:ind w:firstLine="0" w:firstLineChars="0"/>
                    <w:jc w:val="center"/>
                    <w:rPr>
                      <w:rFonts w:hint="default" w:ascii="Times New Roman" w:hAnsi="Times New Roman" w:eastAsia="宋体" w:cs="Times New Roman"/>
                      <w:b/>
                      <w:sz w:val="21"/>
                      <w:szCs w:val="21"/>
                    </w:rPr>
                  </w:pPr>
                </w:p>
              </w:tc>
              <w:tc>
                <w:tcPr>
                  <w:tcW w:w="937" w:type="dxa"/>
                  <w:vMerge w:val="continue"/>
                  <w:noWrap w:val="0"/>
                  <w:vAlign w:val="center"/>
                </w:tcPr>
                <w:p w14:paraId="7D44AC92">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707B5C2D">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restart"/>
                  <w:noWrap w:val="0"/>
                  <w:vAlign w:val="center"/>
                </w:tcPr>
                <w:p w14:paraId="2BAC8C04">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核算方法</w:t>
                  </w:r>
                </w:p>
              </w:tc>
              <w:tc>
                <w:tcPr>
                  <w:tcW w:w="1024" w:type="dxa"/>
                  <w:vMerge w:val="restart"/>
                  <w:noWrap w:val="0"/>
                  <w:vAlign w:val="center"/>
                </w:tcPr>
                <w:p w14:paraId="3342AB7C">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废气产生 量m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/h</w:t>
                  </w:r>
                </w:p>
              </w:tc>
              <w:tc>
                <w:tcPr>
                  <w:tcW w:w="2887" w:type="dxa"/>
                  <w:gridSpan w:val="3"/>
                  <w:noWrap w:val="0"/>
                  <w:vAlign w:val="center"/>
                </w:tcPr>
                <w:p w14:paraId="4F14CCE0">
                  <w:pPr>
                    <w:adjustRightInd w:val="0"/>
                    <w:spacing w:line="240" w:lineRule="auto"/>
                    <w:ind w:firstLine="0" w:firstLineChars="0"/>
                    <w:jc w:val="center"/>
                    <w:rPr>
                      <w:rFonts w:hint="eastAsia"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rPr>
                    <w:t>产生</w:t>
                  </w:r>
                  <w:r>
                    <w:rPr>
                      <w:rFonts w:hint="eastAsia" w:ascii="Times New Roman" w:hAnsi="Times New Roman" w:eastAsia="宋体" w:cs="Times New Roman"/>
                      <w:b/>
                      <w:sz w:val="21"/>
                      <w:szCs w:val="21"/>
                      <w:lang w:val="en-US" w:eastAsia="zh-CN"/>
                    </w:rPr>
                    <w:t>状况</w:t>
                  </w:r>
                </w:p>
              </w:tc>
              <w:tc>
                <w:tcPr>
                  <w:tcW w:w="868" w:type="dxa"/>
                  <w:vMerge w:val="continue"/>
                  <w:noWrap w:val="0"/>
                  <w:vAlign w:val="center"/>
                </w:tcPr>
                <w:p w14:paraId="0EF3CAE4">
                  <w:pPr>
                    <w:adjustRightInd w:val="0"/>
                    <w:spacing w:line="240" w:lineRule="auto"/>
                    <w:ind w:firstLine="0" w:firstLineChars="0"/>
                    <w:jc w:val="center"/>
                    <w:rPr>
                      <w:rFonts w:hint="default" w:ascii="Times New Roman" w:hAnsi="Times New Roman" w:eastAsia="宋体" w:cs="Times New Roman"/>
                      <w:b/>
                      <w:sz w:val="21"/>
                      <w:szCs w:val="21"/>
                    </w:rPr>
                  </w:pPr>
                </w:p>
              </w:tc>
              <w:tc>
                <w:tcPr>
                  <w:tcW w:w="725" w:type="dxa"/>
                  <w:vMerge w:val="continue"/>
                  <w:noWrap w:val="0"/>
                  <w:vAlign w:val="center"/>
                </w:tcPr>
                <w:p w14:paraId="585E1208">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restart"/>
                  <w:noWrap w:val="0"/>
                  <w:vAlign w:val="center"/>
                </w:tcPr>
                <w:p w14:paraId="3CD692B2">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核算方法</w:t>
                  </w:r>
                </w:p>
              </w:tc>
              <w:tc>
                <w:tcPr>
                  <w:tcW w:w="981" w:type="dxa"/>
                  <w:vMerge w:val="restart"/>
                  <w:noWrap w:val="0"/>
                  <w:vAlign w:val="center"/>
                </w:tcPr>
                <w:p w14:paraId="56CC5564">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废气排放量m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/h</w:t>
                  </w:r>
                </w:p>
              </w:tc>
              <w:tc>
                <w:tcPr>
                  <w:tcW w:w="2900" w:type="dxa"/>
                  <w:gridSpan w:val="3"/>
                  <w:noWrap w:val="0"/>
                  <w:vAlign w:val="center"/>
                </w:tcPr>
                <w:p w14:paraId="7DC1621F">
                  <w:pPr>
                    <w:adjustRightInd w:val="0"/>
                    <w:spacing w:line="240" w:lineRule="auto"/>
                    <w:ind w:firstLine="0" w:firstLineChars="0"/>
                    <w:jc w:val="center"/>
                    <w:rPr>
                      <w:rFonts w:hint="eastAsia"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rPr>
                    <w:t>排放</w:t>
                  </w:r>
                  <w:r>
                    <w:rPr>
                      <w:rFonts w:hint="eastAsia" w:ascii="Times New Roman" w:hAnsi="Times New Roman" w:eastAsia="宋体" w:cs="Times New Roman"/>
                      <w:b/>
                      <w:sz w:val="21"/>
                      <w:szCs w:val="21"/>
                      <w:lang w:val="en-US" w:eastAsia="zh-CN"/>
                    </w:rPr>
                    <w:t>状况</w:t>
                  </w:r>
                </w:p>
              </w:tc>
              <w:tc>
                <w:tcPr>
                  <w:tcW w:w="745" w:type="dxa"/>
                  <w:vMerge w:val="continue"/>
                  <w:noWrap w:val="0"/>
                  <w:vAlign w:val="center"/>
                </w:tcPr>
                <w:p w14:paraId="570980D2">
                  <w:pPr>
                    <w:adjustRightInd w:val="0"/>
                    <w:spacing w:line="240" w:lineRule="auto"/>
                    <w:ind w:firstLine="0" w:firstLineChars="0"/>
                    <w:jc w:val="center"/>
                    <w:rPr>
                      <w:rFonts w:hint="default" w:ascii="Times New Roman" w:hAnsi="Times New Roman" w:eastAsia="宋体" w:cs="Times New Roman"/>
                      <w:b/>
                      <w:sz w:val="21"/>
                      <w:szCs w:val="21"/>
                    </w:rPr>
                  </w:pPr>
                </w:p>
              </w:tc>
            </w:tr>
            <w:tr w14:paraId="0DE8FCFD">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vMerge w:val="continue"/>
                  <w:noWrap w:val="0"/>
                  <w:vAlign w:val="center"/>
                </w:tcPr>
                <w:p w14:paraId="414731EC">
                  <w:pPr>
                    <w:adjustRightInd w:val="0"/>
                    <w:spacing w:line="240" w:lineRule="auto"/>
                    <w:ind w:firstLine="0" w:firstLineChars="0"/>
                    <w:jc w:val="center"/>
                    <w:rPr>
                      <w:rFonts w:hint="default" w:ascii="Times New Roman" w:hAnsi="Times New Roman" w:eastAsia="宋体" w:cs="Times New Roman"/>
                      <w:b/>
                      <w:sz w:val="21"/>
                      <w:szCs w:val="21"/>
                    </w:rPr>
                  </w:pPr>
                </w:p>
              </w:tc>
              <w:tc>
                <w:tcPr>
                  <w:tcW w:w="937" w:type="dxa"/>
                  <w:vMerge w:val="continue"/>
                  <w:noWrap w:val="0"/>
                  <w:vAlign w:val="center"/>
                </w:tcPr>
                <w:p w14:paraId="702CC30A">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670DC90D">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7AD8AD4C">
                  <w:pPr>
                    <w:adjustRightInd w:val="0"/>
                    <w:spacing w:line="240" w:lineRule="auto"/>
                    <w:ind w:firstLine="0" w:firstLineChars="0"/>
                    <w:jc w:val="center"/>
                    <w:rPr>
                      <w:rFonts w:hint="default" w:ascii="Times New Roman" w:hAnsi="Times New Roman" w:eastAsia="宋体" w:cs="Times New Roman"/>
                      <w:b/>
                      <w:sz w:val="21"/>
                      <w:szCs w:val="21"/>
                    </w:rPr>
                  </w:pPr>
                </w:p>
              </w:tc>
              <w:tc>
                <w:tcPr>
                  <w:tcW w:w="1024" w:type="dxa"/>
                  <w:vMerge w:val="continue"/>
                  <w:noWrap w:val="0"/>
                  <w:vAlign w:val="center"/>
                </w:tcPr>
                <w:p w14:paraId="4FCEB52C">
                  <w:pPr>
                    <w:adjustRightInd w:val="0"/>
                    <w:spacing w:line="240" w:lineRule="auto"/>
                    <w:ind w:firstLine="0" w:firstLineChars="0"/>
                    <w:jc w:val="center"/>
                    <w:rPr>
                      <w:rFonts w:hint="default" w:ascii="Times New Roman" w:hAnsi="Times New Roman" w:eastAsia="宋体" w:cs="Times New Roman"/>
                      <w:b/>
                      <w:sz w:val="21"/>
                      <w:szCs w:val="21"/>
                    </w:rPr>
                  </w:pPr>
                </w:p>
              </w:tc>
              <w:tc>
                <w:tcPr>
                  <w:tcW w:w="1140" w:type="dxa"/>
                  <w:noWrap w:val="0"/>
                  <w:vAlign w:val="center"/>
                </w:tcPr>
                <w:p w14:paraId="3CB4DFE3">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浓度 mg/m</w:t>
                  </w:r>
                  <w:r>
                    <w:rPr>
                      <w:rFonts w:hint="default" w:ascii="Times New Roman" w:hAnsi="Times New Roman" w:eastAsia="宋体" w:cs="Times New Roman"/>
                      <w:b/>
                      <w:sz w:val="21"/>
                      <w:szCs w:val="21"/>
                      <w:vertAlign w:val="superscript"/>
                    </w:rPr>
                    <w:t>3</w:t>
                  </w:r>
                </w:p>
              </w:tc>
              <w:tc>
                <w:tcPr>
                  <w:tcW w:w="816" w:type="dxa"/>
                  <w:noWrap w:val="0"/>
                  <w:vAlign w:val="center"/>
                </w:tcPr>
                <w:p w14:paraId="2CB11B91">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速率</w:t>
                  </w:r>
                  <w:r>
                    <w:rPr>
                      <w:rFonts w:hint="default" w:ascii="Times New Roman" w:hAnsi="Times New Roman" w:eastAsia="宋体" w:cs="Times New Roman"/>
                      <w:b/>
                      <w:sz w:val="21"/>
                      <w:szCs w:val="21"/>
                    </w:rPr>
                    <w:t>kg/h</w:t>
                  </w:r>
                </w:p>
              </w:tc>
              <w:tc>
                <w:tcPr>
                  <w:tcW w:w="931" w:type="dxa"/>
                  <w:noWrap w:val="0"/>
                  <w:vAlign w:val="center"/>
                </w:tcPr>
                <w:p w14:paraId="082C5C16">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产生量</w:t>
                  </w:r>
                  <w:r>
                    <w:rPr>
                      <w:rFonts w:hint="default" w:ascii="Times New Roman" w:hAnsi="Times New Roman" w:eastAsia="宋体" w:cs="Times New Roman"/>
                      <w:b/>
                      <w:sz w:val="21"/>
                      <w:szCs w:val="21"/>
                    </w:rPr>
                    <w:t>t/a</w:t>
                  </w:r>
                </w:p>
              </w:tc>
              <w:tc>
                <w:tcPr>
                  <w:tcW w:w="868" w:type="dxa"/>
                  <w:vMerge w:val="continue"/>
                  <w:noWrap w:val="0"/>
                  <w:vAlign w:val="center"/>
                </w:tcPr>
                <w:p w14:paraId="3AC57A24">
                  <w:pPr>
                    <w:adjustRightInd w:val="0"/>
                    <w:spacing w:line="240" w:lineRule="auto"/>
                    <w:ind w:firstLine="0" w:firstLineChars="0"/>
                    <w:jc w:val="center"/>
                    <w:rPr>
                      <w:rFonts w:hint="default" w:ascii="Times New Roman" w:hAnsi="Times New Roman" w:eastAsia="宋体" w:cs="Times New Roman"/>
                      <w:b/>
                      <w:sz w:val="21"/>
                      <w:szCs w:val="21"/>
                    </w:rPr>
                  </w:pPr>
                </w:p>
              </w:tc>
              <w:tc>
                <w:tcPr>
                  <w:tcW w:w="725" w:type="dxa"/>
                  <w:vMerge w:val="continue"/>
                  <w:noWrap w:val="0"/>
                  <w:vAlign w:val="center"/>
                </w:tcPr>
                <w:p w14:paraId="387B21A9">
                  <w:pPr>
                    <w:adjustRightInd w:val="0"/>
                    <w:spacing w:line="240" w:lineRule="auto"/>
                    <w:ind w:firstLine="0" w:firstLineChars="0"/>
                    <w:jc w:val="center"/>
                    <w:rPr>
                      <w:rFonts w:hint="default" w:ascii="Times New Roman" w:hAnsi="Times New Roman" w:eastAsia="宋体" w:cs="Times New Roman"/>
                      <w:b/>
                      <w:sz w:val="21"/>
                      <w:szCs w:val="21"/>
                    </w:rPr>
                  </w:pPr>
                </w:p>
              </w:tc>
              <w:tc>
                <w:tcPr>
                  <w:tcW w:w="651" w:type="dxa"/>
                  <w:vMerge w:val="continue"/>
                  <w:noWrap w:val="0"/>
                  <w:vAlign w:val="center"/>
                </w:tcPr>
                <w:p w14:paraId="27FF0E71">
                  <w:pPr>
                    <w:adjustRightInd w:val="0"/>
                    <w:spacing w:line="240" w:lineRule="auto"/>
                    <w:ind w:firstLine="0" w:firstLineChars="0"/>
                    <w:jc w:val="center"/>
                    <w:rPr>
                      <w:rFonts w:hint="default" w:ascii="Times New Roman" w:hAnsi="Times New Roman" w:eastAsia="宋体" w:cs="Times New Roman"/>
                      <w:b/>
                      <w:sz w:val="21"/>
                      <w:szCs w:val="21"/>
                    </w:rPr>
                  </w:pPr>
                </w:p>
              </w:tc>
              <w:tc>
                <w:tcPr>
                  <w:tcW w:w="981" w:type="dxa"/>
                  <w:vMerge w:val="continue"/>
                  <w:noWrap w:val="0"/>
                  <w:vAlign w:val="center"/>
                </w:tcPr>
                <w:p w14:paraId="19E6045B">
                  <w:pPr>
                    <w:adjustRightInd w:val="0"/>
                    <w:spacing w:line="240" w:lineRule="auto"/>
                    <w:ind w:firstLine="0" w:firstLineChars="0"/>
                    <w:jc w:val="center"/>
                    <w:rPr>
                      <w:rFonts w:hint="default" w:ascii="Times New Roman" w:hAnsi="Times New Roman" w:eastAsia="宋体" w:cs="Times New Roman"/>
                      <w:b/>
                      <w:sz w:val="21"/>
                      <w:szCs w:val="21"/>
                    </w:rPr>
                  </w:pPr>
                </w:p>
              </w:tc>
              <w:tc>
                <w:tcPr>
                  <w:tcW w:w="1056" w:type="dxa"/>
                  <w:noWrap w:val="0"/>
                  <w:vAlign w:val="center"/>
                </w:tcPr>
                <w:p w14:paraId="4F06A10D">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浓度 mg/m</w:t>
                  </w:r>
                  <w:r>
                    <w:rPr>
                      <w:rFonts w:hint="default" w:ascii="Times New Roman" w:hAnsi="Times New Roman" w:eastAsia="宋体" w:cs="Times New Roman"/>
                      <w:b/>
                      <w:sz w:val="21"/>
                      <w:szCs w:val="21"/>
                      <w:vertAlign w:val="superscript"/>
                    </w:rPr>
                    <w:t>3</w:t>
                  </w:r>
                </w:p>
              </w:tc>
              <w:tc>
                <w:tcPr>
                  <w:tcW w:w="912" w:type="dxa"/>
                  <w:noWrap w:val="0"/>
                  <w:vAlign w:val="center"/>
                </w:tcPr>
                <w:p w14:paraId="0EC8B4ED">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速率</w:t>
                  </w:r>
                  <w:r>
                    <w:rPr>
                      <w:rFonts w:hint="default" w:ascii="Times New Roman" w:hAnsi="Times New Roman" w:eastAsia="宋体" w:cs="Times New Roman"/>
                      <w:b/>
                      <w:sz w:val="21"/>
                      <w:szCs w:val="21"/>
                    </w:rPr>
                    <w:t>kg/h</w:t>
                  </w:r>
                </w:p>
              </w:tc>
              <w:tc>
                <w:tcPr>
                  <w:tcW w:w="932" w:type="dxa"/>
                  <w:noWrap w:val="0"/>
                  <w:vAlign w:val="center"/>
                </w:tcPr>
                <w:p w14:paraId="1F8858CE">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排放量</w:t>
                  </w:r>
                  <w:r>
                    <w:rPr>
                      <w:rFonts w:hint="default" w:ascii="Times New Roman" w:hAnsi="Times New Roman" w:eastAsia="宋体" w:cs="Times New Roman"/>
                      <w:b/>
                      <w:sz w:val="21"/>
                      <w:szCs w:val="21"/>
                    </w:rPr>
                    <w:t>t/a</w:t>
                  </w:r>
                </w:p>
              </w:tc>
              <w:tc>
                <w:tcPr>
                  <w:tcW w:w="745" w:type="dxa"/>
                  <w:vMerge w:val="continue"/>
                  <w:noWrap w:val="0"/>
                  <w:vAlign w:val="center"/>
                </w:tcPr>
                <w:p w14:paraId="1F8DB136">
                  <w:pPr>
                    <w:adjustRightInd w:val="0"/>
                    <w:spacing w:line="240" w:lineRule="auto"/>
                    <w:ind w:firstLine="0" w:firstLineChars="0"/>
                    <w:jc w:val="center"/>
                    <w:rPr>
                      <w:rFonts w:hint="default" w:ascii="Times New Roman" w:hAnsi="Times New Roman" w:eastAsia="宋体" w:cs="Times New Roman"/>
                      <w:b/>
                      <w:sz w:val="21"/>
                      <w:szCs w:val="21"/>
                    </w:rPr>
                  </w:pPr>
                </w:p>
              </w:tc>
            </w:tr>
            <w:tr w14:paraId="50B02443">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340" w:hRule="atLeast"/>
              </w:trPr>
              <w:tc>
                <w:tcPr>
                  <w:tcW w:w="552" w:type="dxa"/>
                  <w:noWrap w:val="0"/>
                  <w:vAlign w:val="center"/>
                </w:tcPr>
                <w:p w14:paraId="71F3B0B3">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eastAsia="zh-CN"/>
                    </w:rPr>
                    <w:t>加弹</w:t>
                  </w:r>
                </w:p>
              </w:tc>
              <w:tc>
                <w:tcPr>
                  <w:tcW w:w="937" w:type="dxa"/>
                  <w:noWrap w:val="0"/>
                  <w:vAlign w:val="center"/>
                </w:tcPr>
                <w:p w14:paraId="6136F5AA">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DA001</w:t>
                  </w:r>
                </w:p>
              </w:tc>
              <w:tc>
                <w:tcPr>
                  <w:tcW w:w="651" w:type="dxa"/>
                  <w:noWrap w:val="0"/>
                  <w:vAlign w:val="center"/>
                </w:tcPr>
                <w:p w14:paraId="1446D6E6">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非甲烷总烃</w:t>
                  </w:r>
                </w:p>
              </w:tc>
              <w:tc>
                <w:tcPr>
                  <w:tcW w:w="651" w:type="dxa"/>
                  <w:noWrap w:val="0"/>
                  <w:vAlign w:val="center"/>
                </w:tcPr>
                <w:p w14:paraId="38B0555C">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产污系数法</w:t>
                  </w:r>
                </w:p>
              </w:tc>
              <w:tc>
                <w:tcPr>
                  <w:tcW w:w="1024" w:type="dxa"/>
                  <w:noWrap w:val="0"/>
                  <w:vAlign w:val="center"/>
                </w:tcPr>
                <w:p w14:paraId="1E94DE17">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12000</w:t>
                  </w:r>
                </w:p>
              </w:tc>
              <w:tc>
                <w:tcPr>
                  <w:tcW w:w="1140" w:type="dxa"/>
                  <w:noWrap w:val="0"/>
                  <w:vAlign w:val="center"/>
                </w:tcPr>
                <w:p w14:paraId="3E3CA8B8">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27.211</w:t>
                  </w:r>
                </w:p>
              </w:tc>
              <w:tc>
                <w:tcPr>
                  <w:tcW w:w="816" w:type="dxa"/>
                  <w:noWrap w:val="0"/>
                  <w:vAlign w:val="center"/>
                </w:tcPr>
                <w:p w14:paraId="21331036">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0.327</w:t>
                  </w:r>
                </w:p>
              </w:tc>
              <w:tc>
                <w:tcPr>
                  <w:tcW w:w="931" w:type="dxa"/>
                  <w:noWrap w:val="0"/>
                  <w:vAlign w:val="center"/>
                </w:tcPr>
                <w:p w14:paraId="06325BB5">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2.351</w:t>
                  </w:r>
                </w:p>
              </w:tc>
              <w:tc>
                <w:tcPr>
                  <w:tcW w:w="868" w:type="dxa"/>
                  <w:noWrap w:val="0"/>
                  <w:vAlign w:val="center"/>
                </w:tcPr>
                <w:p w14:paraId="601E2817">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高压静电油烟净化器</w:t>
                  </w:r>
                </w:p>
              </w:tc>
              <w:tc>
                <w:tcPr>
                  <w:tcW w:w="725" w:type="dxa"/>
                  <w:noWrap w:val="0"/>
                  <w:vAlign w:val="center"/>
                </w:tcPr>
                <w:p w14:paraId="458F0C65">
                  <w:pPr>
                    <w:adjustRightInd w:val="0"/>
                    <w:spacing w:line="240" w:lineRule="auto"/>
                    <w:ind w:firstLine="0" w:firstLineChars="0"/>
                    <w:jc w:val="center"/>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eastAsia="zh-CN"/>
                    </w:rPr>
                    <w:t>90%</w:t>
                  </w:r>
                </w:p>
              </w:tc>
              <w:tc>
                <w:tcPr>
                  <w:tcW w:w="651" w:type="dxa"/>
                  <w:noWrap w:val="0"/>
                  <w:vAlign w:val="center"/>
                </w:tcPr>
                <w:p w14:paraId="6D7323DA">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产污系数法</w:t>
                  </w:r>
                </w:p>
                <w:p w14:paraId="0352FC71">
                  <w:pPr>
                    <w:adjustRightInd w:val="0"/>
                    <w:spacing w:line="240" w:lineRule="auto"/>
                    <w:ind w:firstLine="0" w:firstLineChars="0"/>
                    <w:jc w:val="center"/>
                    <w:rPr>
                      <w:rFonts w:hint="default" w:ascii="Times New Roman" w:hAnsi="Times New Roman" w:eastAsia="宋体" w:cs="Times New Roman"/>
                      <w:b w:val="0"/>
                      <w:bCs/>
                      <w:sz w:val="21"/>
                      <w:szCs w:val="21"/>
                    </w:rPr>
                  </w:pPr>
                </w:p>
              </w:tc>
              <w:tc>
                <w:tcPr>
                  <w:tcW w:w="981" w:type="dxa"/>
                  <w:noWrap w:val="0"/>
                  <w:vAlign w:val="center"/>
                </w:tcPr>
                <w:p w14:paraId="6E376663">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12</w:t>
                  </w:r>
                  <w:r>
                    <w:rPr>
                      <w:rFonts w:hint="default" w:ascii="Times New Roman" w:hAnsi="Times New Roman" w:eastAsia="宋体" w:cs="Times New Roman"/>
                      <w:b w:val="0"/>
                      <w:bCs/>
                      <w:sz w:val="21"/>
                      <w:szCs w:val="21"/>
                      <w:lang w:val="en-US" w:eastAsia="zh-CN"/>
                    </w:rPr>
                    <w:t>000</w:t>
                  </w:r>
                </w:p>
              </w:tc>
              <w:tc>
                <w:tcPr>
                  <w:tcW w:w="1056" w:type="dxa"/>
                  <w:noWrap w:val="0"/>
                  <w:vAlign w:val="center"/>
                </w:tcPr>
                <w:p w14:paraId="05BC97A5">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2.720</w:t>
                  </w:r>
                </w:p>
              </w:tc>
              <w:tc>
                <w:tcPr>
                  <w:tcW w:w="912" w:type="dxa"/>
                  <w:noWrap w:val="0"/>
                  <w:vAlign w:val="center"/>
                </w:tcPr>
                <w:p w14:paraId="19B56D05">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0.033</w:t>
                  </w:r>
                </w:p>
              </w:tc>
              <w:tc>
                <w:tcPr>
                  <w:tcW w:w="932" w:type="dxa"/>
                  <w:noWrap w:val="0"/>
                  <w:vAlign w:val="center"/>
                </w:tcPr>
                <w:p w14:paraId="7EEE1C3C">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0.235</w:t>
                  </w:r>
                </w:p>
              </w:tc>
              <w:tc>
                <w:tcPr>
                  <w:tcW w:w="745" w:type="dxa"/>
                  <w:noWrap w:val="0"/>
                  <w:vAlign w:val="center"/>
                </w:tcPr>
                <w:p w14:paraId="56AE688C">
                  <w:pPr>
                    <w:adjustRightInd w:val="0"/>
                    <w:spacing w:line="240" w:lineRule="auto"/>
                    <w:ind w:firstLine="0" w:firstLineChars="0"/>
                    <w:jc w:val="center"/>
                    <w:rPr>
                      <w:rFonts w:hint="default" w:ascii="Times New Roman" w:hAnsi="Times New Roman" w:eastAsia="宋体" w:cs="Times New Roman"/>
                      <w:b/>
                      <w:sz w:val="21"/>
                      <w:szCs w:val="21"/>
                      <w:lang w:val="en-US" w:eastAsia="zh-CN"/>
                    </w:rPr>
                  </w:pPr>
                  <w:r>
                    <w:rPr>
                      <w:rFonts w:hint="eastAsia" w:cs="Times New Roman"/>
                      <w:b w:val="0"/>
                      <w:bCs/>
                      <w:sz w:val="21"/>
                      <w:szCs w:val="21"/>
                      <w:lang w:val="en-US" w:eastAsia="zh-CN"/>
                    </w:rPr>
                    <w:t>72</w:t>
                  </w:r>
                  <w:r>
                    <w:rPr>
                      <w:rFonts w:hint="default" w:ascii="Times New Roman" w:hAnsi="Times New Roman" w:eastAsia="宋体" w:cs="Times New Roman"/>
                      <w:b w:val="0"/>
                      <w:bCs/>
                      <w:sz w:val="21"/>
                      <w:szCs w:val="21"/>
                      <w:lang w:val="en-US" w:eastAsia="zh-CN"/>
                    </w:rPr>
                    <w:t>00</w:t>
                  </w:r>
                </w:p>
              </w:tc>
            </w:tr>
          </w:tbl>
          <w:p w14:paraId="0A96A48D">
            <w:pPr>
              <w:adjustRightInd w:val="0"/>
              <w:snapToGrid w:val="0"/>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表4-</w:t>
            </w:r>
            <w:r>
              <w:rPr>
                <w:rFonts w:hint="eastAsia" w:cs="Times New Roman"/>
                <w:b/>
                <w:bCs/>
                <w:color w:val="000000"/>
                <w:szCs w:val="21"/>
                <w:lang w:val="en-US" w:eastAsia="zh-CN"/>
              </w:rPr>
              <w:t>4</w:t>
            </w:r>
            <w:r>
              <w:rPr>
                <w:rFonts w:hint="default" w:ascii="Times New Roman" w:hAnsi="Times New Roman" w:cs="Times New Roman"/>
                <w:b/>
                <w:bCs/>
                <w:color w:val="000000"/>
                <w:szCs w:val="21"/>
              </w:rPr>
              <w:t xml:space="preserve"> 项目无组织废气污染源源强核算结果及相关参数一览表</w:t>
            </w:r>
          </w:p>
          <w:tbl>
            <w:tblPr>
              <w:tblStyle w:val="38"/>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020"/>
              <w:gridCol w:w="1578"/>
              <w:gridCol w:w="1295"/>
              <w:gridCol w:w="1857"/>
              <w:gridCol w:w="1833"/>
              <w:gridCol w:w="1257"/>
              <w:gridCol w:w="1233"/>
              <w:gridCol w:w="1214"/>
              <w:gridCol w:w="1280"/>
            </w:tblGrid>
            <w:tr w14:paraId="0B895A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trPr>
              <w:tc>
                <w:tcPr>
                  <w:tcW w:w="744" w:type="pct"/>
                  <w:vMerge w:val="restart"/>
                  <w:noWrap w:val="0"/>
                  <w:vAlign w:val="center"/>
                </w:tcPr>
                <w:p w14:paraId="088E6CFB">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污染源位置</w:t>
                  </w:r>
                </w:p>
              </w:tc>
              <w:tc>
                <w:tcPr>
                  <w:tcW w:w="581" w:type="pct"/>
                  <w:vMerge w:val="restart"/>
                  <w:noWrap w:val="0"/>
                  <w:vAlign w:val="center"/>
                </w:tcPr>
                <w:p w14:paraId="0D14DD97">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污染物名称</w:t>
                  </w:r>
                </w:p>
              </w:tc>
              <w:tc>
                <w:tcPr>
                  <w:tcW w:w="477" w:type="pct"/>
                  <w:vMerge w:val="restart"/>
                  <w:noWrap w:val="0"/>
                  <w:vAlign w:val="center"/>
                </w:tcPr>
                <w:p w14:paraId="47B68B23">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核算方法</w:t>
                  </w:r>
                </w:p>
              </w:tc>
              <w:tc>
                <w:tcPr>
                  <w:tcW w:w="1359" w:type="pct"/>
                  <w:gridSpan w:val="2"/>
                  <w:noWrap w:val="0"/>
                  <w:vAlign w:val="center"/>
                </w:tcPr>
                <w:p w14:paraId="66D04BAC">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排放源强</w:t>
                  </w:r>
                </w:p>
              </w:tc>
              <w:tc>
                <w:tcPr>
                  <w:tcW w:w="463" w:type="pct"/>
                  <w:vMerge w:val="restart"/>
                  <w:noWrap w:val="0"/>
                  <w:vAlign w:val="center"/>
                </w:tcPr>
                <w:p w14:paraId="72888D4C">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面源长度</w:t>
                  </w:r>
                  <w:r>
                    <w:rPr>
                      <w:rFonts w:hint="eastAsia" w:cs="Times New Roman"/>
                      <w:b/>
                      <w:sz w:val="21"/>
                      <w:szCs w:val="21"/>
                      <w:lang w:eastAsia="zh-CN"/>
                    </w:rPr>
                    <w:t>（</w:t>
                  </w:r>
                  <w:r>
                    <w:rPr>
                      <w:rFonts w:hint="default" w:ascii="Times New Roman" w:hAnsi="Times New Roman" w:eastAsia="宋体" w:cs="Times New Roman"/>
                      <w:b/>
                      <w:sz w:val="21"/>
                      <w:szCs w:val="21"/>
                    </w:rPr>
                    <w:t>m</w:t>
                  </w:r>
                  <w:r>
                    <w:rPr>
                      <w:rFonts w:hint="eastAsia" w:cs="Times New Roman"/>
                      <w:b/>
                      <w:sz w:val="21"/>
                      <w:szCs w:val="21"/>
                      <w:lang w:eastAsia="zh-CN"/>
                    </w:rPr>
                    <w:t>）</w:t>
                  </w:r>
                </w:p>
              </w:tc>
              <w:tc>
                <w:tcPr>
                  <w:tcW w:w="454" w:type="pct"/>
                  <w:vMerge w:val="restart"/>
                  <w:noWrap w:val="0"/>
                  <w:vAlign w:val="center"/>
                </w:tcPr>
                <w:p w14:paraId="5DD018C5">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面源宽度</w:t>
                  </w:r>
                  <w:r>
                    <w:rPr>
                      <w:rFonts w:hint="eastAsia" w:cs="Times New Roman"/>
                      <w:b/>
                      <w:sz w:val="21"/>
                      <w:szCs w:val="21"/>
                      <w:lang w:eastAsia="zh-CN"/>
                    </w:rPr>
                    <w:t>（</w:t>
                  </w:r>
                  <w:r>
                    <w:rPr>
                      <w:rFonts w:hint="default" w:ascii="Times New Roman" w:hAnsi="Times New Roman" w:eastAsia="宋体" w:cs="Times New Roman"/>
                      <w:b/>
                      <w:sz w:val="21"/>
                      <w:szCs w:val="21"/>
                    </w:rPr>
                    <w:t>m</w:t>
                  </w:r>
                  <w:r>
                    <w:rPr>
                      <w:rFonts w:hint="eastAsia" w:cs="Times New Roman"/>
                      <w:b/>
                      <w:sz w:val="21"/>
                      <w:szCs w:val="21"/>
                      <w:lang w:eastAsia="zh-CN"/>
                    </w:rPr>
                    <w:t>）</w:t>
                  </w:r>
                </w:p>
              </w:tc>
              <w:tc>
                <w:tcPr>
                  <w:tcW w:w="447" w:type="pct"/>
                  <w:vMerge w:val="restart"/>
                  <w:noWrap w:val="0"/>
                  <w:vAlign w:val="center"/>
                </w:tcPr>
                <w:p w14:paraId="654237A8">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面源高度</w:t>
                  </w:r>
                  <w:r>
                    <w:rPr>
                      <w:rFonts w:hint="eastAsia" w:cs="Times New Roman"/>
                      <w:b/>
                      <w:sz w:val="21"/>
                      <w:szCs w:val="21"/>
                      <w:lang w:eastAsia="zh-CN"/>
                    </w:rPr>
                    <w:t>（</w:t>
                  </w:r>
                  <w:r>
                    <w:rPr>
                      <w:rFonts w:hint="default" w:ascii="Times New Roman" w:hAnsi="Times New Roman" w:eastAsia="宋体" w:cs="Times New Roman"/>
                      <w:b/>
                      <w:sz w:val="21"/>
                      <w:szCs w:val="21"/>
                    </w:rPr>
                    <w:t>m</w:t>
                  </w:r>
                  <w:r>
                    <w:rPr>
                      <w:rFonts w:hint="eastAsia" w:cs="Times New Roman"/>
                      <w:b/>
                      <w:sz w:val="21"/>
                      <w:szCs w:val="21"/>
                      <w:lang w:eastAsia="zh-CN"/>
                    </w:rPr>
                    <w:t>）</w:t>
                  </w:r>
                </w:p>
              </w:tc>
              <w:tc>
                <w:tcPr>
                  <w:tcW w:w="471" w:type="pct"/>
                  <w:vMerge w:val="restart"/>
                  <w:noWrap w:val="0"/>
                  <w:vAlign w:val="center"/>
                </w:tcPr>
                <w:p w14:paraId="41239FB5">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排放时间</w:t>
                  </w:r>
                  <w:r>
                    <w:rPr>
                      <w:rFonts w:hint="eastAsia" w:cs="Times New Roman"/>
                      <w:b/>
                      <w:sz w:val="21"/>
                      <w:szCs w:val="21"/>
                      <w:lang w:eastAsia="zh-CN"/>
                    </w:rPr>
                    <w:t>（</w:t>
                  </w:r>
                  <w:r>
                    <w:rPr>
                      <w:rFonts w:hint="default" w:ascii="Times New Roman" w:hAnsi="Times New Roman" w:eastAsia="宋体" w:cs="Times New Roman"/>
                      <w:b/>
                      <w:sz w:val="21"/>
                      <w:szCs w:val="21"/>
                    </w:rPr>
                    <w:t>h</w:t>
                  </w:r>
                  <w:r>
                    <w:rPr>
                      <w:rFonts w:hint="eastAsia" w:cs="Times New Roman"/>
                      <w:b/>
                      <w:sz w:val="21"/>
                      <w:szCs w:val="21"/>
                      <w:lang w:eastAsia="zh-CN"/>
                    </w:rPr>
                    <w:t>）</w:t>
                  </w:r>
                </w:p>
              </w:tc>
            </w:tr>
            <w:tr w14:paraId="52D89C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4" w:type="pct"/>
                  <w:vMerge w:val="continue"/>
                  <w:noWrap w:val="0"/>
                  <w:vAlign w:val="center"/>
                </w:tcPr>
                <w:p w14:paraId="6444CBB6">
                  <w:pPr>
                    <w:adjustRightInd w:val="0"/>
                    <w:spacing w:line="240" w:lineRule="auto"/>
                    <w:ind w:firstLine="0" w:firstLineChars="0"/>
                    <w:jc w:val="center"/>
                    <w:rPr>
                      <w:rFonts w:hint="default" w:ascii="Times New Roman" w:hAnsi="Times New Roman" w:eastAsia="宋体" w:cs="Times New Roman"/>
                      <w:b/>
                      <w:sz w:val="21"/>
                      <w:szCs w:val="21"/>
                    </w:rPr>
                  </w:pPr>
                </w:p>
              </w:tc>
              <w:tc>
                <w:tcPr>
                  <w:tcW w:w="581" w:type="pct"/>
                  <w:vMerge w:val="continue"/>
                  <w:noWrap w:val="0"/>
                  <w:vAlign w:val="center"/>
                </w:tcPr>
                <w:p w14:paraId="10912353">
                  <w:pPr>
                    <w:adjustRightInd w:val="0"/>
                    <w:spacing w:line="240" w:lineRule="auto"/>
                    <w:ind w:firstLine="0" w:firstLineChars="0"/>
                    <w:jc w:val="center"/>
                    <w:rPr>
                      <w:rFonts w:hint="default" w:ascii="Times New Roman" w:hAnsi="Times New Roman" w:eastAsia="宋体" w:cs="Times New Roman"/>
                      <w:b/>
                      <w:sz w:val="21"/>
                      <w:szCs w:val="21"/>
                    </w:rPr>
                  </w:pPr>
                </w:p>
              </w:tc>
              <w:tc>
                <w:tcPr>
                  <w:tcW w:w="477" w:type="pct"/>
                  <w:vMerge w:val="continue"/>
                  <w:noWrap w:val="0"/>
                  <w:vAlign w:val="center"/>
                </w:tcPr>
                <w:p w14:paraId="18E33AEF">
                  <w:pPr>
                    <w:adjustRightInd w:val="0"/>
                    <w:spacing w:line="240" w:lineRule="auto"/>
                    <w:ind w:firstLine="0" w:firstLineChars="0"/>
                    <w:jc w:val="center"/>
                    <w:rPr>
                      <w:rFonts w:hint="default" w:ascii="Times New Roman" w:hAnsi="Times New Roman" w:eastAsia="宋体" w:cs="Times New Roman"/>
                      <w:b/>
                      <w:sz w:val="21"/>
                      <w:szCs w:val="21"/>
                    </w:rPr>
                  </w:pPr>
                </w:p>
              </w:tc>
              <w:tc>
                <w:tcPr>
                  <w:tcW w:w="684" w:type="pct"/>
                  <w:noWrap w:val="0"/>
                  <w:vAlign w:val="center"/>
                </w:tcPr>
                <w:p w14:paraId="12FE532F">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速率</w:t>
                  </w:r>
                  <w:r>
                    <w:rPr>
                      <w:rFonts w:hint="eastAsia" w:cs="Times New Roman"/>
                      <w:b/>
                      <w:sz w:val="21"/>
                      <w:szCs w:val="21"/>
                      <w:lang w:val="en-US" w:eastAsia="zh-CN"/>
                    </w:rPr>
                    <w:t>（</w:t>
                  </w:r>
                  <w:r>
                    <w:rPr>
                      <w:rFonts w:hint="default" w:ascii="Times New Roman" w:hAnsi="Times New Roman" w:eastAsia="宋体" w:cs="Times New Roman"/>
                      <w:b/>
                      <w:sz w:val="21"/>
                      <w:szCs w:val="21"/>
                    </w:rPr>
                    <w:t>kg/h</w:t>
                  </w:r>
                  <w:r>
                    <w:rPr>
                      <w:rFonts w:hint="eastAsia" w:cs="Times New Roman"/>
                      <w:b/>
                      <w:sz w:val="21"/>
                      <w:szCs w:val="21"/>
                      <w:lang w:eastAsia="zh-CN"/>
                    </w:rPr>
                    <w:t>）</w:t>
                  </w:r>
                </w:p>
              </w:tc>
              <w:tc>
                <w:tcPr>
                  <w:tcW w:w="675" w:type="pct"/>
                  <w:noWrap w:val="0"/>
                  <w:vAlign w:val="center"/>
                </w:tcPr>
                <w:p w14:paraId="0ABBB861">
                  <w:pPr>
                    <w:adjustRightInd w:val="0"/>
                    <w:spacing w:line="240" w:lineRule="auto"/>
                    <w:ind w:firstLine="0" w:firstLineChars="0"/>
                    <w:jc w:val="center"/>
                    <w:rPr>
                      <w:rFonts w:hint="default" w:ascii="Times New Roman" w:hAnsi="Times New Roman" w:eastAsia="宋体" w:cs="Times New Roman"/>
                      <w:b/>
                      <w:sz w:val="21"/>
                      <w:szCs w:val="21"/>
                    </w:rPr>
                  </w:pPr>
                  <w:r>
                    <w:rPr>
                      <w:rFonts w:hint="eastAsia" w:ascii="Times New Roman" w:hAnsi="Times New Roman" w:eastAsia="宋体" w:cs="Times New Roman"/>
                      <w:b/>
                      <w:sz w:val="21"/>
                      <w:szCs w:val="21"/>
                      <w:lang w:val="en-US" w:eastAsia="zh-CN"/>
                    </w:rPr>
                    <w:t>排放量</w:t>
                  </w:r>
                  <w:r>
                    <w:rPr>
                      <w:rFonts w:hint="eastAsia" w:cs="Times New Roman"/>
                      <w:b/>
                      <w:sz w:val="21"/>
                      <w:szCs w:val="21"/>
                      <w:lang w:val="en-US" w:eastAsia="zh-CN"/>
                    </w:rPr>
                    <w:t>（</w:t>
                  </w:r>
                  <w:r>
                    <w:rPr>
                      <w:rFonts w:hint="default" w:ascii="Times New Roman" w:hAnsi="Times New Roman" w:eastAsia="宋体" w:cs="Times New Roman"/>
                      <w:b/>
                      <w:sz w:val="21"/>
                      <w:szCs w:val="21"/>
                    </w:rPr>
                    <w:t>t/a</w:t>
                  </w:r>
                  <w:r>
                    <w:rPr>
                      <w:rFonts w:hint="eastAsia" w:cs="Times New Roman"/>
                      <w:b/>
                      <w:sz w:val="21"/>
                      <w:szCs w:val="21"/>
                      <w:lang w:eastAsia="zh-CN"/>
                    </w:rPr>
                    <w:t>）</w:t>
                  </w:r>
                </w:p>
              </w:tc>
              <w:tc>
                <w:tcPr>
                  <w:tcW w:w="463" w:type="pct"/>
                  <w:vMerge w:val="continue"/>
                  <w:noWrap w:val="0"/>
                  <w:vAlign w:val="center"/>
                </w:tcPr>
                <w:p w14:paraId="16CB6FA1">
                  <w:pPr>
                    <w:adjustRightInd w:val="0"/>
                    <w:spacing w:line="240" w:lineRule="auto"/>
                    <w:ind w:firstLine="0" w:firstLineChars="0"/>
                    <w:jc w:val="center"/>
                    <w:rPr>
                      <w:rFonts w:hint="default" w:ascii="Times New Roman" w:hAnsi="Times New Roman" w:eastAsia="宋体" w:cs="Times New Roman"/>
                      <w:b/>
                      <w:sz w:val="21"/>
                      <w:szCs w:val="21"/>
                    </w:rPr>
                  </w:pPr>
                </w:p>
              </w:tc>
              <w:tc>
                <w:tcPr>
                  <w:tcW w:w="454" w:type="pct"/>
                  <w:vMerge w:val="continue"/>
                  <w:noWrap w:val="0"/>
                  <w:vAlign w:val="center"/>
                </w:tcPr>
                <w:p w14:paraId="0EF2902F">
                  <w:pPr>
                    <w:adjustRightInd w:val="0"/>
                    <w:spacing w:line="240" w:lineRule="auto"/>
                    <w:ind w:firstLine="0" w:firstLineChars="0"/>
                    <w:jc w:val="center"/>
                    <w:rPr>
                      <w:rFonts w:hint="default" w:ascii="Times New Roman" w:hAnsi="Times New Roman" w:eastAsia="宋体" w:cs="Times New Roman"/>
                      <w:b/>
                      <w:sz w:val="21"/>
                      <w:szCs w:val="21"/>
                    </w:rPr>
                  </w:pPr>
                </w:p>
              </w:tc>
              <w:tc>
                <w:tcPr>
                  <w:tcW w:w="447" w:type="pct"/>
                  <w:vMerge w:val="continue"/>
                  <w:noWrap w:val="0"/>
                  <w:vAlign w:val="center"/>
                </w:tcPr>
                <w:p w14:paraId="7974406C">
                  <w:pPr>
                    <w:adjustRightInd w:val="0"/>
                    <w:spacing w:line="240" w:lineRule="auto"/>
                    <w:ind w:firstLine="0" w:firstLineChars="0"/>
                    <w:jc w:val="center"/>
                    <w:rPr>
                      <w:rFonts w:hint="default" w:ascii="Times New Roman" w:hAnsi="Times New Roman" w:eastAsia="宋体" w:cs="Times New Roman"/>
                      <w:b/>
                      <w:sz w:val="21"/>
                      <w:szCs w:val="21"/>
                    </w:rPr>
                  </w:pPr>
                </w:p>
              </w:tc>
              <w:tc>
                <w:tcPr>
                  <w:tcW w:w="471" w:type="pct"/>
                  <w:vMerge w:val="continue"/>
                  <w:noWrap w:val="0"/>
                  <w:vAlign w:val="center"/>
                </w:tcPr>
                <w:p w14:paraId="10E53F0A">
                  <w:pPr>
                    <w:adjustRightInd w:val="0"/>
                    <w:spacing w:line="240" w:lineRule="auto"/>
                    <w:ind w:firstLine="0" w:firstLineChars="0"/>
                    <w:jc w:val="center"/>
                    <w:rPr>
                      <w:rFonts w:hint="default" w:ascii="Times New Roman" w:hAnsi="Times New Roman" w:eastAsia="宋体" w:cs="Times New Roman"/>
                      <w:b/>
                      <w:sz w:val="21"/>
                      <w:szCs w:val="21"/>
                    </w:rPr>
                  </w:pPr>
                </w:p>
              </w:tc>
            </w:tr>
            <w:tr w14:paraId="73E42C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4" w:type="pct"/>
                  <w:noWrap w:val="0"/>
                  <w:vAlign w:val="center"/>
                </w:tcPr>
                <w:p w14:paraId="0D0FB664">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生产车间</w:t>
                  </w:r>
                </w:p>
              </w:tc>
              <w:tc>
                <w:tcPr>
                  <w:tcW w:w="581" w:type="pct"/>
                  <w:noWrap w:val="0"/>
                  <w:vAlign w:val="center"/>
                </w:tcPr>
                <w:p w14:paraId="2E9F4C00">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非甲烷总烃</w:t>
                  </w:r>
                </w:p>
              </w:tc>
              <w:tc>
                <w:tcPr>
                  <w:tcW w:w="477" w:type="pct"/>
                  <w:noWrap w:val="0"/>
                  <w:vAlign w:val="center"/>
                </w:tcPr>
                <w:p w14:paraId="477B8420">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产污系数法</w:t>
                  </w:r>
                </w:p>
              </w:tc>
              <w:tc>
                <w:tcPr>
                  <w:tcW w:w="1857" w:type="dxa"/>
                  <w:noWrap w:val="0"/>
                  <w:vAlign w:val="center"/>
                </w:tcPr>
                <w:p w14:paraId="4AE95358">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0.017</w:t>
                  </w:r>
                </w:p>
              </w:tc>
              <w:tc>
                <w:tcPr>
                  <w:tcW w:w="1833" w:type="dxa"/>
                  <w:noWrap w:val="0"/>
                  <w:vAlign w:val="center"/>
                </w:tcPr>
                <w:p w14:paraId="69309DF4">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0.124</w:t>
                  </w:r>
                </w:p>
              </w:tc>
              <w:tc>
                <w:tcPr>
                  <w:tcW w:w="463" w:type="pct"/>
                  <w:noWrap w:val="0"/>
                  <w:vAlign w:val="center"/>
                </w:tcPr>
                <w:p w14:paraId="0F503B94">
                  <w:pPr>
                    <w:widowControl/>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158</w:t>
                  </w:r>
                </w:p>
              </w:tc>
              <w:tc>
                <w:tcPr>
                  <w:tcW w:w="454" w:type="pct"/>
                  <w:noWrap w:val="0"/>
                  <w:vAlign w:val="center"/>
                </w:tcPr>
                <w:p w14:paraId="02046869">
                  <w:pPr>
                    <w:widowControl/>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48</w:t>
                  </w:r>
                </w:p>
              </w:tc>
              <w:tc>
                <w:tcPr>
                  <w:tcW w:w="447" w:type="pct"/>
                  <w:noWrap w:val="0"/>
                  <w:vAlign w:val="center"/>
                </w:tcPr>
                <w:p w14:paraId="23114560">
                  <w:pPr>
                    <w:widowControl/>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bidi="ar"/>
                    </w:rPr>
                    <w:t>10</w:t>
                  </w:r>
                </w:p>
              </w:tc>
              <w:tc>
                <w:tcPr>
                  <w:tcW w:w="471" w:type="pct"/>
                  <w:noWrap w:val="0"/>
                  <w:vAlign w:val="center"/>
                </w:tcPr>
                <w:p w14:paraId="54F0C1A1">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72</w:t>
                  </w:r>
                  <w:r>
                    <w:rPr>
                      <w:rFonts w:hint="default" w:ascii="Times New Roman" w:hAnsi="Times New Roman" w:eastAsia="宋体" w:cs="Times New Roman"/>
                      <w:b w:val="0"/>
                      <w:bCs/>
                      <w:sz w:val="21"/>
                      <w:szCs w:val="21"/>
                      <w:lang w:val="en-US" w:eastAsia="zh-CN"/>
                    </w:rPr>
                    <w:t>00</w:t>
                  </w:r>
                </w:p>
              </w:tc>
            </w:tr>
          </w:tbl>
          <w:p w14:paraId="61C4C991">
            <w:pPr>
              <w:adjustRightInd w:val="0"/>
              <w:snapToGrid w:val="0"/>
              <w:spacing w:before="120" w:beforeLines="50"/>
              <w:jc w:val="center"/>
              <w:rPr>
                <w:rFonts w:hint="default" w:ascii="Times New Roman" w:hAnsi="Times New Roman" w:cs="Times New Roman"/>
                <w:b/>
                <w:bCs/>
                <w:color w:val="000000"/>
                <w:szCs w:val="21"/>
              </w:rPr>
            </w:pPr>
          </w:p>
          <w:p w14:paraId="334EDD6B">
            <w:pPr>
              <w:adjustRightInd w:val="0"/>
              <w:snapToGrid w:val="0"/>
              <w:spacing w:before="120" w:beforeLines="50"/>
              <w:jc w:val="center"/>
              <w:rPr>
                <w:rFonts w:hint="default" w:ascii="Times New Roman" w:hAnsi="Times New Roman" w:cs="Times New Roman"/>
                <w:b/>
                <w:bCs/>
                <w:color w:val="000000"/>
                <w:szCs w:val="21"/>
              </w:rPr>
            </w:pPr>
          </w:p>
          <w:p w14:paraId="7A08E487">
            <w:pPr>
              <w:adjustRightInd w:val="0"/>
              <w:snapToGrid w:val="0"/>
              <w:spacing w:before="120" w:beforeLines="50"/>
              <w:jc w:val="center"/>
              <w:rPr>
                <w:rFonts w:hint="default" w:ascii="Times New Roman" w:hAnsi="Times New Roman" w:cs="Times New Roman"/>
                <w:b/>
                <w:bCs/>
                <w:color w:val="000000"/>
                <w:szCs w:val="21"/>
              </w:rPr>
            </w:pPr>
          </w:p>
          <w:p w14:paraId="32261386">
            <w:pPr>
              <w:adjustRightInd w:val="0"/>
              <w:snapToGrid w:val="0"/>
              <w:spacing w:before="120" w:beforeLines="50"/>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表4-</w:t>
            </w:r>
            <w:r>
              <w:rPr>
                <w:rFonts w:hint="eastAsia" w:cs="Times New Roman"/>
                <w:b/>
                <w:bCs/>
                <w:color w:val="000000"/>
                <w:szCs w:val="21"/>
                <w:lang w:val="en-US" w:eastAsia="zh-CN"/>
              </w:rPr>
              <w:t>5</w:t>
            </w:r>
            <w:r>
              <w:rPr>
                <w:rFonts w:hint="default" w:ascii="Times New Roman" w:hAnsi="Times New Roman" w:cs="Times New Roman"/>
                <w:b/>
                <w:bCs/>
                <w:color w:val="000000"/>
                <w:szCs w:val="21"/>
              </w:rPr>
              <w:tab/>
            </w:r>
            <w:r>
              <w:rPr>
                <w:rFonts w:hint="default" w:ascii="Times New Roman" w:hAnsi="Times New Roman" w:cs="Times New Roman"/>
                <w:b/>
                <w:bCs/>
                <w:color w:val="000000"/>
                <w:szCs w:val="21"/>
              </w:rPr>
              <w:t xml:space="preserve"> 项目废气收集、治理措施及排放情况汇总表</w:t>
            </w:r>
          </w:p>
          <w:tbl>
            <w:tblPr>
              <w:tblStyle w:val="38"/>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819"/>
              <w:gridCol w:w="1394"/>
              <w:gridCol w:w="981"/>
              <w:gridCol w:w="1065"/>
              <w:gridCol w:w="1100"/>
              <w:gridCol w:w="2510"/>
              <w:gridCol w:w="1301"/>
              <w:gridCol w:w="2209"/>
              <w:gridCol w:w="1193"/>
            </w:tblGrid>
            <w:tr w14:paraId="226BCD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65" w:hRule="atLeast"/>
              </w:trPr>
              <w:tc>
                <w:tcPr>
                  <w:tcW w:w="670" w:type="pct"/>
                  <w:noWrap w:val="0"/>
                  <w:vAlign w:val="center"/>
                </w:tcPr>
                <w:p w14:paraId="0FB422B8">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产污环节</w:t>
                  </w:r>
                </w:p>
              </w:tc>
              <w:tc>
                <w:tcPr>
                  <w:tcW w:w="513" w:type="pct"/>
                  <w:noWrap w:val="0"/>
                  <w:vAlign w:val="center"/>
                </w:tcPr>
                <w:p w14:paraId="3E4A15AA">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污染物种类</w:t>
                  </w:r>
                </w:p>
              </w:tc>
              <w:tc>
                <w:tcPr>
                  <w:tcW w:w="361" w:type="pct"/>
                  <w:noWrap w:val="0"/>
                  <w:vAlign w:val="center"/>
                </w:tcPr>
                <w:p w14:paraId="20A637E6">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收集方式</w:t>
                  </w:r>
                </w:p>
              </w:tc>
              <w:tc>
                <w:tcPr>
                  <w:tcW w:w="392" w:type="pct"/>
                  <w:noWrap w:val="0"/>
                  <w:vAlign w:val="center"/>
                </w:tcPr>
                <w:p w14:paraId="5303FB05">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收集效率</w:t>
                  </w:r>
                </w:p>
              </w:tc>
              <w:tc>
                <w:tcPr>
                  <w:tcW w:w="405" w:type="pct"/>
                  <w:noWrap w:val="0"/>
                  <w:vAlign w:val="center"/>
                </w:tcPr>
                <w:p w14:paraId="6A00F302">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设计风量</w:t>
                  </w:r>
                </w:p>
                <w:p w14:paraId="390DBD62">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(m</w:t>
                  </w:r>
                  <w:r>
                    <w:rPr>
                      <w:rFonts w:hint="default" w:ascii="Times New Roman" w:hAnsi="Times New Roman" w:eastAsia="宋体" w:cs="Times New Roman"/>
                      <w:b/>
                      <w:sz w:val="21"/>
                      <w:szCs w:val="21"/>
                      <w:vertAlign w:val="superscript"/>
                    </w:rPr>
                    <w:t>3</w:t>
                  </w:r>
                  <w:r>
                    <w:rPr>
                      <w:rFonts w:hint="default" w:ascii="Times New Roman" w:hAnsi="Times New Roman" w:eastAsia="宋体" w:cs="Times New Roman"/>
                      <w:b/>
                      <w:sz w:val="21"/>
                      <w:szCs w:val="21"/>
                    </w:rPr>
                    <w:t>/h)</w:t>
                  </w:r>
                </w:p>
              </w:tc>
              <w:tc>
                <w:tcPr>
                  <w:tcW w:w="924" w:type="pct"/>
                  <w:noWrap w:val="0"/>
                  <w:vAlign w:val="center"/>
                </w:tcPr>
                <w:p w14:paraId="3B49EECA">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治理工艺</w:t>
                  </w:r>
                </w:p>
              </w:tc>
              <w:tc>
                <w:tcPr>
                  <w:tcW w:w="479" w:type="pct"/>
                  <w:noWrap w:val="0"/>
                  <w:vAlign w:val="center"/>
                </w:tcPr>
                <w:p w14:paraId="10E340E4">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去除效率</w:t>
                  </w:r>
                </w:p>
              </w:tc>
              <w:tc>
                <w:tcPr>
                  <w:tcW w:w="813" w:type="pct"/>
                  <w:noWrap w:val="0"/>
                  <w:vAlign w:val="center"/>
                </w:tcPr>
                <w:p w14:paraId="294A932A">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是否为可行技术</w:t>
                  </w:r>
                  <w:r>
                    <w:rPr>
                      <w:rFonts w:hint="default" w:ascii="Times New Roman" w:hAnsi="Times New Roman" w:eastAsia="宋体" w:cs="Times New Roman"/>
                      <w:b/>
                      <w:sz w:val="21"/>
                      <w:szCs w:val="21"/>
                      <w:vertAlign w:val="superscript"/>
                    </w:rPr>
                    <w:t>*</w:t>
                  </w:r>
                </w:p>
              </w:tc>
              <w:tc>
                <w:tcPr>
                  <w:tcW w:w="439" w:type="pct"/>
                  <w:noWrap w:val="0"/>
                  <w:vAlign w:val="center"/>
                </w:tcPr>
                <w:p w14:paraId="669FEA01">
                  <w:pPr>
                    <w:adjustRightInd w:val="0"/>
                    <w:spacing w:line="240" w:lineRule="auto"/>
                    <w:ind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排放形式</w:t>
                  </w:r>
                </w:p>
              </w:tc>
            </w:tr>
            <w:tr w14:paraId="7B7B46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670" w:type="pct"/>
                  <w:noWrap w:val="0"/>
                  <w:vAlign w:val="center"/>
                </w:tcPr>
                <w:p w14:paraId="47A8303C">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加弹</w:t>
                  </w:r>
                </w:p>
              </w:tc>
              <w:tc>
                <w:tcPr>
                  <w:tcW w:w="513" w:type="pct"/>
                  <w:noWrap w:val="0"/>
                  <w:vAlign w:val="center"/>
                </w:tcPr>
                <w:p w14:paraId="1F57DADD">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非甲烷总烃</w:t>
                  </w:r>
                </w:p>
              </w:tc>
              <w:tc>
                <w:tcPr>
                  <w:tcW w:w="361" w:type="pct"/>
                  <w:noWrap w:val="0"/>
                  <w:vAlign w:val="center"/>
                </w:tcPr>
                <w:p w14:paraId="790C2EFB">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cs="Times New Roman"/>
                      <w:b w:val="0"/>
                      <w:bCs/>
                      <w:sz w:val="21"/>
                      <w:szCs w:val="21"/>
                      <w:lang w:val="en-US" w:eastAsia="zh-CN"/>
                    </w:rPr>
                    <w:t>管道收集</w:t>
                  </w:r>
                </w:p>
              </w:tc>
              <w:tc>
                <w:tcPr>
                  <w:tcW w:w="392" w:type="pct"/>
                  <w:noWrap w:val="0"/>
                  <w:vAlign w:val="center"/>
                </w:tcPr>
                <w:p w14:paraId="58473BAC">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9</w:t>
                  </w:r>
                  <w:r>
                    <w:rPr>
                      <w:rFonts w:hint="eastAsia" w:ascii="Times New Roman" w:hAnsi="Times New Roman" w:eastAsia="宋体" w:cs="Times New Roman"/>
                      <w:b w:val="0"/>
                      <w:bCs/>
                      <w:sz w:val="21"/>
                      <w:szCs w:val="21"/>
                      <w:lang w:val="en-US" w:eastAsia="zh-CN"/>
                    </w:rPr>
                    <w:t>5</w:t>
                  </w:r>
                  <w:r>
                    <w:rPr>
                      <w:rFonts w:hint="default" w:ascii="Times New Roman" w:hAnsi="Times New Roman" w:eastAsia="宋体" w:cs="Times New Roman"/>
                      <w:b w:val="0"/>
                      <w:bCs/>
                      <w:sz w:val="21"/>
                      <w:szCs w:val="21"/>
                    </w:rPr>
                    <w:t>%</w:t>
                  </w:r>
                </w:p>
              </w:tc>
              <w:tc>
                <w:tcPr>
                  <w:tcW w:w="405" w:type="pct"/>
                  <w:noWrap w:val="0"/>
                  <w:vAlign w:val="center"/>
                </w:tcPr>
                <w:p w14:paraId="339D8B49">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12</w:t>
                  </w:r>
                  <w:r>
                    <w:rPr>
                      <w:rFonts w:hint="default" w:ascii="Times New Roman" w:hAnsi="Times New Roman" w:eastAsia="宋体" w:cs="Times New Roman"/>
                      <w:b w:val="0"/>
                      <w:bCs/>
                      <w:sz w:val="21"/>
                      <w:szCs w:val="21"/>
                    </w:rPr>
                    <w:t>00</w:t>
                  </w:r>
                  <w:r>
                    <w:rPr>
                      <w:rFonts w:hint="default" w:ascii="Times New Roman" w:hAnsi="Times New Roman" w:eastAsia="宋体" w:cs="Times New Roman"/>
                      <w:b w:val="0"/>
                      <w:bCs/>
                      <w:sz w:val="21"/>
                      <w:szCs w:val="21"/>
                      <w:lang w:val="en-US" w:eastAsia="zh-CN"/>
                    </w:rPr>
                    <w:t>0</w:t>
                  </w:r>
                </w:p>
              </w:tc>
              <w:tc>
                <w:tcPr>
                  <w:tcW w:w="924" w:type="pct"/>
                  <w:noWrap w:val="0"/>
                  <w:vAlign w:val="center"/>
                </w:tcPr>
                <w:p w14:paraId="1A9DF656">
                  <w:pPr>
                    <w:adjustRightInd w:val="0"/>
                    <w:spacing w:line="240" w:lineRule="auto"/>
                    <w:ind w:firstLine="0" w:firstLineChars="0"/>
                    <w:jc w:val="center"/>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1</w:t>
                  </w:r>
                  <w:r>
                    <w:rPr>
                      <w:rFonts w:hint="default" w:ascii="Times New Roman" w:hAnsi="Times New Roman" w:eastAsia="宋体" w:cs="Times New Roman"/>
                      <w:b w:val="0"/>
                      <w:bCs/>
                      <w:sz w:val="21"/>
                      <w:szCs w:val="21"/>
                    </w:rPr>
                    <w:t>套</w:t>
                  </w:r>
                  <w:r>
                    <w:rPr>
                      <w:rFonts w:hint="eastAsia" w:ascii="Times New Roman" w:hAnsi="Times New Roman" w:eastAsia="宋体" w:cs="Times New Roman"/>
                      <w:b w:val="0"/>
                      <w:bCs/>
                      <w:sz w:val="21"/>
                      <w:szCs w:val="21"/>
                      <w:lang w:val="en-US" w:eastAsia="zh-CN"/>
                    </w:rPr>
                    <w:t>高压静电油烟净化器</w:t>
                  </w:r>
                </w:p>
              </w:tc>
              <w:tc>
                <w:tcPr>
                  <w:tcW w:w="479" w:type="pct"/>
                  <w:noWrap w:val="0"/>
                  <w:vAlign w:val="center"/>
                </w:tcPr>
                <w:p w14:paraId="1B6DAA35">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90%</w:t>
                  </w:r>
                </w:p>
              </w:tc>
              <w:tc>
                <w:tcPr>
                  <w:tcW w:w="813" w:type="pct"/>
                  <w:noWrap w:val="0"/>
                  <w:vAlign w:val="center"/>
                </w:tcPr>
                <w:p w14:paraId="571FB845">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是</w:t>
                  </w:r>
                </w:p>
              </w:tc>
              <w:tc>
                <w:tcPr>
                  <w:tcW w:w="439" w:type="pct"/>
                  <w:noWrap w:val="0"/>
                  <w:vAlign w:val="center"/>
                </w:tcPr>
                <w:p w14:paraId="127A57C0">
                  <w:pPr>
                    <w:adjustRightIn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有组织</w:t>
                  </w:r>
                </w:p>
              </w:tc>
            </w:tr>
          </w:tbl>
          <w:p w14:paraId="58E6C25A">
            <w:pPr>
              <w:pStyle w:val="178"/>
              <w:adjustRightInd w:val="0"/>
              <w:snapToGrid w:val="0"/>
              <w:ind w:left="0" w:leftChars="0" w:firstLine="0" w:firstLineChars="0"/>
              <w:jc w:val="both"/>
              <w:rPr>
                <w:rFonts w:hint="default" w:ascii="Times New Roman" w:hAnsi="Times New Roman" w:cs="Times New Roman"/>
                <w:b/>
                <w:bCs/>
                <w:color w:val="000000"/>
                <w:szCs w:val="21"/>
              </w:rPr>
            </w:pPr>
            <w:r>
              <w:rPr>
                <w:rFonts w:hint="default" w:ascii="Times New Roman" w:hAnsi="Times New Roman" w:cs="Times New Roman"/>
                <w:color w:val="000000"/>
                <w:sz w:val="21"/>
                <w:szCs w:val="21"/>
              </w:rPr>
              <w:t>*注：参照</w:t>
            </w:r>
            <w:r>
              <w:rPr>
                <w:rFonts w:hint="eastAsia" w:ascii="Times New Roman" w:hAnsi="Times New Roman" w:cs="Times New Roman"/>
                <w:color w:val="000000"/>
                <w:sz w:val="21"/>
                <w:szCs w:val="21"/>
                <w:lang w:eastAsia="zh-CN"/>
              </w:rPr>
              <w:t xml:space="preserve">《排污许可证申请与核发技术规范  </w:t>
            </w:r>
            <w:r>
              <w:rPr>
                <w:rFonts w:hint="eastAsia" w:ascii="Times New Roman" w:hAnsi="Times New Roman" w:cs="Times New Roman"/>
                <w:color w:val="000000"/>
                <w:sz w:val="21"/>
                <w:szCs w:val="21"/>
                <w:lang w:val="en-US" w:eastAsia="zh-CN"/>
              </w:rPr>
              <w:t>纺织印染工业</w:t>
            </w:r>
            <w:r>
              <w:rPr>
                <w:rFonts w:hint="eastAsia" w:ascii="Times New Roman" w:hAnsi="Times New Roman" w:cs="Times New Roman"/>
                <w:color w:val="000000"/>
                <w:sz w:val="21"/>
                <w:szCs w:val="21"/>
                <w:lang w:eastAsia="zh-CN"/>
              </w:rPr>
              <w:t>》（HJ</w:t>
            </w:r>
            <w:r>
              <w:rPr>
                <w:rFonts w:hint="eastAsia" w:ascii="Times New Roman" w:hAnsi="Times New Roman" w:cs="Times New Roman"/>
                <w:color w:val="000000"/>
                <w:sz w:val="21"/>
                <w:szCs w:val="21"/>
                <w:lang w:val="en-US" w:eastAsia="zh-CN"/>
              </w:rPr>
              <w:t>861</w:t>
            </w:r>
            <w:r>
              <w:rPr>
                <w:rFonts w:hint="eastAsia" w:ascii="Times New Roman" w:hAnsi="Times New Roman" w:cs="Times New Roman"/>
                <w:color w:val="000000"/>
                <w:sz w:val="21"/>
                <w:szCs w:val="21"/>
                <w:lang w:eastAsia="zh-CN"/>
              </w:rPr>
              <w:t>-20</w:t>
            </w:r>
            <w:r>
              <w:rPr>
                <w:rFonts w:hint="eastAsia" w:ascii="Times New Roman" w:hAnsi="Times New Roman" w:cs="Times New Roman"/>
                <w:color w:val="000000"/>
                <w:sz w:val="21"/>
                <w:szCs w:val="21"/>
                <w:lang w:val="en-US" w:eastAsia="zh-CN"/>
              </w:rPr>
              <w:t>17</w:t>
            </w:r>
            <w:r>
              <w:rPr>
                <w:rFonts w:hint="eastAsia" w:ascii="Times New Roman" w:hAnsi="Times New Roman" w:cs="Times New Roman"/>
                <w:color w:val="000000"/>
                <w:sz w:val="21"/>
                <w:szCs w:val="21"/>
                <w:lang w:eastAsia="zh-CN"/>
              </w:rPr>
              <w:t>）</w:t>
            </w:r>
            <w:r>
              <w:rPr>
                <w:rFonts w:hint="default" w:ascii="Times New Roman" w:hAnsi="Times New Roman" w:cs="Times New Roman"/>
                <w:color w:val="000000"/>
                <w:sz w:val="21"/>
                <w:szCs w:val="21"/>
              </w:rPr>
              <w:t>属于可行技术。</w:t>
            </w:r>
          </w:p>
          <w:p w14:paraId="2E20A2C2">
            <w:pPr>
              <w:adjustRightInd w:val="0"/>
              <w:snapToGrid w:val="0"/>
              <w:spacing w:before="120" w:beforeLines="50"/>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表4-</w:t>
            </w:r>
            <w:r>
              <w:rPr>
                <w:rFonts w:hint="eastAsia" w:cs="Times New Roman"/>
                <w:b/>
                <w:bCs/>
                <w:color w:val="000000"/>
                <w:szCs w:val="21"/>
                <w:lang w:val="en-US" w:eastAsia="zh-CN"/>
              </w:rPr>
              <w:t>6</w:t>
            </w:r>
            <w:r>
              <w:rPr>
                <w:rFonts w:hint="default" w:ascii="Times New Roman" w:hAnsi="Times New Roman" w:cs="Times New Roman"/>
                <w:b/>
                <w:bCs/>
                <w:color w:val="000000"/>
                <w:szCs w:val="21"/>
              </w:rPr>
              <w:t xml:space="preserve"> 建设项目废气排放口基本情况一览表</w:t>
            </w:r>
          </w:p>
          <w:tbl>
            <w:tblPr>
              <w:tblStyle w:val="38"/>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07"/>
              <w:gridCol w:w="1429"/>
              <w:gridCol w:w="1539"/>
              <w:gridCol w:w="1507"/>
              <w:gridCol w:w="1327"/>
              <w:gridCol w:w="1333"/>
              <w:gridCol w:w="1181"/>
              <w:gridCol w:w="888"/>
              <w:gridCol w:w="1094"/>
              <w:gridCol w:w="1293"/>
              <w:gridCol w:w="1069"/>
            </w:tblGrid>
            <w:tr w14:paraId="0BB2B9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8" w:type="dxa"/>
                  <w:vMerge w:val="restart"/>
                  <w:noWrap w:val="0"/>
                  <w:vAlign w:val="center"/>
                </w:tcPr>
                <w:p w14:paraId="3ECF9135">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名称</w:t>
                  </w:r>
                </w:p>
              </w:tc>
              <w:tc>
                <w:tcPr>
                  <w:tcW w:w="1430" w:type="dxa"/>
                  <w:vMerge w:val="restart"/>
                  <w:noWrap w:val="0"/>
                  <w:vAlign w:val="center"/>
                </w:tcPr>
                <w:p w14:paraId="23ED20D4">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排放口类型</w:t>
                  </w:r>
                </w:p>
              </w:tc>
              <w:tc>
                <w:tcPr>
                  <w:tcW w:w="3046" w:type="dxa"/>
                  <w:gridSpan w:val="2"/>
                  <w:noWrap w:val="0"/>
                  <w:vAlign w:val="center"/>
                </w:tcPr>
                <w:p w14:paraId="588029BF">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b/>
                      <w:bCs/>
                      <w:color w:val="000000"/>
                      <w:sz w:val="21"/>
                      <w:szCs w:val="21"/>
                    </w:rPr>
                    <w:t>排气筒底部中心</w:t>
                  </w:r>
                  <w:r>
                    <w:rPr>
                      <w:rFonts w:hint="eastAsia" w:ascii="Times New Roman" w:hAnsi="Times New Roman" w:cs="Times New Roman"/>
                      <w:b/>
                      <w:bCs/>
                      <w:color w:val="000000"/>
                      <w:sz w:val="21"/>
                      <w:szCs w:val="21"/>
                      <w:lang w:eastAsia="zh-CN"/>
                    </w:rPr>
                    <w:t>坐标</w:t>
                  </w:r>
                  <w:r>
                    <w:rPr>
                      <w:rFonts w:hint="default" w:ascii="Times New Roman" w:hAnsi="Times New Roman" w:cs="Times New Roman"/>
                      <w:b/>
                      <w:bCs/>
                      <w:color w:val="000000"/>
                      <w:sz w:val="21"/>
                      <w:szCs w:val="21"/>
                      <w:lang w:val="en-US" w:eastAsia="zh-CN"/>
                    </w:rPr>
                    <w:t>/m</w:t>
                  </w:r>
                </w:p>
              </w:tc>
              <w:tc>
                <w:tcPr>
                  <w:tcW w:w="1327" w:type="dxa"/>
                  <w:vMerge w:val="restart"/>
                  <w:noWrap w:val="0"/>
                  <w:vAlign w:val="center"/>
                </w:tcPr>
                <w:p w14:paraId="76AB299E">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排气筒高度</w:t>
                  </w:r>
                  <w:r>
                    <w:rPr>
                      <w:rFonts w:hint="default" w:ascii="Times New Roman" w:hAnsi="Times New Roman" w:cs="Times New Roman"/>
                      <w:b/>
                      <w:color w:val="000000"/>
                      <w:sz w:val="21"/>
                      <w:szCs w:val="21"/>
                    </w:rPr>
                    <w:t>/m</w:t>
                  </w:r>
                </w:p>
              </w:tc>
              <w:tc>
                <w:tcPr>
                  <w:tcW w:w="1333" w:type="dxa"/>
                  <w:vMerge w:val="restart"/>
                  <w:noWrap w:val="0"/>
                  <w:vAlign w:val="center"/>
                </w:tcPr>
                <w:p w14:paraId="20B3F048">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排气筒内径/m</w:t>
                  </w:r>
                </w:p>
              </w:tc>
              <w:tc>
                <w:tcPr>
                  <w:tcW w:w="1181" w:type="dxa"/>
                  <w:vMerge w:val="restart"/>
                  <w:noWrap w:val="0"/>
                  <w:vAlign w:val="center"/>
                </w:tcPr>
                <w:p w14:paraId="07FF3D36">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烟气温度/℃</w:t>
                  </w:r>
                </w:p>
              </w:tc>
              <w:tc>
                <w:tcPr>
                  <w:tcW w:w="888" w:type="dxa"/>
                  <w:vMerge w:val="restart"/>
                  <w:noWrap w:val="0"/>
                  <w:vAlign w:val="center"/>
                </w:tcPr>
                <w:p w14:paraId="27B5E16B">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排放工况</w:t>
                  </w:r>
                </w:p>
              </w:tc>
              <w:tc>
                <w:tcPr>
                  <w:tcW w:w="1094" w:type="dxa"/>
                  <w:vMerge w:val="restart"/>
                  <w:noWrap w:val="0"/>
                  <w:vAlign w:val="center"/>
                </w:tcPr>
                <w:p w14:paraId="14A658B5">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污染物类型</w:t>
                  </w:r>
                </w:p>
              </w:tc>
              <w:tc>
                <w:tcPr>
                  <w:tcW w:w="2362" w:type="dxa"/>
                  <w:gridSpan w:val="2"/>
                  <w:noWrap w:val="0"/>
                  <w:vAlign w:val="center"/>
                </w:tcPr>
                <w:p w14:paraId="07B3F32A">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执行标准</w:t>
                  </w:r>
                </w:p>
              </w:tc>
            </w:tr>
            <w:tr w14:paraId="08FA63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8" w:type="dxa"/>
                  <w:vMerge w:val="continue"/>
                  <w:noWrap w:val="0"/>
                  <w:vAlign w:val="center"/>
                </w:tcPr>
                <w:p w14:paraId="2C9C6E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p>
              </w:tc>
              <w:tc>
                <w:tcPr>
                  <w:tcW w:w="1430" w:type="dxa"/>
                  <w:vMerge w:val="continue"/>
                  <w:noWrap w:val="0"/>
                  <w:vAlign w:val="center"/>
                </w:tcPr>
                <w:p w14:paraId="11F38A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p>
              </w:tc>
              <w:tc>
                <w:tcPr>
                  <w:tcW w:w="1539" w:type="dxa"/>
                  <w:noWrap w:val="0"/>
                  <w:vAlign w:val="center"/>
                </w:tcPr>
                <w:p w14:paraId="5D56B3BA">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X</w:t>
                  </w:r>
                </w:p>
              </w:tc>
              <w:tc>
                <w:tcPr>
                  <w:tcW w:w="1507" w:type="dxa"/>
                  <w:noWrap w:val="0"/>
                  <w:vAlign w:val="center"/>
                </w:tcPr>
                <w:p w14:paraId="56391C02">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Y</w:t>
                  </w:r>
                </w:p>
              </w:tc>
              <w:tc>
                <w:tcPr>
                  <w:tcW w:w="1327" w:type="dxa"/>
                  <w:vMerge w:val="continue"/>
                  <w:noWrap w:val="0"/>
                  <w:vAlign w:val="center"/>
                </w:tcPr>
                <w:p w14:paraId="6005D9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p>
              </w:tc>
              <w:tc>
                <w:tcPr>
                  <w:tcW w:w="1333" w:type="dxa"/>
                  <w:vMerge w:val="continue"/>
                  <w:noWrap w:val="0"/>
                  <w:vAlign w:val="center"/>
                </w:tcPr>
                <w:p w14:paraId="2606E53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p>
              </w:tc>
              <w:tc>
                <w:tcPr>
                  <w:tcW w:w="1181" w:type="dxa"/>
                  <w:vMerge w:val="continue"/>
                  <w:noWrap w:val="0"/>
                  <w:vAlign w:val="center"/>
                </w:tcPr>
                <w:p w14:paraId="2DD0A4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p>
              </w:tc>
              <w:tc>
                <w:tcPr>
                  <w:tcW w:w="888" w:type="dxa"/>
                  <w:vMerge w:val="continue"/>
                  <w:noWrap w:val="0"/>
                  <w:vAlign w:val="center"/>
                </w:tcPr>
                <w:p w14:paraId="6BDEA7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p>
              </w:tc>
              <w:tc>
                <w:tcPr>
                  <w:tcW w:w="1094" w:type="dxa"/>
                  <w:vMerge w:val="continue"/>
                  <w:noWrap w:val="0"/>
                  <w:vAlign w:val="center"/>
                </w:tcPr>
                <w:p w14:paraId="728D03E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p>
              </w:tc>
              <w:tc>
                <w:tcPr>
                  <w:tcW w:w="1293" w:type="dxa"/>
                  <w:noWrap w:val="0"/>
                  <w:vAlign w:val="center"/>
                </w:tcPr>
                <w:p w14:paraId="1F70BEA9">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浓度</w:t>
                  </w:r>
                  <w:r>
                    <w:rPr>
                      <w:rFonts w:hint="eastAsia" w:ascii="Times New Roman" w:hAnsi="Times New Roman" w:cs="Times New Roman"/>
                      <w:b/>
                      <w:bCs/>
                      <w:color w:val="000000"/>
                      <w:sz w:val="21"/>
                      <w:szCs w:val="21"/>
                      <w:lang w:eastAsia="zh-CN"/>
                    </w:rPr>
                    <w:t>（</w:t>
                  </w:r>
                  <w:r>
                    <w:rPr>
                      <w:rFonts w:hint="default" w:ascii="Times New Roman" w:hAnsi="Times New Roman" w:cs="Times New Roman"/>
                      <w:b/>
                      <w:bCs/>
                      <w:color w:val="000000"/>
                      <w:sz w:val="21"/>
                      <w:szCs w:val="21"/>
                    </w:rPr>
                    <w:t>mg/m</w:t>
                  </w:r>
                  <w:r>
                    <w:rPr>
                      <w:rFonts w:hint="default" w:ascii="Times New Roman" w:hAnsi="Times New Roman" w:cs="Times New Roman"/>
                      <w:b/>
                      <w:bCs/>
                      <w:color w:val="000000"/>
                      <w:sz w:val="21"/>
                      <w:szCs w:val="21"/>
                      <w:vertAlign w:val="superscript"/>
                      <w:lang w:val="en-US"/>
                    </w:rPr>
                    <w:t>3</w:t>
                  </w:r>
                  <w:r>
                    <w:rPr>
                      <w:rFonts w:hint="eastAsia" w:ascii="Times New Roman" w:hAnsi="Times New Roman" w:cs="Times New Roman"/>
                      <w:b/>
                      <w:bCs/>
                      <w:color w:val="000000"/>
                      <w:sz w:val="21"/>
                      <w:szCs w:val="21"/>
                      <w:vertAlign w:val="superscript"/>
                      <w:lang w:val="en-US" w:eastAsia="zh-CN"/>
                    </w:rPr>
                    <w:t>）</w:t>
                  </w:r>
                </w:p>
              </w:tc>
              <w:tc>
                <w:tcPr>
                  <w:tcW w:w="1069" w:type="dxa"/>
                  <w:noWrap w:val="0"/>
                  <w:vAlign w:val="center"/>
                </w:tcPr>
                <w:p w14:paraId="2846FF57">
                  <w:pPr>
                    <w:pStyle w:val="178"/>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rPr>
                    <w:t>速率</w:t>
                  </w:r>
                  <w:r>
                    <w:rPr>
                      <w:rFonts w:hint="eastAsia" w:ascii="Times New Roman" w:hAnsi="Times New Roman" w:cs="Times New Roman"/>
                      <w:b/>
                      <w:bCs/>
                      <w:color w:val="000000"/>
                      <w:sz w:val="21"/>
                      <w:szCs w:val="21"/>
                      <w:lang w:eastAsia="zh-CN"/>
                    </w:rPr>
                    <w:t>（</w:t>
                  </w:r>
                  <w:r>
                    <w:rPr>
                      <w:rFonts w:hint="default" w:ascii="Times New Roman" w:hAnsi="Times New Roman" w:cs="Times New Roman"/>
                      <w:b/>
                      <w:bCs/>
                      <w:color w:val="000000"/>
                      <w:sz w:val="21"/>
                      <w:szCs w:val="21"/>
                    </w:rPr>
                    <w:t>kg/h</w:t>
                  </w:r>
                  <w:r>
                    <w:rPr>
                      <w:rFonts w:hint="eastAsia" w:ascii="Times New Roman" w:hAnsi="Times New Roman" w:cs="Times New Roman"/>
                      <w:b/>
                      <w:bCs/>
                      <w:color w:val="000000"/>
                      <w:sz w:val="21"/>
                      <w:szCs w:val="21"/>
                      <w:lang w:eastAsia="zh-CN"/>
                    </w:rPr>
                    <w:t>）</w:t>
                  </w:r>
                </w:p>
              </w:tc>
            </w:tr>
            <w:tr w14:paraId="1C0BEA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908" w:type="dxa"/>
                  <w:noWrap w:val="0"/>
                  <w:vAlign w:val="center"/>
                </w:tcPr>
                <w:p w14:paraId="067F703C">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DA001</w:t>
                  </w:r>
                </w:p>
              </w:tc>
              <w:tc>
                <w:tcPr>
                  <w:tcW w:w="1430" w:type="dxa"/>
                  <w:noWrap w:val="0"/>
                  <w:vAlign w:val="center"/>
                </w:tcPr>
                <w:p w14:paraId="05453FC9">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一般排放口</w:t>
                  </w:r>
                </w:p>
              </w:tc>
              <w:tc>
                <w:tcPr>
                  <w:tcW w:w="1539" w:type="dxa"/>
                  <w:noWrap w:val="0"/>
                  <w:vAlign w:val="center"/>
                </w:tcPr>
                <w:p w14:paraId="7C46A335">
                  <w:pPr>
                    <w:widowControl/>
                    <w:adjustRightInd w:val="0"/>
                    <w:snapToGrid w:val="0"/>
                    <w:spacing w:line="240" w:lineRule="auto"/>
                    <w:ind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bidi="ar"/>
                    </w:rPr>
                    <w:t>118.</w:t>
                  </w:r>
                  <w:r>
                    <w:rPr>
                      <w:rFonts w:hint="eastAsia" w:ascii="Times New Roman" w:hAnsi="Times New Roman" w:eastAsia="宋体" w:cs="Times New Roman"/>
                      <w:b w:val="0"/>
                      <w:bCs/>
                      <w:color w:val="auto"/>
                      <w:sz w:val="21"/>
                      <w:szCs w:val="21"/>
                      <w:highlight w:val="none"/>
                      <w:lang w:val="en-US" w:eastAsia="zh-CN" w:bidi="ar"/>
                    </w:rPr>
                    <w:t>7567</w:t>
                  </w:r>
                </w:p>
              </w:tc>
              <w:tc>
                <w:tcPr>
                  <w:tcW w:w="1507" w:type="dxa"/>
                  <w:noWrap w:val="0"/>
                  <w:vAlign w:val="center"/>
                </w:tcPr>
                <w:p w14:paraId="11810303">
                  <w:pPr>
                    <w:widowControl/>
                    <w:adjustRightInd w:val="0"/>
                    <w:snapToGrid w:val="0"/>
                    <w:spacing w:line="240" w:lineRule="auto"/>
                    <w:ind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bidi="ar"/>
                    </w:rPr>
                    <w:t>33.</w:t>
                  </w:r>
                  <w:r>
                    <w:rPr>
                      <w:rFonts w:hint="eastAsia" w:ascii="Times New Roman" w:hAnsi="Times New Roman" w:eastAsia="宋体" w:cs="Times New Roman"/>
                      <w:b w:val="0"/>
                      <w:bCs/>
                      <w:color w:val="auto"/>
                      <w:sz w:val="21"/>
                      <w:szCs w:val="21"/>
                      <w:highlight w:val="none"/>
                      <w:lang w:val="en-US" w:eastAsia="zh-CN" w:bidi="ar"/>
                    </w:rPr>
                    <w:t>5598</w:t>
                  </w:r>
                </w:p>
              </w:tc>
              <w:tc>
                <w:tcPr>
                  <w:tcW w:w="1327" w:type="dxa"/>
                  <w:noWrap w:val="0"/>
                  <w:vAlign w:val="center"/>
                </w:tcPr>
                <w:p w14:paraId="2D1930A0">
                  <w:pPr>
                    <w:widowControl/>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bidi="ar"/>
                    </w:rPr>
                    <w:t>15</w:t>
                  </w:r>
                </w:p>
              </w:tc>
              <w:tc>
                <w:tcPr>
                  <w:tcW w:w="1333" w:type="dxa"/>
                  <w:noWrap w:val="0"/>
                  <w:vAlign w:val="center"/>
                </w:tcPr>
                <w:p w14:paraId="3BC62104">
                  <w:pPr>
                    <w:widowControl/>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sz w:val="21"/>
                      <w:szCs w:val="21"/>
                      <w:highlight w:val="none"/>
                      <w:lang w:val="en-US" w:eastAsia="zh-CN" w:bidi="ar"/>
                    </w:rPr>
                    <w:t>0.5</w:t>
                  </w:r>
                </w:p>
              </w:tc>
              <w:tc>
                <w:tcPr>
                  <w:tcW w:w="1181" w:type="dxa"/>
                  <w:noWrap w:val="0"/>
                  <w:vAlign w:val="center"/>
                </w:tcPr>
                <w:p w14:paraId="61C0AFEC">
                  <w:pPr>
                    <w:widowControl/>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bidi="ar"/>
                    </w:rPr>
                    <w:t>25</w:t>
                  </w:r>
                </w:p>
              </w:tc>
              <w:tc>
                <w:tcPr>
                  <w:tcW w:w="888" w:type="dxa"/>
                  <w:noWrap w:val="0"/>
                  <w:vAlign w:val="center"/>
                </w:tcPr>
                <w:p w14:paraId="76F82614">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正常</w:t>
                  </w:r>
                </w:p>
              </w:tc>
              <w:tc>
                <w:tcPr>
                  <w:tcW w:w="1094" w:type="dxa"/>
                  <w:noWrap w:val="0"/>
                  <w:vAlign w:val="center"/>
                </w:tcPr>
                <w:p w14:paraId="4A0F0CC3">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非甲烷总烃</w:t>
                  </w:r>
                </w:p>
              </w:tc>
              <w:tc>
                <w:tcPr>
                  <w:tcW w:w="1293" w:type="dxa"/>
                  <w:noWrap w:val="0"/>
                  <w:vAlign w:val="center"/>
                </w:tcPr>
                <w:p w14:paraId="35CD7B61">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60</w:t>
                  </w:r>
                </w:p>
              </w:tc>
              <w:tc>
                <w:tcPr>
                  <w:tcW w:w="1069" w:type="dxa"/>
                  <w:noWrap w:val="0"/>
                  <w:vAlign w:val="center"/>
                </w:tcPr>
                <w:p w14:paraId="1F37AF8F">
                  <w:pPr>
                    <w:adjustRightIn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w:t>
                  </w:r>
                </w:p>
              </w:tc>
            </w:tr>
          </w:tbl>
          <w:p w14:paraId="38E9F322">
            <w:pPr>
              <w:spacing w:line="500" w:lineRule="exact"/>
              <w:ind w:firstLine="482" w:firstLineChars="200"/>
              <w:rPr>
                <w:rFonts w:hint="eastAsia"/>
                <w:b/>
                <w:bCs/>
                <w:color w:val="auto"/>
                <w:lang w:val="en-US" w:eastAsia="zh-CN"/>
              </w:rPr>
            </w:pPr>
            <w:r>
              <w:rPr>
                <w:rFonts w:hint="eastAsia"/>
                <w:b/>
                <w:bCs/>
                <w:sz w:val="24"/>
                <w:lang w:val="en-US" w:eastAsia="zh-CN"/>
              </w:rPr>
              <w:t>3.</w:t>
            </w:r>
            <w:r>
              <w:rPr>
                <w:b/>
                <w:bCs/>
                <w:sz w:val="24"/>
              </w:rPr>
              <w:t>非正常排放情况</w:t>
            </w:r>
          </w:p>
          <w:p w14:paraId="04F3112A">
            <w:pPr>
              <w:keepNext w:val="0"/>
              <w:keepLines w:val="0"/>
              <w:pageBreakBefore w:val="0"/>
              <w:widowControl w:val="0"/>
              <w:kinsoku/>
              <w:wordWrap/>
              <w:overflowPunct/>
              <w:topLinePunct w:val="0"/>
              <w:autoSpaceDE/>
              <w:autoSpaceDN/>
              <w:bidi w:val="0"/>
              <w:adjustRightInd/>
              <w:snapToGrid/>
              <w:spacing w:before="157" w:beforeLines="50" w:line="240" w:lineRule="auto"/>
              <w:ind w:left="0" w:leftChars="0" w:firstLine="0" w:firstLineChars="0"/>
              <w:jc w:val="center"/>
              <w:textAlignment w:val="auto"/>
              <w:rPr>
                <w:rFonts w:hint="default" w:eastAsia="宋体"/>
                <w:color w:val="auto"/>
                <w:lang w:val="en-US" w:eastAsia="zh-CN"/>
              </w:rPr>
            </w:pPr>
            <w:r>
              <w:rPr>
                <w:rFonts w:hint="eastAsia"/>
                <w:b/>
                <w:bCs/>
                <w:color w:val="auto"/>
                <w:lang w:val="en-US" w:eastAsia="zh-CN"/>
              </w:rPr>
              <w:t>表4-7本项目非正常工况污染源强核算一览表</w:t>
            </w:r>
          </w:p>
          <w:tbl>
            <w:tblPr>
              <w:tblStyle w:val="38"/>
              <w:tblW w:w="4994"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1557"/>
              <w:gridCol w:w="2089"/>
              <w:gridCol w:w="1386"/>
              <w:gridCol w:w="1701"/>
              <w:gridCol w:w="1687"/>
              <w:gridCol w:w="1663"/>
              <w:gridCol w:w="1424"/>
              <w:gridCol w:w="2049"/>
            </w:tblGrid>
            <w:tr w14:paraId="2CF8C79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340" w:hRule="atLeast"/>
                <w:jc w:val="center"/>
              </w:trPr>
              <w:tc>
                <w:tcPr>
                  <w:tcW w:w="574" w:type="pct"/>
                  <w:vAlign w:val="center"/>
                </w:tcPr>
                <w:p w14:paraId="6CFFCDD1">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污染源</w:t>
                  </w:r>
                </w:p>
              </w:tc>
              <w:tc>
                <w:tcPr>
                  <w:tcW w:w="770" w:type="pct"/>
                  <w:vAlign w:val="center"/>
                </w:tcPr>
                <w:p w14:paraId="6A52C236">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非正常排放原因</w:t>
                  </w:r>
                </w:p>
              </w:tc>
              <w:tc>
                <w:tcPr>
                  <w:tcW w:w="511" w:type="pct"/>
                  <w:vAlign w:val="center"/>
                </w:tcPr>
                <w:p w14:paraId="4B948794">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污染物</w:t>
                  </w:r>
                </w:p>
              </w:tc>
              <w:tc>
                <w:tcPr>
                  <w:tcW w:w="627" w:type="pct"/>
                  <w:vAlign w:val="center"/>
                </w:tcPr>
                <w:p w14:paraId="38C48ADC">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非正常排放浓度（mg/m</w:t>
                  </w:r>
                  <w:r>
                    <w:rPr>
                      <w:rFonts w:hint="default" w:ascii="Times New Roman" w:hAnsi="Times New Roman" w:eastAsia="宋体" w:cs="Times New Roman"/>
                      <w:b/>
                      <w:bCs/>
                      <w:snapToGrid w:val="0"/>
                      <w:color w:val="auto"/>
                      <w:sz w:val="21"/>
                      <w:szCs w:val="21"/>
                      <w:vertAlign w:val="superscript"/>
                      <w:lang w:bidi="en-US"/>
                    </w:rPr>
                    <w:t>3</w:t>
                  </w:r>
                  <w:r>
                    <w:rPr>
                      <w:rFonts w:hint="default" w:ascii="Times New Roman" w:hAnsi="Times New Roman" w:eastAsia="宋体" w:cs="Times New Roman"/>
                      <w:b/>
                      <w:bCs/>
                      <w:snapToGrid w:val="0"/>
                      <w:color w:val="auto"/>
                      <w:sz w:val="21"/>
                      <w:szCs w:val="21"/>
                      <w:lang w:bidi="en-US"/>
                    </w:rPr>
                    <w:t>）</w:t>
                  </w:r>
                </w:p>
              </w:tc>
              <w:tc>
                <w:tcPr>
                  <w:tcW w:w="622" w:type="pct"/>
                  <w:vAlign w:val="center"/>
                </w:tcPr>
                <w:p w14:paraId="6967B00F">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非正常排放速率（kg/h）</w:t>
                  </w:r>
                </w:p>
              </w:tc>
              <w:tc>
                <w:tcPr>
                  <w:tcW w:w="613" w:type="pct"/>
                  <w:vAlign w:val="center"/>
                </w:tcPr>
                <w:p w14:paraId="7BA48D65">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单次持续时间</w:t>
                  </w:r>
                  <w:r>
                    <w:rPr>
                      <w:rFonts w:hint="eastAsia" w:cs="Times New Roman"/>
                      <w:b/>
                      <w:bCs/>
                      <w:snapToGrid w:val="0"/>
                      <w:color w:val="auto"/>
                      <w:sz w:val="21"/>
                      <w:szCs w:val="21"/>
                      <w:lang w:eastAsia="zh-CN" w:bidi="en-US"/>
                    </w:rPr>
                    <w:t>（</w:t>
                  </w:r>
                  <w:r>
                    <w:rPr>
                      <w:rFonts w:hint="default" w:ascii="Times New Roman" w:hAnsi="Times New Roman" w:eastAsia="宋体" w:cs="Times New Roman"/>
                      <w:b/>
                      <w:bCs/>
                      <w:snapToGrid w:val="0"/>
                      <w:color w:val="auto"/>
                      <w:sz w:val="21"/>
                      <w:szCs w:val="21"/>
                      <w:lang w:bidi="en-US"/>
                    </w:rPr>
                    <w:t>h</w:t>
                  </w:r>
                  <w:r>
                    <w:rPr>
                      <w:rFonts w:hint="eastAsia" w:cs="Times New Roman"/>
                      <w:b/>
                      <w:bCs/>
                      <w:snapToGrid w:val="0"/>
                      <w:color w:val="auto"/>
                      <w:sz w:val="21"/>
                      <w:szCs w:val="21"/>
                      <w:lang w:eastAsia="zh-CN" w:bidi="en-US"/>
                    </w:rPr>
                    <w:t>）</w:t>
                  </w:r>
                </w:p>
              </w:tc>
              <w:tc>
                <w:tcPr>
                  <w:tcW w:w="525" w:type="pct"/>
                  <w:vAlign w:val="center"/>
                </w:tcPr>
                <w:p w14:paraId="2DEA5414">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年发生频次/次</w:t>
                  </w:r>
                </w:p>
              </w:tc>
              <w:tc>
                <w:tcPr>
                  <w:tcW w:w="755" w:type="pct"/>
                  <w:vAlign w:val="center"/>
                </w:tcPr>
                <w:p w14:paraId="79623226">
                  <w:pPr>
                    <w:adjustRightInd w:val="0"/>
                    <w:snapToGrid w:val="0"/>
                    <w:spacing w:line="240" w:lineRule="auto"/>
                    <w:ind w:firstLine="0" w:firstLineChars="0"/>
                    <w:jc w:val="center"/>
                    <w:rPr>
                      <w:rFonts w:hint="default" w:ascii="Times New Roman" w:hAnsi="Times New Roman" w:eastAsia="宋体" w:cs="Times New Roman"/>
                      <w:b/>
                      <w:bCs/>
                      <w:snapToGrid w:val="0"/>
                      <w:color w:val="auto"/>
                      <w:sz w:val="21"/>
                      <w:szCs w:val="21"/>
                      <w:lang w:bidi="en-US"/>
                    </w:rPr>
                  </w:pPr>
                  <w:r>
                    <w:rPr>
                      <w:rFonts w:hint="default" w:ascii="Times New Roman" w:hAnsi="Times New Roman" w:eastAsia="宋体" w:cs="Times New Roman"/>
                      <w:b/>
                      <w:bCs/>
                      <w:snapToGrid w:val="0"/>
                      <w:color w:val="auto"/>
                      <w:sz w:val="21"/>
                      <w:szCs w:val="21"/>
                      <w:lang w:bidi="en-US"/>
                    </w:rPr>
                    <w:t>应对措施</w:t>
                  </w:r>
                </w:p>
              </w:tc>
            </w:tr>
            <w:tr w14:paraId="0E56817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cantSplit/>
                <w:trHeight w:val="507" w:hRule="atLeast"/>
                <w:jc w:val="center"/>
              </w:trPr>
              <w:tc>
                <w:tcPr>
                  <w:tcW w:w="574" w:type="pct"/>
                  <w:shd w:val="clear" w:color="auto" w:fill="auto"/>
                  <w:vAlign w:val="center"/>
                </w:tcPr>
                <w:p w14:paraId="27035A8A">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snapToGrid w:val="0"/>
                      <w:color w:val="auto"/>
                      <w:sz w:val="21"/>
                      <w:szCs w:val="21"/>
                      <w:lang w:bidi="en-US"/>
                    </w:rPr>
                    <w:t>排气筒DA001</w:t>
                  </w:r>
                </w:p>
              </w:tc>
              <w:tc>
                <w:tcPr>
                  <w:tcW w:w="770" w:type="pct"/>
                  <w:shd w:val="clear" w:color="auto" w:fill="auto"/>
                  <w:vAlign w:val="center"/>
                </w:tcPr>
                <w:p w14:paraId="04CB3B41">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eastAsia"/>
                      <w:color w:val="auto"/>
                      <w:sz w:val="21"/>
                      <w:szCs w:val="21"/>
                      <w:lang w:val="en-US" w:eastAsia="zh-CN"/>
                    </w:rPr>
                    <w:t>高压</w:t>
                  </w:r>
                  <w:r>
                    <w:rPr>
                      <w:color w:val="auto"/>
                      <w:sz w:val="21"/>
                      <w:szCs w:val="21"/>
                    </w:rPr>
                    <w:t>静电</w:t>
                  </w:r>
                  <w:r>
                    <w:rPr>
                      <w:rFonts w:hint="eastAsia"/>
                      <w:color w:val="auto"/>
                      <w:sz w:val="21"/>
                      <w:szCs w:val="21"/>
                      <w:lang w:val="en-US" w:eastAsia="zh-CN"/>
                    </w:rPr>
                    <w:t>油烟净化器</w:t>
                  </w:r>
                  <w:r>
                    <w:rPr>
                      <w:rFonts w:hint="default" w:ascii="Times New Roman" w:hAnsi="Times New Roman" w:eastAsia="宋体" w:cs="Times New Roman"/>
                      <w:color w:val="auto"/>
                      <w:kern w:val="0"/>
                      <w:sz w:val="21"/>
                      <w:szCs w:val="21"/>
                      <w:lang w:bidi="ar"/>
                    </w:rPr>
                    <w:t>失效，</w:t>
                  </w:r>
                  <w:r>
                    <w:rPr>
                      <w:rFonts w:hint="default" w:ascii="Times New Roman" w:hAnsi="Times New Roman" w:eastAsia="宋体" w:cs="Times New Roman"/>
                      <w:color w:val="auto"/>
                      <w:sz w:val="21"/>
                      <w:szCs w:val="21"/>
                      <w:lang w:val="en-US" w:eastAsia="zh-CN" w:bidi="ar"/>
                    </w:rPr>
                    <w:t>非甲烷总烃</w:t>
                  </w:r>
                  <w:r>
                    <w:rPr>
                      <w:rFonts w:hint="default" w:ascii="Times New Roman" w:hAnsi="Times New Roman" w:eastAsia="宋体" w:cs="Times New Roman"/>
                      <w:color w:val="auto"/>
                      <w:kern w:val="0"/>
                      <w:sz w:val="21"/>
                      <w:szCs w:val="21"/>
                      <w:lang w:bidi="ar"/>
                    </w:rPr>
                    <w:t>净化效率降至0%</w:t>
                  </w:r>
                </w:p>
              </w:tc>
              <w:tc>
                <w:tcPr>
                  <w:tcW w:w="511" w:type="pct"/>
                  <w:vAlign w:val="center"/>
                </w:tcPr>
                <w:p w14:paraId="299CAF1A">
                  <w:pPr>
                    <w:adjustRightInd w:val="0"/>
                    <w:snapToGrid w:val="0"/>
                    <w:spacing w:line="240" w:lineRule="auto"/>
                    <w:ind w:firstLine="0" w:firstLineChars="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lang w:val="en-US" w:eastAsia="zh-CN" w:bidi="ar"/>
                    </w:rPr>
                    <w:t>非甲烷总烃</w:t>
                  </w:r>
                </w:p>
              </w:tc>
              <w:tc>
                <w:tcPr>
                  <w:tcW w:w="627" w:type="pct"/>
                  <w:shd w:val="clear" w:color="auto" w:fill="auto"/>
                  <w:vAlign w:val="center"/>
                </w:tcPr>
                <w:p w14:paraId="7EFE2B28">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27.211</w:t>
                  </w:r>
                </w:p>
              </w:tc>
              <w:tc>
                <w:tcPr>
                  <w:tcW w:w="622" w:type="pct"/>
                  <w:shd w:val="clear" w:color="auto" w:fill="auto"/>
                  <w:vAlign w:val="center"/>
                </w:tcPr>
                <w:p w14:paraId="1AF0D26C">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0.327</w:t>
                  </w:r>
                </w:p>
              </w:tc>
              <w:tc>
                <w:tcPr>
                  <w:tcW w:w="613" w:type="pct"/>
                  <w:vAlign w:val="center"/>
                </w:tcPr>
                <w:p w14:paraId="4DC2042E">
                  <w:pPr>
                    <w:spacing w:line="240" w:lineRule="auto"/>
                    <w:ind w:firstLine="0" w:firstLineChars="0"/>
                    <w:jc w:val="center"/>
                    <w:rPr>
                      <w:rFonts w:hint="eastAsia" w:ascii="Times New Roman" w:hAnsi="Times New Roman" w:eastAsia="宋体" w:cs="Times New Roman"/>
                      <w:snapToGrid w:val="0"/>
                      <w:color w:val="auto"/>
                      <w:sz w:val="21"/>
                      <w:szCs w:val="21"/>
                      <w:lang w:eastAsia="zh-CN" w:bidi="en-US"/>
                    </w:rPr>
                  </w:pPr>
                  <w:r>
                    <w:rPr>
                      <w:rFonts w:hint="eastAsia"/>
                      <w:color w:val="auto"/>
                      <w:sz w:val="21"/>
                      <w:szCs w:val="21"/>
                      <w:lang w:val="en-US" w:eastAsia="zh-CN"/>
                    </w:rPr>
                    <w:t>1</w:t>
                  </w:r>
                </w:p>
              </w:tc>
              <w:tc>
                <w:tcPr>
                  <w:tcW w:w="525" w:type="pct"/>
                  <w:vAlign w:val="center"/>
                </w:tcPr>
                <w:p w14:paraId="36F28BF4">
                  <w:pPr>
                    <w:adjustRightInd w:val="0"/>
                    <w:snapToGrid w:val="0"/>
                    <w:spacing w:line="240" w:lineRule="auto"/>
                    <w:ind w:firstLine="0" w:firstLineChars="0"/>
                    <w:jc w:val="center"/>
                    <w:rPr>
                      <w:rFonts w:hint="default" w:ascii="Times New Roman" w:hAnsi="Times New Roman" w:eastAsia="宋体" w:cs="Times New Roman"/>
                      <w:snapToGrid w:val="0"/>
                      <w:color w:val="auto"/>
                      <w:sz w:val="21"/>
                      <w:szCs w:val="21"/>
                      <w:lang w:bidi="en-US"/>
                    </w:rPr>
                  </w:pPr>
                  <w:r>
                    <w:rPr>
                      <w:rFonts w:hint="default" w:ascii="Times New Roman" w:hAnsi="Times New Roman" w:eastAsia="宋体" w:cs="Times New Roman"/>
                      <w:snapToGrid w:val="0"/>
                      <w:color w:val="auto"/>
                      <w:sz w:val="21"/>
                      <w:szCs w:val="21"/>
                      <w:lang w:bidi="en-US"/>
                    </w:rPr>
                    <w:t>≤1</w:t>
                  </w:r>
                </w:p>
              </w:tc>
              <w:tc>
                <w:tcPr>
                  <w:tcW w:w="755" w:type="pct"/>
                  <w:vAlign w:val="center"/>
                </w:tcPr>
                <w:p w14:paraId="59C17EAA">
                  <w:pPr>
                    <w:adjustRightInd w:val="0"/>
                    <w:snapToGrid w:val="0"/>
                    <w:spacing w:line="240" w:lineRule="auto"/>
                    <w:ind w:firstLine="0" w:firstLineChars="0"/>
                    <w:jc w:val="center"/>
                    <w:rPr>
                      <w:rFonts w:hint="default" w:ascii="Times New Roman" w:hAnsi="Times New Roman" w:eastAsia="宋体" w:cs="Times New Roman"/>
                      <w:snapToGrid w:val="0"/>
                      <w:color w:val="auto"/>
                      <w:sz w:val="21"/>
                      <w:szCs w:val="21"/>
                      <w:lang w:bidi="en-US"/>
                    </w:rPr>
                  </w:pPr>
                  <w:r>
                    <w:rPr>
                      <w:rFonts w:hint="default" w:ascii="Times New Roman" w:hAnsi="Times New Roman" w:eastAsia="宋体" w:cs="Times New Roman"/>
                      <w:snapToGrid w:val="0"/>
                      <w:color w:val="auto"/>
                      <w:sz w:val="21"/>
                      <w:szCs w:val="21"/>
                      <w:lang w:bidi="en-US"/>
                    </w:rPr>
                    <w:t>加强废气处理设施的管理，定期检修，建立健全的环保管理机构</w:t>
                  </w:r>
                </w:p>
              </w:tc>
            </w:tr>
          </w:tbl>
          <w:p w14:paraId="0AC603AC">
            <w:pPr>
              <w:spacing w:line="360" w:lineRule="auto"/>
              <w:ind w:left="0" w:leftChars="0" w:firstLine="0" w:firstLineChars="0"/>
              <w:jc w:val="center"/>
              <w:rPr>
                <w:rFonts w:hint="default" w:eastAsia="宋体"/>
                <w:color w:val="auto"/>
                <w:lang w:val="en-US" w:eastAsia="zh-CN"/>
              </w:rPr>
            </w:pPr>
          </w:p>
        </w:tc>
      </w:tr>
    </w:tbl>
    <w:p w14:paraId="1CB0773E">
      <w:pPr>
        <w:adjustRightInd w:val="0"/>
        <w:snapToGrid w:val="0"/>
        <w:ind w:firstLine="0" w:firstLineChars="0"/>
        <w:jc w:val="center"/>
        <w:rPr>
          <w:bCs/>
          <w:color w:val="auto"/>
          <w:szCs w:val="21"/>
        </w:rPr>
        <w:sectPr>
          <w:pgSz w:w="16838" w:h="11906" w:orient="landscape"/>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8"/>
        <w:tblW w:w="96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69"/>
        <w:gridCol w:w="9053"/>
      </w:tblGrid>
      <w:tr w14:paraId="5B3B52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69" w:hRule="atLeast"/>
          <w:jc w:val="center"/>
        </w:trPr>
        <w:tc>
          <w:tcPr>
            <w:tcW w:w="569" w:type="dxa"/>
            <w:tcMar>
              <w:left w:w="28" w:type="dxa"/>
              <w:right w:w="28" w:type="dxa"/>
            </w:tcMar>
            <w:vAlign w:val="center"/>
          </w:tcPr>
          <w:p w14:paraId="15EAFF88">
            <w:pPr>
              <w:adjustRightInd w:val="0"/>
              <w:snapToGrid w:val="0"/>
              <w:ind w:firstLine="0" w:firstLineChars="0"/>
              <w:jc w:val="center"/>
              <w:rPr>
                <w:bCs/>
                <w:color w:val="auto"/>
                <w:szCs w:val="21"/>
              </w:rPr>
            </w:pPr>
          </w:p>
        </w:tc>
        <w:tc>
          <w:tcPr>
            <w:tcW w:w="9053" w:type="dxa"/>
            <w:vAlign w:val="center"/>
          </w:tcPr>
          <w:p w14:paraId="055B3DA6">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color w:val="auto"/>
              </w:rPr>
            </w:pPr>
            <w:r>
              <w:rPr>
                <w:sz w:val="24"/>
              </w:rPr>
              <w:t>根据上表可见，事故情况下污染物的排放浓度会有一定程度的增加。项目建设运行后，企业应加强在岗人员培训和对废气处理设备运行的管理，尽量降低、避免非正常情况的发生，当废气处理装置出现故障不能短时间恢复时，应通知生产车间停止生产，对废气处理设备进行检修，确保产生废气达标排放。</w:t>
            </w:r>
          </w:p>
          <w:p w14:paraId="3D3C8B1C">
            <w:pPr>
              <w:widowControl/>
              <w:spacing w:line="360" w:lineRule="auto"/>
              <w:ind w:firstLine="482"/>
              <w:rPr>
                <w:rFonts w:hint="default" w:eastAsia="宋体"/>
                <w:color w:val="auto"/>
                <w:lang w:val="en-US" w:eastAsia="zh-CN"/>
              </w:rPr>
            </w:pPr>
            <w:r>
              <w:rPr>
                <w:rFonts w:hint="eastAsia"/>
                <w:b/>
                <w:bCs/>
                <w:color w:val="auto"/>
                <w:kern w:val="0"/>
                <w:lang w:val="en-US" w:eastAsia="zh-CN"/>
              </w:rPr>
              <w:t>4.</w:t>
            </w:r>
            <w:r>
              <w:rPr>
                <w:b/>
                <w:bCs/>
                <w:color w:val="auto"/>
                <w:kern w:val="0"/>
              </w:rPr>
              <w:t>废气</w:t>
            </w:r>
            <w:r>
              <w:rPr>
                <w:rFonts w:hint="eastAsia"/>
                <w:b/>
                <w:bCs/>
                <w:color w:val="auto"/>
                <w:kern w:val="0"/>
                <w:lang w:val="en-US" w:eastAsia="zh-CN"/>
              </w:rPr>
              <w:t>环境影响分析</w:t>
            </w:r>
          </w:p>
          <w:p w14:paraId="10F5F1C7">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（1）大气有害物质无组织排放卫生防护距离的设定</w:t>
            </w:r>
          </w:p>
          <w:p w14:paraId="32493ABA">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按照“工程分析”核算的有害气体无组织排放量</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根据《大气有害物质无组织排放卫生防护距离推导技术导则》（GB/T39499-2020）的有关规定</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当目标企业无组织排放存在多种有毒有害污染物时</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基于单个污染物的等标排放量（Qc/Cm）计算结果</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优先选择等标排放量最大的污染物1～2种为企业无组织排放的主要特征大气有害物质。当前两种污染物的等标排放量相差在10%以内时</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需要同时选择这两种特征大气有害物质分别计算卫生防护距离初值</w:t>
            </w:r>
            <w:r>
              <w:rPr>
                <w:rFonts w:hint="default" w:ascii="Times New Roman" w:hAnsi="Times New Roman" w:cs="Times New Roman"/>
                <w:color w:val="auto"/>
                <w:sz w:val="24"/>
                <w:highlight w:val="none"/>
                <w:lang w:eastAsia="zh-CN"/>
              </w:rPr>
              <w:t>，本项目</w:t>
            </w:r>
            <w:r>
              <w:rPr>
                <w:rFonts w:hint="default" w:ascii="Times New Roman" w:hAnsi="Times New Roman" w:cs="Times New Roman"/>
                <w:color w:val="auto"/>
                <w:sz w:val="24"/>
                <w:highlight w:val="none"/>
              </w:rPr>
              <w:t>无组织污染物等标排放量详见下表。</w:t>
            </w:r>
          </w:p>
          <w:p w14:paraId="4894C069">
            <w:pPr>
              <w:adjustRightInd w:val="0"/>
              <w:snapToGrid w:val="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表4-</w:t>
            </w:r>
            <w:r>
              <w:rPr>
                <w:rFonts w:hint="eastAsia" w:cs="Times New Roman"/>
                <w:b/>
                <w:color w:val="auto"/>
                <w:kern w:val="0"/>
                <w:szCs w:val="21"/>
                <w:highlight w:val="none"/>
                <w:lang w:val="en-US" w:eastAsia="zh-CN"/>
              </w:rPr>
              <w:t>8</w:t>
            </w:r>
            <w:r>
              <w:rPr>
                <w:rFonts w:hint="default" w:ascii="Times New Roman" w:hAnsi="Times New Roman" w:cs="Times New Roman"/>
                <w:b/>
                <w:color w:val="auto"/>
                <w:kern w:val="0"/>
                <w:szCs w:val="21"/>
                <w:highlight w:val="none"/>
              </w:rPr>
              <w:t>项目无组织废气等标排放量计算结果一览表</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498"/>
              <w:gridCol w:w="1777"/>
              <w:gridCol w:w="2171"/>
              <w:gridCol w:w="1098"/>
              <w:gridCol w:w="1098"/>
            </w:tblGrid>
            <w:tr w14:paraId="3B18F7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23" w:type="pct"/>
                  <w:gridSpan w:val="2"/>
                  <w:noWrap w:val="0"/>
                  <w:vAlign w:val="center"/>
                </w:tcPr>
                <w:p w14:paraId="1657B70B">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005" w:type="pct"/>
                  <w:noWrap w:val="0"/>
                  <w:vAlign w:val="center"/>
                </w:tcPr>
                <w:p w14:paraId="3163B1FE">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源强Qc（kg/h）</w:t>
                  </w:r>
                </w:p>
              </w:tc>
              <w:tc>
                <w:tcPr>
                  <w:tcW w:w="1228" w:type="pct"/>
                  <w:noWrap w:val="0"/>
                  <w:vAlign w:val="center"/>
                </w:tcPr>
                <w:p w14:paraId="085A73C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标准限值 C（mg/Nm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c>
                <w:tcPr>
                  <w:tcW w:w="621" w:type="pct"/>
                  <w:noWrap w:val="0"/>
                  <w:vAlign w:val="center"/>
                </w:tcPr>
                <w:p w14:paraId="355FCD32">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Qc/Cm</w:t>
                  </w:r>
                </w:p>
              </w:tc>
              <w:tc>
                <w:tcPr>
                  <w:tcW w:w="621" w:type="pct"/>
                  <w:noWrap w:val="0"/>
                  <w:vAlign w:val="center"/>
                </w:tcPr>
                <w:p w14:paraId="4862E94B">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等标排放量排序</w:t>
                  </w:r>
                </w:p>
              </w:tc>
            </w:tr>
            <w:tr w14:paraId="1A8BEF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6" w:type="pct"/>
                  <w:noWrap w:val="0"/>
                  <w:vAlign w:val="center"/>
                </w:tcPr>
                <w:p w14:paraId="531839EB">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生产车间</w:t>
                  </w:r>
                </w:p>
              </w:tc>
              <w:tc>
                <w:tcPr>
                  <w:tcW w:w="847" w:type="pct"/>
                  <w:noWrap w:val="0"/>
                  <w:vAlign w:val="center"/>
                </w:tcPr>
                <w:p w14:paraId="5F801419">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rPr>
                    <w:t>非甲烷总烃</w:t>
                  </w:r>
                </w:p>
              </w:tc>
              <w:tc>
                <w:tcPr>
                  <w:tcW w:w="1005" w:type="pct"/>
                  <w:noWrap w:val="0"/>
                  <w:vAlign w:val="center"/>
                </w:tcPr>
                <w:p w14:paraId="764A83A0">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0.017</w:t>
                  </w:r>
                </w:p>
              </w:tc>
              <w:tc>
                <w:tcPr>
                  <w:tcW w:w="1228" w:type="pct"/>
                  <w:noWrap w:val="0"/>
                  <w:vAlign w:val="center"/>
                </w:tcPr>
                <w:p w14:paraId="484FA60F">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 xml:space="preserve">2 </w:t>
                  </w:r>
                </w:p>
              </w:tc>
              <w:tc>
                <w:tcPr>
                  <w:tcW w:w="621" w:type="pct"/>
                  <w:noWrap w:val="0"/>
                  <w:vAlign w:val="center"/>
                </w:tcPr>
                <w:p w14:paraId="0E89D9C5">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0.0085</w:t>
                  </w:r>
                </w:p>
              </w:tc>
              <w:tc>
                <w:tcPr>
                  <w:tcW w:w="621" w:type="pct"/>
                  <w:noWrap w:val="0"/>
                  <w:vAlign w:val="center"/>
                </w:tcPr>
                <w:p w14:paraId="7D08709F">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r>
          </w:tbl>
          <w:p w14:paraId="5F30CBED">
            <w:pPr>
              <w:keepNext w:val="0"/>
              <w:keepLines w:val="0"/>
              <w:pageBreakBefore w:val="0"/>
              <w:widowControl w:val="0"/>
              <w:kinsoku/>
              <w:wordWrap/>
              <w:overflowPunct/>
              <w:topLinePunct w:val="0"/>
              <w:autoSpaceDE/>
              <w:autoSpaceDN/>
              <w:bidi w:val="0"/>
              <w:adjustRightInd w:val="0"/>
              <w:snapToGrid w:val="0"/>
              <w:spacing w:line="360" w:lineRule="auto"/>
              <w:ind w:firstLine="360" w:firstLineChars="200"/>
              <w:jc w:val="left"/>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注：根据《环境影响评价技术导则 大气环境》（HJ2.2-2018）5.3.2.1对仅有8h平均质量浓度限值、日平均质量浓度限值或年平均质量浓度限值的</w:t>
            </w:r>
            <w:r>
              <w:rPr>
                <w:rFonts w:hint="default" w:ascii="Times New Roman" w:hAnsi="Times New Roman" w:cs="Times New Roman"/>
                <w:color w:val="auto"/>
                <w:sz w:val="18"/>
                <w:szCs w:val="18"/>
                <w:lang w:eastAsia="zh-CN"/>
              </w:rPr>
              <w:t>，</w:t>
            </w:r>
            <w:r>
              <w:rPr>
                <w:rFonts w:hint="default" w:ascii="Times New Roman" w:hAnsi="Times New Roman" w:cs="Times New Roman"/>
                <w:color w:val="auto"/>
                <w:sz w:val="18"/>
                <w:szCs w:val="18"/>
              </w:rPr>
              <w:t>可分别按2倍、3倍、6倍折算为1h平均质量浓度限值</w:t>
            </w:r>
            <w:r>
              <w:rPr>
                <w:rFonts w:hint="default" w:ascii="Times New Roman" w:hAnsi="Times New Roman" w:cs="Times New Roman"/>
                <w:color w:val="auto"/>
                <w:sz w:val="18"/>
                <w:szCs w:val="18"/>
                <w:lang w:eastAsia="zh-CN"/>
              </w:rPr>
              <w:t>，</w:t>
            </w:r>
            <w:r>
              <w:rPr>
                <w:rFonts w:hint="default" w:ascii="Times New Roman" w:hAnsi="Times New Roman" w:cs="Times New Roman"/>
                <w:color w:val="auto"/>
                <w:sz w:val="18"/>
                <w:szCs w:val="18"/>
              </w:rPr>
              <w:t>非甲烷总烃参照执行《大气污染物综合排放标准详解》。</w:t>
            </w:r>
          </w:p>
          <w:p w14:paraId="2A34755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由上表可知</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污染物排放源强</w:t>
            </w:r>
            <w:r>
              <w:rPr>
                <w:rFonts w:hint="eastAsia" w:ascii="Times New Roman" w:hAnsi="Times New Roman" w:cs="Times New Roman"/>
                <w:color w:val="auto"/>
                <w:sz w:val="24"/>
                <w:lang w:val="en-US" w:eastAsia="zh-CN"/>
              </w:rPr>
              <w:t>只有</w:t>
            </w:r>
            <w:r>
              <w:rPr>
                <w:rFonts w:hint="default" w:ascii="Times New Roman" w:hAnsi="Times New Roman" w:cs="Times New Roman"/>
                <w:color w:val="auto"/>
                <w:sz w:val="24"/>
              </w:rPr>
              <w:t>非甲烷总烃</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故本次</w:t>
            </w:r>
            <w:r>
              <w:rPr>
                <w:rFonts w:hint="eastAsia" w:ascii="Times New Roman" w:hAnsi="Times New Roman" w:cs="Times New Roman"/>
                <w:color w:val="auto"/>
                <w:sz w:val="24"/>
                <w:lang w:val="en-US" w:eastAsia="zh-CN"/>
              </w:rPr>
              <w:t>选非甲烷总烃为企业无组织排放的主要特征大气有害物质，</w:t>
            </w:r>
            <w:r>
              <w:rPr>
                <w:rFonts w:hint="default" w:ascii="Times New Roman" w:hAnsi="Times New Roman" w:cs="Times New Roman"/>
                <w:color w:val="auto"/>
                <w:sz w:val="24"/>
              </w:rPr>
              <w:t>计算卫生防护距离。</w:t>
            </w:r>
          </w:p>
          <w:p w14:paraId="08CEC84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（2）卫生防护距离</w:t>
            </w:r>
          </w:p>
          <w:p w14:paraId="49AA3E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本次评价根据《大气有害物质无组织排放卫生防护距离推导技术导则》（GB/T39499-2020）的有关规定核算卫生防护距离。</w:t>
            </w:r>
          </w:p>
          <w:p w14:paraId="621C46BD">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根据《大气有害物质无组织排放卫生防护距离推导技术导则》（GB/T39499-2020）</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卫生防护距离计算公式如下：</w:t>
            </w:r>
          </w:p>
          <w:p w14:paraId="783B24D4">
            <w:pPr>
              <w:adjustRightInd w:val="0"/>
              <w:snapToGrid w:val="0"/>
              <w:spacing w:line="360" w:lineRule="auto"/>
              <w:ind w:firstLine="240" w:firstLineChars="100"/>
              <w:jc w:val="center"/>
              <w:rPr>
                <w:rFonts w:hint="default" w:ascii="Times New Roman" w:hAnsi="Times New Roman" w:cs="Times New Roman"/>
                <w:color w:val="auto"/>
                <w:sz w:val="24"/>
              </w:rPr>
            </w:pPr>
            <w:r>
              <w:rPr>
                <w:rFonts w:hint="default" w:ascii="Times New Roman" w:hAnsi="Times New Roman" w:cs="Times New Roman"/>
                <w:color w:val="auto"/>
                <w:sz w:val="24"/>
              </w:rPr>
              <w:drawing>
                <wp:inline distT="0" distB="0" distL="114300" distR="114300">
                  <wp:extent cx="1891665" cy="450850"/>
                  <wp:effectExtent l="0" t="0" r="13335" b="5715"/>
                  <wp:docPr id="1"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1"/>
                          <pic:cNvPicPr>
                            <a:picLocks noChangeAspect="1"/>
                          </pic:cNvPicPr>
                        </pic:nvPicPr>
                        <pic:blipFill>
                          <a:blip r:embed="rId17"/>
                          <a:stretch>
                            <a:fillRect/>
                          </a:stretch>
                        </pic:blipFill>
                        <pic:spPr>
                          <a:xfrm>
                            <a:off x="0" y="0"/>
                            <a:ext cx="1891665" cy="450850"/>
                          </a:xfrm>
                          <a:prstGeom prst="rect">
                            <a:avLst/>
                          </a:prstGeom>
                          <a:noFill/>
                          <a:ln>
                            <a:noFill/>
                          </a:ln>
                        </pic:spPr>
                      </pic:pic>
                    </a:graphicData>
                  </a:graphic>
                </wp:inline>
              </w:drawing>
            </w:r>
          </w:p>
          <w:p w14:paraId="72ADBFF0">
            <w:pPr>
              <w:adjustRightInd w:val="0"/>
              <w:snapToGrid w:val="0"/>
              <w:spacing w:line="360" w:lineRule="auto"/>
              <w:ind w:firstLine="120" w:firstLineChars="50"/>
              <w:rPr>
                <w:rFonts w:hint="default" w:ascii="Times New Roman" w:hAnsi="Times New Roman" w:cs="Times New Roman"/>
                <w:color w:val="auto"/>
                <w:sz w:val="24"/>
              </w:rPr>
            </w:pPr>
            <w:r>
              <w:rPr>
                <w:rFonts w:hint="default" w:ascii="Times New Roman" w:hAnsi="Times New Roman" w:cs="Times New Roman"/>
                <w:color w:val="auto"/>
                <w:sz w:val="24"/>
              </w:rPr>
              <w:t>式中：Qc——大气有害物质的无组织排放量</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单位为千克每小时（kg/h）；</w:t>
            </w:r>
          </w:p>
          <w:p w14:paraId="585A6983">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b/>
            </w:r>
            <w:r>
              <w:rPr>
                <w:rFonts w:hint="default" w:ascii="Times New Roman" w:hAnsi="Times New Roman" w:cs="Times New Roman"/>
                <w:color w:val="auto"/>
                <w:sz w:val="24"/>
              </w:rPr>
              <w:t>Cm——大气有害物质环境空气质量的标准限值</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单位为毫克每立方米（mg/m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w:t>
            </w:r>
          </w:p>
          <w:p w14:paraId="2B8FA906">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b/>
            </w:r>
            <w:r>
              <w:rPr>
                <w:rFonts w:hint="default" w:ascii="Times New Roman" w:hAnsi="Times New Roman" w:cs="Times New Roman"/>
                <w:color w:val="auto"/>
                <w:sz w:val="24"/>
              </w:rPr>
              <w:t>L——大气有害物质卫生防护距离初值</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单位为米（m）；</w:t>
            </w:r>
          </w:p>
          <w:p w14:paraId="4342F273">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b/>
            </w:r>
            <w:r>
              <w:rPr>
                <w:rFonts w:hint="default" w:ascii="Times New Roman" w:hAnsi="Times New Roman" w:cs="Times New Roman"/>
                <w:color w:val="auto"/>
                <w:sz w:val="24"/>
              </w:rPr>
              <w:t>r——大气有害物质无组织排放源所在生产单元的等效半径</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单位为米（m）</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r=（S/π）</w:t>
            </w:r>
            <w:r>
              <w:rPr>
                <w:rFonts w:hint="default" w:ascii="Times New Roman" w:hAnsi="Times New Roman" w:cs="Times New Roman"/>
                <w:color w:val="auto"/>
                <w:sz w:val="24"/>
                <w:vertAlign w:val="superscript"/>
              </w:rPr>
              <w:t>0.5</w:t>
            </w:r>
            <w:r>
              <w:rPr>
                <w:rFonts w:hint="default" w:ascii="Times New Roman" w:hAnsi="Times New Roman" w:cs="Times New Roman"/>
                <w:color w:val="auto"/>
                <w:sz w:val="24"/>
              </w:rPr>
              <w:t>；</w:t>
            </w:r>
          </w:p>
          <w:p w14:paraId="722468DC">
            <w:pPr>
              <w:adjustRightInd w:val="0"/>
              <w:snapToGrid w:val="0"/>
              <w:spacing w:line="360" w:lineRule="auto"/>
              <w:ind w:firstLine="960" w:firstLineChars="400"/>
              <w:rPr>
                <w:rFonts w:hint="default" w:ascii="Times New Roman" w:hAnsi="Times New Roman" w:cs="Times New Roman"/>
                <w:color w:val="auto"/>
                <w:sz w:val="24"/>
              </w:rPr>
            </w:pPr>
            <w:r>
              <w:rPr>
                <w:rFonts w:hint="default" w:ascii="Times New Roman" w:hAnsi="Times New Roman" w:cs="Times New Roman"/>
                <w:color w:val="auto"/>
                <w:sz w:val="24"/>
              </w:rPr>
              <w:t>A</w:t>
            </w:r>
            <w:r>
              <w:rPr>
                <w:rFonts w:hint="eastAsia" w:cs="Times New Roman"/>
                <w:color w:val="auto"/>
                <w:sz w:val="24"/>
                <w:lang w:eastAsia="zh-CN"/>
              </w:rPr>
              <w:t>.</w:t>
            </w:r>
            <w:r>
              <w:rPr>
                <w:rFonts w:hint="default" w:ascii="Times New Roman" w:hAnsi="Times New Roman" w:cs="Times New Roman"/>
                <w:color w:val="auto"/>
                <w:sz w:val="24"/>
              </w:rPr>
              <w:t>B、C、D——卫生防护距离初值计算系数</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无因次</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根据工业企业所在地区近5年平均风速及大气污染源构成类别从下表查取</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项目所在地年均风速为2.</w:t>
            </w:r>
            <w:r>
              <w:rPr>
                <w:rFonts w:hint="eastAsia" w:ascii="Times New Roman" w:hAnsi="Times New Roman" w:cs="Times New Roman"/>
                <w:color w:val="auto"/>
                <w:sz w:val="24"/>
                <w:lang w:val="en-US" w:eastAsia="zh-CN"/>
              </w:rPr>
              <w:t>9</w:t>
            </w:r>
            <w:r>
              <w:rPr>
                <w:rFonts w:hint="default" w:ascii="Times New Roman" w:hAnsi="Times New Roman" w:cs="Times New Roman"/>
                <w:color w:val="auto"/>
                <w:sz w:val="24"/>
              </w:rPr>
              <w:t>m/s。</w:t>
            </w:r>
          </w:p>
          <w:p w14:paraId="6115C3CD">
            <w:pPr>
              <w:adjustRightInd w:val="0"/>
              <w:snapToGrid w:val="0"/>
              <w:jc w:val="center"/>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表4-</w:t>
            </w:r>
            <w:r>
              <w:rPr>
                <w:rFonts w:hint="eastAsia" w:cs="Times New Roman"/>
                <w:b/>
                <w:color w:val="auto"/>
                <w:kern w:val="0"/>
                <w:sz w:val="24"/>
                <w:lang w:val="en-US" w:eastAsia="zh-CN"/>
              </w:rPr>
              <w:t>9</w:t>
            </w:r>
            <w:r>
              <w:rPr>
                <w:rFonts w:hint="default" w:ascii="Times New Roman" w:hAnsi="Times New Roman" w:cs="Times New Roman"/>
                <w:b/>
                <w:color w:val="auto"/>
                <w:kern w:val="0"/>
                <w:sz w:val="24"/>
              </w:rPr>
              <w:t>卫生防护距离计算系数</w:t>
            </w:r>
          </w:p>
          <w:tbl>
            <w:tblPr>
              <w:tblStyle w:val="38"/>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984"/>
              <w:gridCol w:w="1039"/>
              <w:gridCol w:w="755"/>
              <w:gridCol w:w="755"/>
              <w:gridCol w:w="758"/>
              <w:gridCol w:w="755"/>
              <w:gridCol w:w="756"/>
              <w:gridCol w:w="758"/>
              <w:gridCol w:w="756"/>
              <w:gridCol w:w="756"/>
              <w:gridCol w:w="763"/>
            </w:tblGrid>
            <w:tr w14:paraId="45CAA7D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restart"/>
                  <w:noWrap w:val="0"/>
                  <w:vAlign w:val="center"/>
                </w:tcPr>
                <w:p w14:paraId="276CA3D8">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卫生防护距离初值计算系数</w:t>
                  </w:r>
                </w:p>
              </w:tc>
              <w:tc>
                <w:tcPr>
                  <w:tcW w:w="588" w:type="pct"/>
                  <w:vMerge w:val="restart"/>
                  <w:noWrap w:val="0"/>
                  <w:vAlign w:val="center"/>
                </w:tcPr>
                <w:p w14:paraId="726280E0">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工业企业所在地区近5年平均风速（m/s）</w:t>
                  </w:r>
                </w:p>
              </w:tc>
              <w:tc>
                <w:tcPr>
                  <w:tcW w:w="3853" w:type="pct"/>
                  <w:gridSpan w:val="9"/>
                  <w:noWrap w:val="0"/>
                  <w:vAlign w:val="center"/>
                </w:tcPr>
                <w:p w14:paraId="7350E1CA">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卫生防护距离L/m</w:t>
                  </w:r>
                </w:p>
              </w:tc>
            </w:tr>
            <w:tr w14:paraId="4AA8916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noWrap w:val="0"/>
                  <w:vAlign w:val="center"/>
                </w:tcPr>
                <w:p w14:paraId="1F02000E">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vMerge w:val="continue"/>
                  <w:noWrap w:val="0"/>
                  <w:vAlign w:val="center"/>
                </w:tcPr>
                <w:p w14:paraId="4993462C">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1283" w:type="pct"/>
                  <w:gridSpan w:val="3"/>
                  <w:noWrap w:val="0"/>
                  <w:vAlign w:val="center"/>
                </w:tcPr>
                <w:p w14:paraId="224068F5">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L≤1000</w:t>
                  </w:r>
                </w:p>
              </w:tc>
              <w:tc>
                <w:tcPr>
                  <w:tcW w:w="1284" w:type="pct"/>
                  <w:gridSpan w:val="3"/>
                  <w:noWrap w:val="0"/>
                  <w:vAlign w:val="center"/>
                </w:tcPr>
                <w:p w14:paraId="3BEAD3C4">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1000</w:t>
                  </w:r>
                  <w:r>
                    <w:rPr>
                      <w:rFonts w:hint="eastAsia" w:cs="Times New Roman"/>
                      <w:color w:val="auto"/>
                      <w:sz w:val="21"/>
                      <w:szCs w:val="21"/>
                      <w:lang w:eastAsia="zh-CN"/>
                    </w:rPr>
                    <w:t>&lt;</w:t>
                  </w:r>
                  <w:r>
                    <w:rPr>
                      <w:rFonts w:hint="default" w:ascii="Times New Roman" w:hAnsi="Times New Roman" w:eastAsia="宋体" w:cs="Times New Roman"/>
                      <w:color w:val="auto"/>
                      <w:sz w:val="21"/>
                      <w:szCs w:val="21"/>
                    </w:rPr>
                    <w:t>L≤2000</w:t>
                  </w:r>
                </w:p>
              </w:tc>
              <w:tc>
                <w:tcPr>
                  <w:tcW w:w="1286" w:type="pct"/>
                  <w:gridSpan w:val="3"/>
                  <w:noWrap w:val="0"/>
                  <w:vAlign w:val="center"/>
                </w:tcPr>
                <w:p w14:paraId="507B67A6">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w:t>
                  </w:r>
                  <w:r>
                    <w:rPr>
                      <w:rFonts w:hint="eastAsia" w:cs="Times New Roman"/>
                      <w:color w:val="auto"/>
                      <w:sz w:val="21"/>
                      <w:szCs w:val="21"/>
                      <w:lang w:eastAsia="zh-CN"/>
                    </w:rPr>
                    <w:t>&gt;</w:t>
                  </w:r>
                  <w:r>
                    <w:rPr>
                      <w:rFonts w:hint="default" w:ascii="Times New Roman" w:hAnsi="Times New Roman" w:eastAsia="宋体" w:cs="Times New Roman"/>
                      <w:color w:val="auto"/>
                      <w:sz w:val="21"/>
                      <w:szCs w:val="21"/>
                    </w:rPr>
                    <w:t>2000</w:t>
                  </w:r>
                </w:p>
              </w:tc>
            </w:tr>
            <w:tr w14:paraId="6061CFE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noWrap w:val="0"/>
                  <w:vAlign w:val="center"/>
                </w:tcPr>
                <w:p w14:paraId="7B091556">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vMerge w:val="continue"/>
                  <w:noWrap w:val="0"/>
                  <w:vAlign w:val="center"/>
                </w:tcPr>
                <w:p w14:paraId="12072F18">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3853" w:type="pct"/>
                  <w:gridSpan w:val="9"/>
                  <w:noWrap w:val="0"/>
                  <w:vAlign w:val="center"/>
                </w:tcPr>
                <w:p w14:paraId="59B60BE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工业企业大气污染源构成类别</w:t>
                  </w:r>
                </w:p>
              </w:tc>
            </w:tr>
            <w:tr w14:paraId="3B8B5C8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noWrap w:val="0"/>
                  <w:vAlign w:val="center"/>
                </w:tcPr>
                <w:p w14:paraId="2C4859A4">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vMerge w:val="continue"/>
                  <w:noWrap w:val="0"/>
                  <w:vAlign w:val="center"/>
                </w:tcPr>
                <w:p w14:paraId="1C554D64">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427" w:type="pct"/>
                  <w:noWrap w:val="0"/>
                  <w:vAlign w:val="center"/>
                </w:tcPr>
                <w:p w14:paraId="0DAE9776">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7" w:type="pct"/>
                  <w:noWrap w:val="0"/>
                  <w:vAlign w:val="center"/>
                </w:tcPr>
                <w:p w14:paraId="108EFB3E">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8" w:type="pct"/>
                  <w:noWrap w:val="0"/>
                  <w:vAlign w:val="center"/>
                </w:tcPr>
                <w:p w14:paraId="0CFB83B1">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7" w:type="pct"/>
                  <w:noWrap w:val="0"/>
                  <w:vAlign w:val="center"/>
                </w:tcPr>
                <w:p w14:paraId="0538E1FF">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8" w:type="pct"/>
                  <w:noWrap w:val="0"/>
                  <w:vAlign w:val="center"/>
                </w:tcPr>
                <w:p w14:paraId="5796FB89">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8" w:type="pct"/>
                  <w:noWrap w:val="0"/>
                  <w:vAlign w:val="center"/>
                </w:tcPr>
                <w:p w14:paraId="27FC541D">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8" w:type="pct"/>
                  <w:noWrap w:val="0"/>
                  <w:vAlign w:val="center"/>
                </w:tcPr>
                <w:p w14:paraId="69CF9DE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8" w:type="pct"/>
                  <w:noWrap w:val="0"/>
                  <w:vAlign w:val="center"/>
                </w:tcPr>
                <w:p w14:paraId="4397E4A9">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9" w:type="pct"/>
                  <w:noWrap w:val="0"/>
                  <w:vAlign w:val="center"/>
                </w:tcPr>
                <w:p w14:paraId="38B7FDF1">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r>
            <w:tr w14:paraId="7C36FDD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restart"/>
                  <w:noWrap w:val="0"/>
                  <w:vAlign w:val="center"/>
                </w:tcPr>
                <w:p w14:paraId="7B8237EB">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588" w:type="pct"/>
                  <w:noWrap w:val="0"/>
                  <w:vAlign w:val="center"/>
                </w:tcPr>
                <w:p w14:paraId="73AA291D">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427" w:type="pct"/>
                  <w:noWrap w:val="0"/>
                  <w:vAlign w:val="center"/>
                </w:tcPr>
                <w:p w14:paraId="373E95C7">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7" w:type="pct"/>
                  <w:noWrap w:val="0"/>
                  <w:vAlign w:val="center"/>
                </w:tcPr>
                <w:p w14:paraId="60CF8B04">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8" w:type="pct"/>
                  <w:noWrap w:val="0"/>
                  <w:vAlign w:val="center"/>
                </w:tcPr>
                <w:p w14:paraId="2496C92E">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7" w:type="pct"/>
                  <w:noWrap w:val="0"/>
                  <w:vAlign w:val="center"/>
                </w:tcPr>
                <w:p w14:paraId="03E5202F">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8" w:type="pct"/>
                  <w:noWrap w:val="0"/>
                  <w:vAlign w:val="center"/>
                </w:tcPr>
                <w:p w14:paraId="1B5CFA6F">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8" w:type="pct"/>
                  <w:noWrap w:val="0"/>
                  <w:vAlign w:val="center"/>
                </w:tcPr>
                <w:p w14:paraId="69C8CD6B">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8" w:type="pct"/>
                  <w:noWrap w:val="0"/>
                  <w:vAlign w:val="center"/>
                </w:tcPr>
                <w:p w14:paraId="09A41270">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8" w:type="pct"/>
                  <w:noWrap w:val="0"/>
                  <w:vAlign w:val="center"/>
                </w:tcPr>
                <w:p w14:paraId="04B0E3BD">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9" w:type="pct"/>
                  <w:noWrap w:val="0"/>
                  <w:vAlign w:val="center"/>
                </w:tcPr>
                <w:p w14:paraId="54D9632E">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14:paraId="56B9646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shd w:val="clear" w:color="auto" w:fill="auto"/>
                  <w:noWrap w:val="0"/>
                  <w:vAlign w:val="center"/>
                </w:tcPr>
                <w:p w14:paraId="5A615A1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shd w:val="clear" w:color="auto" w:fill="auto"/>
                  <w:noWrap w:val="0"/>
                  <w:vAlign w:val="center"/>
                </w:tcPr>
                <w:p w14:paraId="2765C0EF">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4</w:t>
                  </w:r>
                </w:p>
              </w:tc>
              <w:tc>
                <w:tcPr>
                  <w:tcW w:w="427" w:type="pct"/>
                  <w:shd w:val="clear" w:color="auto" w:fill="auto"/>
                  <w:noWrap w:val="0"/>
                  <w:vAlign w:val="center"/>
                </w:tcPr>
                <w:p w14:paraId="0C0940A2">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7" w:type="pct"/>
                  <w:shd w:val="clear" w:color="auto" w:fill="D8D8D8"/>
                  <w:noWrap w:val="0"/>
                  <w:vAlign w:val="center"/>
                </w:tcPr>
                <w:p w14:paraId="7E347390">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8" w:type="pct"/>
                  <w:noWrap w:val="0"/>
                  <w:vAlign w:val="center"/>
                </w:tcPr>
                <w:p w14:paraId="7C239115">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7" w:type="pct"/>
                  <w:noWrap w:val="0"/>
                  <w:vAlign w:val="center"/>
                </w:tcPr>
                <w:p w14:paraId="6B0726C8">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8" w:type="pct"/>
                  <w:noWrap w:val="0"/>
                  <w:vAlign w:val="center"/>
                </w:tcPr>
                <w:p w14:paraId="18F0D51A">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8" w:type="pct"/>
                  <w:noWrap w:val="0"/>
                  <w:vAlign w:val="center"/>
                </w:tcPr>
                <w:p w14:paraId="4DB99FB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8" w:type="pct"/>
                  <w:noWrap w:val="0"/>
                  <w:vAlign w:val="center"/>
                </w:tcPr>
                <w:p w14:paraId="27DCC7C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428" w:type="pct"/>
                  <w:noWrap w:val="0"/>
                  <w:vAlign w:val="center"/>
                </w:tcPr>
                <w:p w14:paraId="067ADF17">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429" w:type="pct"/>
                  <w:noWrap w:val="0"/>
                  <w:vAlign w:val="center"/>
                </w:tcPr>
                <w:p w14:paraId="1E9EAA5C">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14:paraId="3315377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noWrap w:val="0"/>
                  <w:vAlign w:val="center"/>
                </w:tcPr>
                <w:p w14:paraId="1EECFA6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noWrap w:val="0"/>
                  <w:vAlign w:val="center"/>
                </w:tcPr>
                <w:p w14:paraId="23A6A804">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&gt;4</w:t>
                  </w:r>
                </w:p>
              </w:tc>
              <w:tc>
                <w:tcPr>
                  <w:tcW w:w="427" w:type="pct"/>
                  <w:noWrap w:val="0"/>
                  <w:vAlign w:val="center"/>
                </w:tcPr>
                <w:p w14:paraId="4453384A">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7" w:type="pct"/>
                  <w:noWrap w:val="0"/>
                  <w:vAlign w:val="center"/>
                </w:tcPr>
                <w:p w14:paraId="006CCA56">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8" w:type="pct"/>
                  <w:noWrap w:val="0"/>
                  <w:vAlign w:val="center"/>
                </w:tcPr>
                <w:p w14:paraId="3457CD25">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7" w:type="pct"/>
                  <w:noWrap w:val="0"/>
                  <w:vAlign w:val="center"/>
                </w:tcPr>
                <w:p w14:paraId="6892FE11">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8" w:type="pct"/>
                  <w:noWrap w:val="0"/>
                  <w:vAlign w:val="center"/>
                </w:tcPr>
                <w:p w14:paraId="6FFCCC0A">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8" w:type="pct"/>
                  <w:noWrap w:val="0"/>
                  <w:vAlign w:val="center"/>
                </w:tcPr>
                <w:p w14:paraId="7D2B7874">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8" w:type="pct"/>
                  <w:noWrap w:val="0"/>
                  <w:vAlign w:val="center"/>
                </w:tcPr>
                <w:p w14:paraId="0C60ADBC">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428" w:type="pct"/>
                  <w:noWrap w:val="0"/>
                  <w:vAlign w:val="center"/>
                </w:tcPr>
                <w:p w14:paraId="4873DF25">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429" w:type="pct"/>
                  <w:noWrap w:val="0"/>
                  <w:vAlign w:val="center"/>
                </w:tcPr>
                <w:p w14:paraId="32C104B0">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110</w:t>
                  </w:r>
                </w:p>
              </w:tc>
            </w:tr>
            <w:tr w14:paraId="2BD9269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restart"/>
                  <w:noWrap w:val="0"/>
                  <w:vAlign w:val="center"/>
                </w:tcPr>
                <w:p w14:paraId="6D49E4F7">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588" w:type="pct"/>
                  <w:noWrap w:val="0"/>
                  <w:vAlign w:val="center"/>
                </w:tcPr>
                <w:p w14:paraId="15E0CDDD">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83" w:type="pct"/>
                  <w:gridSpan w:val="3"/>
                  <w:noWrap w:val="0"/>
                  <w:vAlign w:val="center"/>
                </w:tcPr>
                <w:p w14:paraId="68F6FC3E">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1284" w:type="pct"/>
                  <w:gridSpan w:val="3"/>
                  <w:noWrap w:val="0"/>
                  <w:vAlign w:val="center"/>
                </w:tcPr>
                <w:p w14:paraId="15D80307">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1286" w:type="pct"/>
                  <w:gridSpan w:val="3"/>
                  <w:noWrap w:val="0"/>
                  <w:vAlign w:val="center"/>
                </w:tcPr>
                <w:p w14:paraId="684657FF">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14:paraId="5B43E8B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shd w:val="clear" w:color="auto" w:fill="auto"/>
                  <w:noWrap w:val="0"/>
                  <w:vAlign w:val="center"/>
                </w:tcPr>
                <w:p w14:paraId="3CE2FD85">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shd w:val="clear" w:color="auto" w:fill="auto"/>
                  <w:noWrap w:val="0"/>
                  <w:vAlign w:val="center"/>
                </w:tcPr>
                <w:p w14:paraId="350793FB">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83" w:type="pct"/>
                  <w:gridSpan w:val="3"/>
                  <w:shd w:val="clear" w:color="auto" w:fill="D8D8D8"/>
                  <w:noWrap w:val="0"/>
                  <w:vAlign w:val="center"/>
                </w:tcPr>
                <w:p w14:paraId="7A738984">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1284" w:type="pct"/>
                  <w:gridSpan w:val="3"/>
                  <w:noWrap w:val="0"/>
                  <w:vAlign w:val="center"/>
                </w:tcPr>
                <w:p w14:paraId="16E373FE">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1286" w:type="pct"/>
                  <w:gridSpan w:val="3"/>
                  <w:noWrap w:val="0"/>
                  <w:vAlign w:val="center"/>
                </w:tcPr>
                <w:p w14:paraId="490B8FD8">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14:paraId="5259C4B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restart"/>
                  <w:noWrap w:val="0"/>
                  <w:vAlign w:val="center"/>
                </w:tcPr>
                <w:p w14:paraId="2861B601">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588" w:type="pct"/>
                  <w:noWrap w:val="0"/>
                  <w:vAlign w:val="center"/>
                </w:tcPr>
                <w:p w14:paraId="313AD741">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83" w:type="pct"/>
                  <w:gridSpan w:val="3"/>
                  <w:noWrap w:val="0"/>
                  <w:vAlign w:val="center"/>
                </w:tcPr>
                <w:p w14:paraId="6FC77E1B">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84" w:type="pct"/>
                  <w:gridSpan w:val="3"/>
                  <w:noWrap w:val="0"/>
                  <w:vAlign w:val="center"/>
                </w:tcPr>
                <w:p w14:paraId="061CB68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1286" w:type="pct"/>
                  <w:gridSpan w:val="3"/>
                  <w:noWrap w:val="0"/>
                  <w:vAlign w:val="center"/>
                </w:tcPr>
                <w:p w14:paraId="5009EE8E">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14:paraId="36F9735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shd w:val="clear" w:color="auto" w:fill="auto"/>
                  <w:noWrap w:val="0"/>
                  <w:vAlign w:val="center"/>
                </w:tcPr>
                <w:p w14:paraId="024F89AF">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shd w:val="clear" w:color="auto" w:fill="auto"/>
                  <w:noWrap w:val="0"/>
                  <w:vAlign w:val="center"/>
                </w:tcPr>
                <w:p w14:paraId="2DB22157">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83" w:type="pct"/>
                  <w:gridSpan w:val="3"/>
                  <w:shd w:val="clear" w:color="auto" w:fill="D8D8D8"/>
                  <w:noWrap w:val="0"/>
                  <w:vAlign w:val="center"/>
                </w:tcPr>
                <w:p w14:paraId="5297DA45">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84" w:type="pct"/>
                  <w:gridSpan w:val="3"/>
                  <w:noWrap w:val="0"/>
                  <w:vAlign w:val="center"/>
                </w:tcPr>
                <w:p w14:paraId="5CD517B9">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1286" w:type="pct"/>
                  <w:gridSpan w:val="3"/>
                  <w:noWrap w:val="0"/>
                  <w:vAlign w:val="center"/>
                </w:tcPr>
                <w:p w14:paraId="699C011C">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r>
            <w:tr w14:paraId="687FD33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restart"/>
                  <w:noWrap w:val="0"/>
                  <w:vAlign w:val="center"/>
                </w:tcPr>
                <w:p w14:paraId="61A3033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588" w:type="pct"/>
                  <w:noWrap w:val="0"/>
                  <w:vAlign w:val="center"/>
                </w:tcPr>
                <w:p w14:paraId="6D3DB8B7">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83" w:type="pct"/>
                  <w:gridSpan w:val="3"/>
                  <w:noWrap w:val="0"/>
                  <w:vAlign w:val="center"/>
                </w:tcPr>
                <w:p w14:paraId="3AA3CB3F">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84" w:type="pct"/>
                  <w:gridSpan w:val="3"/>
                  <w:noWrap w:val="0"/>
                  <w:vAlign w:val="center"/>
                </w:tcPr>
                <w:p w14:paraId="324F25C1">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86" w:type="pct"/>
                  <w:gridSpan w:val="3"/>
                  <w:noWrap w:val="0"/>
                  <w:vAlign w:val="center"/>
                </w:tcPr>
                <w:p w14:paraId="665AB547">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14:paraId="57E6375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57" w:type="pct"/>
                  <w:vMerge w:val="continue"/>
                  <w:shd w:val="clear" w:color="auto" w:fill="auto"/>
                  <w:noWrap w:val="0"/>
                  <w:vAlign w:val="center"/>
                </w:tcPr>
                <w:p w14:paraId="498A7FB0">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p>
              </w:tc>
              <w:tc>
                <w:tcPr>
                  <w:tcW w:w="588" w:type="pct"/>
                  <w:shd w:val="clear" w:color="auto" w:fill="auto"/>
                  <w:noWrap w:val="0"/>
                  <w:vAlign w:val="center"/>
                </w:tcPr>
                <w:p w14:paraId="11621A9C">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83" w:type="pct"/>
                  <w:gridSpan w:val="3"/>
                  <w:shd w:val="clear" w:color="auto" w:fill="D8D8D8"/>
                  <w:noWrap w:val="0"/>
                  <w:vAlign w:val="center"/>
                </w:tcPr>
                <w:p w14:paraId="07919A88">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84" w:type="pct"/>
                  <w:gridSpan w:val="3"/>
                  <w:noWrap w:val="0"/>
                  <w:vAlign w:val="center"/>
                </w:tcPr>
                <w:p w14:paraId="39A3CC63">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86" w:type="pct"/>
                  <w:gridSpan w:val="3"/>
                  <w:noWrap w:val="0"/>
                  <w:vAlign w:val="center"/>
                </w:tcPr>
                <w:p w14:paraId="7CC0DC8B">
                  <w:pPr>
                    <w:adjustRightInd w:val="0"/>
                    <w:snapToGrid w:val="0"/>
                    <w:spacing w:line="240" w:lineRule="exact"/>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14:paraId="6DB0593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340" w:hRule="atLeast"/>
                <w:jc w:val="center"/>
              </w:trPr>
              <w:tc>
                <w:tcPr>
                  <w:tcW w:w="5000" w:type="pct"/>
                  <w:gridSpan w:val="11"/>
                  <w:noWrap w:val="0"/>
                  <w:vAlign w:val="center"/>
                </w:tcPr>
                <w:p w14:paraId="53CCA975">
                  <w:pPr>
                    <w:adjustRightInd w:val="0"/>
                    <w:snapToGrid w:val="0"/>
                    <w:spacing w:line="240" w:lineRule="exact"/>
                    <w:ind w:left="0" w:leftChars="0" w:firstLine="0" w:firstLine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注：Ⅰ类：与无组织排放源共存的排放同种有害气体的排气筒的排放量</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大于或等于标准规定的允许排放量的1/3者。</w:t>
                  </w:r>
                </w:p>
                <w:p w14:paraId="0A89B13D">
                  <w:pPr>
                    <w:adjustRightInd w:val="0"/>
                    <w:snapToGrid w:val="0"/>
                    <w:spacing w:line="240" w:lineRule="exact"/>
                    <w:ind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Ⅱ类：与无组织排放源共存的排放同种有害气体的排气筒的排放量</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小于标准规定的允许排放量的1/3</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或虽无排放同种大气污染物之排气筒共存</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但无组织排放的有害物质的容许浓度指标是按急性反应指标确定者。</w:t>
                  </w:r>
                </w:p>
                <w:p w14:paraId="091530B6">
                  <w:pPr>
                    <w:adjustRightInd w:val="0"/>
                    <w:snapToGrid w:val="0"/>
                    <w:spacing w:line="240" w:lineRule="exact"/>
                    <w:ind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Ⅲ类：无排放同种有害物质的排气筒与无组织排放源共存</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但无组织排放的有害物质的容许排放是按慢性反应指标确定者。</w:t>
                  </w:r>
                </w:p>
              </w:tc>
            </w:tr>
          </w:tbl>
          <w:p w14:paraId="1C728044">
            <w:pPr>
              <w:spacing w:before="120" w:beforeLines="50" w:line="360" w:lineRule="auto"/>
              <w:ind w:firstLine="480" w:firstLineChars="200"/>
              <w:rPr>
                <w:rFonts w:hint="default" w:ascii="Times New Roman" w:hAnsi="Times New Roman" w:cs="Times New Roman"/>
                <w:b/>
                <w:color w:val="auto"/>
                <w:kern w:val="0"/>
                <w:sz w:val="24"/>
                <w:highlight w:val="none"/>
              </w:rPr>
            </w:pPr>
            <w:r>
              <w:rPr>
                <w:rFonts w:hint="default" w:ascii="Times New Roman" w:hAnsi="Times New Roman" w:cs="Times New Roman"/>
                <w:color w:val="auto"/>
              </w:rPr>
              <w:t>本项目卫生防护距离计算结果见下表。</w:t>
            </w:r>
          </w:p>
          <w:p w14:paraId="004F9310">
            <w:pPr>
              <w:adjustRightInd w:val="0"/>
              <w:snapToGrid w:val="0"/>
              <w:jc w:val="center"/>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rPr>
              <w:t>表4-</w:t>
            </w:r>
            <w:r>
              <w:rPr>
                <w:rFonts w:hint="default" w:ascii="Times New Roman" w:hAnsi="Times New Roman" w:cs="Times New Roman"/>
                <w:b/>
                <w:color w:val="auto"/>
                <w:kern w:val="0"/>
                <w:sz w:val="24"/>
                <w:highlight w:val="none"/>
                <w:lang w:val="en-US" w:eastAsia="zh-CN"/>
              </w:rPr>
              <w:t>1</w:t>
            </w:r>
            <w:r>
              <w:rPr>
                <w:rFonts w:hint="eastAsia" w:cs="Times New Roman"/>
                <w:b/>
                <w:color w:val="auto"/>
                <w:kern w:val="0"/>
                <w:sz w:val="24"/>
                <w:highlight w:val="none"/>
                <w:lang w:val="en-US" w:eastAsia="zh-CN"/>
              </w:rPr>
              <w:t>0</w:t>
            </w:r>
            <w:r>
              <w:rPr>
                <w:rFonts w:hint="default" w:ascii="Times New Roman" w:hAnsi="Times New Roman" w:cs="Times New Roman"/>
                <w:b/>
                <w:color w:val="auto"/>
                <w:kern w:val="0"/>
                <w:sz w:val="24"/>
                <w:highlight w:val="none"/>
              </w:rPr>
              <w:t>本项目卫生防护距离计算结果</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1052"/>
              <w:gridCol w:w="1457"/>
              <w:gridCol w:w="1121"/>
              <w:gridCol w:w="1262"/>
              <w:gridCol w:w="1554"/>
              <w:gridCol w:w="1167"/>
              <w:gridCol w:w="1224"/>
            </w:tblGrid>
            <w:tr w14:paraId="6C19DA1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50" w:hRule="atLeast"/>
                <w:jc w:val="center"/>
              </w:trPr>
              <w:tc>
                <w:tcPr>
                  <w:tcW w:w="1419" w:type="pct"/>
                  <w:gridSpan w:val="2"/>
                  <w:vMerge w:val="restart"/>
                  <w:noWrap w:val="0"/>
                  <w:vAlign w:val="center"/>
                </w:tcPr>
                <w:p w14:paraId="3E49BF13">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634" w:type="pct"/>
                  <w:vMerge w:val="restart"/>
                  <w:noWrap w:val="0"/>
                  <w:vAlign w:val="center"/>
                </w:tcPr>
                <w:p w14:paraId="610237F9">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源强Qc（kg/h）</w:t>
                  </w:r>
                </w:p>
              </w:tc>
              <w:tc>
                <w:tcPr>
                  <w:tcW w:w="714" w:type="pct"/>
                  <w:vMerge w:val="restart"/>
                  <w:noWrap w:val="0"/>
                  <w:vAlign w:val="center"/>
                </w:tcPr>
                <w:p w14:paraId="0E00595E">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排放源面积（m</w:t>
                  </w:r>
                  <w:r>
                    <w:rPr>
                      <w:rFonts w:hint="default" w:ascii="Times New Roman" w:hAnsi="Times New Roman" w:eastAsia="宋体" w:cs="Times New Roman"/>
                      <w:b/>
                      <w:bCs/>
                      <w:color w:val="auto"/>
                      <w:sz w:val="21"/>
                      <w:szCs w:val="21"/>
                      <w:highlight w:val="none"/>
                      <w:vertAlign w:val="superscript"/>
                    </w:rPr>
                    <w:t>2</w:t>
                  </w:r>
                  <w:r>
                    <w:rPr>
                      <w:rFonts w:hint="default" w:ascii="Times New Roman" w:hAnsi="Times New Roman" w:eastAsia="宋体" w:cs="Times New Roman"/>
                      <w:b/>
                      <w:bCs/>
                      <w:color w:val="auto"/>
                      <w:sz w:val="21"/>
                      <w:szCs w:val="21"/>
                      <w:highlight w:val="none"/>
                    </w:rPr>
                    <w:t>）</w:t>
                  </w:r>
                </w:p>
              </w:tc>
              <w:tc>
                <w:tcPr>
                  <w:tcW w:w="879" w:type="pct"/>
                  <w:vMerge w:val="restart"/>
                  <w:noWrap w:val="0"/>
                  <w:vAlign w:val="center"/>
                </w:tcPr>
                <w:p w14:paraId="71A4B648">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标准限值Cm</w:t>
                  </w:r>
                </w:p>
                <w:p w14:paraId="6734D93B">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mg/Nm</w:t>
                  </w:r>
                  <w:r>
                    <w:rPr>
                      <w:rFonts w:hint="default" w:ascii="Times New Roman" w:hAnsi="Times New Roman" w:eastAsia="宋体" w:cs="Times New Roman"/>
                      <w:b/>
                      <w:bCs/>
                      <w:color w:val="auto"/>
                      <w:sz w:val="21"/>
                      <w:szCs w:val="21"/>
                      <w:highlight w:val="none"/>
                      <w:vertAlign w:val="superscript"/>
                    </w:rPr>
                    <w:t>3</w:t>
                  </w:r>
                  <w:r>
                    <w:rPr>
                      <w:rFonts w:hint="eastAsia" w:cs="Times New Roman"/>
                      <w:b/>
                      <w:bCs/>
                      <w:color w:val="auto"/>
                      <w:sz w:val="21"/>
                      <w:szCs w:val="21"/>
                      <w:highlight w:val="none"/>
                      <w:vertAlign w:val="superscript"/>
                      <w:lang w:eastAsia="zh-CN"/>
                    </w:rPr>
                    <w:t>)</w:t>
                  </w:r>
                </w:p>
              </w:tc>
              <w:tc>
                <w:tcPr>
                  <w:tcW w:w="1352" w:type="pct"/>
                  <w:gridSpan w:val="2"/>
                  <w:noWrap w:val="0"/>
                  <w:vAlign w:val="center"/>
                </w:tcPr>
                <w:p w14:paraId="2AC19B58">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卫生防护距离L（m）</w:t>
                  </w:r>
                </w:p>
              </w:tc>
            </w:tr>
            <w:tr w14:paraId="5D221E2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75" w:hRule="atLeast"/>
                <w:jc w:val="center"/>
              </w:trPr>
              <w:tc>
                <w:tcPr>
                  <w:tcW w:w="1419" w:type="pct"/>
                  <w:gridSpan w:val="2"/>
                  <w:vMerge w:val="continue"/>
                  <w:noWrap w:val="0"/>
                  <w:vAlign w:val="center"/>
                </w:tcPr>
                <w:p w14:paraId="47BC71F6">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p>
              </w:tc>
              <w:tc>
                <w:tcPr>
                  <w:tcW w:w="634" w:type="pct"/>
                  <w:vMerge w:val="continue"/>
                  <w:noWrap w:val="0"/>
                  <w:vAlign w:val="center"/>
                </w:tcPr>
                <w:p w14:paraId="05729B56">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p>
              </w:tc>
              <w:tc>
                <w:tcPr>
                  <w:tcW w:w="714" w:type="pct"/>
                  <w:vMerge w:val="continue"/>
                  <w:noWrap w:val="0"/>
                  <w:vAlign w:val="center"/>
                </w:tcPr>
                <w:p w14:paraId="2DAB93FC">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p>
              </w:tc>
              <w:tc>
                <w:tcPr>
                  <w:tcW w:w="879" w:type="pct"/>
                  <w:vMerge w:val="continue"/>
                  <w:noWrap w:val="0"/>
                  <w:vAlign w:val="center"/>
                </w:tcPr>
                <w:p w14:paraId="74AD977D">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p>
              </w:tc>
              <w:tc>
                <w:tcPr>
                  <w:tcW w:w="660" w:type="pct"/>
                  <w:noWrap w:val="0"/>
                  <w:vAlign w:val="center"/>
                </w:tcPr>
                <w:p w14:paraId="75C4356D">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计算值</w:t>
                  </w:r>
                </w:p>
              </w:tc>
              <w:tc>
                <w:tcPr>
                  <w:tcW w:w="691" w:type="pct"/>
                  <w:noWrap w:val="0"/>
                  <w:vAlign w:val="center"/>
                </w:tcPr>
                <w:p w14:paraId="4F04088D">
                  <w:pPr>
                    <w:adjustRightInd w:val="0"/>
                    <w:snapToGrid w:val="0"/>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初</w:t>
                  </w:r>
                  <w:r>
                    <w:rPr>
                      <w:rFonts w:hint="default" w:ascii="Times New Roman" w:hAnsi="Times New Roman" w:eastAsia="宋体" w:cs="Times New Roman"/>
                      <w:b/>
                      <w:bCs/>
                      <w:color w:val="auto"/>
                      <w:sz w:val="21"/>
                      <w:szCs w:val="21"/>
                      <w:highlight w:val="none"/>
                    </w:rPr>
                    <w:t>值</w:t>
                  </w:r>
                </w:p>
              </w:tc>
            </w:tr>
            <w:tr w14:paraId="27A8D61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trHeight w:val="75" w:hRule="atLeast"/>
                <w:jc w:val="center"/>
              </w:trPr>
              <w:tc>
                <w:tcPr>
                  <w:tcW w:w="595" w:type="pct"/>
                  <w:noWrap w:val="0"/>
                  <w:vAlign w:val="center"/>
                </w:tcPr>
                <w:p w14:paraId="712F0C0B">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生产车间</w:t>
                  </w:r>
                </w:p>
              </w:tc>
              <w:tc>
                <w:tcPr>
                  <w:tcW w:w="824" w:type="pct"/>
                  <w:noWrap w:val="0"/>
                  <w:vAlign w:val="center"/>
                </w:tcPr>
                <w:p w14:paraId="019C93F0">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非甲烷总烃</w:t>
                  </w:r>
                </w:p>
              </w:tc>
              <w:tc>
                <w:tcPr>
                  <w:tcW w:w="634" w:type="pct"/>
                  <w:noWrap w:val="0"/>
                  <w:vAlign w:val="center"/>
                </w:tcPr>
                <w:p w14:paraId="6E50EC55">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0.017</w:t>
                  </w:r>
                </w:p>
              </w:tc>
              <w:tc>
                <w:tcPr>
                  <w:tcW w:w="714" w:type="pct"/>
                  <w:noWrap w:val="0"/>
                  <w:vAlign w:val="center"/>
                </w:tcPr>
                <w:p w14:paraId="31F9AFF1">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7800</w:t>
                  </w:r>
                </w:p>
              </w:tc>
              <w:tc>
                <w:tcPr>
                  <w:tcW w:w="879" w:type="pct"/>
                  <w:noWrap w:val="0"/>
                  <w:vAlign w:val="center"/>
                </w:tcPr>
                <w:p w14:paraId="6BCA1856">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w:t>
                  </w:r>
                </w:p>
              </w:tc>
              <w:tc>
                <w:tcPr>
                  <w:tcW w:w="660" w:type="pct"/>
                  <w:noWrap w:val="0"/>
                  <w:vAlign w:val="center"/>
                </w:tcPr>
                <w:p w14:paraId="3383088B">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0.112</w:t>
                  </w:r>
                </w:p>
              </w:tc>
              <w:tc>
                <w:tcPr>
                  <w:tcW w:w="691" w:type="pct"/>
                  <w:noWrap w:val="0"/>
                  <w:vAlign w:val="center"/>
                </w:tcPr>
                <w:p w14:paraId="353FB2D8">
                  <w:pPr>
                    <w:adjustRightInd w:val="0"/>
                    <w:snapToGrid w:val="0"/>
                    <w:spacing w:line="240" w:lineRule="auto"/>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50</w:t>
                  </w:r>
                </w:p>
              </w:tc>
            </w:tr>
          </w:tbl>
          <w:p w14:paraId="41BC21C4">
            <w:pPr>
              <w:adjustRightInd w:val="0"/>
              <w:snapToGrid w:val="0"/>
              <w:spacing w:before="120" w:beforeLines="50" w:line="360" w:lineRule="auto"/>
              <w:ind w:firstLine="480" w:firstLineChars="200"/>
              <w:rPr>
                <w:rFonts w:hint="eastAsia"/>
                <w:color w:val="auto"/>
                <w:sz w:val="24"/>
                <w:highlight w:val="none"/>
              </w:rPr>
            </w:pPr>
            <w:r>
              <w:rPr>
                <w:rFonts w:hint="default" w:ascii="Times New Roman" w:hAnsi="Times New Roman" w:cs="Times New Roman"/>
                <w:color w:val="auto"/>
                <w:sz w:val="24"/>
                <w:highlight w:val="none"/>
              </w:rPr>
              <w:t>根据上表计算结果</w:t>
            </w:r>
            <w:r>
              <w:rPr>
                <w:rFonts w:hint="default"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结合非甲烷总烃含有多种有害成分，当两种特征大气有害物质计算初值在同一级别，卫生防护距离终值提高一级，因此</w:t>
            </w:r>
            <w:r>
              <w:rPr>
                <w:rFonts w:hint="default" w:ascii="Times New Roman" w:hAnsi="Times New Roman" w:cs="Times New Roman"/>
                <w:color w:val="auto"/>
                <w:sz w:val="24"/>
                <w:highlight w:val="none"/>
              </w:rPr>
              <w:t>本项目以厂区边界为起点设置</w:t>
            </w:r>
            <w:r>
              <w:rPr>
                <w:rFonts w:hint="eastAsia" w:ascii="Times New Roman" w:hAnsi="Times New Roman" w:cs="Times New Roman"/>
                <w:color w:val="auto"/>
                <w:sz w:val="24"/>
                <w:highlight w:val="none"/>
                <w:lang w:val="en-US" w:eastAsia="zh-CN"/>
              </w:rPr>
              <w:t>100</w:t>
            </w:r>
            <w:r>
              <w:rPr>
                <w:rFonts w:hint="default" w:ascii="Times New Roman" w:hAnsi="Times New Roman" w:cs="Times New Roman"/>
                <w:color w:val="auto"/>
                <w:sz w:val="24"/>
                <w:highlight w:val="none"/>
              </w:rPr>
              <w:t>米卫生防护距离。经调查</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目前该范围内无环境敏感目标</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今后该范围内也不得新建居民、学校、医院等环境敏感目标。</w:t>
            </w:r>
          </w:p>
          <w:p w14:paraId="7D4C80B3">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b/>
                <w:bCs/>
                <w:color w:val="auto"/>
                <w:szCs w:val="32"/>
              </w:rPr>
            </w:pPr>
            <w:r>
              <w:rPr>
                <w:rFonts w:hint="eastAsia"/>
                <w:color w:val="auto"/>
                <w:sz w:val="24"/>
                <w:lang w:val="en-US" w:eastAsia="zh-CN"/>
              </w:rPr>
              <w:t>综上，</w:t>
            </w:r>
            <w:r>
              <w:rPr>
                <w:rFonts w:hint="eastAsia"/>
                <w:color w:val="auto"/>
                <w:sz w:val="24"/>
              </w:rPr>
              <w:t>本项目位于</w:t>
            </w:r>
            <w:r>
              <w:rPr>
                <w:rFonts w:hint="eastAsia"/>
                <w:color w:val="auto"/>
                <w:sz w:val="24"/>
                <w:lang w:eastAsia="zh-CN"/>
              </w:rPr>
              <w:t>江苏省宿迁市泗阳县新袁镇仁和路东侧、新河路南侧（3）2#厂房</w:t>
            </w:r>
            <w:r>
              <w:rPr>
                <w:rFonts w:hint="eastAsia"/>
                <w:color w:val="auto"/>
                <w:sz w:val="24"/>
              </w:rPr>
              <w:t>，项目所在区域环境空气质量为</w:t>
            </w:r>
            <w:r>
              <w:rPr>
                <w:rFonts w:hint="eastAsia"/>
                <w:color w:val="auto"/>
                <w:sz w:val="24"/>
                <w:highlight w:val="none"/>
              </w:rPr>
              <w:t>非达标区</w:t>
            </w:r>
            <w:r>
              <w:rPr>
                <w:rFonts w:hint="eastAsia"/>
                <w:color w:val="auto"/>
                <w:sz w:val="24"/>
              </w:rPr>
              <w:t>，但相关部门已全面采取大气污染防治行动计划，可有效改善环境空气环境现状。本项目采取的废气污染治理措施技术可行，废气污染物均可得到有效收集处理后达标排放，排放强度较小，且满足排放标准要求。因此，本项目废气污染对周围大气环境影响较小，项目大气环境影响是可接受的。</w:t>
            </w:r>
          </w:p>
          <w:p w14:paraId="5776FBAE">
            <w:pPr>
              <w:numPr>
                <w:ilvl w:val="0"/>
                <w:numId w:val="3"/>
              </w:numPr>
              <w:adjustRightInd w:val="0"/>
              <w:snapToGrid w:val="0"/>
              <w:spacing w:line="360" w:lineRule="auto"/>
              <w:ind w:firstLine="482"/>
              <w:rPr>
                <w:rFonts w:hint="eastAsia"/>
                <w:b/>
                <w:bCs/>
                <w:color w:val="auto"/>
                <w:szCs w:val="28"/>
                <w:lang w:val="en-US" w:eastAsia="zh-CN"/>
              </w:rPr>
            </w:pPr>
            <w:r>
              <w:rPr>
                <w:rFonts w:hint="eastAsia"/>
                <w:b/>
                <w:bCs/>
                <w:color w:val="auto"/>
                <w:szCs w:val="28"/>
                <w:lang w:val="en-US" w:eastAsia="zh-CN"/>
              </w:rPr>
              <w:t>大气污染物排放量核算</w:t>
            </w:r>
          </w:p>
          <w:p w14:paraId="486414EF">
            <w:pPr>
              <w:numPr>
                <w:ilvl w:val="0"/>
                <w:numId w:val="0"/>
              </w:numPr>
              <w:adjustRightInd w:val="0"/>
              <w:snapToGrid w:val="0"/>
              <w:spacing w:line="360" w:lineRule="auto"/>
              <w:ind w:firstLine="480" w:firstLineChars="200"/>
              <w:rPr>
                <w:rFonts w:hint="default"/>
                <w:b w:val="0"/>
                <w:bCs w:val="0"/>
                <w:color w:val="auto"/>
                <w:szCs w:val="28"/>
                <w:lang w:val="en-US" w:eastAsia="zh-CN"/>
              </w:rPr>
            </w:pPr>
            <w:r>
              <w:rPr>
                <w:rFonts w:hint="eastAsia"/>
                <w:b w:val="0"/>
                <w:bCs w:val="0"/>
                <w:color w:val="auto"/>
                <w:szCs w:val="28"/>
                <w:lang w:val="en-US" w:eastAsia="zh-CN"/>
              </w:rPr>
              <w:t>根据前文计算，本项目大气污染物有组织排放量核算见表4-11，无组织排放量核算见表4-12，大气污染物年排放量核算见表4-13。</w:t>
            </w:r>
          </w:p>
          <w:p w14:paraId="724A0436">
            <w:pPr>
              <w:pStyle w:val="149"/>
              <w:adjustRightInd w:val="0"/>
              <w:spacing w:before="120" w:beforeLines="0" w:afterLines="0" w:line="240" w:lineRule="auto"/>
              <w:ind w:firstLine="482"/>
              <w:rPr>
                <w:rFonts w:hint="eastAsia"/>
                <w:b/>
                <w:bCs/>
                <w:color w:val="auto"/>
                <w:szCs w:val="28"/>
                <w:lang w:val="en-US" w:eastAsia="zh-CN"/>
              </w:rPr>
            </w:pPr>
            <w:r>
              <w:rPr>
                <w:rFonts w:hint="eastAsia" w:eastAsia="宋体"/>
                <w:sz w:val="24"/>
                <w:szCs w:val="24"/>
              </w:rPr>
              <w:t>表4-</w:t>
            </w:r>
            <w:r>
              <w:rPr>
                <w:rFonts w:hint="eastAsia" w:eastAsia="宋体"/>
                <w:sz w:val="24"/>
                <w:szCs w:val="24"/>
                <w:lang w:val="en-US" w:eastAsia="zh-CN"/>
              </w:rPr>
              <w:t>1</w:t>
            </w:r>
            <w:r>
              <w:rPr>
                <w:rFonts w:hint="eastAsia"/>
                <w:sz w:val="24"/>
                <w:szCs w:val="24"/>
                <w:lang w:val="en-US" w:eastAsia="zh-CN"/>
              </w:rPr>
              <w:t>1</w:t>
            </w:r>
            <w:r>
              <w:rPr>
                <w:rFonts w:hint="default"/>
                <w:sz w:val="24"/>
                <w:szCs w:val="24"/>
              </w:rPr>
              <w:t xml:space="preserve"> </w:t>
            </w:r>
            <w:r>
              <w:rPr>
                <w:rFonts w:hint="eastAsia" w:eastAsia="宋体"/>
                <w:sz w:val="24"/>
                <w:szCs w:val="24"/>
              </w:rPr>
              <w:t>大气污染物有组织排放量核算表</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311"/>
              <w:gridCol w:w="1305"/>
              <w:gridCol w:w="1920"/>
              <w:gridCol w:w="2123"/>
              <w:gridCol w:w="1474"/>
            </w:tblGrid>
            <w:tr w14:paraId="5AB5F5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vAlign w:val="center"/>
                </w:tcPr>
                <w:p w14:paraId="7A7F76B4">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序号</w:t>
                  </w:r>
                </w:p>
              </w:tc>
              <w:tc>
                <w:tcPr>
                  <w:tcW w:w="1311" w:type="dxa"/>
                  <w:tcBorders>
                    <w:tl2br w:val="nil"/>
                    <w:tr2bl w:val="nil"/>
                  </w:tcBorders>
                  <w:vAlign w:val="center"/>
                </w:tcPr>
                <w:p w14:paraId="2D26682B">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排放口编号</w:t>
                  </w:r>
                </w:p>
              </w:tc>
              <w:tc>
                <w:tcPr>
                  <w:tcW w:w="1305" w:type="dxa"/>
                  <w:tcBorders>
                    <w:tl2br w:val="nil"/>
                    <w:tr2bl w:val="nil"/>
                  </w:tcBorders>
                  <w:vAlign w:val="center"/>
                </w:tcPr>
                <w:p w14:paraId="793CBF1A">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污染物</w:t>
                  </w:r>
                </w:p>
              </w:tc>
              <w:tc>
                <w:tcPr>
                  <w:tcW w:w="1920" w:type="dxa"/>
                  <w:tcBorders>
                    <w:tl2br w:val="nil"/>
                    <w:tr2bl w:val="nil"/>
                  </w:tcBorders>
                  <w:vAlign w:val="center"/>
                </w:tcPr>
                <w:p w14:paraId="644F2AA3">
                  <w:pPr>
                    <w:adjustRightInd w:val="0"/>
                    <w:spacing w:line="240" w:lineRule="auto"/>
                    <w:ind w:firstLine="0" w:firstLineChars="0"/>
                    <w:jc w:val="center"/>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核算排放浓度/（mg/m</w:t>
                  </w:r>
                  <w:r>
                    <w:rPr>
                      <w:rFonts w:hint="eastAsia" w:ascii="Times New Roman" w:hAnsi="Times New Roman" w:cs="Times New Roman"/>
                      <w:b/>
                      <w:bCs/>
                      <w:color w:val="auto"/>
                      <w:sz w:val="21"/>
                      <w:szCs w:val="21"/>
                      <w:vertAlign w:val="superscript"/>
                      <w:lang w:val="en-US" w:eastAsia="zh-CN"/>
                    </w:rPr>
                    <w:t>3</w:t>
                  </w:r>
                  <w:r>
                    <w:rPr>
                      <w:rFonts w:hint="eastAsia" w:ascii="Times New Roman" w:hAnsi="Times New Roman" w:cs="Times New Roman"/>
                      <w:b/>
                      <w:bCs/>
                      <w:color w:val="auto"/>
                      <w:sz w:val="21"/>
                      <w:szCs w:val="21"/>
                      <w:lang w:val="en-US" w:eastAsia="zh-CN"/>
                    </w:rPr>
                    <w:t>）</w:t>
                  </w:r>
                </w:p>
              </w:tc>
              <w:tc>
                <w:tcPr>
                  <w:tcW w:w="2123" w:type="dxa"/>
                  <w:tcBorders>
                    <w:tl2br w:val="nil"/>
                    <w:tr2bl w:val="nil"/>
                  </w:tcBorders>
                  <w:vAlign w:val="center"/>
                </w:tcPr>
                <w:p w14:paraId="4112820B">
                  <w:pPr>
                    <w:adjustRightInd w:val="0"/>
                    <w:spacing w:line="240" w:lineRule="auto"/>
                    <w:ind w:firstLine="0" w:firstLineChars="0"/>
                    <w:jc w:val="center"/>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核算排放速率/</w:t>
                  </w:r>
                </w:p>
                <w:p w14:paraId="6DEB2497">
                  <w:pPr>
                    <w:adjustRightInd w:val="0"/>
                    <w:spacing w:line="240" w:lineRule="auto"/>
                    <w:ind w:firstLine="0" w:firstLineChars="0"/>
                    <w:jc w:val="center"/>
                    <w:rPr>
                      <w:rFonts w:hint="eastAsia" w:ascii="Times New Roman" w:hAnsi="Times New Roman" w:cs="Times New Roman"/>
                      <w:b/>
                      <w:bCs/>
                      <w:color w:val="auto"/>
                      <w:sz w:val="21"/>
                      <w:szCs w:val="21"/>
                      <w:lang w:val="en-US" w:eastAsia="zh-CN"/>
                    </w:rPr>
                  </w:pPr>
                  <w:r>
                    <w:rPr>
                      <w:rFonts w:hint="eastAsia"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kg/h</w:t>
                  </w:r>
                  <w:r>
                    <w:rPr>
                      <w:rFonts w:hint="eastAsia" w:cs="Times New Roman"/>
                      <w:b/>
                      <w:bCs/>
                      <w:color w:val="auto"/>
                      <w:sz w:val="21"/>
                      <w:szCs w:val="21"/>
                      <w:lang w:val="en-US" w:eastAsia="zh-CN"/>
                    </w:rPr>
                    <w:t>)</w:t>
                  </w:r>
                </w:p>
              </w:tc>
              <w:tc>
                <w:tcPr>
                  <w:tcW w:w="1474" w:type="dxa"/>
                  <w:tcBorders>
                    <w:tl2br w:val="nil"/>
                    <w:tr2bl w:val="nil"/>
                  </w:tcBorders>
                  <w:vAlign w:val="center"/>
                </w:tcPr>
                <w:p w14:paraId="56235AC5">
                  <w:pPr>
                    <w:adjustRightInd w:val="0"/>
                    <w:spacing w:line="240" w:lineRule="auto"/>
                    <w:ind w:firstLine="0" w:firstLineChars="0"/>
                    <w:jc w:val="center"/>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核算年排放量/（t/a）</w:t>
                  </w:r>
                </w:p>
              </w:tc>
            </w:tr>
            <w:tr w14:paraId="59793A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7" w:type="dxa"/>
                  <w:gridSpan w:val="6"/>
                  <w:tcBorders>
                    <w:tl2br w:val="nil"/>
                    <w:tr2bl w:val="nil"/>
                  </w:tcBorders>
                  <w:vAlign w:val="center"/>
                </w:tcPr>
                <w:p w14:paraId="5382BF8E">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val="0"/>
                      <w:bCs w:val="0"/>
                      <w:color w:val="auto"/>
                      <w:sz w:val="21"/>
                      <w:szCs w:val="21"/>
                      <w:lang w:val="en-US" w:eastAsia="zh-CN"/>
                    </w:rPr>
                    <w:t>主要排放口</w:t>
                  </w:r>
                </w:p>
              </w:tc>
            </w:tr>
            <w:tr w14:paraId="284F5D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vAlign w:val="center"/>
                </w:tcPr>
                <w:p w14:paraId="39CEB1EC">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311" w:type="dxa"/>
                  <w:tcBorders>
                    <w:tl2br w:val="nil"/>
                    <w:tr2bl w:val="nil"/>
                  </w:tcBorders>
                  <w:vAlign w:val="center"/>
                </w:tcPr>
                <w:p w14:paraId="6688A75D">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305" w:type="dxa"/>
                  <w:tcBorders>
                    <w:tl2br w:val="nil"/>
                    <w:tr2bl w:val="nil"/>
                  </w:tcBorders>
                  <w:vAlign w:val="center"/>
                </w:tcPr>
                <w:p w14:paraId="26B09553">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920" w:type="dxa"/>
                  <w:tcBorders>
                    <w:tl2br w:val="nil"/>
                    <w:tr2bl w:val="nil"/>
                  </w:tcBorders>
                  <w:vAlign w:val="center"/>
                </w:tcPr>
                <w:p w14:paraId="2413C9AD">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2123" w:type="dxa"/>
                  <w:tcBorders>
                    <w:tl2br w:val="nil"/>
                    <w:tr2bl w:val="nil"/>
                  </w:tcBorders>
                  <w:vAlign w:val="center"/>
                </w:tcPr>
                <w:p w14:paraId="3EE059D5">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474" w:type="dxa"/>
                  <w:tcBorders>
                    <w:tl2br w:val="nil"/>
                    <w:tr2bl w:val="nil"/>
                  </w:tcBorders>
                  <w:vAlign w:val="center"/>
                </w:tcPr>
                <w:p w14:paraId="5D0A706B">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r>
            <w:tr w14:paraId="6B62E5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15" w:type="dxa"/>
                  <w:gridSpan w:val="2"/>
                  <w:tcBorders>
                    <w:tl2br w:val="nil"/>
                    <w:tr2bl w:val="nil"/>
                  </w:tcBorders>
                  <w:vAlign w:val="center"/>
                </w:tcPr>
                <w:p w14:paraId="11D9C23E">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val="0"/>
                      <w:bCs w:val="0"/>
                      <w:color w:val="auto"/>
                      <w:sz w:val="21"/>
                      <w:szCs w:val="21"/>
                      <w:lang w:val="en-US" w:eastAsia="zh-CN"/>
                    </w:rPr>
                    <w:t>主要</w:t>
                  </w:r>
                  <w:r>
                    <w:rPr>
                      <w:rFonts w:hint="default" w:ascii="Times New Roman" w:hAnsi="Times New Roman" w:cs="Times New Roman"/>
                      <w:b w:val="0"/>
                      <w:bCs w:val="0"/>
                      <w:color w:val="auto"/>
                      <w:sz w:val="21"/>
                      <w:szCs w:val="21"/>
                      <w:lang w:val="en-US" w:eastAsia="zh-CN"/>
                    </w:rPr>
                    <w:t>排放口合计</w:t>
                  </w:r>
                </w:p>
              </w:tc>
              <w:tc>
                <w:tcPr>
                  <w:tcW w:w="5348" w:type="dxa"/>
                  <w:gridSpan w:val="3"/>
                  <w:tcBorders>
                    <w:tl2br w:val="nil"/>
                    <w:tr2bl w:val="nil"/>
                  </w:tcBorders>
                  <w:vAlign w:val="center"/>
                </w:tcPr>
                <w:p w14:paraId="12B83C97">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c>
                <w:tcPr>
                  <w:tcW w:w="1474" w:type="dxa"/>
                  <w:tcBorders>
                    <w:tl2br w:val="nil"/>
                    <w:tr2bl w:val="nil"/>
                  </w:tcBorders>
                  <w:vAlign w:val="center"/>
                </w:tcPr>
                <w:p w14:paraId="6AEAF7E4">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w:t>
                  </w:r>
                </w:p>
              </w:tc>
            </w:tr>
            <w:tr w14:paraId="6363D1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37" w:type="dxa"/>
                  <w:gridSpan w:val="6"/>
                  <w:tcBorders>
                    <w:tl2br w:val="nil"/>
                    <w:tr2bl w:val="nil"/>
                  </w:tcBorders>
                  <w:vAlign w:val="center"/>
                </w:tcPr>
                <w:p w14:paraId="4D201701">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一般排放口</w:t>
                  </w:r>
                </w:p>
              </w:tc>
            </w:tr>
            <w:tr w14:paraId="2D235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Borders>
                    <w:tl2br w:val="nil"/>
                    <w:tr2bl w:val="nil"/>
                  </w:tcBorders>
                  <w:vAlign w:val="center"/>
                </w:tcPr>
                <w:p w14:paraId="2C1A35C2">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w:t>
                  </w:r>
                </w:p>
              </w:tc>
              <w:tc>
                <w:tcPr>
                  <w:tcW w:w="1311" w:type="dxa"/>
                  <w:tcBorders>
                    <w:tl2br w:val="nil"/>
                    <w:tr2bl w:val="nil"/>
                  </w:tcBorders>
                  <w:vAlign w:val="center"/>
                </w:tcPr>
                <w:p w14:paraId="0277FE25">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DA001</w:t>
                  </w:r>
                </w:p>
              </w:tc>
              <w:tc>
                <w:tcPr>
                  <w:tcW w:w="1305" w:type="dxa"/>
                  <w:tcBorders>
                    <w:tl2br w:val="nil"/>
                    <w:tr2bl w:val="nil"/>
                  </w:tcBorders>
                  <w:vAlign w:val="center"/>
                </w:tcPr>
                <w:p w14:paraId="6974C4DC">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非甲烷总烃</w:t>
                  </w:r>
                </w:p>
              </w:tc>
              <w:tc>
                <w:tcPr>
                  <w:tcW w:w="1920" w:type="dxa"/>
                  <w:tcBorders>
                    <w:tl2br w:val="nil"/>
                    <w:tr2bl w:val="nil"/>
                  </w:tcBorders>
                  <w:vAlign w:val="center"/>
                </w:tcPr>
                <w:p w14:paraId="5580B912">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2.720</w:t>
                  </w:r>
                </w:p>
              </w:tc>
              <w:tc>
                <w:tcPr>
                  <w:tcW w:w="2123" w:type="dxa"/>
                  <w:tcBorders>
                    <w:tl2br w:val="nil"/>
                    <w:tr2bl w:val="nil"/>
                  </w:tcBorders>
                  <w:vAlign w:val="center"/>
                </w:tcPr>
                <w:p w14:paraId="5BB86F4C">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0.033</w:t>
                  </w:r>
                </w:p>
              </w:tc>
              <w:tc>
                <w:tcPr>
                  <w:tcW w:w="1474" w:type="dxa"/>
                  <w:tcBorders>
                    <w:tl2br w:val="nil"/>
                    <w:tr2bl w:val="nil"/>
                  </w:tcBorders>
                  <w:vAlign w:val="center"/>
                </w:tcPr>
                <w:p w14:paraId="45C4190F">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0.235</w:t>
                  </w:r>
                </w:p>
              </w:tc>
            </w:tr>
            <w:tr w14:paraId="6F1CC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15" w:type="dxa"/>
                  <w:gridSpan w:val="2"/>
                  <w:tcBorders>
                    <w:tl2br w:val="nil"/>
                    <w:tr2bl w:val="nil"/>
                  </w:tcBorders>
                  <w:vAlign w:val="center"/>
                </w:tcPr>
                <w:p w14:paraId="0C4679D9">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一般排放口合计</w:t>
                  </w:r>
                </w:p>
              </w:tc>
              <w:tc>
                <w:tcPr>
                  <w:tcW w:w="5348" w:type="dxa"/>
                  <w:gridSpan w:val="3"/>
                  <w:tcBorders>
                    <w:tl2br w:val="nil"/>
                    <w:tr2bl w:val="nil"/>
                  </w:tcBorders>
                  <w:vAlign w:val="center"/>
                </w:tcPr>
                <w:p w14:paraId="7994576C">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c>
                <w:tcPr>
                  <w:tcW w:w="1474" w:type="dxa"/>
                  <w:tcBorders>
                    <w:tl2br w:val="nil"/>
                    <w:tr2bl w:val="nil"/>
                  </w:tcBorders>
                  <w:vAlign w:val="center"/>
                </w:tcPr>
                <w:p w14:paraId="3CC8F31C">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0.235</w:t>
                  </w:r>
                </w:p>
              </w:tc>
            </w:tr>
          </w:tbl>
          <w:p w14:paraId="2FE85240">
            <w:pPr>
              <w:adjustRightInd w:val="0"/>
              <w:snapToGrid w:val="0"/>
              <w:spacing w:line="360" w:lineRule="auto"/>
              <w:ind w:left="0" w:leftChars="0" w:firstLine="0" w:firstLineChars="0"/>
              <w:jc w:val="center"/>
              <w:rPr>
                <w:rFonts w:hint="eastAsia"/>
                <w:b/>
                <w:bCs/>
                <w:color w:val="auto"/>
                <w:szCs w:val="28"/>
                <w:lang w:val="en-US" w:eastAsia="zh-CN"/>
              </w:rPr>
            </w:pPr>
            <w:r>
              <w:rPr>
                <w:b/>
                <w:spacing w:val="3"/>
                <w:sz w:val="24"/>
              </w:rPr>
              <w:t>表4-</w:t>
            </w:r>
            <w:r>
              <w:rPr>
                <w:rFonts w:hint="eastAsia"/>
                <w:b/>
                <w:spacing w:val="3"/>
                <w:sz w:val="24"/>
                <w:lang w:val="en-US" w:eastAsia="zh-CN"/>
              </w:rPr>
              <w:t>12</w:t>
            </w:r>
            <w:r>
              <w:rPr>
                <w:b/>
                <w:spacing w:val="3"/>
                <w:sz w:val="24"/>
              </w:rPr>
              <w:t xml:space="preserve"> 大气污染物无组织排放量核算表</w:t>
            </w:r>
          </w:p>
          <w:tbl>
            <w:tblPr>
              <w:tblStyle w:val="39"/>
              <w:tblW w:w="883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1766"/>
              <w:gridCol w:w="1767"/>
              <w:gridCol w:w="1769"/>
              <w:gridCol w:w="1769"/>
            </w:tblGrid>
            <w:tr w14:paraId="5B22A3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1766" w:type="dxa"/>
                  <w:tcBorders>
                    <w:tl2br w:val="nil"/>
                    <w:tr2bl w:val="nil"/>
                  </w:tcBorders>
                  <w:vAlign w:val="center"/>
                </w:tcPr>
                <w:p w14:paraId="206ECDA9">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序号</w:t>
                  </w:r>
                </w:p>
              </w:tc>
              <w:tc>
                <w:tcPr>
                  <w:tcW w:w="1766" w:type="dxa"/>
                  <w:tcBorders>
                    <w:tl2br w:val="nil"/>
                    <w:tr2bl w:val="nil"/>
                  </w:tcBorders>
                  <w:vAlign w:val="center"/>
                </w:tcPr>
                <w:p w14:paraId="1607F95F">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产生工序</w:t>
                  </w:r>
                </w:p>
              </w:tc>
              <w:tc>
                <w:tcPr>
                  <w:tcW w:w="1767" w:type="dxa"/>
                  <w:tcBorders>
                    <w:tl2br w:val="nil"/>
                    <w:tr2bl w:val="nil"/>
                  </w:tcBorders>
                  <w:vAlign w:val="center"/>
                </w:tcPr>
                <w:p w14:paraId="106105B8">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污染因子</w:t>
                  </w:r>
                </w:p>
              </w:tc>
              <w:tc>
                <w:tcPr>
                  <w:tcW w:w="1769" w:type="dxa"/>
                  <w:tcBorders>
                    <w:tl2br w:val="nil"/>
                    <w:tr2bl w:val="nil"/>
                  </w:tcBorders>
                  <w:vAlign w:val="center"/>
                </w:tcPr>
                <w:p w14:paraId="672F6279">
                  <w:pPr>
                    <w:adjustRightInd w:val="0"/>
                    <w:spacing w:line="240" w:lineRule="auto"/>
                    <w:ind w:firstLine="0" w:firstLineChars="0"/>
                    <w:jc w:val="center"/>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核算排放速率/</w:t>
                  </w:r>
                </w:p>
                <w:p w14:paraId="55E42BF8">
                  <w:pPr>
                    <w:adjustRightInd w:val="0"/>
                    <w:spacing w:line="240" w:lineRule="auto"/>
                    <w:ind w:firstLine="0" w:firstLineChars="0"/>
                    <w:jc w:val="center"/>
                    <w:rPr>
                      <w:rFonts w:hint="eastAsia" w:ascii="Times New Roman" w:hAnsi="Times New Roman" w:cs="Times New Roman"/>
                      <w:b/>
                      <w:bCs/>
                      <w:color w:val="auto"/>
                      <w:sz w:val="21"/>
                      <w:szCs w:val="21"/>
                      <w:lang w:val="en-US" w:eastAsia="zh-CN"/>
                    </w:rPr>
                  </w:pPr>
                  <w:r>
                    <w:rPr>
                      <w:rFonts w:hint="eastAsia"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kg/h</w:t>
                  </w:r>
                  <w:r>
                    <w:rPr>
                      <w:rFonts w:hint="eastAsia" w:cs="Times New Roman"/>
                      <w:b/>
                      <w:bCs/>
                      <w:color w:val="auto"/>
                      <w:sz w:val="21"/>
                      <w:szCs w:val="21"/>
                      <w:lang w:val="en-US" w:eastAsia="zh-CN"/>
                    </w:rPr>
                    <w:t>)</w:t>
                  </w:r>
                </w:p>
              </w:tc>
              <w:tc>
                <w:tcPr>
                  <w:tcW w:w="1769" w:type="dxa"/>
                  <w:tcBorders>
                    <w:tl2br w:val="nil"/>
                    <w:tr2bl w:val="nil"/>
                  </w:tcBorders>
                  <w:vAlign w:val="center"/>
                </w:tcPr>
                <w:p w14:paraId="2958EF6C">
                  <w:pPr>
                    <w:adjustRightInd w:val="0"/>
                    <w:spacing w:line="240" w:lineRule="auto"/>
                    <w:ind w:firstLine="0" w:firstLineChars="0"/>
                    <w:jc w:val="center"/>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核算年排放量/（t/a）</w:t>
                  </w:r>
                </w:p>
              </w:tc>
            </w:tr>
            <w:tr w14:paraId="0B409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6" w:type="dxa"/>
                  <w:tcBorders>
                    <w:tl2br w:val="nil"/>
                    <w:tr2bl w:val="nil"/>
                  </w:tcBorders>
                  <w:vAlign w:val="center"/>
                </w:tcPr>
                <w:p w14:paraId="30C8C0A4">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w:t>
                  </w:r>
                </w:p>
              </w:tc>
              <w:tc>
                <w:tcPr>
                  <w:tcW w:w="1766" w:type="dxa"/>
                  <w:tcBorders>
                    <w:tl2br w:val="nil"/>
                    <w:tr2bl w:val="nil"/>
                  </w:tcBorders>
                  <w:vAlign w:val="center"/>
                </w:tcPr>
                <w:p w14:paraId="1E8383BB">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加弹</w:t>
                  </w:r>
                </w:p>
              </w:tc>
              <w:tc>
                <w:tcPr>
                  <w:tcW w:w="1767" w:type="dxa"/>
                  <w:tcBorders>
                    <w:tl2br w:val="nil"/>
                    <w:tr2bl w:val="nil"/>
                  </w:tcBorders>
                  <w:vAlign w:val="center"/>
                </w:tcPr>
                <w:p w14:paraId="18F3BA22">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非甲烷总烃</w:t>
                  </w:r>
                </w:p>
              </w:tc>
              <w:tc>
                <w:tcPr>
                  <w:tcW w:w="1769" w:type="dxa"/>
                  <w:tcBorders>
                    <w:tl2br w:val="nil"/>
                    <w:tr2bl w:val="nil"/>
                  </w:tcBorders>
                  <w:vAlign w:val="center"/>
                </w:tcPr>
                <w:p w14:paraId="132BF446">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0.017</w:t>
                  </w:r>
                </w:p>
              </w:tc>
              <w:tc>
                <w:tcPr>
                  <w:tcW w:w="1769" w:type="dxa"/>
                  <w:tcBorders>
                    <w:tl2br w:val="nil"/>
                    <w:tr2bl w:val="nil"/>
                  </w:tcBorders>
                  <w:vAlign w:val="center"/>
                </w:tcPr>
                <w:p w14:paraId="48D0F484">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0.124</w:t>
                  </w:r>
                </w:p>
              </w:tc>
            </w:tr>
          </w:tbl>
          <w:p w14:paraId="2B6DC848">
            <w:pPr>
              <w:tabs>
                <w:tab w:val="left" w:pos="1680"/>
              </w:tabs>
              <w:adjustRightInd w:val="0"/>
              <w:snapToGrid w:val="0"/>
              <w:ind w:firstLine="494"/>
              <w:jc w:val="center"/>
              <w:rPr>
                <w:b/>
                <w:spacing w:val="3"/>
                <w:sz w:val="24"/>
              </w:rPr>
            </w:pPr>
            <w:r>
              <w:rPr>
                <w:b/>
                <w:spacing w:val="3"/>
                <w:sz w:val="24"/>
              </w:rPr>
              <w:t>表4-</w:t>
            </w:r>
            <w:r>
              <w:rPr>
                <w:rFonts w:hint="eastAsia"/>
                <w:b/>
                <w:spacing w:val="3"/>
                <w:sz w:val="24"/>
                <w:lang w:val="en-US" w:eastAsia="zh-CN"/>
              </w:rPr>
              <w:t>13</w:t>
            </w:r>
            <w:r>
              <w:rPr>
                <w:b/>
                <w:spacing w:val="3"/>
                <w:sz w:val="24"/>
              </w:rPr>
              <w:t xml:space="preserve"> 大气污染物年排放量核算表</w:t>
            </w:r>
          </w:p>
          <w:tbl>
            <w:tblPr>
              <w:tblStyle w:val="39"/>
              <w:tblW w:w="4999"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2895"/>
              <w:gridCol w:w="4485"/>
            </w:tblGrid>
            <w:tr w14:paraId="16F61B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55" w:type="dxa"/>
                  <w:tcBorders>
                    <w:tl2br w:val="nil"/>
                    <w:tr2bl w:val="nil"/>
                  </w:tcBorders>
                  <w:vAlign w:val="center"/>
                </w:tcPr>
                <w:p w14:paraId="023B2516">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序号</w:t>
                  </w:r>
                </w:p>
              </w:tc>
              <w:tc>
                <w:tcPr>
                  <w:tcW w:w="2895" w:type="dxa"/>
                  <w:tcBorders>
                    <w:tl2br w:val="nil"/>
                    <w:tr2bl w:val="nil"/>
                  </w:tcBorders>
                  <w:vAlign w:val="center"/>
                </w:tcPr>
                <w:p w14:paraId="6294D511">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污染物</w:t>
                  </w:r>
                </w:p>
              </w:tc>
              <w:tc>
                <w:tcPr>
                  <w:tcW w:w="4486" w:type="dxa"/>
                  <w:tcBorders>
                    <w:tl2br w:val="nil"/>
                    <w:tr2bl w:val="nil"/>
                  </w:tcBorders>
                  <w:vAlign w:val="center"/>
                </w:tcPr>
                <w:p w14:paraId="4CF97BE0">
                  <w:pPr>
                    <w:adjustRightInd w:val="0"/>
                    <w:spacing w:line="240" w:lineRule="auto"/>
                    <w:ind w:firstLine="0" w:firstLineChars="0"/>
                    <w:jc w:val="center"/>
                    <w:rPr>
                      <w:rFonts w:hint="default"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年排放量</w:t>
                  </w:r>
                </w:p>
              </w:tc>
            </w:tr>
            <w:tr w14:paraId="65102B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55" w:type="dxa"/>
                  <w:tcBorders>
                    <w:tl2br w:val="nil"/>
                    <w:tr2bl w:val="nil"/>
                  </w:tcBorders>
                  <w:vAlign w:val="center"/>
                </w:tcPr>
                <w:p w14:paraId="23AEABD2">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1</w:t>
                  </w:r>
                </w:p>
              </w:tc>
              <w:tc>
                <w:tcPr>
                  <w:tcW w:w="2895" w:type="dxa"/>
                  <w:tcBorders>
                    <w:tl2br w:val="nil"/>
                    <w:tr2bl w:val="nil"/>
                  </w:tcBorders>
                  <w:vAlign w:val="center"/>
                </w:tcPr>
                <w:p w14:paraId="4D612CC2">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非甲烷总烃</w:t>
                  </w:r>
                </w:p>
              </w:tc>
              <w:tc>
                <w:tcPr>
                  <w:tcW w:w="4486" w:type="dxa"/>
                  <w:tcBorders>
                    <w:tl2br w:val="nil"/>
                    <w:tr2bl w:val="nil"/>
                  </w:tcBorders>
                  <w:vAlign w:val="center"/>
                </w:tcPr>
                <w:p w14:paraId="6B3E7EE7">
                  <w:pPr>
                    <w:adjustRightInd w:val="0"/>
                    <w:spacing w:line="240" w:lineRule="auto"/>
                    <w:ind w:firstLine="0" w:firstLineChars="0"/>
                    <w:jc w:val="center"/>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0.359（有组织0.235，无组织0.124）</w:t>
                  </w:r>
                </w:p>
              </w:tc>
            </w:tr>
          </w:tbl>
          <w:p w14:paraId="40F3043A">
            <w:pPr>
              <w:adjustRightInd w:val="0"/>
              <w:snapToGrid w:val="0"/>
              <w:spacing w:line="360" w:lineRule="auto"/>
              <w:ind w:firstLine="482"/>
              <w:rPr>
                <w:b/>
                <w:bCs/>
                <w:color w:val="auto"/>
                <w:szCs w:val="28"/>
              </w:rPr>
            </w:pPr>
            <w:r>
              <w:rPr>
                <w:rFonts w:hint="eastAsia"/>
                <w:b/>
                <w:bCs/>
                <w:color w:val="auto"/>
                <w:szCs w:val="28"/>
                <w:lang w:val="en-US" w:eastAsia="zh-CN"/>
              </w:rPr>
              <w:t>6.</w:t>
            </w:r>
            <w:r>
              <w:rPr>
                <w:b/>
                <w:bCs/>
                <w:color w:val="auto"/>
                <w:szCs w:val="28"/>
              </w:rPr>
              <w:t>废气监测计划</w:t>
            </w:r>
          </w:p>
          <w:p w14:paraId="1EDA7BC2">
            <w:pPr>
              <w:widowControl/>
              <w:adjustRightInd w:val="0"/>
              <w:snapToGrid w:val="0"/>
              <w:spacing w:line="360" w:lineRule="auto"/>
              <w:ind w:firstLine="480"/>
              <w:jc w:val="left"/>
              <w:rPr>
                <w:color w:val="auto"/>
              </w:rPr>
            </w:pPr>
            <w:r>
              <w:rPr>
                <w:color w:val="auto"/>
              </w:rPr>
              <w:t>根据</w:t>
            </w:r>
            <w:r>
              <w:rPr>
                <w:snapToGrid w:val="0"/>
                <w:color w:val="auto"/>
              </w:rPr>
              <w:t>《排污单位自行监测技术指南</w:t>
            </w:r>
            <w:r>
              <w:rPr>
                <w:rFonts w:hint="eastAsia"/>
                <w:snapToGrid w:val="0"/>
                <w:color w:val="auto"/>
                <w:lang w:val="en-US" w:eastAsia="zh-CN"/>
              </w:rPr>
              <w:t xml:space="preserve"> </w:t>
            </w:r>
            <w:r>
              <w:rPr>
                <w:snapToGrid w:val="0"/>
                <w:color w:val="auto"/>
              </w:rPr>
              <w:t>总则》</w:t>
            </w:r>
            <w:r>
              <w:rPr>
                <w:rFonts w:hint="eastAsia"/>
                <w:snapToGrid w:val="0"/>
                <w:color w:val="auto"/>
                <w:lang w:eastAsia="zh-CN"/>
              </w:rPr>
              <w:t>（</w:t>
            </w:r>
            <w:r>
              <w:rPr>
                <w:snapToGrid w:val="0"/>
                <w:color w:val="auto"/>
              </w:rPr>
              <w:t>HJ819-2017</w:t>
            </w:r>
            <w:r>
              <w:rPr>
                <w:rFonts w:hint="eastAsia"/>
                <w:snapToGrid w:val="0"/>
                <w:color w:val="auto"/>
                <w:lang w:eastAsia="zh-CN"/>
              </w:rPr>
              <w:t>）</w:t>
            </w:r>
            <w:r>
              <w:rPr>
                <w:snapToGrid w:val="0"/>
                <w:color w:val="auto"/>
              </w:rPr>
              <w:t>、</w:t>
            </w:r>
            <w:r>
              <w:rPr>
                <w:rFonts w:eastAsia="瀹嬩綋"/>
                <w:color w:val="auto"/>
                <w:kern w:val="0"/>
                <w:lang w:bidi="ar"/>
              </w:rPr>
              <w:t>同时参照</w:t>
            </w:r>
            <w:r>
              <w:rPr>
                <w:rFonts w:hint="eastAsia" w:eastAsia="宋体"/>
                <w:color w:val="auto"/>
                <w:kern w:val="0"/>
                <w:lang w:eastAsia="zh-CN" w:bidi="ar"/>
              </w:rPr>
              <w:t>《排污单位自行监测技术指南</w:t>
            </w:r>
            <w:r>
              <w:rPr>
                <w:rFonts w:hint="eastAsia"/>
                <w:color w:val="auto"/>
                <w:kern w:val="0"/>
                <w:lang w:val="en-US" w:eastAsia="zh-CN" w:bidi="ar"/>
              </w:rPr>
              <w:t xml:space="preserve"> </w:t>
            </w:r>
            <w:r>
              <w:rPr>
                <w:rFonts w:hint="eastAsia" w:eastAsia="宋体"/>
                <w:color w:val="auto"/>
                <w:kern w:val="0"/>
                <w:lang w:eastAsia="zh-CN" w:bidi="ar"/>
              </w:rPr>
              <w:t>纺织印染工业》（HJ879-2017）</w:t>
            </w:r>
            <w:r>
              <w:rPr>
                <w:rFonts w:eastAsia="瀹嬩綋"/>
                <w:color w:val="auto"/>
                <w:kern w:val="0"/>
                <w:lang w:bidi="ar"/>
              </w:rPr>
              <w:t>，结合企业工程特点</w:t>
            </w:r>
            <w:r>
              <w:rPr>
                <w:snapToGrid w:val="0"/>
                <w:color w:val="auto"/>
              </w:rPr>
              <w:t>制定本项目运营期监测计划</w:t>
            </w:r>
            <w:r>
              <w:rPr>
                <w:color w:val="auto"/>
              </w:rPr>
              <w:t>，本项目废气监测计划如下表。</w:t>
            </w:r>
          </w:p>
          <w:p w14:paraId="24285829">
            <w:pPr>
              <w:ind w:firstLine="482"/>
              <w:jc w:val="center"/>
              <w:rPr>
                <w:b/>
                <w:color w:val="auto"/>
              </w:rPr>
            </w:pPr>
            <w:r>
              <w:rPr>
                <w:b/>
                <w:color w:val="auto"/>
              </w:rPr>
              <w:t>表4-</w:t>
            </w:r>
            <w:r>
              <w:rPr>
                <w:rFonts w:hint="eastAsia"/>
                <w:b/>
                <w:color w:val="auto"/>
                <w:lang w:val="en-US" w:eastAsia="zh-CN"/>
              </w:rPr>
              <w:t>14</w:t>
            </w:r>
            <w:r>
              <w:rPr>
                <w:b/>
                <w:color w:val="auto"/>
              </w:rPr>
              <w:t>本项目实施后废气监测计划</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905"/>
              <w:gridCol w:w="1566"/>
              <w:gridCol w:w="1516"/>
              <w:gridCol w:w="2930"/>
            </w:tblGrid>
            <w:tr w14:paraId="18A216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8" w:type="pct"/>
                  <w:vAlign w:val="center"/>
                </w:tcPr>
                <w:p w14:paraId="71F6764B">
                  <w:pPr>
                    <w:adjustRightInd w:val="0"/>
                    <w:spacing w:line="240" w:lineRule="auto"/>
                    <w:ind w:firstLine="0" w:firstLineChars="0"/>
                    <w:jc w:val="center"/>
                    <w:rPr>
                      <w:b/>
                      <w:bCs/>
                      <w:color w:val="auto"/>
                      <w:sz w:val="21"/>
                      <w:szCs w:val="21"/>
                    </w:rPr>
                  </w:pPr>
                  <w:r>
                    <w:rPr>
                      <w:b/>
                      <w:bCs/>
                      <w:color w:val="auto"/>
                      <w:sz w:val="21"/>
                      <w:szCs w:val="21"/>
                    </w:rPr>
                    <w:t>项目</w:t>
                  </w:r>
                </w:p>
              </w:tc>
              <w:tc>
                <w:tcPr>
                  <w:tcW w:w="1078" w:type="pct"/>
                  <w:tcBorders>
                    <w:right w:val="single" w:color="000000" w:sz="4" w:space="0"/>
                  </w:tcBorders>
                  <w:vAlign w:val="center"/>
                </w:tcPr>
                <w:p w14:paraId="2EDBC999">
                  <w:pPr>
                    <w:adjustRightInd w:val="0"/>
                    <w:spacing w:line="240" w:lineRule="auto"/>
                    <w:ind w:firstLine="0" w:firstLineChars="0"/>
                    <w:jc w:val="center"/>
                    <w:rPr>
                      <w:b/>
                      <w:bCs/>
                      <w:color w:val="auto"/>
                      <w:sz w:val="21"/>
                      <w:szCs w:val="21"/>
                    </w:rPr>
                  </w:pPr>
                  <w:r>
                    <w:rPr>
                      <w:b/>
                      <w:bCs/>
                      <w:color w:val="auto"/>
                      <w:sz w:val="21"/>
                      <w:szCs w:val="21"/>
                    </w:rPr>
                    <w:t>监测点位</w:t>
                  </w:r>
                </w:p>
              </w:tc>
              <w:tc>
                <w:tcPr>
                  <w:tcW w:w="886" w:type="pct"/>
                  <w:tcBorders>
                    <w:left w:val="single" w:color="000000" w:sz="4" w:space="0"/>
                  </w:tcBorders>
                  <w:vAlign w:val="center"/>
                </w:tcPr>
                <w:p w14:paraId="4E6D651B">
                  <w:pPr>
                    <w:adjustRightInd w:val="0"/>
                    <w:spacing w:line="240" w:lineRule="auto"/>
                    <w:ind w:firstLine="0" w:firstLineChars="0"/>
                    <w:jc w:val="center"/>
                    <w:rPr>
                      <w:b/>
                      <w:bCs/>
                      <w:color w:val="auto"/>
                      <w:sz w:val="21"/>
                      <w:szCs w:val="21"/>
                    </w:rPr>
                  </w:pPr>
                  <w:r>
                    <w:rPr>
                      <w:b/>
                      <w:bCs/>
                      <w:color w:val="auto"/>
                      <w:sz w:val="21"/>
                      <w:szCs w:val="21"/>
                    </w:rPr>
                    <w:t>监测因子</w:t>
                  </w:r>
                </w:p>
              </w:tc>
              <w:tc>
                <w:tcPr>
                  <w:tcW w:w="858" w:type="pct"/>
                  <w:vAlign w:val="center"/>
                </w:tcPr>
                <w:p w14:paraId="0767C719">
                  <w:pPr>
                    <w:adjustRightInd w:val="0"/>
                    <w:spacing w:line="240" w:lineRule="auto"/>
                    <w:ind w:firstLine="0" w:firstLineChars="0"/>
                    <w:jc w:val="center"/>
                    <w:rPr>
                      <w:b/>
                      <w:bCs/>
                      <w:color w:val="auto"/>
                      <w:sz w:val="21"/>
                      <w:szCs w:val="21"/>
                    </w:rPr>
                  </w:pPr>
                  <w:r>
                    <w:rPr>
                      <w:b/>
                      <w:bCs/>
                      <w:color w:val="auto"/>
                      <w:sz w:val="21"/>
                      <w:szCs w:val="21"/>
                    </w:rPr>
                    <w:t>监测频次</w:t>
                  </w:r>
                </w:p>
              </w:tc>
              <w:tc>
                <w:tcPr>
                  <w:tcW w:w="1658" w:type="pct"/>
                  <w:vAlign w:val="center"/>
                </w:tcPr>
                <w:p w14:paraId="58287084">
                  <w:pPr>
                    <w:adjustRightInd w:val="0"/>
                    <w:spacing w:line="240" w:lineRule="auto"/>
                    <w:ind w:firstLine="0" w:firstLineChars="0"/>
                    <w:jc w:val="center"/>
                    <w:rPr>
                      <w:b/>
                      <w:bCs/>
                      <w:color w:val="auto"/>
                      <w:sz w:val="21"/>
                      <w:szCs w:val="21"/>
                    </w:rPr>
                  </w:pPr>
                  <w:r>
                    <w:rPr>
                      <w:b/>
                      <w:bCs/>
                      <w:color w:val="auto"/>
                      <w:sz w:val="21"/>
                      <w:szCs w:val="21"/>
                    </w:rPr>
                    <w:t>执行标准</w:t>
                  </w:r>
                </w:p>
              </w:tc>
            </w:tr>
            <w:tr w14:paraId="1C698E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18" w:type="pct"/>
                  <w:vAlign w:val="center"/>
                </w:tcPr>
                <w:p w14:paraId="3569F014">
                  <w:pPr>
                    <w:adjustRightInd w:val="0"/>
                    <w:spacing w:line="240" w:lineRule="auto"/>
                    <w:ind w:firstLine="0" w:firstLineChars="0"/>
                    <w:jc w:val="center"/>
                    <w:rPr>
                      <w:color w:val="auto"/>
                      <w:kern w:val="0"/>
                      <w:sz w:val="21"/>
                      <w:szCs w:val="21"/>
                    </w:rPr>
                  </w:pPr>
                  <w:r>
                    <w:rPr>
                      <w:color w:val="auto"/>
                      <w:kern w:val="0"/>
                      <w:sz w:val="21"/>
                      <w:szCs w:val="21"/>
                    </w:rPr>
                    <w:t>有组织废气</w:t>
                  </w:r>
                </w:p>
              </w:tc>
              <w:tc>
                <w:tcPr>
                  <w:tcW w:w="1078" w:type="pct"/>
                  <w:tcBorders>
                    <w:right w:val="single" w:color="000000" w:sz="4" w:space="0"/>
                  </w:tcBorders>
                  <w:vAlign w:val="center"/>
                </w:tcPr>
                <w:p w14:paraId="430725C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baseline"/>
                    <w:rPr>
                      <w:rFonts w:hint="eastAsia" w:eastAsia="宋体"/>
                      <w:color w:val="auto"/>
                      <w:kern w:val="21"/>
                      <w:sz w:val="21"/>
                      <w:szCs w:val="21"/>
                      <w:lang w:val="en-US" w:eastAsia="zh-CN"/>
                    </w:rPr>
                  </w:pPr>
                  <w:r>
                    <w:rPr>
                      <w:color w:val="auto"/>
                      <w:kern w:val="21"/>
                      <w:sz w:val="21"/>
                      <w:szCs w:val="21"/>
                    </w:rPr>
                    <w:t>排气筒DA001</w:t>
                  </w:r>
                  <w:r>
                    <w:rPr>
                      <w:rFonts w:hint="eastAsia"/>
                      <w:color w:val="auto"/>
                      <w:kern w:val="21"/>
                      <w:sz w:val="21"/>
                      <w:szCs w:val="21"/>
                      <w:lang w:val="en-US" w:eastAsia="zh-CN"/>
                    </w:rPr>
                    <w:t>出口</w:t>
                  </w:r>
                </w:p>
              </w:tc>
              <w:tc>
                <w:tcPr>
                  <w:tcW w:w="886" w:type="pct"/>
                  <w:tcBorders>
                    <w:left w:val="single" w:color="000000" w:sz="4" w:space="0"/>
                  </w:tcBorders>
                  <w:vAlign w:val="center"/>
                </w:tcPr>
                <w:p w14:paraId="58E8DF83">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color w:val="auto"/>
                      <w:sz w:val="21"/>
                      <w:szCs w:val="21"/>
                    </w:rPr>
                  </w:pPr>
                  <w:r>
                    <w:rPr>
                      <w:rFonts w:hint="eastAsia"/>
                      <w:color w:val="auto"/>
                      <w:sz w:val="21"/>
                      <w:szCs w:val="21"/>
                      <w:lang w:val="en-US" w:eastAsia="zh-CN" w:bidi="ar"/>
                    </w:rPr>
                    <w:t>非甲烷总烃</w:t>
                  </w:r>
                </w:p>
              </w:tc>
              <w:tc>
                <w:tcPr>
                  <w:tcW w:w="858" w:type="pct"/>
                  <w:vAlign w:val="center"/>
                </w:tcPr>
                <w:p w14:paraId="31A5D5EE">
                  <w:pPr>
                    <w:adjustRightInd w:val="0"/>
                    <w:spacing w:line="240" w:lineRule="auto"/>
                    <w:ind w:firstLine="0" w:firstLineChars="0"/>
                    <w:jc w:val="center"/>
                    <w:rPr>
                      <w:rFonts w:hint="eastAsia" w:eastAsia="宋体"/>
                      <w:color w:val="auto"/>
                      <w:sz w:val="21"/>
                      <w:szCs w:val="21"/>
                      <w:lang w:eastAsia="zh-CN"/>
                    </w:rPr>
                  </w:pPr>
                  <w:r>
                    <w:rPr>
                      <w:color w:val="auto"/>
                      <w:sz w:val="21"/>
                      <w:szCs w:val="21"/>
                      <w:lang w:bidi="ar"/>
                    </w:rPr>
                    <w:t>1次/</w:t>
                  </w:r>
                  <w:r>
                    <w:rPr>
                      <w:rFonts w:hint="eastAsia"/>
                      <w:color w:val="auto"/>
                      <w:sz w:val="21"/>
                      <w:szCs w:val="21"/>
                      <w:lang w:val="en-US" w:eastAsia="zh-CN" w:bidi="ar"/>
                    </w:rPr>
                    <w:t>半年</w:t>
                  </w:r>
                </w:p>
              </w:tc>
              <w:tc>
                <w:tcPr>
                  <w:tcW w:w="1658" w:type="pct"/>
                  <w:vMerge w:val="restart"/>
                  <w:vAlign w:val="center"/>
                </w:tcPr>
                <w:p w14:paraId="30071EC6">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lang w:eastAsia="zh-CN"/>
                    </w:rPr>
                  </w:pPr>
                  <w:r>
                    <w:rPr>
                      <w:rFonts w:ascii="Times New Roman" w:hAnsi="Times New Roman" w:cs="Times New Roman"/>
                      <w:color w:val="auto"/>
                      <w:spacing w:val="-9"/>
                      <w:sz w:val="21"/>
                      <w:szCs w:val="21"/>
                      <w:lang w:eastAsia="zh-CN"/>
                    </w:rPr>
                    <w:t>《大气污染物综合排放标准》（DB32/4041-2</w:t>
                  </w:r>
                  <w:r>
                    <w:rPr>
                      <w:rFonts w:ascii="Times New Roman" w:hAnsi="Times New Roman" w:cs="Times New Roman"/>
                      <w:color w:val="auto"/>
                      <w:spacing w:val="-10"/>
                      <w:sz w:val="21"/>
                      <w:szCs w:val="21"/>
                      <w:lang w:eastAsia="zh-CN"/>
                    </w:rPr>
                    <w:t>021）</w:t>
                  </w:r>
                </w:p>
              </w:tc>
            </w:tr>
            <w:tr w14:paraId="1F39A3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518" w:type="pct"/>
                  <w:vMerge w:val="restart"/>
                  <w:vAlign w:val="center"/>
                </w:tcPr>
                <w:p w14:paraId="08B77C7B">
                  <w:pPr>
                    <w:adjustRightInd w:val="0"/>
                    <w:spacing w:line="240" w:lineRule="auto"/>
                    <w:ind w:firstLine="0" w:firstLineChars="0"/>
                    <w:jc w:val="center"/>
                    <w:rPr>
                      <w:color w:val="auto"/>
                      <w:kern w:val="0"/>
                      <w:sz w:val="21"/>
                      <w:szCs w:val="21"/>
                    </w:rPr>
                  </w:pPr>
                  <w:r>
                    <w:rPr>
                      <w:color w:val="auto"/>
                      <w:kern w:val="0"/>
                      <w:sz w:val="21"/>
                      <w:szCs w:val="21"/>
                    </w:rPr>
                    <w:t>无组织废气</w:t>
                  </w:r>
                </w:p>
              </w:tc>
              <w:tc>
                <w:tcPr>
                  <w:tcW w:w="1078" w:type="pct"/>
                  <w:tcBorders>
                    <w:right w:val="single" w:color="000000" w:sz="4" w:space="0"/>
                  </w:tcBorders>
                  <w:vAlign w:val="center"/>
                </w:tcPr>
                <w:p w14:paraId="55B30A17">
                  <w:pPr>
                    <w:autoSpaceDE w:val="0"/>
                    <w:autoSpaceDN w:val="0"/>
                    <w:adjustRightInd w:val="0"/>
                    <w:spacing w:line="240" w:lineRule="auto"/>
                    <w:ind w:firstLine="0" w:firstLineChars="0"/>
                    <w:jc w:val="center"/>
                    <w:textAlignment w:val="baseline"/>
                    <w:rPr>
                      <w:snapToGrid w:val="0"/>
                      <w:color w:val="auto"/>
                      <w:sz w:val="21"/>
                      <w:szCs w:val="21"/>
                      <w:lang w:bidi="en-US"/>
                    </w:rPr>
                  </w:pPr>
                  <w:r>
                    <w:rPr>
                      <w:snapToGrid w:val="0"/>
                      <w:color w:val="auto"/>
                      <w:sz w:val="21"/>
                      <w:szCs w:val="21"/>
                      <w:lang w:bidi="en-US"/>
                    </w:rPr>
                    <w:t>厂界无组织上风向、下风向</w:t>
                  </w:r>
                </w:p>
              </w:tc>
              <w:tc>
                <w:tcPr>
                  <w:tcW w:w="886" w:type="pct"/>
                  <w:tcBorders>
                    <w:left w:val="single" w:color="000000" w:sz="4" w:space="0"/>
                  </w:tcBorders>
                  <w:vAlign w:val="center"/>
                </w:tcPr>
                <w:p w14:paraId="380C156F">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color w:val="auto"/>
                      <w:sz w:val="21"/>
                      <w:szCs w:val="21"/>
                      <w:lang w:val="en-US"/>
                    </w:rPr>
                  </w:pPr>
                  <w:r>
                    <w:rPr>
                      <w:rFonts w:hint="eastAsia"/>
                      <w:color w:val="auto"/>
                      <w:sz w:val="21"/>
                      <w:szCs w:val="21"/>
                      <w:lang w:val="en-US" w:eastAsia="zh-CN" w:bidi="ar"/>
                    </w:rPr>
                    <w:t>非甲烷总烃</w:t>
                  </w:r>
                </w:p>
              </w:tc>
              <w:tc>
                <w:tcPr>
                  <w:tcW w:w="858" w:type="pct"/>
                  <w:vAlign w:val="center"/>
                </w:tcPr>
                <w:p w14:paraId="11F28B54">
                  <w:pPr>
                    <w:adjustRightInd w:val="0"/>
                    <w:spacing w:line="240" w:lineRule="auto"/>
                    <w:ind w:firstLine="0" w:firstLineChars="0"/>
                    <w:jc w:val="center"/>
                    <w:rPr>
                      <w:color w:val="auto"/>
                      <w:sz w:val="21"/>
                      <w:szCs w:val="21"/>
                      <w:lang w:bidi="ar"/>
                    </w:rPr>
                  </w:pPr>
                  <w:r>
                    <w:rPr>
                      <w:color w:val="auto"/>
                      <w:sz w:val="21"/>
                      <w:szCs w:val="21"/>
                      <w:lang w:bidi="ar"/>
                    </w:rPr>
                    <w:t>1次/</w:t>
                  </w:r>
                  <w:r>
                    <w:rPr>
                      <w:rFonts w:hint="eastAsia"/>
                      <w:color w:val="auto"/>
                      <w:sz w:val="21"/>
                      <w:szCs w:val="21"/>
                      <w:lang w:val="en-US" w:eastAsia="zh-CN" w:bidi="ar"/>
                    </w:rPr>
                    <w:t>半</w:t>
                  </w:r>
                  <w:r>
                    <w:rPr>
                      <w:color w:val="auto"/>
                      <w:sz w:val="21"/>
                      <w:szCs w:val="21"/>
                      <w:lang w:bidi="ar"/>
                    </w:rPr>
                    <w:t>年</w:t>
                  </w:r>
                </w:p>
              </w:tc>
              <w:tc>
                <w:tcPr>
                  <w:tcW w:w="1658" w:type="pct"/>
                  <w:vMerge w:val="continue"/>
                  <w:vAlign w:val="center"/>
                </w:tcPr>
                <w:p w14:paraId="3929DAFF">
                  <w:pPr>
                    <w:adjustRightInd w:val="0"/>
                    <w:spacing w:line="240" w:lineRule="auto"/>
                    <w:ind w:firstLine="0" w:firstLineChars="0"/>
                    <w:jc w:val="center"/>
                    <w:rPr>
                      <w:color w:val="auto"/>
                      <w:sz w:val="21"/>
                      <w:szCs w:val="21"/>
                    </w:rPr>
                  </w:pPr>
                </w:p>
              </w:tc>
            </w:tr>
            <w:tr w14:paraId="79CD65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518" w:type="pct"/>
                  <w:vMerge w:val="continue"/>
                  <w:vAlign w:val="center"/>
                </w:tcPr>
                <w:p w14:paraId="6D5463E6">
                  <w:pPr>
                    <w:adjustRightInd w:val="0"/>
                    <w:spacing w:line="240" w:lineRule="auto"/>
                    <w:ind w:firstLine="0" w:firstLineChars="0"/>
                    <w:jc w:val="center"/>
                    <w:rPr>
                      <w:color w:val="auto"/>
                      <w:kern w:val="0"/>
                      <w:sz w:val="21"/>
                      <w:szCs w:val="21"/>
                    </w:rPr>
                  </w:pPr>
                </w:p>
              </w:tc>
              <w:tc>
                <w:tcPr>
                  <w:tcW w:w="1078" w:type="pct"/>
                  <w:tcBorders>
                    <w:right w:val="single" w:color="000000" w:sz="4" w:space="0"/>
                  </w:tcBorders>
                  <w:vAlign w:val="center"/>
                </w:tcPr>
                <w:p w14:paraId="49D5330C">
                  <w:pPr>
                    <w:autoSpaceDE w:val="0"/>
                    <w:autoSpaceDN w:val="0"/>
                    <w:adjustRightInd w:val="0"/>
                    <w:spacing w:line="240" w:lineRule="auto"/>
                    <w:ind w:firstLine="0" w:firstLineChars="0"/>
                    <w:jc w:val="center"/>
                    <w:textAlignment w:val="baseline"/>
                    <w:rPr>
                      <w:snapToGrid w:val="0"/>
                      <w:color w:val="auto"/>
                      <w:sz w:val="21"/>
                      <w:szCs w:val="21"/>
                      <w:lang w:bidi="en-US"/>
                    </w:rPr>
                  </w:pPr>
                  <w:r>
                    <w:rPr>
                      <w:snapToGrid w:val="0"/>
                      <w:color w:val="auto"/>
                      <w:sz w:val="21"/>
                      <w:szCs w:val="21"/>
                      <w:lang w:bidi="en-US"/>
                    </w:rPr>
                    <w:t>厂区内</w:t>
                  </w:r>
                </w:p>
              </w:tc>
              <w:tc>
                <w:tcPr>
                  <w:tcW w:w="886" w:type="pct"/>
                  <w:tcBorders>
                    <w:left w:val="single" w:color="000000" w:sz="4" w:space="0"/>
                  </w:tcBorders>
                  <w:vAlign w:val="center"/>
                </w:tcPr>
                <w:p w14:paraId="423DECA5">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color w:val="auto"/>
                      <w:sz w:val="21"/>
                      <w:szCs w:val="21"/>
                    </w:rPr>
                  </w:pPr>
                  <w:r>
                    <w:rPr>
                      <w:rFonts w:hint="eastAsia"/>
                      <w:color w:val="auto"/>
                      <w:sz w:val="21"/>
                      <w:szCs w:val="21"/>
                      <w:lang w:val="en-US" w:eastAsia="zh-CN" w:bidi="ar"/>
                    </w:rPr>
                    <w:t>非甲烷总烃</w:t>
                  </w:r>
                </w:p>
              </w:tc>
              <w:tc>
                <w:tcPr>
                  <w:tcW w:w="858" w:type="pct"/>
                  <w:vAlign w:val="center"/>
                </w:tcPr>
                <w:p w14:paraId="24A97242">
                  <w:pPr>
                    <w:adjustRightInd w:val="0"/>
                    <w:spacing w:line="240" w:lineRule="auto"/>
                    <w:ind w:firstLine="0" w:firstLineChars="0"/>
                    <w:jc w:val="center"/>
                    <w:rPr>
                      <w:color w:val="auto"/>
                      <w:sz w:val="21"/>
                      <w:szCs w:val="21"/>
                      <w:lang w:bidi="ar"/>
                    </w:rPr>
                  </w:pPr>
                  <w:r>
                    <w:rPr>
                      <w:color w:val="auto"/>
                      <w:sz w:val="21"/>
                      <w:szCs w:val="21"/>
                      <w:lang w:bidi="ar"/>
                    </w:rPr>
                    <w:t>1次/</w:t>
                  </w:r>
                  <w:r>
                    <w:rPr>
                      <w:rFonts w:hint="eastAsia"/>
                      <w:color w:val="auto"/>
                      <w:sz w:val="21"/>
                      <w:szCs w:val="21"/>
                      <w:lang w:val="en-US" w:eastAsia="zh-CN" w:bidi="ar"/>
                    </w:rPr>
                    <w:t>半</w:t>
                  </w:r>
                  <w:r>
                    <w:rPr>
                      <w:color w:val="auto"/>
                      <w:sz w:val="21"/>
                      <w:szCs w:val="21"/>
                      <w:lang w:bidi="ar"/>
                    </w:rPr>
                    <w:t>年</w:t>
                  </w:r>
                </w:p>
              </w:tc>
              <w:tc>
                <w:tcPr>
                  <w:tcW w:w="1658" w:type="pct"/>
                  <w:vMerge w:val="continue"/>
                  <w:vAlign w:val="center"/>
                </w:tcPr>
                <w:p w14:paraId="79EBA7B8">
                  <w:pPr>
                    <w:adjustRightInd w:val="0"/>
                    <w:spacing w:line="240" w:lineRule="auto"/>
                    <w:ind w:firstLine="0" w:firstLineChars="0"/>
                    <w:jc w:val="center"/>
                    <w:rPr>
                      <w:color w:val="auto"/>
                      <w:sz w:val="21"/>
                      <w:szCs w:val="21"/>
                    </w:rPr>
                  </w:pPr>
                </w:p>
              </w:tc>
            </w:tr>
          </w:tbl>
          <w:p w14:paraId="305CCEAC">
            <w:pPr>
              <w:adjustRightInd w:val="0"/>
              <w:snapToGrid w:val="0"/>
              <w:spacing w:line="360" w:lineRule="auto"/>
              <w:ind w:firstLine="480"/>
              <w:rPr>
                <w:b/>
                <w:bCs/>
                <w:color w:val="auto"/>
              </w:rPr>
            </w:pPr>
            <w:r>
              <w:rPr>
                <w:rFonts w:hint="eastAsia"/>
                <w:b/>
                <w:bCs/>
                <w:color w:val="auto"/>
                <w:lang w:val="en-US" w:eastAsia="zh-CN"/>
              </w:rPr>
              <w:t>二</w:t>
            </w:r>
            <w:r>
              <w:rPr>
                <w:rFonts w:hint="eastAsia"/>
                <w:b/>
                <w:bCs/>
                <w:color w:val="auto"/>
              </w:rPr>
              <w:t>、</w:t>
            </w:r>
            <w:r>
              <w:rPr>
                <w:rFonts w:hint="eastAsia"/>
                <w:b/>
                <w:bCs/>
                <w:color w:val="auto"/>
                <w:lang w:val="en-US" w:eastAsia="zh-CN"/>
              </w:rPr>
              <w:t>废</w:t>
            </w:r>
            <w:r>
              <w:rPr>
                <w:b/>
                <w:bCs/>
                <w:color w:val="auto"/>
              </w:rPr>
              <w:t>水环境影响和保护措施</w:t>
            </w:r>
          </w:p>
          <w:p w14:paraId="79B2BB9D">
            <w:pPr>
              <w:keepNext w:val="0"/>
              <w:keepLines w:val="0"/>
              <w:pageBreakBefore w:val="0"/>
              <w:widowControl w:val="0"/>
              <w:kinsoku/>
              <w:wordWrap/>
              <w:overflowPunct/>
              <w:topLinePunct w:val="0"/>
              <w:autoSpaceDE/>
              <w:autoSpaceDN/>
              <w:bidi w:val="0"/>
              <w:adjustRightInd/>
              <w:spacing w:line="360" w:lineRule="auto"/>
              <w:ind w:firstLine="480"/>
              <w:textAlignment w:val="auto"/>
              <w:rPr>
                <w:rFonts w:hint="eastAsia"/>
                <w:b w:val="0"/>
                <w:bCs w:val="0"/>
              </w:rPr>
            </w:pPr>
            <w:r>
              <w:rPr>
                <w:rFonts w:hint="eastAsia"/>
                <w:b/>
                <w:bCs w:val="0"/>
                <w:lang w:eastAsia="zh-CN"/>
              </w:rPr>
              <w:t>1.</w:t>
            </w:r>
            <w:r>
              <w:rPr>
                <w:rFonts w:hint="eastAsia"/>
                <w:b/>
                <w:bCs w:val="0"/>
              </w:rPr>
              <w:t>废水产生及排放情况</w:t>
            </w:r>
          </w:p>
          <w:p w14:paraId="2FDEECCD">
            <w:pPr>
              <w:tabs>
                <w:tab w:val="right" w:pos="0"/>
              </w:tabs>
              <w:adjustRightInd w:val="0"/>
              <w:snapToGrid w:val="0"/>
              <w:spacing w:line="360" w:lineRule="auto"/>
              <w:ind w:firstLine="480"/>
              <w:rPr>
                <w:color w:val="auto"/>
              </w:rPr>
            </w:pPr>
            <w:r>
              <w:rPr>
                <w:color w:val="auto"/>
              </w:rPr>
              <w:t>本项目建设完成后全厂用水主要为生活用水</w:t>
            </w:r>
            <w:r>
              <w:rPr>
                <w:rFonts w:hint="eastAsia"/>
                <w:color w:val="auto"/>
                <w:lang w:val="en-US" w:eastAsia="zh-CN"/>
              </w:rPr>
              <w:t>和生产用水</w:t>
            </w:r>
            <w:r>
              <w:rPr>
                <w:color w:val="auto"/>
              </w:rPr>
              <w:t>。</w:t>
            </w:r>
          </w:p>
          <w:p w14:paraId="769EDC55">
            <w:pPr>
              <w:tabs>
                <w:tab w:val="right" w:pos="0"/>
              </w:tabs>
              <w:adjustRightInd w:val="0"/>
              <w:snapToGrid w:val="0"/>
              <w:spacing w:line="360" w:lineRule="auto"/>
              <w:ind w:firstLine="480"/>
              <w:rPr>
                <w:rFonts w:hint="default" w:eastAsia="宋体"/>
                <w:color w:val="auto"/>
                <w:lang w:val="en-US" w:eastAsia="zh-CN"/>
              </w:rPr>
            </w:pPr>
            <w:r>
              <w:rPr>
                <w:rFonts w:hint="eastAsia"/>
                <w:color w:val="auto"/>
                <w:lang w:val="en-US" w:eastAsia="zh-CN"/>
              </w:rPr>
              <w:t>（1）生活用水</w:t>
            </w:r>
          </w:p>
          <w:p w14:paraId="127B6FBD">
            <w:pPr>
              <w:tabs>
                <w:tab w:val="left" w:pos="2790"/>
              </w:tabs>
              <w:adjustRightInd w:val="0"/>
              <w:snapToGrid w:val="0"/>
              <w:spacing w:line="360" w:lineRule="auto"/>
              <w:ind w:firstLine="480"/>
              <w:rPr>
                <w:color w:val="auto"/>
              </w:rPr>
            </w:pPr>
            <w:r>
              <w:rPr>
                <w:color w:val="auto"/>
              </w:rPr>
              <w:t>本项目劳动定员</w:t>
            </w:r>
            <w:r>
              <w:rPr>
                <w:rFonts w:hint="eastAsia"/>
                <w:color w:val="auto"/>
                <w:lang w:val="en-US" w:eastAsia="zh-CN"/>
              </w:rPr>
              <w:t>5</w:t>
            </w:r>
            <w:r>
              <w:rPr>
                <w:color w:val="auto"/>
              </w:rPr>
              <w:t>0人，</w:t>
            </w:r>
            <w:r>
              <w:rPr>
                <w:rFonts w:hint="eastAsia"/>
                <w:color w:val="auto"/>
              </w:rPr>
              <w:t>根据《建筑给水排水设计标准》（GB50015-2019）“3.2.11企业车间工人的生活用水定额应根据车间性质确定，宜采用30L/</w:t>
            </w:r>
            <w:r>
              <w:rPr>
                <w:rFonts w:hint="eastAsia"/>
                <w:color w:val="auto"/>
                <w:lang w:eastAsia="zh-CN"/>
              </w:rPr>
              <w:t>（</w:t>
            </w:r>
            <w:r>
              <w:rPr>
                <w:rFonts w:hint="eastAsia"/>
                <w:color w:val="auto"/>
              </w:rPr>
              <w:t>人·班</w:t>
            </w:r>
            <w:r>
              <w:rPr>
                <w:rFonts w:hint="eastAsia"/>
                <w:color w:val="auto"/>
                <w:lang w:eastAsia="zh-CN"/>
              </w:rPr>
              <w:t>）</w:t>
            </w:r>
            <w:r>
              <w:rPr>
                <w:rFonts w:hint="eastAsia"/>
                <w:color w:val="auto"/>
              </w:rPr>
              <w:t>~50L</w:t>
            </w:r>
            <w:r>
              <w:rPr>
                <w:rFonts w:hint="eastAsia"/>
                <w:color w:val="auto"/>
                <w:lang w:eastAsia="zh-CN"/>
              </w:rPr>
              <w:t>（</w:t>
            </w:r>
            <w:r>
              <w:rPr>
                <w:rFonts w:hint="eastAsia"/>
                <w:color w:val="auto"/>
              </w:rPr>
              <w:t>人·班</w:t>
            </w:r>
            <w:r>
              <w:rPr>
                <w:rFonts w:hint="eastAsia"/>
                <w:color w:val="auto"/>
                <w:lang w:eastAsia="zh-CN"/>
              </w:rPr>
              <w:t>）</w:t>
            </w:r>
            <w:r>
              <w:rPr>
                <w:rFonts w:hint="eastAsia"/>
                <w:color w:val="auto"/>
              </w:rPr>
              <w:t>”，员工生活用水按人均50L/d计</w:t>
            </w:r>
            <w:r>
              <w:rPr>
                <w:color w:val="auto"/>
              </w:rPr>
              <w:t>，一年工作300天，则用水量为</w:t>
            </w:r>
            <w:r>
              <w:rPr>
                <w:rFonts w:hint="eastAsia"/>
                <w:color w:val="auto"/>
                <w:lang w:val="en-US" w:eastAsia="zh-CN"/>
              </w:rPr>
              <w:t>750</w:t>
            </w:r>
            <w:r>
              <w:rPr>
                <w:color w:val="auto"/>
              </w:rPr>
              <w:t>m³/a，排水量按用水量的80%计算，则生活污水产生量为</w:t>
            </w:r>
            <w:r>
              <w:rPr>
                <w:rFonts w:hint="eastAsia"/>
                <w:color w:val="auto"/>
                <w:lang w:val="en-US" w:eastAsia="zh-CN"/>
              </w:rPr>
              <w:t>600</w:t>
            </w:r>
            <w:r>
              <w:rPr>
                <w:color w:val="auto"/>
              </w:rPr>
              <w:t>m</w:t>
            </w:r>
            <w:r>
              <w:rPr>
                <w:rFonts w:hint="eastAsia"/>
                <w:color w:val="auto"/>
                <w:vertAlign w:val="superscript"/>
                <w:lang w:val="en-US" w:eastAsia="zh-CN"/>
              </w:rPr>
              <w:t>3</w:t>
            </w:r>
            <w:r>
              <w:rPr>
                <w:color w:val="auto"/>
              </w:rPr>
              <w:t>/a。</w:t>
            </w:r>
          </w:p>
          <w:p w14:paraId="660C68B3">
            <w:pPr>
              <w:numPr>
                <w:ilvl w:val="0"/>
                <w:numId w:val="0"/>
              </w:numPr>
              <w:tabs>
                <w:tab w:val="left" w:pos="2790"/>
              </w:tabs>
              <w:adjustRightInd w:val="0"/>
              <w:snapToGrid w:val="0"/>
              <w:spacing w:line="360" w:lineRule="auto"/>
              <w:ind w:firstLine="480" w:firstLineChars="200"/>
              <w:rPr>
                <w:rFonts w:hint="eastAsia"/>
                <w:color w:val="auto"/>
                <w:lang w:val="en-US" w:eastAsia="zh-CN"/>
              </w:rPr>
            </w:pPr>
            <w:r>
              <w:rPr>
                <w:rFonts w:hint="eastAsia" w:ascii="Times New Roman" w:hAnsi="Times New Roman" w:eastAsia="宋体" w:cs="Times New Roman"/>
                <w:color w:val="auto"/>
                <w:kern w:val="2"/>
                <w:sz w:val="24"/>
                <w:szCs w:val="24"/>
                <w:lang w:val="en-US" w:eastAsia="zh-CN" w:bidi="ar-SA"/>
              </w:rPr>
              <w:t>（</w:t>
            </w:r>
            <w:r>
              <w:rPr>
                <w:rFonts w:hint="eastAsia" w:cs="Times New Roman"/>
                <w:color w:val="auto"/>
                <w:kern w:val="2"/>
                <w:sz w:val="24"/>
                <w:szCs w:val="24"/>
                <w:lang w:val="en-US" w:eastAsia="zh-CN" w:bidi="ar-SA"/>
              </w:rPr>
              <w:t>2</w:t>
            </w:r>
            <w:r>
              <w:rPr>
                <w:rFonts w:hint="eastAsia" w:ascii="Times New Roman" w:hAnsi="Times New Roman" w:eastAsia="宋体" w:cs="Times New Roman"/>
                <w:color w:val="auto"/>
                <w:kern w:val="2"/>
                <w:sz w:val="24"/>
                <w:szCs w:val="24"/>
                <w:lang w:val="en-US" w:eastAsia="zh-CN" w:bidi="ar-SA"/>
              </w:rPr>
              <w:t>）</w:t>
            </w:r>
            <w:r>
              <w:rPr>
                <w:rFonts w:hint="eastAsia"/>
                <w:color w:val="auto"/>
                <w:lang w:val="en-US" w:eastAsia="zh-CN"/>
              </w:rPr>
              <w:t>生产用水</w:t>
            </w:r>
          </w:p>
          <w:p w14:paraId="5DC6B4C3">
            <w:pPr>
              <w:keepNext w:val="0"/>
              <w:keepLines w:val="0"/>
              <w:pageBreakBefore w:val="0"/>
              <w:widowControl w:val="0"/>
              <w:numPr>
                <w:ilvl w:val="0"/>
                <w:numId w:val="0"/>
              </w:numPr>
              <w:tabs>
                <w:tab w:val="left" w:pos="2790"/>
              </w:tabs>
              <w:kinsoku/>
              <w:wordWrap/>
              <w:overflowPunct/>
              <w:topLinePunct w:val="0"/>
              <w:autoSpaceDE/>
              <w:autoSpaceDN/>
              <w:bidi w:val="0"/>
              <w:adjustRightInd w:val="0"/>
              <w:snapToGrid w:val="0"/>
              <w:spacing w:line="360" w:lineRule="auto"/>
              <w:ind w:firstLine="480" w:firstLineChars="200"/>
              <w:textAlignment w:val="auto"/>
              <w:rPr>
                <w:b/>
                <w:bCs/>
                <w:color w:val="auto"/>
              </w:rPr>
            </w:pPr>
            <w:r>
              <w:rPr>
                <w:rFonts w:hint="default" w:ascii="Times New Roman" w:hAnsi="Times New Roman" w:cs="Times New Roman"/>
                <w:color w:val="auto"/>
                <w:sz w:val="24"/>
                <w:szCs w:val="24"/>
              </w:rPr>
              <w:t>根据纺织行业设备运行经验，</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台喷水织机用水量约为</w:t>
            </w:r>
            <w:r>
              <w:rPr>
                <w:rFonts w:hint="eastAsia" w:cs="Times New Roman"/>
                <w:color w:val="auto"/>
                <w:sz w:val="24"/>
                <w:szCs w:val="24"/>
                <w:lang w:val="en-US" w:eastAsia="zh-CN"/>
              </w:rPr>
              <w:t>3</w:t>
            </w:r>
            <w:r>
              <w:rPr>
                <w:rFonts w:hint="default" w:ascii="Times New Roman" w:hAnsi="Times New Roman" w:cs="Times New Roman"/>
                <w:color w:val="auto"/>
                <w:sz w:val="24"/>
                <w:szCs w:val="24"/>
                <w:lang w:val="en-US" w:eastAsia="zh-CN"/>
              </w:rPr>
              <w:t>t</w:t>
            </w:r>
            <w:r>
              <w:rPr>
                <w:rFonts w:hint="default" w:ascii="Times New Roman" w:hAnsi="Times New Roman" w:cs="Times New Roman"/>
                <w:color w:val="auto"/>
                <w:sz w:val="24"/>
                <w:szCs w:val="24"/>
              </w:rPr>
              <w:t>/d，项目</w:t>
            </w:r>
            <w:r>
              <w:rPr>
                <w:rFonts w:hint="eastAsia" w:ascii="Times New Roman" w:hAnsi="Times New Roman" w:cs="Times New Roman"/>
                <w:color w:val="auto"/>
                <w:sz w:val="24"/>
                <w:szCs w:val="24"/>
                <w:lang w:val="en-US" w:eastAsia="zh-CN"/>
              </w:rPr>
              <w:t>30</w:t>
            </w:r>
            <w:r>
              <w:rPr>
                <w:rFonts w:hint="default" w:ascii="Times New Roman" w:hAnsi="Times New Roman" w:cs="Times New Roman"/>
                <w:color w:val="auto"/>
                <w:sz w:val="24"/>
                <w:szCs w:val="24"/>
              </w:rPr>
              <w:t>0台喷水织机用水量约为</w:t>
            </w:r>
            <w:r>
              <w:rPr>
                <w:rFonts w:hint="eastAsia" w:cs="Times New Roman"/>
                <w:color w:val="auto"/>
                <w:sz w:val="24"/>
                <w:szCs w:val="24"/>
                <w:lang w:val="en-US" w:eastAsia="zh-CN"/>
              </w:rPr>
              <w:t>9</w:t>
            </w:r>
            <w:r>
              <w:rPr>
                <w:rFonts w:hint="eastAsia" w:ascii="Times New Roman" w:hAnsi="Times New Roman" w:cs="Times New Roman"/>
                <w:color w:val="auto"/>
                <w:sz w:val="24"/>
                <w:szCs w:val="24"/>
                <w:lang w:val="en-US" w:eastAsia="zh-CN"/>
              </w:rPr>
              <w:t>00</w:t>
            </w:r>
            <w:r>
              <w:rPr>
                <w:rFonts w:hint="default" w:ascii="Times New Roman" w:hAnsi="Times New Roman" w:cs="Times New Roman"/>
                <w:color w:val="auto"/>
                <w:sz w:val="24"/>
                <w:szCs w:val="24"/>
              </w:rPr>
              <w:t>t/d（</w:t>
            </w:r>
            <w:r>
              <w:rPr>
                <w:rFonts w:hint="eastAsia" w:cs="Times New Roman"/>
                <w:color w:val="auto"/>
                <w:sz w:val="24"/>
                <w:szCs w:val="24"/>
                <w:lang w:val="en-US" w:eastAsia="zh-CN"/>
              </w:rPr>
              <w:t>27</w:t>
            </w:r>
            <w:r>
              <w:rPr>
                <w:rFonts w:hint="eastAsia" w:ascii="Times New Roman" w:hAnsi="Times New Roman" w:cs="Times New Roman"/>
                <w:color w:val="auto"/>
                <w:sz w:val="24"/>
                <w:szCs w:val="24"/>
                <w:lang w:val="en-US" w:eastAsia="zh-CN"/>
              </w:rPr>
              <w:t>0000</w:t>
            </w:r>
            <w:r>
              <w:rPr>
                <w:rFonts w:hint="default" w:ascii="Times New Roman" w:hAnsi="Times New Roman" w:cs="Times New Roman"/>
                <w:color w:val="auto"/>
                <w:sz w:val="24"/>
                <w:szCs w:val="24"/>
              </w:rPr>
              <w:t>t/a），损耗量约为10%，即</w:t>
            </w:r>
            <w:r>
              <w:rPr>
                <w:rFonts w:hint="eastAsia" w:cs="Times New Roman"/>
                <w:color w:val="auto"/>
                <w:sz w:val="24"/>
                <w:szCs w:val="24"/>
                <w:lang w:val="en-US" w:eastAsia="zh-CN"/>
              </w:rPr>
              <w:t>9</w:t>
            </w:r>
            <w:r>
              <w:rPr>
                <w:rFonts w:hint="eastAsia" w:ascii="Times New Roman" w:hAnsi="Times New Roman" w:cs="Times New Roman"/>
                <w:color w:val="auto"/>
                <w:sz w:val="24"/>
                <w:szCs w:val="24"/>
                <w:lang w:val="en-US" w:eastAsia="zh-CN"/>
              </w:rPr>
              <w:t>0</w:t>
            </w:r>
            <w:r>
              <w:rPr>
                <w:rFonts w:hint="default" w:ascii="Times New Roman" w:hAnsi="Times New Roman" w:cs="Times New Roman"/>
                <w:color w:val="auto"/>
                <w:sz w:val="24"/>
                <w:szCs w:val="24"/>
                <w:lang w:val="en-US" w:eastAsia="zh-CN"/>
              </w:rPr>
              <w:t>t</w:t>
            </w:r>
            <w:r>
              <w:rPr>
                <w:rFonts w:hint="default" w:ascii="Times New Roman" w:hAnsi="Times New Roman" w:cs="Times New Roman"/>
                <w:color w:val="auto"/>
                <w:sz w:val="24"/>
                <w:szCs w:val="24"/>
              </w:rPr>
              <w:t>/d（</w:t>
            </w:r>
            <w:r>
              <w:rPr>
                <w:rFonts w:hint="eastAsia" w:cs="Times New Roman"/>
                <w:color w:val="auto"/>
                <w:sz w:val="24"/>
                <w:szCs w:val="24"/>
                <w:lang w:val="en-US" w:eastAsia="zh-CN"/>
              </w:rPr>
              <w:t>27</w:t>
            </w:r>
            <w:r>
              <w:rPr>
                <w:rFonts w:hint="eastAsia" w:ascii="Times New Roman" w:hAnsi="Times New Roman" w:cs="Times New Roman"/>
                <w:color w:val="auto"/>
                <w:sz w:val="24"/>
                <w:szCs w:val="24"/>
                <w:lang w:val="en-US" w:eastAsia="zh-CN"/>
              </w:rPr>
              <w:t>000</w:t>
            </w:r>
            <w:r>
              <w:rPr>
                <w:rFonts w:hint="default" w:ascii="Times New Roman" w:hAnsi="Times New Roman" w:cs="Times New Roman"/>
                <w:color w:val="auto"/>
                <w:sz w:val="24"/>
                <w:szCs w:val="24"/>
              </w:rPr>
              <w:t>t/a），织造废水产生量为用水量的90%即</w:t>
            </w:r>
            <w:r>
              <w:rPr>
                <w:rFonts w:hint="eastAsia" w:cs="Times New Roman"/>
                <w:color w:val="auto"/>
                <w:sz w:val="24"/>
                <w:szCs w:val="24"/>
                <w:lang w:val="en-US" w:eastAsia="zh-CN"/>
              </w:rPr>
              <w:t>810</w:t>
            </w:r>
            <w:r>
              <w:rPr>
                <w:rFonts w:hint="default" w:ascii="Times New Roman" w:hAnsi="Times New Roman" w:cs="Times New Roman"/>
                <w:color w:val="auto"/>
                <w:sz w:val="24"/>
                <w:szCs w:val="24"/>
              </w:rPr>
              <w:t>t/d（</w:t>
            </w:r>
            <w:r>
              <w:rPr>
                <w:rFonts w:hint="eastAsia" w:cs="Times New Roman"/>
                <w:color w:val="auto"/>
                <w:sz w:val="24"/>
                <w:szCs w:val="24"/>
                <w:lang w:val="en-US" w:eastAsia="zh-CN"/>
              </w:rPr>
              <w:t>243</w:t>
            </w:r>
            <w:r>
              <w:rPr>
                <w:rFonts w:hint="eastAsia" w:ascii="Times New Roman" w:hAnsi="Times New Roman" w:cs="Times New Roman"/>
                <w:color w:val="auto"/>
                <w:sz w:val="24"/>
                <w:szCs w:val="24"/>
                <w:lang w:val="en-US" w:eastAsia="zh-CN"/>
              </w:rPr>
              <w:t>000</w:t>
            </w:r>
            <w:r>
              <w:rPr>
                <w:rFonts w:hint="default" w:ascii="Times New Roman" w:hAnsi="Times New Roman" w:cs="Times New Roman"/>
                <w:color w:val="auto"/>
                <w:sz w:val="24"/>
                <w:szCs w:val="24"/>
              </w:rPr>
              <w:t>t/a）。</w:t>
            </w:r>
          </w:p>
          <w:p w14:paraId="5A34E0E7">
            <w:pPr>
              <w:tabs>
                <w:tab w:val="left" w:pos="2550"/>
              </w:tabs>
              <w:adjustRightInd w:val="0"/>
              <w:snapToGrid w:val="0"/>
              <w:spacing w:line="240" w:lineRule="auto"/>
              <w:ind w:firstLine="0" w:firstLineChars="0"/>
              <w:jc w:val="center"/>
              <w:rPr>
                <w:b/>
                <w:bCs/>
                <w:color w:val="auto"/>
              </w:rPr>
            </w:pPr>
            <w:r>
              <w:rPr>
                <w:b/>
                <w:bCs/>
                <w:color w:val="auto"/>
              </w:rPr>
              <w:t>表</w:t>
            </w:r>
            <w:r>
              <w:rPr>
                <w:rFonts w:hint="eastAsia"/>
                <w:b/>
                <w:bCs/>
                <w:color w:val="auto"/>
              </w:rPr>
              <w:t>4-</w:t>
            </w:r>
            <w:r>
              <w:rPr>
                <w:rFonts w:hint="eastAsia"/>
                <w:b/>
                <w:bCs/>
                <w:color w:val="auto"/>
                <w:lang w:val="en-US" w:eastAsia="zh-CN"/>
              </w:rPr>
              <w:t>15</w:t>
            </w:r>
            <w:r>
              <w:rPr>
                <w:b/>
                <w:bCs/>
                <w:color w:val="auto"/>
              </w:rPr>
              <w:t>项目废水产生</w:t>
            </w:r>
            <w:r>
              <w:rPr>
                <w:rFonts w:hint="eastAsia"/>
                <w:b/>
                <w:bCs/>
                <w:color w:val="auto"/>
              </w:rPr>
              <w:t>及排放</w:t>
            </w:r>
            <w:r>
              <w:rPr>
                <w:b/>
                <w:bCs/>
                <w:color w:val="auto"/>
              </w:rPr>
              <w:t>情况一览表</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025"/>
              <w:gridCol w:w="893"/>
              <w:gridCol w:w="835"/>
              <w:gridCol w:w="900"/>
              <w:gridCol w:w="897"/>
              <w:gridCol w:w="854"/>
              <w:gridCol w:w="796"/>
              <w:gridCol w:w="1118"/>
              <w:gridCol w:w="753"/>
            </w:tblGrid>
            <w:tr w14:paraId="3AD5F3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restart"/>
                  <w:tcBorders>
                    <w:tl2br w:val="nil"/>
                    <w:tr2bl w:val="nil"/>
                  </w:tcBorders>
                  <w:vAlign w:val="center"/>
                </w:tcPr>
                <w:p w14:paraId="3380B52B">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种类</w:t>
                  </w:r>
                </w:p>
              </w:tc>
              <w:tc>
                <w:tcPr>
                  <w:tcW w:w="579" w:type="pct"/>
                  <w:vMerge w:val="restart"/>
                  <w:tcBorders>
                    <w:tl2br w:val="nil"/>
                    <w:tr2bl w:val="nil"/>
                  </w:tcBorders>
                  <w:vAlign w:val="center"/>
                </w:tcPr>
                <w:p w14:paraId="1AE4EA76">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污水量</w:t>
                  </w:r>
                  <w:r>
                    <w:rPr>
                      <w:rFonts w:hint="eastAsia" w:cs="Times New Roman"/>
                      <w:b/>
                      <w:color w:val="auto"/>
                      <w:sz w:val="21"/>
                      <w:szCs w:val="21"/>
                      <w:lang w:eastAsia="zh-CN"/>
                    </w:rPr>
                    <w:t>（</w:t>
                  </w:r>
                  <w:r>
                    <w:rPr>
                      <w:rFonts w:hint="default" w:ascii="Times New Roman" w:hAnsi="Times New Roman" w:eastAsia="宋体" w:cs="Times New Roman"/>
                      <w:b/>
                      <w:color w:val="auto"/>
                      <w:sz w:val="21"/>
                      <w:szCs w:val="21"/>
                    </w:rPr>
                    <w:t>m³/a</w:t>
                  </w:r>
                  <w:r>
                    <w:rPr>
                      <w:rFonts w:hint="eastAsia" w:cs="Times New Roman"/>
                      <w:b/>
                      <w:color w:val="auto"/>
                      <w:sz w:val="21"/>
                      <w:szCs w:val="21"/>
                      <w:lang w:eastAsia="zh-CN"/>
                    </w:rPr>
                    <w:t>）</w:t>
                  </w:r>
                </w:p>
              </w:tc>
              <w:tc>
                <w:tcPr>
                  <w:tcW w:w="1486" w:type="pct"/>
                  <w:gridSpan w:val="3"/>
                  <w:tcBorders>
                    <w:tl2br w:val="nil"/>
                    <w:tr2bl w:val="nil"/>
                  </w:tcBorders>
                  <w:vAlign w:val="center"/>
                </w:tcPr>
                <w:p w14:paraId="20535B4C">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主要污染物</w:t>
                  </w:r>
                </w:p>
              </w:tc>
              <w:tc>
                <w:tcPr>
                  <w:tcW w:w="507" w:type="pct"/>
                  <w:vMerge w:val="restart"/>
                  <w:tcBorders>
                    <w:tl2br w:val="nil"/>
                    <w:tr2bl w:val="nil"/>
                  </w:tcBorders>
                  <w:vAlign w:val="center"/>
                </w:tcPr>
                <w:p w14:paraId="2327C662">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治理措施</w:t>
                  </w:r>
                </w:p>
              </w:tc>
              <w:tc>
                <w:tcPr>
                  <w:tcW w:w="933" w:type="pct"/>
                  <w:gridSpan w:val="2"/>
                  <w:tcBorders>
                    <w:tl2br w:val="nil"/>
                    <w:tr2bl w:val="nil"/>
                  </w:tcBorders>
                  <w:vAlign w:val="center"/>
                </w:tcPr>
                <w:p w14:paraId="61DF054F">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污染物接管排放情况</w:t>
                  </w:r>
                </w:p>
              </w:tc>
              <w:tc>
                <w:tcPr>
                  <w:tcW w:w="632" w:type="pct"/>
                  <w:vMerge w:val="restart"/>
                  <w:tcBorders>
                    <w:tl2br w:val="nil"/>
                    <w:tr2bl w:val="nil"/>
                  </w:tcBorders>
                  <w:vAlign w:val="center"/>
                </w:tcPr>
                <w:p w14:paraId="138C5579">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接管标准（mg/L）</w:t>
                  </w:r>
                </w:p>
              </w:tc>
              <w:tc>
                <w:tcPr>
                  <w:tcW w:w="426" w:type="pct"/>
                  <w:vMerge w:val="restart"/>
                  <w:tcBorders>
                    <w:tl2br w:val="nil"/>
                    <w:tr2bl w:val="nil"/>
                  </w:tcBorders>
                  <w:vAlign w:val="center"/>
                </w:tcPr>
                <w:p w14:paraId="08E42DE8">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排放去向</w:t>
                  </w:r>
                </w:p>
              </w:tc>
            </w:tr>
            <w:tr w14:paraId="45EA54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23FBEC53">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p>
              </w:tc>
              <w:tc>
                <w:tcPr>
                  <w:tcW w:w="579" w:type="pct"/>
                  <w:vMerge w:val="continue"/>
                  <w:tcBorders>
                    <w:tl2br w:val="nil"/>
                    <w:tr2bl w:val="nil"/>
                  </w:tcBorders>
                  <w:vAlign w:val="center"/>
                </w:tcPr>
                <w:p w14:paraId="1A2C898E">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p>
              </w:tc>
              <w:tc>
                <w:tcPr>
                  <w:tcW w:w="505" w:type="pct"/>
                  <w:tcBorders>
                    <w:tl2br w:val="nil"/>
                    <w:tr2bl w:val="nil"/>
                  </w:tcBorders>
                  <w:vAlign w:val="center"/>
                </w:tcPr>
                <w:p w14:paraId="6323E267">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472" w:type="pct"/>
                  <w:tcBorders>
                    <w:tl2br w:val="nil"/>
                    <w:tr2bl w:val="nil"/>
                  </w:tcBorders>
                  <w:vAlign w:val="center"/>
                </w:tcPr>
                <w:p w14:paraId="52C47BA2">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浓度</w:t>
                  </w:r>
                  <w:r>
                    <w:rPr>
                      <w:rFonts w:hint="eastAsia" w:cs="Times New Roman"/>
                      <w:b/>
                      <w:color w:val="auto"/>
                      <w:sz w:val="21"/>
                      <w:szCs w:val="21"/>
                      <w:lang w:eastAsia="zh-CN"/>
                    </w:rPr>
                    <w:t>（</w:t>
                  </w:r>
                  <w:r>
                    <w:rPr>
                      <w:rFonts w:hint="default" w:ascii="Times New Roman" w:hAnsi="Times New Roman" w:eastAsia="宋体" w:cs="Times New Roman"/>
                      <w:b/>
                      <w:color w:val="auto"/>
                      <w:sz w:val="21"/>
                      <w:szCs w:val="21"/>
                    </w:rPr>
                    <w:t>mg/L</w:t>
                  </w:r>
                  <w:r>
                    <w:rPr>
                      <w:rFonts w:hint="eastAsia" w:cs="Times New Roman"/>
                      <w:b/>
                      <w:color w:val="auto"/>
                      <w:sz w:val="21"/>
                      <w:szCs w:val="21"/>
                      <w:lang w:eastAsia="zh-CN"/>
                    </w:rPr>
                    <w:t>）</w:t>
                  </w:r>
                </w:p>
              </w:tc>
              <w:tc>
                <w:tcPr>
                  <w:tcW w:w="509" w:type="pct"/>
                  <w:tcBorders>
                    <w:tl2br w:val="nil"/>
                    <w:tr2bl w:val="nil"/>
                  </w:tcBorders>
                  <w:vAlign w:val="center"/>
                </w:tcPr>
                <w:p w14:paraId="1747A480">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产生量</w:t>
                  </w:r>
                  <w:r>
                    <w:rPr>
                      <w:rFonts w:hint="eastAsia" w:cs="Times New Roman"/>
                      <w:b/>
                      <w:color w:val="auto"/>
                      <w:sz w:val="21"/>
                      <w:szCs w:val="21"/>
                      <w:lang w:eastAsia="zh-CN"/>
                    </w:rPr>
                    <w:t>（</w:t>
                  </w:r>
                  <w:r>
                    <w:rPr>
                      <w:rFonts w:hint="default" w:ascii="Times New Roman" w:hAnsi="Times New Roman" w:eastAsia="宋体" w:cs="Times New Roman"/>
                      <w:b/>
                      <w:color w:val="auto"/>
                      <w:sz w:val="21"/>
                      <w:szCs w:val="21"/>
                    </w:rPr>
                    <w:t>t/a</w:t>
                  </w:r>
                  <w:r>
                    <w:rPr>
                      <w:rFonts w:hint="eastAsia" w:cs="Times New Roman"/>
                      <w:b/>
                      <w:color w:val="auto"/>
                      <w:sz w:val="21"/>
                      <w:szCs w:val="21"/>
                      <w:lang w:eastAsia="zh-CN"/>
                    </w:rPr>
                    <w:t>）</w:t>
                  </w:r>
                </w:p>
              </w:tc>
              <w:tc>
                <w:tcPr>
                  <w:tcW w:w="507" w:type="pct"/>
                  <w:vMerge w:val="continue"/>
                  <w:tcBorders>
                    <w:tl2br w:val="nil"/>
                    <w:tr2bl w:val="nil"/>
                  </w:tcBorders>
                  <w:vAlign w:val="center"/>
                </w:tcPr>
                <w:p w14:paraId="12F08F15">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p>
              </w:tc>
              <w:tc>
                <w:tcPr>
                  <w:tcW w:w="483" w:type="pct"/>
                  <w:tcBorders>
                    <w:tl2br w:val="nil"/>
                    <w:tr2bl w:val="nil"/>
                  </w:tcBorders>
                  <w:vAlign w:val="center"/>
                </w:tcPr>
                <w:p w14:paraId="4A4B4288">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浓度（mg/L）</w:t>
                  </w:r>
                </w:p>
              </w:tc>
              <w:tc>
                <w:tcPr>
                  <w:tcW w:w="450" w:type="pct"/>
                  <w:tcBorders>
                    <w:tl2br w:val="nil"/>
                    <w:tr2bl w:val="nil"/>
                  </w:tcBorders>
                  <w:vAlign w:val="center"/>
                </w:tcPr>
                <w:p w14:paraId="030639AF">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接管量</w:t>
                  </w:r>
                  <w:r>
                    <w:rPr>
                      <w:rFonts w:hint="eastAsia" w:cs="Times New Roman"/>
                      <w:b/>
                      <w:color w:val="auto"/>
                      <w:sz w:val="21"/>
                      <w:szCs w:val="21"/>
                      <w:lang w:eastAsia="zh-CN"/>
                    </w:rPr>
                    <w:t>（</w:t>
                  </w:r>
                  <w:r>
                    <w:rPr>
                      <w:rFonts w:hint="default" w:ascii="Times New Roman" w:hAnsi="Times New Roman" w:eastAsia="宋体" w:cs="Times New Roman"/>
                      <w:b/>
                      <w:color w:val="auto"/>
                      <w:sz w:val="21"/>
                      <w:szCs w:val="21"/>
                    </w:rPr>
                    <w:t>t/a</w:t>
                  </w:r>
                  <w:r>
                    <w:rPr>
                      <w:rFonts w:hint="eastAsia" w:cs="Times New Roman"/>
                      <w:b/>
                      <w:color w:val="auto"/>
                      <w:sz w:val="21"/>
                      <w:szCs w:val="21"/>
                      <w:lang w:eastAsia="zh-CN"/>
                    </w:rPr>
                    <w:t>）</w:t>
                  </w:r>
                </w:p>
              </w:tc>
              <w:tc>
                <w:tcPr>
                  <w:tcW w:w="632" w:type="pct"/>
                  <w:vMerge w:val="continue"/>
                  <w:tcBorders>
                    <w:tl2br w:val="nil"/>
                    <w:tr2bl w:val="nil"/>
                  </w:tcBorders>
                  <w:vAlign w:val="center"/>
                </w:tcPr>
                <w:p w14:paraId="52364032">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p>
              </w:tc>
              <w:tc>
                <w:tcPr>
                  <w:tcW w:w="426" w:type="pct"/>
                  <w:vMerge w:val="continue"/>
                  <w:tcBorders>
                    <w:tl2br w:val="nil"/>
                    <w:tr2bl w:val="nil"/>
                  </w:tcBorders>
                  <w:vAlign w:val="center"/>
                </w:tcPr>
                <w:p w14:paraId="56E3961C">
                  <w:pPr>
                    <w:adjustRightInd w:val="0"/>
                    <w:snapToGrid w:val="0"/>
                    <w:spacing w:line="240" w:lineRule="auto"/>
                    <w:ind w:firstLine="0" w:firstLineChars="0"/>
                    <w:jc w:val="center"/>
                    <w:rPr>
                      <w:rFonts w:hint="default" w:ascii="Times New Roman" w:hAnsi="Times New Roman" w:eastAsia="宋体" w:cs="Times New Roman"/>
                      <w:b/>
                      <w:color w:val="auto"/>
                      <w:sz w:val="21"/>
                      <w:szCs w:val="21"/>
                    </w:rPr>
                  </w:pPr>
                </w:p>
              </w:tc>
            </w:tr>
            <w:tr w14:paraId="3892E7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restart"/>
                  <w:tcBorders>
                    <w:tl2br w:val="nil"/>
                    <w:tr2bl w:val="nil"/>
                  </w:tcBorders>
                  <w:vAlign w:val="center"/>
                </w:tcPr>
                <w:p w14:paraId="384A4808">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生活污水</w:t>
                  </w:r>
                </w:p>
              </w:tc>
              <w:tc>
                <w:tcPr>
                  <w:tcW w:w="579" w:type="pct"/>
                  <w:vMerge w:val="restart"/>
                  <w:tcBorders>
                    <w:tl2br w:val="nil"/>
                    <w:tr2bl w:val="nil"/>
                  </w:tcBorders>
                  <w:vAlign w:val="center"/>
                </w:tcPr>
                <w:p w14:paraId="4F165C8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600</w:t>
                  </w:r>
                </w:p>
              </w:tc>
              <w:tc>
                <w:tcPr>
                  <w:tcW w:w="505" w:type="pct"/>
                  <w:tcBorders>
                    <w:tl2br w:val="nil"/>
                    <w:tr2bl w:val="nil"/>
                  </w:tcBorders>
                  <w:vAlign w:val="center"/>
                </w:tcPr>
                <w:p w14:paraId="7356AD4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COD</w:t>
                  </w:r>
                </w:p>
              </w:tc>
              <w:tc>
                <w:tcPr>
                  <w:tcW w:w="472" w:type="pct"/>
                  <w:tcBorders>
                    <w:tl2br w:val="nil"/>
                    <w:tr2bl w:val="nil"/>
                  </w:tcBorders>
                  <w:vAlign w:val="center"/>
                </w:tcPr>
                <w:p w14:paraId="3AD39BAB">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509" w:type="pct"/>
                  <w:tcBorders>
                    <w:tl2br w:val="nil"/>
                    <w:tr2bl w:val="nil"/>
                  </w:tcBorders>
                  <w:vAlign w:val="center"/>
                </w:tcPr>
                <w:p w14:paraId="3A98199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0.21</w:t>
                  </w:r>
                </w:p>
              </w:tc>
              <w:tc>
                <w:tcPr>
                  <w:tcW w:w="507" w:type="pct"/>
                  <w:vMerge w:val="restart"/>
                  <w:tcBorders>
                    <w:tl2br w:val="nil"/>
                    <w:tr2bl w:val="nil"/>
                  </w:tcBorders>
                  <w:vAlign w:val="center"/>
                </w:tcPr>
                <w:p w14:paraId="3538E7A5">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化粪池</w:t>
                  </w:r>
                </w:p>
              </w:tc>
              <w:tc>
                <w:tcPr>
                  <w:tcW w:w="483" w:type="pct"/>
                  <w:tcBorders>
                    <w:tl2br w:val="nil"/>
                    <w:tr2bl w:val="nil"/>
                  </w:tcBorders>
                  <w:vAlign w:val="center"/>
                </w:tcPr>
                <w:p w14:paraId="2A081D7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280</w:t>
                  </w:r>
                </w:p>
              </w:tc>
              <w:tc>
                <w:tcPr>
                  <w:tcW w:w="450" w:type="pct"/>
                  <w:tcBorders>
                    <w:tl2br w:val="nil"/>
                    <w:tr2bl w:val="nil"/>
                  </w:tcBorders>
                  <w:vAlign w:val="center"/>
                </w:tcPr>
                <w:p w14:paraId="3AD013D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0.168</w:t>
                  </w:r>
                </w:p>
              </w:tc>
              <w:tc>
                <w:tcPr>
                  <w:tcW w:w="632" w:type="pct"/>
                  <w:tcBorders>
                    <w:tl2br w:val="nil"/>
                    <w:tr2bl w:val="nil"/>
                  </w:tcBorders>
                  <w:vAlign w:val="center"/>
                </w:tcPr>
                <w:p w14:paraId="61D96FD7">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280</w:t>
                  </w:r>
                </w:p>
              </w:tc>
              <w:tc>
                <w:tcPr>
                  <w:tcW w:w="426" w:type="pct"/>
                  <w:vMerge w:val="restart"/>
                  <w:tcBorders>
                    <w:tl2br w:val="nil"/>
                    <w:tr2bl w:val="nil"/>
                  </w:tcBorders>
                  <w:vAlign w:val="center"/>
                </w:tcPr>
                <w:p w14:paraId="5B4B3B26">
                  <w:pPr>
                    <w:widowControl/>
                    <w:adjustRightInd w:val="0"/>
                    <w:snapToGrid w:val="0"/>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新袁镇污水处理厂</w:t>
                  </w:r>
                </w:p>
              </w:tc>
            </w:tr>
            <w:tr w14:paraId="2F0A19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59FC21F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7B0BE03E">
                  <w:pPr>
                    <w:adjustRightInd w:val="0"/>
                    <w:snapToGrid w:val="0"/>
                    <w:spacing w:line="240" w:lineRule="auto"/>
                    <w:ind w:firstLine="0" w:firstLineChars="0"/>
                    <w:jc w:val="center"/>
                    <w:rPr>
                      <w:rFonts w:hint="eastAsia" w:cs="Times New Roman"/>
                      <w:color w:val="auto"/>
                      <w:sz w:val="21"/>
                      <w:szCs w:val="21"/>
                      <w:lang w:val="en-US" w:eastAsia="zh-CN"/>
                    </w:rPr>
                  </w:pPr>
                </w:p>
              </w:tc>
              <w:tc>
                <w:tcPr>
                  <w:tcW w:w="505" w:type="pct"/>
                  <w:tcBorders>
                    <w:tl2br w:val="nil"/>
                    <w:tr2bl w:val="nil"/>
                  </w:tcBorders>
                  <w:vAlign w:val="center"/>
                </w:tcPr>
                <w:p w14:paraId="1157250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BOD</w:t>
                  </w:r>
                  <w:r>
                    <w:rPr>
                      <w:rFonts w:hint="eastAsia" w:cs="Times New Roman"/>
                      <w:color w:val="auto"/>
                      <w:sz w:val="21"/>
                      <w:szCs w:val="21"/>
                      <w:vertAlign w:val="subscript"/>
                      <w:lang w:val="en-US" w:eastAsia="zh-CN"/>
                    </w:rPr>
                    <w:t>5</w:t>
                  </w:r>
                </w:p>
              </w:tc>
              <w:tc>
                <w:tcPr>
                  <w:tcW w:w="472" w:type="pct"/>
                  <w:tcBorders>
                    <w:tl2br w:val="nil"/>
                    <w:tr2bl w:val="nil"/>
                  </w:tcBorders>
                  <w:vAlign w:val="center"/>
                </w:tcPr>
                <w:p w14:paraId="455C322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250</w:t>
                  </w:r>
                </w:p>
              </w:tc>
              <w:tc>
                <w:tcPr>
                  <w:tcW w:w="509" w:type="pct"/>
                  <w:tcBorders>
                    <w:tl2br w:val="nil"/>
                    <w:tr2bl w:val="nil"/>
                  </w:tcBorders>
                  <w:vAlign w:val="center"/>
                </w:tcPr>
                <w:p w14:paraId="2C2BE2A2">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0.15</w:t>
                  </w:r>
                </w:p>
              </w:tc>
              <w:tc>
                <w:tcPr>
                  <w:tcW w:w="507" w:type="pct"/>
                  <w:vMerge w:val="continue"/>
                  <w:tcBorders>
                    <w:tl2br w:val="nil"/>
                    <w:tr2bl w:val="nil"/>
                  </w:tcBorders>
                  <w:vAlign w:val="center"/>
                </w:tcPr>
                <w:p w14:paraId="2BD2724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83" w:type="pct"/>
                  <w:tcBorders>
                    <w:tl2br w:val="nil"/>
                    <w:tr2bl w:val="nil"/>
                  </w:tcBorders>
                  <w:vAlign w:val="center"/>
                </w:tcPr>
                <w:p w14:paraId="369EAAE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160</w:t>
                  </w:r>
                </w:p>
              </w:tc>
              <w:tc>
                <w:tcPr>
                  <w:tcW w:w="450" w:type="pct"/>
                  <w:tcBorders>
                    <w:tl2br w:val="nil"/>
                    <w:tr2bl w:val="nil"/>
                  </w:tcBorders>
                  <w:vAlign w:val="center"/>
                </w:tcPr>
                <w:p w14:paraId="2F563EBC">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0.096</w:t>
                  </w:r>
                </w:p>
              </w:tc>
              <w:tc>
                <w:tcPr>
                  <w:tcW w:w="632" w:type="pct"/>
                  <w:tcBorders>
                    <w:tl2br w:val="nil"/>
                    <w:tr2bl w:val="nil"/>
                  </w:tcBorders>
                  <w:vAlign w:val="center"/>
                </w:tcPr>
                <w:p w14:paraId="4C3F368C">
                  <w:pPr>
                    <w:widowControl/>
                    <w:adjustRightInd w:val="0"/>
                    <w:snapToGrid w:val="0"/>
                    <w:spacing w:line="240" w:lineRule="auto"/>
                    <w:ind w:firstLine="0" w:firstLineChars="0"/>
                    <w:jc w:val="center"/>
                    <w:rPr>
                      <w:rFonts w:hint="default" w:eastAsia="宋体" w:cs="Times New Roman"/>
                      <w:color w:val="auto"/>
                      <w:sz w:val="21"/>
                      <w:szCs w:val="21"/>
                      <w:lang w:val="en-US" w:eastAsia="zh-CN"/>
                    </w:rPr>
                  </w:pPr>
                  <w:r>
                    <w:rPr>
                      <w:rFonts w:hint="eastAsia" w:cs="Times New Roman"/>
                      <w:color w:val="auto"/>
                      <w:sz w:val="21"/>
                      <w:szCs w:val="21"/>
                      <w:lang w:val="en-US" w:eastAsia="zh-CN"/>
                    </w:rPr>
                    <w:t>160</w:t>
                  </w:r>
                </w:p>
              </w:tc>
              <w:tc>
                <w:tcPr>
                  <w:tcW w:w="426" w:type="pct"/>
                  <w:vMerge w:val="continue"/>
                  <w:tcBorders>
                    <w:tl2br w:val="nil"/>
                    <w:tr2bl w:val="nil"/>
                  </w:tcBorders>
                  <w:vAlign w:val="center"/>
                </w:tcPr>
                <w:p w14:paraId="17EC8060">
                  <w:pPr>
                    <w:widowControl/>
                    <w:adjustRightInd w:val="0"/>
                    <w:snapToGrid w:val="0"/>
                    <w:spacing w:line="240" w:lineRule="auto"/>
                    <w:ind w:firstLine="0" w:firstLineChars="0"/>
                    <w:jc w:val="center"/>
                    <w:rPr>
                      <w:rFonts w:hint="eastAsia" w:ascii="Times New Roman" w:hAnsi="Times New Roman" w:eastAsia="宋体" w:cs="Times New Roman"/>
                      <w:color w:val="auto"/>
                      <w:sz w:val="21"/>
                      <w:szCs w:val="21"/>
                      <w:lang w:eastAsia="zh-CN"/>
                    </w:rPr>
                  </w:pPr>
                </w:p>
              </w:tc>
            </w:tr>
            <w:tr w14:paraId="77CAA4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5532BCC7">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590ED98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vAlign w:val="center"/>
                </w:tcPr>
                <w:p w14:paraId="08152A4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SS</w:t>
                  </w:r>
                </w:p>
              </w:tc>
              <w:tc>
                <w:tcPr>
                  <w:tcW w:w="472" w:type="pct"/>
                  <w:tcBorders>
                    <w:tl2br w:val="nil"/>
                    <w:tr2bl w:val="nil"/>
                  </w:tcBorders>
                  <w:vAlign w:val="center"/>
                </w:tcPr>
                <w:p w14:paraId="6BD39B6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w:t>
                  </w:r>
                </w:p>
              </w:tc>
              <w:tc>
                <w:tcPr>
                  <w:tcW w:w="509" w:type="pct"/>
                  <w:tcBorders>
                    <w:tl2br w:val="nil"/>
                    <w:tr2bl w:val="nil"/>
                  </w:tcBorders>
                  <w:vAlign w:val="center"/>
                </w:tcPr>
                <w:p w14:paraId="03EC537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0.12</w:t>
                  </w:r>
                </w:p>
              </w:tc>
              <w:tc>
                <w:tcPr>
                  <w:tcW w:w="507" w:type="pct"/>
                  <w:vMerge w:val="continue"/>
                  <w:tcBorders>
                    <w:tl2br w:val="nil"/>
                    <w:tr2bl w:val="nil"/>
                  </w:tcBorders>
                  <w:vAlign w:val="center"/>
                </w:tcPr>
                <w:p w14:paraId="6202FC1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83" w:type="pct"/>
                  <w:tcBorders>
                    <w:tl2br w:val="nil"/>
                    <w:tr2bl w:val="nil"/>
                  </w:tcBorders>
                  <w:vAlign w:val="center"/>
                </w:tcPr>
                <w:p w14:paraId="7020BDB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160</w:t>
                  </w:r>
                </w:p>
              </w:tc>
              <w:tc>
                <w:tcPr>
                  <w:tcW w:w="450" w:type="pct"/>
                  <w:tcBorders>
                    <w:tl2br w:val="nil"/>
                    <w:tr2bl w:val="nil"/>
                  </w:tcBorders>
                  <w:vAlign w:val="center"/>
                </w:tcPr>
                <w:p w14:paraId="35BCF95F">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0.096</w:t>
                  </w:r>
                </w:p>
              </w:tc>
              <w:tc>
                <w:tcPr>
                  <w:tcW w:w="632" w:type="pct"/>
                  <w:tcBorders>
                    <w:tl2br w:val="nil"/>
                    <w:tr2bl w:val="nil"/>
                  </w:tcBorders>
                  <w:vAlign w:val="center"/>
                </w:tcPr>
                <w:p w14:paraId="7E4E2625">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180</w:t>
                  </w:r>
                </w:p>
              </w:tc>
              <w:tc>
                <w:tcPr>
                  <w:tcW w:w="426" w:type="pct"/>
                  <w:vMerge w:val="continue"/>
                  <w:tcBorders>
                    <w:tl2br w:val="nil"/>
                    <w:tr2bl w:val="nil"/>
                  </w:tcBorders>
                  <w:vAlign w:val="center"/>
                </w:tcPr>
                <w:p w14:paraId="1C67AA3F">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2BAFC3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322B674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3DEC6684">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vAlign w:val="center"/>
                </w:tcPr>
                <w:p w14:paraId="1DC48E0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472" w:type="pct"/>
                  <w:tcBorders>
                    <w:tl2br w:val="nil"/>
                    <w:tr2bl w:val="nil"/>
                  </w:tcBorders>
                  <w:vAlign w:val="center"/>
                </w:tcPr>
                <w:p w14:paraId="1986C968">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w:t>
                  </w:r>
                </w:p>
              </w:tc>
              <w:tc>
                <w:tcPr>
                  <w:tcW w:w="509" w:type="pct"/>
                  <w:tcBorders>
                    <w:tl2br w:val="nil"/>
                    <w:tr2bl w:val="nil"/>
                  </w:tcBorders>
                  <w:vAlign w:val="center"/>
                </w:tcPr>
                <w:p w14:paraId="23ACC52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0.021</w:t>
                  </w:r>
                </w:p>
              </w:tc>
              <w:tc>
                <w:tcPr>
                  <w:tcW w:w="507" w:type="pct"/>
                  <w:vMerge w:val="continue"/>
                  <w:tcBorders>
                    <w:tl2br w:val="nil"/>
                    <w:tr2bl w:val="nil"/>
                  </w:tcBorders>
                  <w:vAlign w:val="center"/>
                </w:tcPr>
                <w:p w14:paraId="17DB651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83" w:type="pct"/>
                  <w:tcBorders>
                    <w:tl2br w:val="nil"/>
                    <w:tr2bl w:val="nil"/>
                  </w:tcBorders>
                  <w:vAlign w:val="center"/>
                </w:tcPr>
                <w:p w14:paraId="60F52C5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w:t>
                  </w:r>
                </w:p>
              </w:tc>
              <w:tc>
                <w:tcPr>
                  <w:tcW w:w="450" w:type="pct"/>
                  <w:tcBorders>
                    <w:tl2br w:val="nil"/>
                    <w:tr2bl w:val="nil"/>
                  </w:tcBorders>
                  <w:vAlign w:val="center"/>
                </w:tcPr>
                <w:p w14:paraId="411A5905">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0.018</w:t>
                  </w:r>
                </w:p>
              </w:tc>
              <w:tc>
                <w:tcPr>
                  <w:tcW w:w="632" w:type="pct"/>
                  <w:tcBorders>
                    <w:tl2br w:val="nil"/>
                    <w:tr2bl w:val="nil"/>
                  </w:tcBorders>
                  <w:vAlign w:val="center"/>
                </w:tcPr>
                <w:p w14:paraId="6AD112D8">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w:t>
                  </w:r>
                </w:p>
              </w:tc>
              <w:tc>
                <w:tcPr>
                  <w:tcW w:w="426" w:type="pct"/>
                  <w:vMerge w:val="continue"/>
                  <w:tcBorders>
                    <w:tl2br w:val="nil"/>
                    <w:tr2bl w:val="nil"/>
                  </w:tcBorders>
                  <w:vAlign w:val="center"/>
                </w:tcPr>
                <w:p w14:paraId="2D2FC88E">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146688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1C5AFFE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3EF1E2F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vAlign w:val="center"/>
                </w:tcPr>
                <w:p w14:paraId="232CAB2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TN</w:t>
                  </w:r>
                </w:p>
              </w:tc>
              <w:tc>
                <w:tcPr>
                  <w:tcW w:w="472" w:type="pct"/>
                  <w:tcBorders>
                    <w:tl2br w:val="nil"/>
                    <w:tr2bl w:val="nil"/>
                  </w:tcBorders>
                  <w:vAlign w:val="center"/>
                </w:tcPr>
                <w:p w14:paraId="62F2966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w:t>
                  </w:r>
                </w:p>
              </w:tc>
              <w:tc>
                <w:tcPr>
                  <w:tcW w:w="509" w:type="pct"/>
                  <w:tcBorders>
                    <w:tl2br w:val="nil"/>
                    <w:tr2bl w:val="nil"/>
                  </w:tcBorders>
                  <w:vAlign w:val="center"/>
                </w:tcPr>
                <w:p w14:paraId="71C694BE">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0.027</w:t>
                  </w:r>
                </w:p>
              </w:tc>
              <w:tc>
                <w:tcPr>
                  <w:tcW w:w="507" w:type="pct"/>
                  <w:vMerge w:val="continue"/>
                  <w:tcBorders>
                    <w:tl2br w:val="nil"/>
                    <w:tr2bl w:val="nil"/>
                  </w:tcBorders>
                  <w:vAlign w:val="center"/>
                </w:tcPr>
                <w:p w14:paraId="1E6CB71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83" w:type="pct"/>
                  <w:tcBorders>
                    <w:tl2br w:val="nil"/>
                    <w:tr2bl w:val="nil"/>
                  </w:tcBorders>
                  <w:vAlign w:val="center"/>
                </w:tcPr>
                <w:p w14:paraId="501EA3F9">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w:t>
                  </w:r>
                </w:p>
              </w:tc>
              <w:tc>
                <w:tcPr>
                  <w:tcW w:w="450" w:type="pct"/>
                  <w:tcBorders>
                    <w:tl2br w:val="nil"/>
                    <w:tr2bl w:val="nil"/>
                  </w:tcBorders>
                  <w:vAlign w:val="center"/>
                </w:tcPr>
                <w:p w14:paraId="0AA52AF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0.024</w:t>
                  </w:r>
                </w:p>
              </w:tc>
              <w:tc>
                <w:tcPr>
                  <w:tcW w:w="632" w:type="pct"/>
                  <w:tcBorders>
                    <w:tl2br w:val="nil"/>
                    <w:tr2bl w:val="nil"/>
                  </w:tcBorders>
                  <w:vAlign w:val="center"/>
                </w:tcPr>
                <w:p w14:paraId="26C6C7A4">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w:t>
                  </w:r>
                </w:p>
              </w:tc>
              <w:tc>
                <w:tcPr>
                  <w:tcW w:w="426" w:type="pct"/>
                  <w:vMerge w:val="continue"/>
                  <w:tcBorders>
                    <w:tl2br w:val="nil"/>
                    <w:tr2bl w:val="nil"/>
                  </w:tcBorders>
                  <w:vAlign w:val="center"/>
                </w:tcPr>
                <w:p w14:paraId="0CA7A19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3671F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3" w:type="pct"/>
                  <w:vMerge w:val="continue"/>
                  <w:tcBorders>
                    <w:tl2br w:val="nil"/>
                    <w:tr2bl w:val="nil"/>
                  </w:tcBorders>
                  <w:vAlign w:val="center"/>
                </w:tcPr>
                <w:p w14:paraId="528C2225">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519A21E8">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vAlign w:val="center"/>
                </w:tcPr>
                <w:p w14:paraId="2C98409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TP</w:t>
                  </w:r>
                </w:p>
              </w:tc>
              <w:tc>
                <w:tcPr>
                  <w:tcW w:w="472" w:type="pct"/>
                  <w:tcBorders>
                    <w:tl2br w:val="nil"/>
                    <w:tr2bl w:val="nil"/>
                  </w:tcBorders>
                  <w:vAlign w:val="center"/>
                </w:tcPr>
                <w:p w14:paraId="27270518">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509" w:type="pct"/>
                  <w:tcBorders>
                    <w:tl2br w:val="nil"/>
                    <w:tr2bl w:val="nil"/>
                  </w:tcBorders>
                  <w:vAlign w:val="center"/>
                </w:tcPr>
                <w:p w14:paraId="557049E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0.0024</w:t>
                  </w:r>
                </w:p>
              </w:tc>
              <w:tc>
                <w:tcPr>
                  <w:tcW w:w="507" w:type="pct"/>
                  <w:vMerge w:val="continue"/>
                  <w:tcBorders>
                    <w:tl2br w:val="nil"/>
                    <w:tr2bl w:val="nil"/>
                  </w:tcBorders>
                  <w:vAlign w:val="center"/>
                </w:tcPr>
                <w:p w14:paraId="4E13BB8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83" w:type="pct"/>
                  <w:tcBorders>
                    <w:tl2br w:val="nil"/>
                    <w:tr2bl w:val="nil"/>
                  </w:tcBorders>
                  <w:vAlign w:val="center"/>
                </w:tcPr>
                <w:p w14:paraId="2B104B69">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450" w:type="pct"/>
                  <w:tcBorders>
                    <w:tl2br w:val="nil"/>
                    <w:tr2bl w:val="nil"/>
                  </w:tcBorders>
                  <w:vAlign w:val="center"/>
                </w:tcPr>
                <w:p w14:paraId="641964FE">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0.0012</w:t>
                  </w:r>
                </w:p>
              </w:tc>
              <w:tc>
                <w:tcPr>
                  <w:tcW w:w="632" w:type="pct"/>
                  <w:tcBorders>
                    <w:tl2br w:val="nil"/>
                    <w:tr2bl w:val="nil"/>
                  </w:tcBorders>
                  <w:vAlign w:val="center"/>
                </w:tcPr>
                <w:p w14:paraId="6568D355">
                  <w:pPr>
                    <w:widowControl/>
                    <w:adjustRightInd w:val="0"/>
                    <w:snapToGrid w:val="0"/>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3</w:t>
                  </w:r>
                </w:p>
              </w:tc>
              <w:tc>
                <w:tcPr>
                  <w:tcW w:w="426" w:type="pct"/>
                  <w:vMerge w:val="continue"/>
                  <w:tcBorders>
                    <w:tl2br w:val="nil"/>
                    <w:tr2bl w:val="nil"/>
                  </w:tcBorders>
                  <w:vAlign w:val="center"/>
                </w:tcPr>
                <w:p w14:paraId="3087E05E">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504687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restart"/>
                  <w:tcBorders>
                    <w:tl2br w:val="nil"/>
                    <w:tr2bl w:val="nil"/>
                  </w:tcBorders>
                  <w:vAlign w:val="center"/>
                </w:tcPr>
                <w:p w14:paraId="32F388C5">
                  <w:pPr>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生产废水</w:t>
                  </w:r>
                </w:p>
              </w:tc>
              <w:tc>
                <w:tcPr>
                  <w:tcW w:w="579" w:type="pct"/>
                  <w:vMerge w:val="restart"/>
                  <w:tcBorders>
                    <w:tl2br w:val="nil"/>
                    <w:tr2bl w:val="nil"/>
                  </w:tcBorders>
                  <w:vAlign w:val="center"/>
                </w:tcPr>
                <w:p w14:paraId="586730B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243000</w:t>
                  </w:r>
                </w:p>
              </w:tc>
              <w:tc>
                <w:tcPr>
                  <w:tcW w:w="505" w:type="pct"/>
                  <w:tcBorders>
                    <w:tl2br w:val="nil"/>
                    <w:tr2bl w:val="nil"/>
                  </w:tcBorders>
                  <w:shd w:val="clear" w:color="auto" w:fill="auto"/>
                  <w:vAlign w:val="center"/>
                </w:tcPr>
                <w:p w14:paraId="43F0070C">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COD</w:t>
                  </w:r>
                </w:p>
              </w:tc>
              <w:tc>
                <w:tcPr>
                  <w:tcW w:w="472" w:type="pct"/>
                  <w:tcBorders>
                    <w:tl2br w:val="nil"/>
                    <w:tr2bl w:val="nil"/>
                  </w:tcBorders>
                  <w:vAlign w:val="center"/>
                </w:tcPr>
                <w:p w14:paraId="2950B02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400</w:t>
                  </w:r>
                </w:p>
              </w:tc>
              <w:tc>
                <w:tcPr>
                  <w:tcW w:w="509" w:type="pct"/>
                  <w:tcBorders>
                    <w:tl2br w:val="nil"/>
                    <w:tr2bl w:val="nil"/>
                  </w:tcBorders>
                  <w:vAlign w:val="center"/>
                </w:tcPr>
                <w:p w14:paraId="036259A4">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97.2</w:t>
                  </w:r>
                </w:p>
              </w:tc>
              <w:tc>
                <w:tcPr>
                  <w:tcW w:w="507" w:type="pct"/>
                  <w:vMerge w:val="restart"/>
                  <w:tcBorders>
                    <w:tl2br w:val="nil"/>
                    <w:tr2bl w:val="nil"/>
                  </w:tcBorders>
                  <w:shd w:val="clear" w:color="auto" w:fill="auto"/>
                  <w:vAlign w:val="center"/>
                </w:tcPr>
                <w:p w14:paraId="784C5A38">
                  <w:pPr>
                    <w:widowControl/>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调节+混凝气浮</w:t>
                  </w:r>
                  <w:r>
                    <w:rPr>
                      <w:rFonts w:hint="eastAsia"/>
                      <w:color w:val="auto"/>
                      <w:sz w:val="21"/>
                      <w:szCs w:val="21"/>
                      <w:lang w:val="en-US" w:eastAsia="zh-CN"/>
                    </w:rPr>
                    <w:t>+接触氧化</w:t>
                  </w:r>
                  <w:r>
                    <w:rPr>
                      <w:color w:val="auto"/>
                      <w:sz w:val="21"/>
                      <w:szCs w:val="21"/>
                    </w:rPr>
                    <w:t>+二沉</w:t>
                  </w:r>
                  <w:r>
                    <w:rPr>
                      <w:rFonts w:hint="eastAsia"/>
                      <w:color w:val="auto"/>
                      <w:sz w:val="21"/>
                      <w:szCs w:val="21"/>
                      <w:lang w:val="en-US" w:eastAsia="zh-CN"/>
                    </w:rPr>
                    <w:t>+</w:t>
                  </w:r>
                  <w:r>
                    <w:rPr>
                      <w:color w:val="auto"/>
                      <w:sz w:val="21"/>
                      <w:szCs w:val="21"/>
                    </w:rPr>
                    <w:t>砂滤、</w:t>
                  </w:r>
                  <w:r>
                    <w:rPr>
                      <w:rFonts w:hint="eastAsia"/>
                      <w:color w:val="auto"/>
                      <w:sz w:val="21"/>
                      <w:szCs w:val="21"/>
                      <w:lang w:val="en-US" w:eastAsia="zh-CN"/>
                    </w:rPr>
                    <w:t>炭</w:t>
                  </w:r>
                  <w:r>
                    <w:rPr>
                      <w:color w:val="auto"/>
                      <w:sz w:val="21"/>
                      <w:szCs w:val="21"/>
                    </w:rPr>
                    <w:t>滤</w:t>
                  </w:r>
                </w:p>
              </w:tc>
              <w:tc>
                <w:tcPr>
                  <w:tcW w:w="1566" w:type="pct"/>
                  <w:gridSpan w:val="3"/>
                  <w:vMerge w:val="restart"/>
                  <w:tcBorders>
                    <w:tl2br w:val="nil"/>
                    <w:tr2bl w:val="nil"/>
                  </w:tcBorders>
                  <w:vAlign w:val="center"/>
                </w:tcPr>
                <w:p w14:paraId="47AD0F6B">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w:t>
                  </w:r>
                </w:p>
              </w:tc>
              <w:tc>
                <w:tcPr>
                  <w:tcW w:w="426" w:type="pct"/>
                  <w:vMerge w:val="restart"/>
                  <w:tcBorders>
                    <w:tl2br w:val="nil"/>
                    <w:tr2bl w:val="nil"/>
                  </w:tcBorders>
                  <w:vAlign w:val="center"/>
                </w:tcPr>
                <w:p w14:paraId="1C004317">
                  <w:pPr>
                    <w:widowControl/>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全部回用</w:t>
                  </w:r>
                </w:p>
              </w:tc>
            </w:tr>
            <w:tr w14:paraId="5608B5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2AAD2F4A">
                  <w:pPr>
                    <w:adjustRightInd w:val="0"/>
                    <w:snapToGrid w:val="0"/>
                    <w:spacing w:line="240" w:lineRule="auto"/>
                    <w:ind w:firstLine="0" w:firstLineChars="0"/>
                    <w:jc w:val="center"/>
                    <w:rPr>
                      <w:rFonts w:hint="eastAsia" w:cs="Times New Roman"/>
                      <w:color w:val="auto"/>
                      <w:sz w:val="21"/>
                      <w:szCs w:val="21"/>
                      <w:lang w:val="en-US" w:eastAsia="zh-CN"/>
                    </w:rPr>
                  </w:pPr>
                </w:p>
              </w:tc>
              <w:tc>
                <w:tcPr>
                  <w:tcW w:w="579" w:type="pct"/>
                  <w:vMerge w:val="continue"/>
                  <w:tcBorders>
                    <w:tl2br w:val="nil"/>
                    <w:tr2bl w:val="nil"/>
                  </w:tcBorders>
                  <w:vAlign w:val="center"/>
                </w:tcPr>
                <w:p w14:paraId="2CDB34D5">
                  <w:pPr>
                    <w:adjustRightInd w:val="0"/>
                    <w:snapToGrid w:val="0"/>
                    <w:spacing w:line="240" w:lineRule="auto"/>
                    <w:ind w:firstLine="0" w:firstLineChars="0"/>
                    <w:jc w:val="center"/>
                    <w:rPr>
                      <w:rFonts w:hint="eastAsia" w:cs="Times New Roman"/>
                      <w:color w:val="auto"/>
                      <w:sz w:val="21"/>
                      <w:szCs w:val="21"/>
                      <w:lang w:val="en-US" w:eastAsia="zh-CN"/>
                    </w:rPr>
                  </w:pPr>
                </w:p>
              </w:tc>
              <w:tc>
                <w:tcPr>
                  <w:tcW w:w="505" w:type="pct"/>
                  <w:tcBorders>
                    <w:tl2br w:val="nil"/>
                    <w:tr2bl w:val="nil"/>
                  </w:tcBorders>
                  <w:shd w:val="clear" w:color="auto" w:fill="auto"/>
                  <w:vAlign w:val="center"/>
                </w:tcPr>
                <w:p w14:paraId="0C620D4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BOD</w:t>
                  </w:r>
                  <w:r>
                    <w:rPr>
                      <w:rFonts w:hint="eastAsia" w:cs="Times New Roman"/>
                      <w:color w:val="auto"/>
                      <w:sz w:val="21"/>
                      <w:szCs w:val="21"/>
                      <w:vertAlign w:val="subscript"/>
                      <w:lang w:val="en-US" w:eastAsia="zh-CN"/>
                    </w:rPr>
                    <w:t>5</w:t>
                  </w:r>
                </w:p>
              </w:tc>
              <w:tc>
                <w:tcPr>
                  <w:tcW w:w="472" w:type="pct"/>
                  <w:tcBorders>
                    <w:tl2br w:val="nil"/>
                    <w:tr2bl w:val="nil"/>
                  </w:tcBorders>
                  <w:vAlign w:val="center"/>
                </w:tcPr>
                <w:p w14:paraId="160E95C7">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300</w:t>
                  </w:r>
                </w:p>
              </w:tc>
              <w:tc>
                <w:tcPr>
                  <w:tcW w:w="509" w:type="pct"/>
                  <w:tcBorders>
                    <w:tl2br w:val="nil"/>
                    <w:tr2bl w:val="nil"/>
                  </w:tcBorders>
                  <w:vAlign w:val="center"/>
                </w:tcPr>
                <w:p w14:paraId="4BA91538">
                  <w:pPr>
                    <w:adjustRightInd w:val="0"/>
                    <w:snapToGrid w:val="0"/>
                    <w:spacing w:line="240" w:lineRule="auto"/>
                    <w:ind w:firstLine="0" w:firstLineChars="0"/>
                    <w:jc w:val="center"/>
                    <w:rPr>
                      <w:rFonts w:hint="eastAsia" w:cs="Times New Roman"/>
                      <w:color w:val="auto"/>
                      <w:sz w:val="21"/>
                      <w:szCs w:val="21"/>
                      <w:lang w:val="en-US" w:eastAsia="zh-CN"/>
                    </w:rPr>
                  </w:pPr>
                  <w:r>
                    <w:rPr>
                      <w:rFonts w:hint="eastAsia" w:cs="Times New Roman"/>
                      <w:color w:val="auto"/>
                      <w:sz w:val="21"/>
                      <w:szCs w:val="21"/>
                      <w:lang w:val="en-US" w:eastAsia="zh-CN"/>
                    </w:rPr>
                    <w:t>72.9</w:t>
                  </w:r>
                </w:p>
              </w:tc>
              <w:tc>
                <w:tcPr>
                  <w:tcW w:w="507" w:type="pct"/>
                  <w:vMerge w:val="continue"/>
                  <w:tcBorders>
                    <w:tl2br w:val="nil"/>
                    <w:tr2bl w:val="nil"/>
                  </w:tcBorders>
                  <w:shd w:val="clear" w:color="auto" w:fill="auto"/>
                  <w:vAlign w:val="center"/>
                </w:tcPr>
                <w:p w14:paraId="35DB5C04">
                  <w:pPr>
                    <w:widowControl/>
                    <w:adjustRightInd w:val="0"/>
                    <w:snapToGrid w:val="0"/>
                    <w:spacing w:line="240" w:lineRule="auto"/>
                    <w:ind w:firstLine="0" w:firstLineChars="0"/>
                    <w:jc w:val="center"/>
                    <w:rPr>
                      <w:color w:val="auto"/>
                      <w:sz w:val="21"/>
                      <w:szCs w:val="21"/>
                    </w:rPr>
                  </w:pPr>
                </w:p>
              </w:tc>
              <w:tc>
                <w:tcPr>
                  <w:tcW w:w="1566" w:type="pct"/>
                  <w:gridSpan w:val="3"/>
                  <w:vMerge w:val="continue"/>
                  <w:tcBorders>
                    <w:tl2br w:val="nil"/>
                    <w:tr2bl w:val="nil"/>
                  </w:tcBorders>
                  <w:vAlign w:val="center"/>
                </w:tcPr>
                <w:p w14:paraId="6CBE2909">
                  <w:pPr>
                    <w:widowControl/>
                    <w:adjustRightInd w:val="0"/>
                    <w:snapToGrid w:val="0"/>
                    <w:spacing w:line="240" w:lineRule="auto"/>
                    <w:ind w:firstLine="0" w:firstLineChars="0"/>
                    <w:jc w:val="center"/>
                    <w:rPr>
                      <w:rFonts w:hint="eastAsia" w:cs="Times New Roman"/>
                      <w:color w:val="auto"/>
                      <w:sz w:val="21"/>
                      <w:szCs w:val="21"/>
                      <w:lang w:val="en-US" w:eastAsia="zh-CN"/>
                    </w:rPr>
                  </w:pPr>
                </w:p>
              </w:tc>
              <w:tc>
                <w:tcPr>
                  <w:tcW w:w="426" w:type="pct"/>
                  <w:vMerge w:val="continue"/>
                  <w:tcBorders>
                    <w:tl2br w:val="nil"/>
                    <w:tr2bl w:val="nil"/>
                  </w:tcBorders>
                  <w:vAlign w:val="center"/>
                </w:tcPr>
                <w:p w14:paraId="0E3B7F31">
                  <w:pPr>
                    <w:widowControl/>
                    <w:adjustRightInd w:val="0"/>
                    <w:snapToGrid w:val="0"/>
                    <w:spacing w:line="240" w:lineRule="auto"/>
                    <w:ind w:firstLine="0" w:firstLineChars="0"/>
                    <w:jc w:val="center"/>
                    <w:rPr>
                      <w:rFonts w:hint="eastAsia" w:cs="Times New Roman"/>
                      <w:color w:val="auto"/>
                      <w:sz w:val="21"/>
                      <w:szCs w:val="21"/>
                      <w:lang w:val="en-US" w:eastAsia="zh-CN"/>
                    </w:rPr>
                  </w:pPr>
                </w:p>
              </w:tc>
            </w:tr>
            <w:tr w14:paraId="0DB82C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16EA9DDD">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66D5239B">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auto"/>
                  <w:vAlign w:val="center"/>
                </w:tcPr>
                <w:p w14:paraId="6C8415B8">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SS</w:t>
                  </w:r>
                </w:p>
              </w:tc>
              <w:tc>
                <w:tcPr>
                  <w:tcW w:w="472" w:type="pct"/>
                  <w:tcBorders>
                    <w:tl2br w:val="nil"/>
                    <w:tr2bl w:val="nil"/>
                  </w:tcBorders>
                  <w:vAlign w:val="center"/>
                </w:tcPr>
                <w:p w14:paraId="057C490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130</w:t>
                  </w:r>
                </w:p>
              </w:tc>
              <w:tc>
                <w:tcPr>
                  <w:tcW w:w="509" w:type="pct"/>
                  <w:tcBorders>
                    <w:tl2br w:val="nil"/>
                    <w:tr2bl w:val="nil"/>
                  </w:tcBorders>
                  <w:vAlign w:val="center"/>
                </w:tcPr>
                <w:p w14:paraId="3F63CE9E">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31.59</w:t>
                  </w:r>
                </w:p>
              </w:tc>
              <w:tc>
                <w:tcPr>
                  <w:tcW w:w="507" w:type="pct"/>
                  <w:vMerge w:val="continue"/>
                  <w:tcBorders>
                    <w:tl2br w:val="nil"/>
                    <w:tr2bl w:val="nil"/>
                  </w:tcBorders>
                  <w:vAlign w:val="center"/>
                </w:tcPr>
                <w:p w14:paraId="6423244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6" w:type="pct"/>
                  <w:gridSpan w:val="3"/>
                  <w:vMerge w:val="continue"/>
                  <w:tcBorders>
                    <w:tl2br w:val="nil"/>
                    <w:tr2bl w:val="nil"/>
                  </w:tcBorders>
                  <w:vAlign w:val="center"/>
                </w:tcPr>
                <w:p w14:paraId="7B8A59A0">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26" w:type="pct"/>
                  <w:vMerge w:val="continue"/>
                  <w:tcBorders>
                    <w:tl2br w:val="nil"/>
                    <w:tr2bl w:val="nil"/>
                  </w:tcBorders>
                  <w:vAlign w:val="center"/>
                </w:tcPr>
                <w:p w14:paraId="0FDF51F4">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0A4198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4F9C27B5">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4797DA5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auto"/>
                  <w:vAlign w:val="center"/>
                </w:tcPr>
                <w:p w14:paraId="68339ABE">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472" w:type="pct"/>
                  <w:tcBorders>
                    <w:tl2br w:val="nil"/>
                    <w:tr2bl w:val="nil"/>
                  </w:tcBorders>
                  <w:vAlign w:val="center"/>
                </w:tcPr>
                <w:p w14:paraId="4CC0C916">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w:t>
                  </w:r>
                </w:p>
              </w:tc>
              <w:tc>
                <w:tcPr>
                  <w:tcW w:w="509" w:type="pct"/>
                  <w:tcBorders>
                    <w:tl2br w:val="nil"/>
                    <w:tr2bl w:val="nil"/>
                  </w:tcBorders>
                  <w:vAlign w:val="center"/>
                </w:tcPr>
                <w:p w14:paraId="29099C47">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6.075</w:t>
                  </w:r>
                </w:p>
              </w:tc>
              <w:tc>
                <w:tcPr>
                  <w:tcW w:w="507" w:type="pct"/>
                  <w:vMerge w:val="continue"/>
                  <w:tcBorders>
                    <w:tl2br w:val="nil"/>
                    <w:tr2bl w:val="nil"/>
                  </w:tcBorders>
                  <w:vAlign w:val="center"/>
                </w:tcPr>
                <w:p w14:paraId="45C6E51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6" w:type="pct"/>
                  <w:gridSpan w:val="3"/>
                  <w:vMerge w:val="continue"/>
                  <w:tcBorders>
                    <w:tl2br w:val="nil"/>
                    <w:tr2bl w:val="nil"/>
                  </w:tcBorders>
                  <w:vAlign w:val="center"/>
                </w:tcPr>
                <w:p w14:paraId="64F084FA">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26" w:type="pct"/>
                  <w:vMerge w:val="continue"/>
                  <w:tcBorders>
                    <w:tl2br w:val="nil"/>
                    <w:tr2bl w:val="nil"/>
                  </w:tcBorders>
                  <w:vAlign w:val="center"/>
                </w:tcPr>
                <w:p w14:paraId="37B39227">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044216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21D6864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1DB5CBF9">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auto"/>
                  <w:vAlign w:val="center"/>
                </w:tcPr>
                <w:p w14:paraId="0677B11C">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TP</w:t>
                  </w:r>
                </w:p>
              </w:tc>
              <w:tc>
                <w:tcPr>
                  <w:tcW w:w="472" w:type="pct"/>
                  <w:tcBorders>
                    <w:tl2br w:val="nil"/>
                    <w:tr2bl w:val="nil"/>
                  </w:tcBorders>
                  <w:vAlign w:val="center"/>
                </w:tcPr>
                <w:p w14:paraId="4E5359F6">
                  <w:pPr>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509" w:type="pct"/>
                  <w:tcBorders>
                    <w:tl2br w:val="nil"/>
                    <w:tr2bl w:val="nil"/>
                  </w:tcBorders>
                  <w:vAlign w:val="center"/>
                </w:tcPr>
                <w:p w14:paraId="39E1AA36">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0.486</w:t>
                  </w:r>
                </w:p>
              </w:tc>
              <w:tc>
                <w:tcPr>
                  <w:tcW w:w="507" w:type="pct"/>
                  <w:vMerge w:val="continue"/>
                  <w:tcBorders>
                    <w:tl2br w:val="nil"/>
                    <w:tr2bl w:val="nil"/>
                  </w:tcBorders>
                  <w:vAlign w:val="center"/>
                </w:tcPr>
                <w:p w14:paraId="6EA8992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6" w:type="pct"/>
                  <w:gridSpan w:val="3"/>
                  <w:vMerge w:val="continue"/>
                  <w:tcBorders>
                    <w:tl2br w:val="nil"/>
                    <w:tr2bl w:val="nil"/>
                  </w:tcBorders>
                  <w:vAlign w:val="center"/>
                </w:tcPr>
                <w:p w14:paraId="383FCC53">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26" w:type="pct"/>
                  <w:vMerge w:val="continue"/>
                  <w:tcBorders>
                    <w:tl2br w:val="nil"/>
                    <w:tr2bl w:val="nil"/>
                  </w:tcBorders>
                  <w:vAlign w:val="center"/>
                </w:tcPr>
                <w:p w14:paraId="1FB12004">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12D0D8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65795E9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4AF8F8E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auto"/>
                  <w:vAlign w:val="center"/>
                </w:tcPr>
                <w:p w14:paraId="4C8717AF">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w:t>
                  </w:r>
                  <w:r>
                    <w:rPr>
                      <w:rFonts w:hint="eastAsia" w:ascii="Times New Roman" w:hAnsi="Times New Roman" w:eastAsia="宋体" w:cs="Times New Roman"/>
                      <w:color w:val="auto"/>
                      <w:sz w:val="21"/>
                      <w:szCs w:val="21"/>
                      <w:lang w:val="en-US" w:eastAsia="zh-CN"/>
                    </w:rPr>
                    <w:t>N</w:t>
                  </w:r>
                </w:p>
              </w:tc>
              <w:tc>
                <w:tcPr>
                  <w:tcW w:w="472" w:type="pct"/>
                  <w:tcBorders>
                    <w:tl2br w:val="nil"/>
                    <w:tr2bl w:val="nil"/>
                  </w:tcBorders>
                  <w:vAlign w:val="center"/>
                </w:tcPr>
                <w:p w14:paraId="37DE1677">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w:t>
                  </w:r>
                </w:p>
              </w:tc>
              <w:tc>
                <w:tcPr>
                  <w:tcW w:w="509" w:type="pct"/>
                  <w:tcBorders>
                    <w:tl2br w:val="nil"/>
                    <w:tr2bl w:val="nil"/>
                  </w:tcBorders>
                  <w:vAlign w:val="center"/>
                </w:tcPr>
                <w:p w14:paraId="795D379A">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7.29</w:t>
                  </w:r>
                </w:p>
              </w:tc>
              <w:tc>
                <w:tcPr>
                  <w:tcW w:w="507" w:type="pct"/>
                  <w:vMerge w:val="continue"/>
                  <w:tcBorders>
                    <w:tl2br w:val="nil"/>
                    <w:tr2bl w:val="nil"/>
                  </w:tcBorders>
                  <w:vAlign w:val="center"/>
                </w:tcPr>
                <w:p w14:paraId="2948498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6" w:type="pct"/>
                  <w:gridSpan w:val="3"/>
                  <w:vMerge w:val="continue"/>
                  <w:tcBorders>
                    <w:tl2br w:val="nil"/>
                    <w:tr2bl w:val="nil"/>
                  </w:tcBorders>
                  <w:vAlign w:val="center"/>
                </w:tcPr>
                <w:p w14:paraId="54DCF0AC">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26" w:type="pct"/>
                  <w:vMerge w:val="continue"/>
                  <w:tcBorders>
                    <w:tl2br w:val="nil"/>
                    <w:tr2bl w:val="nil"/>
                  </w:tcBorders>
                  <w:vAlign w:val="center"/>
                </w:tcPr>
                <w:p w14:paraId="334D041A">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4E8E44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18489B5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26CFC5F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vAlign w:val="center"/>
                </w:tcPr>
                <w:p w14:paraId="7A1480F9">
                  <w:pPr>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石油类</w:t>
                  </w:r>
                </w:p>
              </w:tc>
              <w:tc>
                <w:tcPr>
                  <w:tcW w:w="472" w:type="pct"/>
                  <w:tcBorders>
                    <w:tl2br w:val="nil"/>
                    <w:tr2bl w:val="nil"/>
                  </w:tcBorders>
                  <w:vAlign w:val="center"/>
                </w:tcPr>
                <w:p w14:paraId="4DBAAF8D">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w:t>
                  </w:r>
                </w:p>
              </w:tc>
              <w:tc>
                <w:tcPr>
                  <w:tcW w:w="509" w:type="pct"/>
                  <w:tcBorders>
                    <w:tl2br w:val="nil"/>
                    <w:tr2bl w:val="nil"/>
                  </w:tcBorders>
                  <w:vAlign w:val="center"/>
                </w:tcPr>
                <w:p w14:paraId="40B4A44F">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7.29</w:t>
                  </w:r>
                </w:p>
              </w:tc>
              <w:tc>
                <w:tcPr>
                  <w:tcW w:w="507" w:type="pct"/>
                  <w:vMerge w:val="continue"/>
                  <w:tcBorders>
                    <w:tl2br w:val="nil"/>
                    <w:tr2bl w:val="nil"/>
                  </w:tcBorders>
                  <w:vAlign w:val="center"/>
                </w:tcPr>
                <w:p w14:paraId="5C3AEB2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6" w:type="pct"/>
                  <w:gridSpan w:val="3"/>
                  <w:vMerge w:val="continue"/>
                  <w:tcBorders>
                    <w:tl2br w:val="nil"/>
                    <w:tr2bl w:val="nil"/>
                  </w:tcBorders>
                  <w:vAlign w:val="center"/>
                </w:tcPr>
                <w:p w14:paraId="042219BD">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26" w:type="pct"/>
                  <w:vMerge w:val="continue"/>
                  <w:tcBorders>
                    <w:tl2br w:val="nil"/>
                    <w:tr2bl w:val="nil"/>
                  </w:tcBorders>
                  <w:vAlign w:val="center"/>
                </w:tcPr>
                <w:p w14:paraId="2244B7D1">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r w14:paraId="4705D1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3" w:type="pct"/>
                  <w:vMerge w:val="continue"/>
                  <w:tcBorders>
                    <w:tl2br w:val="nil"/>
                    <w:tr2bl w:val="nil"/>
                  </w:tcBorders>
                  <w:vAlign w:val="center"/>
                </w:tcPr>
                <w:p w14:paraId="2464BCC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79" w:type="pct"/>
                  <w:vMerge w:val="continue"/>
                  <w:tcBorders>
                    <w:tl2br w:val="nil"/>
                    <w:tr2bl w:val="nil"/>
                  </w:tcBorders>
                  <w:vAlign w:val="center"/>
                </w:tcPr>
                <w:p w14:paraId="0C75D306">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505" w:type="pct"/>
                  <w:tcBorders>
                    <w:tl2br w:val="nil"/>
                    <w:tr2bl w:val="nil"/>
                  </w:tcBorders>
                  <w:vAlign w:val="center"/>
                </w:tcPr>
                <w:p w14:paraId="3D19A33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总锑</w:t>
                  </w:r>
                </w:p>
              </w:tc>
              <w:tc>
                <w:tcPr>
                  <w:tcW w:w="472" w:type="pct"/>
                  <w:tcBorders>
                    <w:tl2br w:val="nil"/>
                    <w:tr2bl w:val="nil"/>
                  </w:tcBorders>
                  <w:vAlign w:val="center"/>
                </w:tcPr>
                <w:p w14:paraId="213A738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0.05</w:t>
                  </w:r>
                </w:p>
              </w:tc>
              <w:tc>
                <w:tcPr>
                  <w:tcW w:w="509" w:type="pct"/>
                  <w:tcBorders>
                    <w:tl2br w:val="nil"/>
                    <w:tr2bl w:val="nil"/>
                  </w:tcBorders>
                  <w:vAlign w:val="center"/>
                </w:tcPr>
                <w:p w14:paraId="2D19D88B">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0.0122</w:t>
                  </w:r>
                </w:p>
              </w:tc>
              <w:tc>
                <w:tcPr>
                  <w:tcW w:w="507" w:type="pct"/>
                  <w:vMerge w:val="continue"/>
                  <w:tcBorders>
                    <w:tl2br w:val="nil"/>
                    <w:tr2bl w:val="nil"/>
                  </w:tcBorders>
                  <w:vAlign w:val="center"/>
                </w:tcPr>
                <w:p w14:paraId="35F42D3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1566" w:type="pct"/>
                  <w:gridSpan w:val="3"/>
                  <w:vMerge w:val="continue"/>
                  <w:tcBorders>
                    <w:tl2br w:val="nil"/>
                    <w:tr2bl w:val="nil"/>
                  </w:tcBorders>
                  <w:vAlign w:val="center"/>
                </w:tcPr>
                <w:p w14:paraId="6D8D7A6E">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426" w:type="pct"/>
                  <w:vMerge w:val="continue"/>
                  <w:tcBorders>
                    <w:tl2br w:val="nil"/>
                    <w:tr2bl w:val="nil"/>
                  </w:tcBorders>
                  <w:vAlign w:val="center"/>
                </w:tcPr>
                <w:p w14:paraId="30CABB35">
                  <w:pPr>
                    <w:widowControl/>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r>
          </w:tbl>
          <w:p w14:paraId="2A17122F">
            <w:pPr>
              <w:keepNext/>
              <w:keepLines/>
              <w:numPr>
                <w:ilvl w:val="0"/>
                <w:numId w:val="0"/>
              </w:numPr>
              <w:snapToGrid w:val="0"/>
              <w:spacing w:before="120" w:beforeLines="50" w:line="360" w:lineRule="auto"/>
              <w:ind w:firstLine="482" w:firstLineChars="200"/>
              <w:rPr>
                <w:b/>
                <w:bCs/>
                <w:color w:val="auto"/>
              </w:rPr>
            </w:pPr>
            <w:r>
              <w:rPr>
                <w:rFonts w:hint="eastAsia"/>
                <w:b/>
                <w:bCs/>
                <w:color w:val="auto"/>
                <w:lang w:val="en-US" w:eastAsia="zh-CN"/>
              </w:rPr>
              <w:t>2.</w:t>
            </w:r>
            <w:r>
              <w:rPr>
                <w:rFonts w:hint="eastAsia"/>
                <w:b/>
                <w:bCs/>
                <w:color w:val="auto"/>
              </w:rPr>
              <w:t>污染物治理</w:t>
            </w:r>
            <w:r>
              <w:rPr>
                <w:b/>
                <w:bCs/>
                <w:color w:val="auto"/>
              </w:rPr>
              <w:t>情况</w:t>
            </w:r>
          </w:p>
          <w:p w14:paraId="338AA215">
            <w:pPr>
              <w:pStyle w:val="14"/>
              <w:keepNext w:val="0"/>
              <w:keepLines w:val="0"/>
              <w:pageBreakBefore w:val="0"/>
              <w:widowControl/>
              <w:numPr>
                <w:ilvl w:val="0"/>
                <w:numId w:val="0"/>
              </w:numPr>
              <w:kinsoku/>
              <w:wordWrap/>
              <w:overflowPunct/>
              <w:topLinePunct w:val="0"/>
              <w:autoSpaceDE/>
              <w:autoSpaceDN/>
              <w:bidi w:val="0"/>
              <w:adjustRightInd w:val="0"/>
              <w:snapToGrid w:val="0"/>
              <w:spacing w:before="0" w:after="0" w:line="360" w:lineRule="auto"/>
              <w:ind w:right="0" w:rightChars="0" w:firstLine="482" w:firstLineChars="200"/>
              <w:textAlignment w:val="auto"/>
              <w:rPr>
                <w:rFonts w:hint="default" w:eastAsia="宋体"/>
                <w:b/>
                <w:bCs/>
                <w:color w:val="auto"/>
                <w:sz w:val="24"/>
                <w:szCs w:val="28"/>
                <w:lang w:val="en-US" w:eastAsia="zh-CN"/>
              </w:rPr>
            </w:pPr>
            <w:r>
              <w:rPr>
                <w:rFonts w:hint="eastAsia"/>
                <w:b/>
                <w:bCs/>
                <w:color w:val="auto"/>
                <w:sz w:val="24"/>
                <w:szCs w:val="28"/>
                <w:lang w:val="en-US" w:eastAsia="zh-CN"/>
              </w:rPr>
              <w:t>1）生活污水处理系统</w:t>
            </w:r>
          </w:p>
          <w:p w14:paraId="2DFE7716">
            <w:pPr>
              <w:keepNext/>
              <w:keepLines/>
              <w:snapToGrid w:val="0"/>
              <w:spacing w:line="360" w:lineRule="auto"/>
              <w:ind w:firstLine="480"/>
              <w:rPr>
                <w:color w:val="auto"/>
              </w:rPr>
            </w:pPr>
            <w:r>
              <w:rPr>
                <w:color w:val="auto"/>
              </w:rPr>
              <w:t>项目生活污水产生量约</w:t>
            </w:r>
            <w:r>
              <w:rPr>
                <w:rFonts w:hint="eastAsia"/>
                <w:color w:val="auto"/>
                <w:lang w:val="en-US" w:eastAsia="zh-CN"/>
              </w:rPr>
              <w:t>600</w:t>
            </w:r>
            <w:r>
              <w:rPr>
                <w:color w:val="auto"/>
              </w:rPr>
              <w:t>m</w:t>
            </w:r>
            <w:r>
              <w:rPr>
                <w:color w:val="auto"/>
                <w:vertAlign w:val="superscript"/>
              </w:rPr>
              <w:t>3</w:t>
            </w:r>
            <w:r>
              <w:rPr>
                <w:color w:val="auto"/>
              </w:rPr>
              <w:t>/a，</w:t>
            </w:r>
            <w:r>
              <w:rPr>
                <w:rFonts w:hint="eastAsia"/>
                <w:color w:val="auto"/>
              </w:rPr>
              <w:t>生活污水</w:t>
            </w:r>
            <w:r>
              <w:rPr>
                <w:color w:val="auto"/>
              </w:rPr>
              <w:t>经</w:t>
            </w:r>
            <w:r>
              <w:rPr>
                <w:rFonts w:hint="eastAsia"/>
                <w:color w:val="auto"/>
              </w:rPr>
              <w:t>厂区</w:t>
            </w:r>
            <w:r>
              <w:rPr>
                <w:color w:val="auto"/>
              </w:rPr>
              <w:t>化粪池处理</w:t>
            </w:r>
            <w:r>
              <w:rPr>
                <w:rFonts w:hint="eastAsia"/>
                <w:color w:val="auto"/>
              </w:rPr>
              <w:t>后</w:t>
            </w:r>
            <w:r>
              <w:rPr>
                <w:color w:val="auto"/>
              </w:rPr>
              <w:t>排入</w:t>
            </w:r>
            <w:r>
              <w:rPr>
                <w:rFonts w:hint="eastAsia"/>
                <w:color w:val="auto"/>
              </w:rPr>
              <w:t>新袁</w:t>
            </w:r>
            <w:r>
              <w:rPr>
                <w:color w:val="auto"/>
              </w:rPr>
              <w:t>镇污水处理厂</w:t>
            </w:r>
            <w:r>
              <w:rPr>
                <w:rFonts w:hint="eastAsia"/>
                <w:color w:val="auto"/>
              </w:rPr>
              <w:t>进一步处理，尾水排入黄码河；</w:t>
            </w:r>
            <w:r>
              <w:rPr>
                <w:color w:val="auto"/>
              </w:rPr>
              <w:t>对区域地表水环境影响较小。</w:t>
            </w:r>
          </w:p>
          <w:p w14:paraId="19389BE9">
            <w:pPr>
              <w:keepNext/>
              <w:keepLines/>
              <w:snapToGrid w:val="0"/>
              <w:spacing w:line="360" w:lineRule="auto"/>
              <w:ind w:firstLine="480"/>
              <w:rPr>
                <w:color w:val="auto"/>
              </w:rPr>
            </w:pPr>
            <w:r>
              <w:rPr>
                <w:color w:val="auto"/>
              </w:rPr>
              <w:t>化粪池是处理粪便并加以过滤沉淀的设备，其原理是</w:t>
            </w:r>
            <w:r>
              <w:rPr>
                <w:rFonts w:hint="eastAsia"/>
                <w:color w:val="auto"/>
                <w:lang w:val="en-US" w:eastAsia="zh-CN"/>
              </w:rPr>
              <w:t>固化物</w:t>
            </w:r>
            <w:r>
              <w:rPr>
                <w:color w:val="auto"/>
              </w:rPr>
              <w:t>在池底分解，上层的水化物进入管道流走，防止了管道堵塞，</w:t>
            </w:r>
            <w:r>
              <w:rPr>
                <w:color w:val="auto"/>
                <w:highlight w:val="none"/>
              </w:rPr>
              <w:t>给</w:t>
            </w:r>
            <w:r>
              <w:rPr>
                <w:rFonts w:hint="eastAsia"/>
                <w:color w:val="auto"/>
                <w:highlight w:val="none"/>
                <w:lang w:val="en-US" w:eastAsia="zh-CN"/>
              </w:rPr>
              <w:t>固化</w:t>
            </w:r>
            <w:r>
              <w:rPr>
                <w:color w:val="auto"/>
              </w:rPr>
              <w:t>物体（粪便等垃圾）有充足的时间水解。化粪池能够有效避免生活污水在环境中的扩散；厌氧腐化下，能够杀灭蚊虫卵；生活污水经沉淀杂质后，大分子有机物得到部分的水解，能够改善后续的污水处理，实践证明化粪池是生活污水的有效预处理设施。</w:t>
            </w:r>
          </w:p>
          <w:p w14:paraId="5C453B8E">
            <w:pPr>
              <w:keepNext/>
              <w:keepLines/>
              <w:snapToGrid w:val="0"/>
              <w:spacing w:line="360" w:lineRule="auto"/>
              <w:ind w:firstLine="480"/>
              <w:rPr>
                <w:color w:val="auto"/>
              </w:rPr>
            </w:pPr>
            <w:r>
              <w:rPr>
                <w:color w:val="auto"/>
              </w:rPr>
              <w:t>本项目排水采用“雨污分流”制，雨水排入市政雨水管网，生活废水</w:t>
            </w:r>
            <w:r>
              <w:rPr>
                <w:rFonts w:hint="eastAsia"/>
                <w:color w:val="auto"/>
                <w:lang w:val="en-US" w:eastAsia="zh-CN"/>
              </w:rPr>
              <w:t>600</w:t>
            </w:r>
            <w:r>
              <w:rPr>
                <w:color w:val="auto"/>
              </w:rPr>
              <w:t>m</w:t>
            </w:r>
            <w:r>
              <w:rPr>
                <w:color w:val="auto"/>
                <w:vertAlign w:val="superscript"/>
              </w:rPr>
              <w:t>3</w:t>
            </w:r>
            <w:r>
              <w:rPr>
                <w:color w:val="auto"/>
              </w:rPr>
              <w:t>/a经厂内化粪池处理后通过污水管网接管</w:t>
            </w:r>
            <w:r>
              <w:rPr>
                <w:rFonts w:hint="eastAsia"/>
                <w:color w:val="auto"/>
              </w:rPr>
              <w:t>新袁</w:t>
            </w:r>
            <w:r>
              <w:rPr>
                <w:color w:val="auto"/>
              </w:rPr>
              <w:t>镇污水处理厂</w:t>
            </w:r>
            <w:r>
              <w:rPr>
                <w:rFonts w:hint="eastAsia"/>
                <w:color w:val="auto"/>
              </w:rPr>
              <w:t>进一步</w:t>
            </w:r>
            <w:r>
              <w:rPr>
                <w:color w:val="auto"/>
              </w:rPr>
              <w:t>处理。</w:t>
            </w:r>
          </w:p>
          <w:p w14:paraId="0AF86185">
            <w:pPr>
              <w:numPr>
                <w:ilvl w:val="0"/>
                <w:numId w:val="4"/>
              </w:numPr>
              <w:adjustRightInd w:val="0"/>
              <w:snapToGrid w:val="0"/>
              <w:spacing w:line="360" w:lineRule="auto"/>
              <w:ind w:firstLine="480"/>
              <w:rPr>
                <w:b/>
                <w:bCs/>
                <w:color w:val="auto"/>
              </w:rPr>
            </w:pPr>
            <w:r>
              <w:rPr>
                <w:b/>
                <w:bCs/>
                <w:color w:val="auto"/>
              </w:rPr>
              <w:t>织造废水处理系统</w:t>
            </w:r>
          </w:p>
          <w:p w14:paraId="2F2A91A8">
            <w:pPr>
              <w:widowControl/>
              <w:adjustRightInd w:val="0"/>
              <w:snapToGrid w:val="0"/>
              <w:spacing w:line="360" w:lineRule="auto"/>
              <w:ind w:firstLine="480"/>
              <w:jc w:val="left"/>
              <w:rPr>
                <w:color w:val="auto"/>
              </w:rPr>
            </w:pPr>
            <w:r>
              <w:rPr>
                <w:color w:val="auto"/>
                <w:spacing w:val="-1"/>
              </w:rPr>
              <w:t>项目排水实行</w:t>
            </w:r>
            <w:r>
              <w:rPr>
                <w:rFonts w:ascii="Times New Roman" w:hAnsi="Times New Roman" w:eastAsia="Times New Roman" w:cs="Times New Roman"/>
                <w:color w:val="auto"/>
                <w:spacing w:val="-1"/>
              </w:rPr>
              <w:t>“</w:t>
            </w:r>
            <w:r>
              <w:rPr>
                <w:color w:val="auto"/>
                <w:spacing w:val="-1"/>
              </w:rPr>
              <w:t>清污分流、雨污分流</w:t>
            </w:r>
            <w:r>
              <w:rPr>
                <w:rFonts w:ascii="Times New Roman" w:hAnsi="Times New Roman" w:eastAsia="Times New Roman" w:cs="Times New Roman"/>
                <w:color w:val="auto"/>
                <w:spacing w:val="-1"/>
              </w:rPr>
              <w:t>”</w:t>
            </w:r>
            <w:r>
              <w:rPr>
                <w:rFonts w:ascii="Times New Roman" w:hAnsi="Times New Roman" w:eastAsia="Times New Roman" w:cs="Times New Roman"/>
                <w:color w:val="auto"/>
                <w:spacing w:val="-26"/>
              </w:rPr>
              <w:t xml:space="preserve"> </w:t>
            </w:r>
            <w:r>
              <w:rPr>
                <w:color w:val="auto"/>
                <w:spacing w:val="-1"/>
              </w:rPr>
              <w:t>，产生的废水收集后送至污水处理站集中处</w:t>
            </w:r>
            <w:r>
              <w:rPr>
                <w:color w:val="auto"/>
              </w:rPr>
              <w:t xml:space="preserve"> </w:t>
            </w:r>
            <w:r>
              <w:rPr>
                <w:color w:val="auto"/>
                <w:spacing w:val="8"/>
              </w:rPr>
              <w:t>理。项目拟建织造废水污水处理站设计处理</w:t>
            </w:r>
            <w:r>
              <w:rPr>
                <w:rFonts w:hint="eastAsia"/>
                <w:color w:val="auto"/>
                <w:spacing w:val="8"/>
                <w:lang w:val="en-US" w:eastAsia="zh-CN"/>
              </w:rPr>
              <w:t>能力为1200</w:t>
            </w:r>
            <w:r>
              <w:rPr>
                <w:rFonts w:ascii="Times New Roman" w:hAnsi="Times New Roman" w:eastAsia="Times New Roman" w:cs="Times New Roman"/>
                <w:color w:val="auto"/>
                <w:spacing w:val="8"/>
                <w:sz w:val="24"/>
              </w:rPr>
              <w:t>t/d</w:t>
            </w:r>
            <w:r>
              <w:rPr>
                <w:color w:val="auto"/>
                <w:spacing w:val="8"/>
              </w:rPr>
              <w:t>，项目生产废水产生量为</w:t>
            </w:r>
            <w:r>
              <w:rPr>
                <w:rFonts w:hint="eastAsia"/>
                <w:color w:val="auto"/>
                <w:lang w:val="en-US" w:eastAsia="zh-CN"/>
              </w:rPr>
              <w:t>810</w:t>
            </w:r>
            <w:r>
              <w:rPr>
                <w:rFonts w:hint="eastAsia" w:ascii="Times New Roman" w:hAnsi="Times New Roman" w:eastAsia="宋体" w:cs="Times New Roman"/>
                <w:color w:val="auto"/>
                <w:spacing w:val="-2"/>
                <w:lang w:val="en-US" w:eastAsia="zh-CN"/>
              </w:rPr>
              <w:t>t</w:t>
            </w:r>
            <w:r>
              <w:rPr>
                <w:rFonts w:ascii="Times New Roman" w:hAnsi="Times New Roman" w:eastAsia="Times New Roman" w:cs="Times New Roman"/>
                <w:color w:val="auto"/>
                <w:spacing w:val="-2"/>
              </w:rPr>
              <w:t>/d</w:t>
            </w:r>
            <w:r>
              <w:rPr>
                <w:rFonts w:ascii="Times New Roman" w:hAnsi="Times New Roman" w:eastAsia="Times New Roman" w:cs="Times New Roman"/>
                <w:color w:val="auto"/>
                <w:spacing w:val="-24"/>
              </w:rPr>
              <w:t xml:space="preserve"> </w:t>
            </w:r>
            <w:r>
              <w:rPr>
                <w:color w:val="auto"/>
                <w:spacing w:val="-2"/>
              </w:rPr>
              <w:t>，设计能力满足全厂废水处理需求。厂区污水处理站拟采用</w:t>
            </w:r>
            <w:r>
              <w:rPr>
                <w:rFonts w:ascii="Times New Roman" w:hAnsi="Times New Roman" w:eastAsia="Times New Roman" w:cs="Times New Roman"/>
                <w:color w:val="auto"/>
                <w:spacing w:val="-2"/>
              </w:rPr>
              <w:t>“</w:t>
            </w:r>
            <w:r>
              <w:rPr>
                <w:color w:val="auto"/>
                <w:sz w:val="24"/>
                <w:szCs w:val="24"/>
              </w:rPr>
              <w:t>调节+混凝气浮</w:t>
            </w:r>
            <w:r>
              <w:rPr>
                <w:rFonts w:hint="eastAsia"/>
                <w:color w:val="auto"/>
                <w:sz w:val="24"/>
                <w:szCs w:val="24"/>
                <w:lang w:val="en-US" w:eastAsia="zh-CN"/>
              </w:rPr>
              <w:t>+接触氧化</w:t>
            </w:r>
            <w:r>
              <w:rPr>
                <w:color w:val="auto"/>
                <w:sz w:val="24"/>
                <w:szCs w:val="24"/>
              </w:rPr>
              <w:t>+二沉</w:t>
            </w:r>
            <w:r>
              <w:rPr>
                <w:rFonts w:hint="eastAsia"/>
                <w:color w:val="auto"/>
                <w:sz w:val="24"/>
                <w:szCs w:val="24"/>
                <w:lang w:val="en-US" w:eastAsia="zh-CN"/>
              </w:rPr>
              <w:t>+</w:t>
            </w:r>
            <w:r>
              <w:rPr>
                <w:color w:val="auto"/>
                <w:sz w:val="24"/>
                <w:szCs w:val="24"/>
              </w:rPr>
              <w:t>砂滤、</w:t>
            </w:r>
            <w:r>
              <w:rPr>
                <w:rFonts w:hint="eastAsia"/>
                <w:color w:val="auto"/>
                <w:sz w:val="24"/>
                <w:szCs w:val="24"/>
                <w:lang w:val="en-US" w:eastAsia="zh-CN"/>
              </w:rPr>
              <w:t>炭</w:t>
            </w:r>
            <w:r>
              <w:rPr>
                <w:color w:val="auto"/>
                <w:sz w:val="24"/>
                <w:szCs w:val="24"/>
              </w:rPr>
              <w:t>滤</w:t>
            </w:r>
            <w:r>
              <w:rPr>
                <w:rFonts w:ascii="Times New Roman" w:hAnsi="Times New Roman" w:eastAsia="Times New Roman" w:cs="Times New Roman"/>
                <w:color w:val="auto"/>
              </w:rPr>
              <w:t>”</w:t>
            </w:r>
            <w:r>
              <w:rPr>
                <w:color w:val="auto"/>
              </w:rPr>
              <w:t>处理</w:t>
            </w:r>
            <w:r>
              <w:rPr>
                <w:color w:val="auto"/>
                <w:spacing w:val="-1"/>
              </w:rPr>
              <w:t>的工艺，根据《排污许可证申请及核发技术规范纺</w:t>
            </w:r>
            <w:r>
              <w:rPr>
                <w:color w:val="auto"/>
                <w:spacing w:val="10"/>
              </w:rPr>
              <w:t xml:space="preserve"> </w:t>
            </w:r>
            <w:r>
              <w:rPr>
                <w:color w:val="auto"/>
                <w:spacing w:val="-1"/>
              </w:rPr>
              <w:t>织印染工业》（</w:t>
            </w:r>
            <w:r>
              <w:rPr>
                <w:rFonts w:ascii="Times New Roman" w:hAnsi="Times New Roman" w:eastAsia="Times New Roman" w:cs="Times New Roman"/>
                <w:color w:val="auto"/>
                <w:spacing w:val="-1"/>
              </w:rPr>
              <w:t>HJ961-2017</w:t>
            </w:r>
            <w:r>
              <w:rPr>
                <w:color w:val="auto"/>
                <w:spacing w:val="-1"/>
              </w:rPr>
              <w:t>）表</w:t>
            </w:r>
            <w:r>
              <w:rPr>
                <w:color w:val="auto"/>
                <w:spacing w:val="-58"/>
              </w:rPr>
              <w:t xml:space="preserve"> </w:t>
            </w:r>
            <w:r>
              <w:rPr>
                <w:rFonts w:ascii="Times New Roman" w:hAnsi="Times New Roman" w:eastAsia="Times New Roman" w:cs="Times New Roman"/>
                <w:color w:val="auto"/>
                <w:spacing w:val="-1"/>
              </w:rPr>
              <w:t>A.1</w:t>
            </w:r>
            <w:r>
              <w:rPr>
                <w:rFonts w:ascii="Times New Roman" w:hAnsi="Times New Roman" w:eastAsia="Times New Roman" w:cs="Times New Roman"/>
                <w:color w:val="auto"/>
                <w:spacing w:val="-31"/>
              </w:rPr>
              <w:t xml:space="preserve"> </w:t>
            </w:r>
            <w:r>
              <w:rPr>
                <w:color w:val="auto"/>
                <w:spacing w:val="-1"/>
              </w:rPr>
              <w:t>，本项目废水防治措施属</w:t>
            </w:r>
            <w:r>
              <w:rPr>
                <w:color w:val="auto"/>
                <w:spacing w:val="-2"/>
              </w:rPr>
              <w:t>于可行技术。</w:t>
            </w:r>
            <w:r>
              <w:rPr>
                <w:color w:val="auto"/>
                <w:spacing w:val="-1"/>
              </w:rPr>
              <w:t>污水处理工艺流程图见图</w:t>
            </w:r>
            <w:r>
              <w:rPr>
                <w:color w:val="auto"/>
                <w:spacing w:val="-56"/>
              </w:rPr>
              <w:t xml:space="preserve"> </w:t>
            </w:r>
            <w:r>
              <w:rPr>
                <w:rFonts w:ascii="Times New Roman" w:hAnsi="Times New Roman" w:eastAsia="Times New Roman" w:cs="Times New Roman"/>
                <w:color w:val="auto"/>
                <w:spacing w:val="-1"/>
              </w:rPr>
              <w:t>4-1</w:t>
            </w:r>
            <w:r>
              <w:rPr>
                <w:color w:val="auto"/>
                <w:spacing w:val="-1"/>
              </w:rPr>
              <w:t>。</w:t>
            </w:r>
          </w:p>
          <w:p w14:paraId="392BFE0F">
            <w:pPr>
              <w:adjustRightInd w:val="0"/>
              <w:snapToGrid w:val="0"/>
              <w:spacing w:line="360" w:lineRule="auto"/>
              <w:ind w:firstLine="480"/>
              <w:jc w:val="center"/>
              <w:rPr>
                <w:rFonts w:hint="eastAsia" w:eastAsia="宋体"/>
                <w:color w:val="auto"/>
                <w:lang w:eastAsia="zh-CN"/>
              </w:rPr>
            </w:pPr>
            <w:r>
              <w:rPr>
                <w:rFonts w:hint="eastAsia" w:eastAsia="宋体"/>
                <w:color w:val="auto"/>
                <w:lang w:eastAsia="zh-CN"/>
              </w:rPr>
              <w:drawing>
                <wp:inline distT="0" distB="0" distL="114300" distR="114300">
                  <wp:extent cx="4324350" cy="5153025"/>
                  <wp:effectExtent l="0" t="0" r="0" b="9525"/>
                  <wp:docPr id="12" name="图片 12" descr="1127856e-f0ed-4734-a5f3-70a3906ffc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127856e-f0ed-4734-a5f3-70a3906ffc2e"/>
                          <pic:cNvPicPr>
                            <a:picLocks noChangeAspect="1"/>
                          </pic:cNvPicPr>
                        </pic:nvPicPr>
                        <pic:blipFill>
                          <a:blip r:embed="rId18"/>
                          <a:stretch>
                            <a:fillRect/>
                          </a:stretch>
                        </pic:blipFill>
                        <pic:spPr>
                          <a:xfrm>
                            <a:off x="0" y="0"/>
                            <a:ext cx="4324350" cy="5153025"/>
                          </a:xfrm>
                          <a:prstGeom prst="rect">
                            <a:avLst/>
                          </a:prstGeom>
                        </pic:spPr>
                      </pic:pic>
                    </a:graphicData>
                  </a:graphic>
                </wp:inline>
              </w:drawing>
            </w:r>
          </w:p>
          <w:p w14:paraId="33A97768">
            <w:pPr>
              <w:widowControl/>
              <w:adjustRightInd w:val="0"/>
              <w:snapToGrid w:val="0"/>
              <w:spacing w:line="360" w:lineRule="auto"/>
              <w:ind w:firstLine="0" w:firstLineChars="0"/>
              <w:jc w:val="center"/>
              <w:rPr>
                <w:b/>
                <w:bCs/>
                <w:color w:val="auto"/>
              </w:rPr>
            </w:pPr>
            <w:r>
              <w:rPr>
                <w:b/>
                <w:bCs/>
                <w:color w:val="auto"/>
              </w:rPr>
              <w:t>图4-</w:t>
            </w:r>
            <w:r>
              <w:rPr>
                <w:rFonts w:hint="eastAsia"/>
                <w:b/>
                <w:bCs/>
                <w:color w:val="auto"/>
                <w:lang w:val="en-US" w:eastAsia="zh-CN"/>
              </w:rPr>
              <w:t>1</w:t>
            </w:r>
            <w:r>
              <w:rPr>
                <w:b/>
                <w:bCs/>
                <w:color w:val="auto"/>
              </w:rPr>
              <w:t>织造污水处理站工艺流程图</w:t>
            </w:r>
          </w:p>
          <w:p w14:paraId="7A392EA1">
            <w:pPr>
              <w:widowControl/>
              <w:adjustRightInd w:val="0"/>
              <w:snapToGrid w:val="0"/>
              <w:spacing w:line="360" w:lineRule="auto"/>
              <w:ind w:firstLine="470"/>
              <w:rPr>
                <w:rFonts w:hint="eastAsia" w:eastAsia="宋体"/>
                <w:b/>
                <w:bCs/>
                <w:color w:val="auto"/>
                <w:spacing w:val="-3"/>
                <w:lang w:eastAsia="zh-CN"/>
              </w:rPr>
            </w:pPr>
            <w:r>
              <w:rPr>
                <w:rFonts w:hint="eastAsia"/>
                <w:b/>
                <w:bCs/>
                <w:color w:val="auto"/>
                <w:spacing w:val="-3"/>
                <w:lang w:val="en-US" w:eastAsia="zh-CN"/>
              </w:rPr>
              <w:t>污水处理工艺</w:t>
            </w:r>
            <w:r>
              <w:rPr>
                <w:b/>
                <w:bCs/>
                <w:color w:val="auto"/>
                <w:spacing w:val="-3"/>
              </w:rPr>
              <w:t>流程说明</w:t>
            </w:r>
            <w:r>
              <w:rPr>
                <w:rFonts w:hint="eastAsia"/>
                <w:b/>
                <w:bCs/>
                <w:color w:val="auto"/>
                <w:spacing w:val="-3"/>
                <w:lang w:eastAsia="zh-CN"/>
              </w:rPr>
              <w:t>：</w:t>
            </w:r>
          </w:p>
          <w:p w14:paraId="23AB1D53">
            <w:pPr>
              <w:widowControl/>
              <w:adjustRightInd w:val="0"/>
              <w:snapToGrid w:val="0"/>
              <w:spacing w:line="360" w:lineRule="auto"/>
              <w:ind w:firstLine="468"/>
              <w:rPr>
                <w:color w:val="auto"/>
                <w:spacing w:val="-3"/>
              </w:rPr>
            </w:pPr>
            <w:r>
              <w:rPr>
                <w:color w:val="auto"/>
                <w:spacing w:val="-3"/>
              </w:rPr>
              <w:t>织造废水进入污水处理站调节池。调节池通过折流和混流后达到均质目的后用提升泵提升，汇入搅拌箱中。搅拌箱设3段加药，a、液碱调节</w:t>
            </w:r>
            <w:r>
              <w:rPr>
                <w:rFonts w:hint="eastAsia"/>
                <w:color w:val="auto"/>
                <w:spacing w:val="-3"/>
                <w:lang w:eastAsia="zh-CN"/>
              </w:rPr>
              <w:t>pH值</w:t>
            </w:r>
            <w:r>
              <w:rPr>
                <w:color w:val="auto"/>
                <w:spacing w:val="-3"/>
              </w:rPr>
              <w:t>，b、聚合硫酸亚铁药剂混凝剂，c、高分子聚凝剂增加絮凝效果。本项目织布废水中有总锑污染物，聚合硫酸亚铁作为混凝剂对总锑有很好的去除作用，由于锑在水中的溶解度相对较低，当锑离子与聚铁反应后，会生产锑</w:t>
            </w:r>
            <w:r>
              <w:rPr>
                <w:rFonts w:hint="eastAsia"/>
                <w:color w:val="auto"/>
                <w:spacing w:val="-3"/>
                <w:lang w:eastAsia="zh-CN"/>
              </w:rPr>
              <w:t>－</w:t>
            </w:r>
            <w:r>
              <w:rPr>
                <w:color w:val="auto"/>
                <w:spacing w:val="-3"/>
              </w:rPr>
              <w:t>铁复合物，进而形成不溶于水的沉淀物，从而达到去除总锑的效果。混凝后自流进入气浮池。在气浮池内通过溶气泵的作用产生大量细微</w:t>
            </w:r>
            <w:r>
              <w:rPr>
                <w:rFonts w:hint="eastAsia"/>
                <w:color w:val="auto"/>
                <w:spacing w:val="-3"/>
                <w:lang w:eastAsia="zh-CN"/>
              </w:rPr>
              <w:t>水汽</w:t>
            </w:r>
            <w:r>
              <w:rPr>
                <w:color w:val="auto"/>
                <w:spacing w:val="-3"/>
              </w:rPr>
              <w:t>，繁花在细微汽水的浮力作用下全部向水面堆积。堆积的污泥通过自动刮板机挂入收集沟中，最终汇入污泥池。气浮池中层汇流出的清水依次进入水解酸化池、接触氧化池和二沉池，进行生化反应并二次沉淀分离，去除污水中的COD、BOD等有机污染物，同时也少量去除一部分氨氮、总磷以及悬浮物。二沉池出水进入深度处理工艺。深度处理工艺进入砂滤罐中过滤除未彻底分离的污泥以及</w:t>
            </w:r>
            <w:r>
              <w:rPr>
                <w:rFonts w:hint="eastAsia"/>
                <w:color w:val="auto"/>
                <w:spacing w:val="-3"/>
                <w:lang w:eastAsia="zh-CN"/>
              </w:rPr>
              <w:t>其他</w:t>
            </w:r>
            <w:r>
              <w:rPr>
                <w:color w:val="auto"/>
                <w:spacing w:val="-3"/>
              </w:rPr>
              <w:t>悬浮颗粒物，降低SS指标。经过石英砂过滤后的水进入活性炭过滤器，活性炭过滤器广泛应用在除去水中有机杂质和水中分子态胶体微细颗粒杂质，也可用于吸附水中的余氯、色度、臭味等。活性炭表面和内部</w:t>
            </w:r>
            <w:r>
              <w:rPr>
                <w:rFonts w:hint="eastAsia"/>
                <w:color w:val="auto"/>
                <w:spacing w:val="-3"/>
                <w:lang w:eastAsia="zh-CN"/>
              </w:rPr>
              <w:t>布满</w:t>
            </w:r>
            <w:r>
              <w:rPr>
                <w:color w:val="auto"/>
                <w:spacing w:val="-3"/>
              </w:rPr>
              <w:t>了微孔，微孔直径平均2-5nm，当分子级杂质直径接近活性炭微孔直径时，就很容易被吸附。活性炭过滤器出水进入中水池，中水池的水经过泵的输送进入车间重复回用。</w:t>
            </w:r>
          </w:p>
          <w:p w14:paraId="4FAEE2E4">
            <w:pPr>
              <w:widowControl/>
              <w:adjustRightInd w:val="0"/>
              <w:snapToGrid w:val="0"/>
              <w:spacing w:line="360" w:lineRule="auto"/>
              <w:ind w:firstLine="468"/>
              <w:rPr>
                <w:color w:val="auto"/>
                <w:spacing w:val="-3"/>
              </w:rPr>
            </w:pPr>
            <w:r>
              <w:rPr>
                <w:color w:val="auto"/>
                <w:spacing w:val="-3"/>
              </w:rPr>
              <w:t>污泥池的泥水</w:t>
            </w:r>
            <w:r>
              <w:rPr>
                <w:rFonts w:hint="eastAsia"/>
                <w:color w:val="auto"/>
                <w:spacing w:val="-3"/>
                <w:lang w:eastAsia="zh-CN"/>
              </w:rPr>
              <w:t>通过</w:t>
            </w:r>
            <w:r>
              <w:rPr>
                <w:color w:val="auto"/>
                <w:spacing w:val="-3"/>
              </w:rPr>
              <w:t>污泥泵送入地上池进行浓缩，浓缩后的泥水送入板框压滤机进行压榨脱水，压榨水回流入污水池中。脱完水的干泥汇总集聚后定期外运处理。</w:t>
            </w:r>
          </w:p>
          <w:p w14:paraId="475F53BC">
            <w:pPr>
              <w:spacing w:line="240" w:lineRule="auto"/>
              <w:ind w:firstLine="482"/>
              <w:jc w:val="center"/>
              <w:rPr>
                <w:color w:val="auto"/>
                <w:spacing w:val="-3"/>
              </w:rPr>
            </w:pPr>
            <w:r>
              <w:rPr>
                <w:b/>
                <w:bCs/>
                <w:color w:val="auto"/>
              </w:rPr>
              <w:t>表4-</w:t>
            </w:r>
            <w:r>
              <w:rPr>
                <w:rFonts w:hint="eastAsia"/>
                <w:b/>
                <w:bCs/>
                <w:color w:val="auto"/>
                <w:lang w:val="en-US" w:eastAsia="zh-CN"/>
              </w:rPr>
              <w:t>16</w:t>
            </w:r>
            <w:r>
              <w:rPr>
                <w:b/>
                <w:bCs/>
                <w:color w:val="auto"/>
              </w:rPr>
              <w:t>本项目织造废水处理系统设计参数</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Layout w:type="fixed"/>
              <w:tblCellMar>
                <w:top w:w="0" w:type="dxa"/>
                <w:left w:w="108" w:type="dxa"/>
                <w:bottom w:w="0" w:type="dxa"/>
                <w:right w:w="108" w:type="dxa"/>
              </w:tblCellMar>
            </w:tblPr>
            <w:tblGrid>
              <w:gridCol w:w="905"/>
              <w:gridCol w:w="1283"/>
              <w:gridCol w:w="899"/>
              <w:gridCol w:w="833"/>
              <w:gridCol w:w="833"/>
              <w:gridCol w:w="633"/>
              <w:gridCol w:w="655"/>
              <w:gridCol w:w="713"/>
              <w:gridCol w:w="662"/>
              <w:gridCol w:w="750"/>
              <w:gridCol w:w="671"/>
            </w:tblGrid>
            <w:tr w14:paraId="306EA5D2">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tblHeader/>
                <w:jc w:val="center"/>
              </w:trPr>
              <w:tc>
                <w:tcPr>
                  <w:tcW w:w="1237" w:type="pct"/>
                  <w:gridSpan w:val="2"/>
                  <w:tcBorders>
                    <w:tl2br w:val="nil"/>
                    <w:tr2bl w:val="nil"/>
                  </w:tcBorders>
                  <w:vAlign w:val="center"/>
                </w:tcPr>
                <w:p w14:paraId="06FCD069">
                  <w:pPr>
                    <w:adjustRightInd w:val="0"/>
                    <w:snapToGrid w:val="0"/>
                    <w:spacing w:line="240" w:lineRule="auto"/>
                    <w:ind w:firstLine="0" w:firstLineChars="0"/>
                    <w:jc w:val="center"/>
                    <w:rPr>
                      <w:b/>
                      <w:color w:val="auto"/>
                      <w:sz w:val="21"/>
                      <w:szCs w:val="21"/>
                    </w:rPr>
                  </w:pPr>
                  <w:r>
                    <w:rPr>
                      <w:color w:val="auto"/>
                      <w:sz w:val="21"/>
                      <w:szCs w:val="21"/>
                    </w:rPr>
                    <mc:AlternateContent>
                      <mc:Choice Requires="wps">
                        <w:drawing>
                          <wp:anchor distT="0" distB="0" distL="114300" distR="114300" simplePos="0" relativeHeight="251661312" behindDoc="0" locked="0" layoutInCell="1" allowOverlap="1">
                            <wp:simplePos x="0" y="0"/>
                            <wp:positionH relativeFrom="column">
                              <wp:posOffset>-69215</wp:posOffset>
                            </wp:positionH>
                            <wp:positionV relativeFrom="paragraph">
                              <wp:posOffset>4445</wp:posOffset>
                            </wp:positionV>
                            <wp:extent cx="1390650" cy="352425"/>
                            <wp:effectExtent l="1270" t="6350" r="17780" b="22225"/>
                            <wp:wrapNone/>
                            <wp:docPr id="32" name="直接连接符 32"/>
                            <wp:cNvGraphicFramePr/>
                            <a:graphic xmlns:a="http://schemas.openxmlformats.org/drawingml/2006/main">
                              <a:graphicData uri="http://schemas.microsoft.com/office/word/2010/wordprocessingShape">
                                <wps:wsp>
                                  <wps:cNvCnPr/>
                                  <wps:spPr>
                                    <a:xfrm>
                                      <a:off x="840740" y="1462405"/>
                                      <a:ext cx="1390650" cy="352425"/>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5.45pt;margin-top:0.35pt;height:27.75pt;width:109.5pt;z-index:251661312;mso-width-relative:page;mso-height-relative:page;" filled="f" stroked="t" coordsize="21600,21600" o:gfxdata="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C&#10;MllY1wAAAAcBAAAPAAAAAAAAAAEAIAAAACIAAABkcnMvZG93bnJldi54bWxQSwECFAAUAAAACACH&#10;TuJA99co4uwBAACtAwAADgAAAAAAAAABACAAAAAmAQAAZHJzL2Uyb0RvYy54bWxQSwUGAAAAAAYA&#10;BgBZAQAAhAUAAAAA&#10;">
                            <v:fill on="f" focussize="0,0"/>
                            <v:stroke weight="1pt" color="#000000 [3213]" joinstyle="round"/>
                            <v:imagedata o:title=""/>
                            <o:lock v:ext="edit" aspectratio="f"/>
                          </v:line>
                        </w:pict>
                      </mc:Fallback>
                    </mc:AlternateContent>
                  </w:r>
                  <w:r>
                    <w:rPr>
                      <w:b/>
                      <w:color w:val="auto"/>
                      <w:sz w:val="21"/>
                      <w:szCs w:val="21"/>
                    </w:rPr>
                    <w:t>污染物</w:t>
                  </w:r>
                </w:p>
                <w:p w14:paraId="5BDA3813">
                  <w:pPr>
                    <w:adjustRightInd w:val="0"/>
                    <w:snapToGrid w:val="0"/>
                    <w:spacing w:line="240" w:lineRule="auto"/>
                    <w:ind w:firstLine="0" w:firstLineChars="0"/>
                    <w:rPr>
                      <w:b/>
                      <w:color w:val="auto"/>
                      <w:sz w:val="21"/>
                      <w:szCs w:val="21"/>
                    </w:rPr>
                  </w:pPr>
                  <w:r>
                    <w:rPr>
                      <w:b/>
                      <w:color w:val="auto"/>
                      <w:sz w:val="21"/>
                      <w:szCs w:val="21"/>
                    </w:rPr>
                    <w:t>处理单元</w:t>
                  </w:r>
                </w:p>
              </w:tc>
              <w:tc>
                <w:tcPr>
                  <w:tcW w:w="508" w:type="pct"/>
                  <w:tcBorders>
                    <w:tl2br w:val="nil"/>
                    <w:tr2bl w:val="nil"/>
                  </w:tcBorders>
                  <w:vAlign w:val="center"/>
                </w:tcPr>
                <w:p w14:paraId="5B764154">
                  <w:pPr>
                    <w:adjustRightInd w:val="0"/>
                    <w:snapToGrid w:val="0"/>
                    <w:spacing w:line="240" w:lineRule="auto"/>
                    <w:ind w:firstLine="0" w:firstLineChars="0"/>
                    <w:jc w:val="center"/>
                    <w:rPr>
                      <w:b/>
                      <w:color w:val="auto"/>
                      <w:sz w:val="21"/>
                      <w:szCs w:val="21"/>
                    </w:rPr>
                  </w:pPr>
                  <w:r>
                    <w:rPr>
                      <w:b/>
                      <w:color w:val="auto"/>
                      <w:sz w:val="21"/>
                      <w:szCs w:val="21"/>
                    </w:rPr>
                    <w:t>pH</w:t>
                  </w:r>
                </w:p>
              </w:tc>
              <w:tc>
                <w:tcPr>
                  <w:tcW w:w="471" w:type="pct"/>
                  <w:tcBorders>
                    <w:tl2br w:val="nil"/>
                    <w:tr2bl w:val="nil"/>
                  </w:tcBorders>
                  <w:vAlign w:val="center"/>
                </w:tcPr>
                <w:p w14:paraId="296B9F97">
                  <w:pPr>
                    <w:adjustRightInd w:val="0"/>
                    <w:snapToGrid w:val="0"/>
                    <w:spacing w:line="240" w:lineRule="auto"/>
                    <w:ind w:firstLine="0" w:firstLineChars="0"/>
                    <w:jc w:val="center"/>
                    <w:rPr>
                      <w:b/>
                      <w:color w:val="auto"/>
                      <w:sz w:val="21"/>
                      <w:szCs w:val="21"/>
                    </w:rPr>
                  </w:pPr>
                  <w:r>
                    <w:rPr>
                      <w:b/>
                      <w:color w:val="auto"/>
                      <w:sz w:val="21"/>
                      <w:szCs w:val="21"/>
                    </w:rPr>
                    <w:t>COD</w:t>
                  </w:r>
                </w:p>
              </w:tc>
              <w:tc>
                <w:tcPr>
                  <w:tcW w:w="471" w:type="pct"/>
                  <w:tcBorders>
                    <w:tl2br w:val="nil"/>
                    <w:tr2bl w:val="nil"/>
                  </w:tcBorders>
                  <w:vAlign w:val="center"/>
                </w:tcPr>
                <w:p w14:paraId="6418107A">
                  <w:pPr>
                    <w:adjustRightInd w:val="0"/>
                    <w:snapToGrid w:val="0"/>
                    <w:spacing w:line="240" w:lineRule="auto"/>
                    <w:ind w:firstLine="0" w:firstLineChars="0"/>
                    <w:jc w:val="center"/>
                    <w:rPr>
                      <w:rFonts w:hint="default" w:eastAsia="宋体"/>
                      <w:b/>
                      <w:color w:val="auto"/>
                      <w:sz w:val="21"/>
                      <w:szCs w:val="21"/>
                      <w:lang w:val="en-US" w:eastAsia="zh-CN"/>
                    </w:rPr>
                  </w:pPr>
                  <w:r>
                    <w:rPr>
                      <w:rFonts w:hint="eastAsia"/>
                      <w:b/>
                      <w:color w:val="auto"/>
                      <w:sz w:val="21"/>
                      <w:szCs w:val="21"/>
                      <w:lang w:val="en-US" w:eastAsia="zh-CN"/>
                    </w:rPr>
                    <w:t>BOD</w:t>
                  </w:r>
                  <w:r>
                    <w:rPr>
                      <w:rFonts w:hint="eastAsia"/>
                      <w:b/>
                      <w:color w:val="auto"/>
                      <w:sz w:val="21"/>
                      <w:szCs w:val="21"/>
                      <w:vertAlign w:val="subscript"/>
                      <w:lang w:val="en-US" w:eastAsia="zh-CN"/>
                    </w:rPr>
                    <w:t>5</w:t>
                  </w:r>
                </w:p>
              </w:tc>
              <w:tc>
                <w:tcPr>
                  <w:tcW w:w="358" w:type="pct"/>
                  <w:tcBorders>
                    <w:tl2br w:val="nil"/>
                    <w:tr2bl w:val="nil"/>
                  </w:tcBorders>
                  <w:vAlign w:val="center"/>
                </w:tcPr>
                <w:p w14:paraId="78165B9D">
                  <w:pPr>
                    <w:adjustRightInd w:val="0"/>
                    <w:snapToGrid w:val="0"/>
                    <w:spacing w:line="240" w:lineRule="auto"/>
                    <w:ind w:firstLine="0" w:firstLineChars="0"/>
                    <w:jc w:val="center"/>
                    <w:rPr>
                      <w:rFonts w:hint="default" w:eastAsia="宋体"/>
                      <w:b/>
                      <w:color w:val="auto"/>
                      <w:sz w:val="21"/>
                      <w:szCs w:val="21"/>
                      <w:lang w:val="en-US" w:eastAsia="zh-CN"/>
                    </w:rPr>
                  </w:pPr>
                  <w:r>
                    <w:rPr>
                      <w:rFonts w:hint="eastAsia"/>
                      <w:b/>
                      <w:color w:val="auto"/>
                      <w:sz w:val="21"/>
                      <w:szCs w:val="21"/>
                      <w:lang w:val="en-US" w:eastAsia="zh-CN"/>
                    </w:rPr>
                    <w:t>SS</w:t>
                  </w:r>
                </w:p>
              </w:tc>
              <w:tc>
                <w:tcPr>
                  <w:tcW w:w="370" w:type="pct"/>
                  <w:tcBorders>
                    <w:tl2br w:val="nil"/>
                    <w:tr2bl w:val="nil"/>
                  </w:tcBorders>
                  <w:vAlign w:val="center"/>
                </w:tcPr>
                <w:p w14:paraId="13692A10">
                  <w:pPr>
                    <w:adjustRightInd w:val="0"/>
                    <w:snapToGrid w:val="0"/>
                    <w:spacing w:line="240" w:lineRule="auto"/>
                    <w:ind w:firstLine="0" w:firstLineChars="0"/>
                    <w:jc w:val="center"/>
                    <w:rPr>
                      <w:rFonts w:hint="default" w:eastAsia="宋体"/>
                      <w:b/>
                      <w:color w:val="auto"/>
                      <w:sz w:val="21"/>
                      <w:szCs w:val="21"/>
                      <w:lang w:val="en-US" w:eastAsia="zh-CN"/>
                    </w:rPr>
                  </w:pPr>
                  <w:r>
                    <w:rPr>
                      <w:rFonts w:hint="eastAsia"/>
                      <w:b/>
                      <w:color w:val="auto"/>
                      <w:sz w:val="21"/>
                      <w:szCs w:val="21"/>
                      <w:lang w:val="en-US" w:eastAsia="zh-CN"/>
                    </w:rPr>
                    <w:t>氨氮</w:t>
                  </w:r>
                </w:p>
              </w:tc>
              <w:tc>
                <w:tcPr>
                  <w:tcW w:w="403" w:type="pct"/>
                  <w:tcBorders>
                    <w:tl2br w:val="nil"/>
                    <w:tr2bl w:val="nil"/>
                  </w:tcBorders>
                  <w:vAlign w:val="center"/>
                </w:tcPr>
                <w:p w14:paraId="05EDA890">
                  <w:pPr>
                    <w:adjustRightInd w:val="0"/>
                    <w:snapToGrid w:val="0"/>
                    <w:spacing w:line="240" w:lineRule="auto"/>
                    <w:ind w:firstLine="0" w:firstLineChars="0"/>
                    <w:jc w:val="center"/>
                    <w:rPr>
                      <w:rFonts w:hint="eastAsia" w:eastAsia="宋体"/>
                      <w:b/>
                      <w:color w:val="auto"/>
                      <w:sz w:val="21"/>
                      <w:szCs w:val="21"/>
                      <w:lang w:eastAsia="zh-CN"/>
                    </w:rPr>
                  </w:pPr>
                  <w:r>
                    <w:rPr>
                      <w:rFonts w:hint="eastAsia"/>
                      <w:b/>
                      <w:color w:val="auto"/>
                      <w:sz w:val="21"/>
                      <w:szCs w:val="21"/>
                      <w:lang w:val="en-US" w:eastAsia="zh-CN"/>
                    </w:rPr>
                    <w:t>总氮</w:t>
                  </w:r>
                </w:p>
              </w:tc>
              <w:tc>
                <w:tcPr>
                  <w:tcW w:w="374" w:type="pct"/>
                  <w:tcBorders>
                    <w:tl2br w:val="nil"/>
                    <w:tr2bl w:val="nil"/>
                  </w:tcBorders>
                  <w:vAlign w:val="center"/>
                </w:tcPr>
                <w:p w14:paraId="62A2F5B4">
                  <w:pPr>
                    <w:adjustRightInd w:val="0"/>
                    <w:snapToGrid w:val="0"/>
                    <w:spacing w:line="240" w:lineRule="auto"/>
                    <w:ind w:firstLine="0" w:firstLineChars="0"/>
                    <w:jc w:val="center"/>
                    <w:rPr>
                      <w:rFonts w:hint="eastAsia" w:eastAsia="宋体"/>
                      <w:b/>
                      <w:color w:val="auto"/>
                      <w:sz w:val="21"/>
                      <w:szCs w:val="21"/>
                      <w:lang w:eastAsia="zh-CN"/>
                    </w:rPr>
                  </w:pPr>
                  <w:r>
                    <w:rPr>
                      <w:rFonts w:hint="eastAsia"/>
                      <w:b/>
                      <w:color w:val="auto"/>
                      <w:sz w:val="21"/>
                      <w:szCs w:val="21"/>
                      <w:lang w:val="en-US" w:eastAsia="zh-CN"/>
                    </w:rPr>
                    <w:t>总磷</w:t>
                  </w:r>
                </w:p>
              </w:tc>
              <w:tc>
                <w:tcPr>
                  <w:tcW w:w="424" w:type="pct"/>
                  <w:tcBorders>
                    <w:tl2br w:val="nil"/>
                    <w:tr2bl w:val="nil"/>
                  </w:tcBorders>
                  <w:vAlign w:val="center"/>
                </w:tcPr>
                <w:p w14:paraId="624B5B11">
                  <w:pPr>
                    <w:adjustRightInd w:val="0"/>
                    <w:snapToGrid w:val="0"/>
                    <w:spacing w:line="240" w:lineRule="auto"/>
                    <w:ind w:firstLine="0" w:firstLineChars="0"/>
                    <w:jc w:val="center"/>
                    <w:rPr>
                      <w:rFonts w:hint="eastAsia" w:eastAsia="宋体"/>
                      <w:b/>
                      <w:color w:val="auto"/>
                      <w:sz w:val="21"/>
                      <w:szCs w:val="21"/>
                      <w:lang w:eastAsia="zh-CN"/>
                    </w:rPr>
                  </w:pPr>
                  <w:r>
                    <w:rPr>
                      <w:rFonts w:hint="eastAsia"/>
                      <w:b/>
                      <w:color w:val="auto"/>
                      <w:sz w:val="21"/>
                      <w:szCs w:val="21"/>
                      <w:lang w:val="en-US" w:eastAsia="zh-CN"/>
                    </w:rPr>
                    <w:t>石油类</w:t>
                  </w:r>
                </w:p>
              </w:tc>
              <w:tc>
                <w:tcPr>
                  <w:tcW w:w="379" w:type="pct"/>
                  <w:tcBorders>
                    <w:tl2br w:val="nil"/>
                    <w:tr2bl w:val="nil"/>
                  </w:tcBorders>
                  <w:vAlign w:val="center"/>
                </w:tcPr>
                <w:p w14:paraId="7288E231">
                  <w:pPr>
                    <w:adjustRightInd w:val="0"/>
                    <w:snapToGrid w:val="0"/>
                    <w:spacing w:line="240" w:lineRule="auto"/>
                    <w:ind w:firstLine="0" w:firstLineChars="0"/>
                    <w:jc w:val="center"/>
                    <w:rPr>
                      <w:rFonts w:hint="default"/>
                      <w:b/>
                      <w:color w:val="auto"/>
                      <w:sz w:val="21"/>
                      <w:szCs w:val="21"/>
                      <w:lang w:val="en-US" w:eastAsia="zh-CN"/>
                    </w:rPr>
                  </w:pPr>
                  <w:r>
                    <w:rPr>
                      <w:rFonts w:hint="eastAsia"/>
                      <w:b/>
                      <w:color w:val="auto"/>
                      <w:sz w:val="21"/>
                      <w:szCs w:val="21"/>
                      <w:lang w:val="en-US" w:eastAsia="zh-CN"/>
                    </w:rPr>
                    <w:t>总锑</w:t>
                  </w:r>
                </w:p>
              </w:tc>
            </w:tr>
            <w:tr w14:paraId="3332D1B7">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restart"/>
                  <w:tcBorders>
                    <w:tl2br w:val="nil"/>
                    <w:tr2bl w:val="nil"/>
                  </w:tcBorders>
                  <w:vAlign w:val="center"/>
                </w:tcPr>
                <w:p w14:paraId="3EBBEE5D">
                  <w:pPr>
                    <w:adjustRightInd w:val="0"/>
                    <w:snapToGrid w:val="0"/>
                    <w:spacing w:line="240" w:lineRule="auto"/>
                    <w:ind w:firstLine="0" w:firstLineChars="0"/>
                    <w:jc w:val="center"/>
                    <w:rPr>
                      <w:color w:val="auto"/>
                      <w:sz w:val="21"/>
                      <w:szCs w:val="21"/>
                    </w:rPr>
                  </w:pPr>
                  <w:r>
                    <w:rPr>
                      <w:color w:val="auto"/>
                      <w:sz w:val="21"/>
                      <w:szCs w:val="21"/>
                    </w:rPr>
                    <w:t>调节池</w:t>
                  </w:r>
                </w:p>
              </w:tc>
              <w:tc>
                <w:tcPr>
                  <w:tcW w:w="725" w:type="pct"/>
                  <w:tcBorders>
                    <w:tl2br w:val="nil"/>
                    <w:tr2bl w:val="nil"/>
                  </w:tcBorders>
                  <w:shd w:val="clear" w:color="auto" w:fill="auto"/>
                  <w:vAlign w:val="center"/>
                </w:tcPr>
                <w:p w14:paraId="62171B50">
                  <w:pPr>
                    <w:adjustRightInd w:val="0"/>
                    <w:snapToGrid w:val="0"/>
                    <w:spacing w:line="240" w:lineRule="auto"/>
                    <w:ind w:firstLine="0" w:firstLineChars="0"/>
                    <w:jc w:val="center"/>
                    <w:rPr>
                      <w:color w:val="auto"/>
                      <w:sz w:val="21"/>
                      <w:szCs w:val="21"/>
                    </w:rPr>
                  </w:pPr>
                  <w:r>
                    <w:rPr>
                      <w:color w:val="auto"/>
                      <w:sz w:val="21"/>
                      <w:szCs w:val="21"/>
                    </w:rPr>
                    <w:t>进水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6B318461">
                  <w:pPr>
                    <w:adjustRightInd w:val="0"/>
                    <w:snapToGrid w:val="0"/>
                    <w:spacing w:line="240" w:lineRule="auto"/>
                    <w:ind w:firstLine="0" w:firstLineChars="0"/>
                    <w:jc w:val="center"/>
                    <w:rPr>
                      <w:color w:val="auto"/>
                      <w:kern w:val="0"/>
                      <w:sz w:val="21"/>
                      <w:szCs w:val="21"/>
                      <w:lang w:bidi="ar"/>
                    </w:rPr>
                  </w:pPr>
                  <w:r>
                    <w:rPr>
                      <w:color w:val="auto"/>
                      <w:kern w:val="0"/>
                      <w:sz w:val="21"/>
                      <w:szCs w:val="21"/>
                      <w:lang w:bidi="ar"/>
                    </w:rPr>
                    <w:t>6~9</w:t>
                  </w:r>
                </w:p>
                <w:p w14:paraId="5AD6FCFE">
                  <w:pPr>
                    <w:adjustRightInd w:val="0"/>
                    <w:snapToGrid w:val="0"/>
                    <w:spacing w:line="240" w:lineRule="auto"/>
                    <w:ind w:firstLine="0" w:firstLineChars="0"/>
                    <w:jc w:val="center"/>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18CB5253">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400</w:t>
                  </w:r>
                </w:p>
              </w:tc>
              <w:tc>
                <w:tcPr>
                  <w:tcW w:w="471" w:type="pct"/>
                  <w:tcBorders>
                    <w:tl2br w:val="nil"/>
                    <w:tr2bl w:val="nil"/>
                  </w:tcBorders>
                  <w:shd w:val="clear" w:color="auto" w:fill="auto"/>
                  <w:vAlign w:val="center"/>
                </w:tcPr>
                <w:p w14:paraId="1E357942">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300</w:t>
                  </w:r>
                </w:p>
              </w:tc>
              <w:tc>
                <w:tcPr>
                  <w:tcW w:w="358" w:type="pct"/>
                  <w:tcBorders>
                    <w:tl2br w:val="nil"/>
                    <w:tr2bl w:val="nil"/>
                  </w:tcBorders>
                  <w:shd w:val="clear" w:color="auto" w:fill="auto"/>
                  <w:vAlign w:val="center"/>
                </w:tcPr>
                <w:p w14:paraId="1F2AC474">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130</w:t>
                  </w:r>
                </w:p>
              </w:tc>
              <w:tc>
                <w:tcPr>
                  <w:tcW w:w="370" w:type="pct"/>
                  <w:tcBorders>
                    <w:tl2br w:val="nil"/>
                    <w:tr2bl w:val="nil"/>
                  </w:tcBorders>
                  <w:shd w:val="clear" w:color="auto" w:fill="auto"/>
                  <w:vAlign w:val="center"/>
                </w:tcPr>
                <w:p w14:paraId="53A6AA1E">
                  <w:pPr>
                    <w:adjustRightInd w:val="0"/>
                    <w:snapToGrid w:val="0"/>
                    <w:spacing w:line="240" w:lineRule="auto"/>
                    <w:ind w:firstLine="0" w:firstLineChars="0"/>
                    <w:jc w:val="center"/>
                    <w:rPr>
                      <w:rFonts w:hint="default"/>
                      <w:color w:val="auto"/>
                      <w:sz w:val="21"/>
                      <w:szCs w:val="21"/>
                      <w:lang w:val="en-US"/>
                    </w:rPr>
                  </w:pPr>
                  <w:r>
                    <w:rPr>
                      <w:rFonts w:hint="eastAsia"/>
                      <w:color w:val="auto"/>
                      <w:sz w:val="21"/>
                      <w:szCs w:val="21"/>
                      <w:lang w:val="en-US" w:eastAsia="zh-CN"/>
                    </w:rPr>
                    <w:t>25</w:t>
                  </w:r>
                </w:p>
              </w:tc>
              <w:tc>
                <w:tcPr>
                  <w:tcW w:w="403" w:type="pct"/>
                  <w:tcBorders>
                    <w:tl2br w:val="nil"/>
                    <w:tr2bl w:val="nil"/>
                  </w:tcBorders>
                  <w:shd w:val="clear" w:color="auto" w:fill="auto"/>
                  <w:vAlign w:val="center"/>
                </w:tcPr>
                <w:p w14:paraId="3FCE62F5">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4" w:type="pct"/>
                  <w:tcBorders>
                    <w:tl2br w:val="nil"/>
                    <w:tr2bl w:val="nil"/>
                  </w:tcBorders>
                  <w:shd w:val="clear" w:color="auto" w:fill="auto"/>
                  <w:vAlign w:val="center"/>
                </w:tcPr>
                <w:p w14:paraId="35E81F6A">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2</w:t>
                  </w:r>
                </w:p>
              </w:tc>
              <w:tc>
                <w:tcPr>
                  <w:tcW w:w="424" w:type="pct"/>
                  <w:tcBorders>
                    <w:tl2br w:val="nil"/>
                    <w:tr2bl w:val="nil"/>
                  </w:tcBorders>
                  <w:shd w:val="clear" w:color="auto" w:fill="auto"/>
                  <w:vAlign w:val="center"/>
                </w:tcPr>
                <w:p w14:paraId="7000F4FE">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9" w:type="pct"/>
                  <w:tcBorders>
                    <w:tl2br w:val="nil"/>
                    <w:tr2bl w:val="nil"/>
                  </w:tcBorders>
                  <w:shd w:val="clear" w:color="auto" w:fill="auto"/>
                  <w:vAlign w:val="center"/>
                </w:tcPr>
                <w:p w14:paraId="2542874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0.05</w:t>
                  </w:r>
                </w:p>
              </w:tc>
            </w:tr>
            <w:tr w14:paraId="70EE185D">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324FE4D6">
                  <w:pPr>
                    <w:adjustRightInd w:val="0"/>
                    <w:snapToGrid w:val="0"/>
                    <w:spacing w:line="240" w:lineRule="auto"/>
                    <w:ind w:firstLine="0" w:firstLineChars="0"/>
                    <w:jc w:val="center"/>
                    <w:rPr>
                      <w:color w:val="auto"/>
                      <w:sz w:val="21"/>
                      <w:szCs w:val="21"/>
                    </w:rPr>
                  </w:pPr>
                </w:p>
              </w:tc>
              <w:tc>
                <w:tcPr>
                  <w:tcW w:w="725" w:type="pct"/>
                  <w:tcBorders>
                    <w:tl2br w:val="nil"/>
                    <w:tr2bl w:val="nil"/>
                  </w:tcBorders>
                  <w:shd w:val="clear" w:color="auto" w:fill="auto"/>
                  <w:vAlign w:val="center"/>
                </w:tcPr>
                <w:p w14:paraId="4E6FB7C3">
                  <w:pPr>
                    <w:adjustRightInd w:val="0"/>
                    <w:snapToGrid w:val="0"/>
                    <w:spacing w:line="240" w:lineRule="auto"/>
                    <w:ind w:firstLine="0" w:firstLineChars="0"/>
                    <w:jc w:val="center"/>
                    <w:rPr>
                      <w:color w:val="auto"/>
                      <w:sz w:val="21"/>
                      <w:szCs w:val="21"/>
                    </w:rPr>
                  </w:pPr>
                  <w:r>
                    <w:rPr>
                      <w:color w:val="auto"/>
                      <w:sz w:val="21"/>
                      <w:szCs w:val="21"/>
                    </w:rPr>
                    <w:t>出水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1E426B01">
                  <w:pPr>
                    <w:adjustRightInd w:val="0"/>
                    <w:snapToGrid w:val="0"/>
                    <w:spacing w:line="240" w:lineRule="auto"/>
                    <w:ind w:firstLine="0" w:firstLineChars="0"/>
                    <w:jc w:val="center"/>
                    <w:rPr>
                      <w:color w:val="auto"/>
                      <w:kern w:val="0"/>
                      <w:sz w:val="21"/>
                      <w:szCs w:val="21"/>
                      <w:lang w:bidi="ar"/>
                    </w:rPr>
                  </w:pPr>
                  <w:r>
                    <w:rPr>
                      <w:color w:val="auto"/>
                      <w:kern w:val="0"/>
                      <w:sz w:val="21"/>
                      <w:szCs w:val="21"/>
                      <w:lang w:bidi="ar"/>
                    </w:rPr>
                    <w:t>6~9</w:t>
                  </w:r>
                </w:p>
                <w:p w14:paraId="00C4CCB3">
                  <w:pPr>
                    <w:adjustRightInd w:val="0"/>
                    <w:snapToGrid w:val="0"/>
                    <w:spacing w:line="240" w:lineRule="auto"/>
                    <w:ind w:firstLine="0" w:firstLineChars="0"/>
                    <w:jc w:val="center"/>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4FEE2B73">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400</w:t>
                  </w:r>
                </w:p>
              </w:tc>
              <w:tc>
                <w:tcPr>
                  <w:tcW w:w="471" w:type="pct"/>
                  <w:tcBorders>
                    <w:tl2br w:val="nil"/>
                    <w:tr2bl w:val="nil"/>
                  </w:tcBorders>
                  <w:vAlign w:val="center"/>
                </w:tcPr>
                <w:p w14:paraId="4916C013">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300</w:t>
                  </w:r>
                </w:p>
              </w:tc>
              <w:tc>
                <w:tcPr>
                  <w:tcW w:w="358" w:type="pct"/>
                  <w:tcBorders>
                    <w:tl2br w:val="nil"/>
                    <w:tr2bl w:val="nil"/>
                  </w:tcBorders>
                  <w:vAlign w:val="center"/>
                </w:tcPr>
                <w:p w14:paraId="3623104C">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106</w:t>
                  </w:r>
                </w:p>
              </w:tc>
              <w:tc>
                <w:tcPr>
                  <w:tcW w:w="370" w:type="pct"/>
                  <w:tcBorders>
                    <w:tl2br w:val="nil"/>
                    <w:tr2bl w:val="nil"/>
                  </w:tcBorders>
                  <w:vAlign w:val="center"/>
                </w:tcPr>
                <w:p w14:paraId="665DBAE9">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25</w:t>
                  </w:r>
                </w:p>
              </w:tc>
              <w:tc>
                <w:tcPr>
                  <w:tcW w:w="403" w:type="pct"/>
                  <w:tcBorders>
                    <w:tl2br w:val="nil"/>
                    <w:tr2bl w:val="nil"/>
                  </w:tcBorders>
                  <w:vAlign w:val="center"/>
                </w:tcPr>
                <w:p w14:paraId="06588AA5">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4" w:type="pct"/>
                  <w:tcBorders>
                    <w:tl2br w:val="nil"/>
                    <w:tr2bl w:val="nil"/>
                  </w:tcBorders>
                  <w:vAlign w:val="center"/>
                </w:tcPr>
                <w:p w14:paraId="0B98823F">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2</w:t>
                  </w:r>
                </w:p>
              </w:tc>
              <w:tc>
                <w:tcPr>
                  <w:tcW w:w="424" w:type="pct"/>
                  <w:tcBorders>
                    <w:tl2br w:val="nil"/>
                    <w:tr2bl w:val="nil"/>
                  </w:tcBorders>
                  <w:vAlign w:val="center"/>
                </w:tcPr>
                <w:p w14:paraId="28A44740">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9" w:type="pct"/>
                  <w:tcBorders>
                    <w:tl2br w:val="nil"/>
                    <w:tr2bl w:val="nil"/>
                  </w:tcBorders>
                  <w:vAlign w:val="center"/>
                </w:tcPr>
                <w:p w14:paraId="79D9E51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0.05</w:t>
                  </w:r>
                </w:p>
              </w:tc>
            </w:tr>
            <w:tr w14:paraId="32532FF9">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7DAFA32F">
                  <w:pPr>
                    <w:adjustRightInd w:val="0"/>
                    <w:snapToGrid w:val="0"/>
                    <w:spacing w:line="240" w:lineRule="auto"/>
                    <w:ind w:firstLine="0" w:firstLineChars="0"/>
                    <w:jc w:val="center"/>
                    <w:rPr>
                      <w:color w:val="auto"/>
                      <w:sz w:val="21"/>
                      <w:szCs w:val="21"/>
                    </w:rPr>
                  </w:pPr>
                </w:p>
              </w:tc>
              <w:tc>
                <w:tcPr>
                  <w:tcW w:w="725" w:type="pct"/>
                  <w:tcBorders>
                    <w:tl2br w:val="nil"/>
                    <w:tr2bl w:val="nil"/>
                  </w:tcBorders>
                  <w:shd w:val="clear" w:color="auto" w:fill="auto"/>
                  <w:vAlign w:val="center"/>
                </w:tcPr>
                <w:p w14:paraId="0EC64186">
                  <w:pPr>
                    <w:adjustRightInd w:val="0"/>
                    <w:snapToGrid w:val="0"/>
                    <w:spacing w:line="240" w:lineRule="auto"/>
                    <w:ind w:firstLine="0" w:firstLineChars="0"/>
                    <w:jc w:val="center"/>
                    <w:rPr>
                      <w:color w:val="auto"/>
                      <w:sz w:val="21"/>
                      <w:szCs w:val="21"/>
                    </w:rPr>
                  </w:pPr>
                  <w:r>
                    <w:rPr>
                      <w:color w:val="auto"/>
                      <w:sz w:val="21"/>
                      <w:szCs w:val="21"/>
                    </w:rPr>
                    <w:t>去除率</w:t>
                  </w:r>
                  <w:r>
                    <w:rPr>
                      <w:rFonts w:hint="eastAsia"/>
                      <w:color w:val="auto"/>
                      <w:sz w:val="21"/>
                      <w:szCs w:val="21"/>
                      <w:lang w:val="en-US" w:eastAsia="zh-CN"/>
                    </w:rPr>
                    <w:t>%</w:t>
                  </w:r>
                </w:p>
              </w:tc>
              <w:tc>
                <w:tcPr>
                  <w:tcW w:w="508" w:type="pct"/>
                  <w:tcBorders>
                    <w:tl2br w:val="nil"/>
                    <w:tr2bl w:val="nil"/>
                  </w:tcBorders>
                  <w:shd w:val="clear" w:color="auto" w:fill="auto"/>
                  <w:vAlign w:val="center"/>
                </w:tcPr>
                <w:p w14:paraId="7B786FDE">
                  <w:pPr>
                    <w:adjustRightInd w:val="0"/>
                    <w:snapToGrid w:val="0"/>
                    <w:spacing w:line="240" w:lineRule="auto"/>
                    <w:ind w:firstLine="0" w:firstLineChars="0"/>
                    <w:jc w:val="center"/>
                    <w:rPr>
                      <w:color w:val="auto"/>
                      <w:kern w:val="0"/>
                      <w:sz w:val="21"/>
                      <w:szCs w:val="21"/>
                      <w:lang w:bidi="ar"/>
                    </w:rPr>
                  </w:pPr>
                  <w:r>
                    <w:rPr>
                      <w:color w:val="auto"/>
                      <w:kern w:val="0"/>
                      <w:sz w:val="21"/>
                      <w:szCs w:val="21"/>
                      <w:lang w:bidi="ar"/>
                    </w:rPr>
                    <w:t>/</w:t>
                  </w:r>
                </w:p>
              </w:tc>
              <w:tc>
                <w:tcPr>
                  <w:tcW w:w="471" w:type="pct"/>
                  <w:tcBorders>
                    <w:tl2br w:val="nil"/>
                    <w:tr2bl w:val="nil"/>
                  </w:tcBorders>
                  <w:shd w:val="clear" w:color="auto" w:fill="auto"/>
                  <w:vAlign w:val="center"/>
                </w:tcPr>
                <w:p w14:paraId="5DE6F4A0">
                  <w:pPr>
                    <w:adjustRightInd w:val="0"/>
                    <w:snapToGrid w:val="0"/>
                    <w:spacing w:line="240" w:lineRule="auto"/>
                    <w:ind w:firstLine="0" w:firstLineChars="0"/>
                    <w:jc w:val="center"/>
                    <w:rPr>
                      <w:color w:val="auto"/>
                      <w:sz w:val="21"/>
                      <w:szCs w:val="21"/>
                    </w:rPr>
                  </w:pPr>
                  <w:r>
                    <w:rPr>
                      <w:color w:val="auto"/>
                      <w:sz w:val="21"/>
                      <w:szCs w:val="21"/>
                    </w:rPr>
                    <w:t>0</w:t>
                  </w:r>
                </w:p>
              </w:tc>
              <w:tc>
                <w:tcPr>
                  <w:tcW w:w="471" w:type="pct"/>
                  <w:tcBorders>
                    <w:tl2br w:val="nil"/>
                    <w:tr2bl w:val="nil"/>
                  </w:tcBorders>
                  <w:vAlign w:val="center"/>
                </w:tcPr>
                <w:p w14:paraId="796D04B8">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0</w:t>
                  </w:r>
                </w:p>
              </w:tc>
              <w:tc>
                <w:tcPr>
                  <w:tcW w:w="358" w:type="pct"/>
                  <w:tcBorders>
                    <w:tl2br w:val="nil"/>
                    <w:tr2bl w:val="nil"/>
                  </w:tcBorders>
                  <w:vAlign w:val="center"/>
                </w:tcPr>
                <w:p w14:paraId="3A92F613">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20</w:t>
                  </w:r>
                </w:p>
              </w:tc>
              <w:tc>
                <w:tcPr>
                  <w:tcW w:w="370" w:type="pct"/>
                  <w:tcBorders>
                    <w:tl2br w:val="nil"/>
                    <w:tr2bl w:val="nil"/>
                  </w:tcBorders>
                  <w:vAlign w:val="center"/>
                </w:tcPr>
                <w:p w14:paraId="6DD1B4E6">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0</w:t>
                  </w:r>
                </w:p>
              </w:tc>
              <w:tc>
                <w:tcPr>
                  <w:tcW w:w="403" w:type="pct"/>
                  <w:tcBorders>
                    <w:tl2br w:val="nil"/>
                    <w:tr2bl w:val="nil"/>
                  </w:tcBorders>
                  <w:vAlign w:val="center"/>
                </w:tcPr>
                <w:p w14:paraId="4F77BE6F">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0</w:t>
                  </w:r>
                </w:p>
              </w:tc>
              <w:tc>
                <w:tcPr>
                  <w:tcW w:w="374" w:type="pct"/>
                  <w:tcBorders>
                    <w:tl2br w:val="nil"/>
                    <w:tr2bl w:val="nil"/>
                  </w:tcBorders>
                  <w:vAlign w:val="center"/>
                </w:tcPr>
                <w:p w14:paraId="6DAD1340">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0</w:t>
                  </w:r>
                </w:p>
              </w:tc>
              <w:tc>
                <w:tcPr>
                  <w:tcW w:w="424" w:type="pct"/>
                  <w:tcBorders>
                    <w:tl2br w:val="nil"/>
                    <w:tr2bl w:val="nil"/>
                  </w:tcBorders>
                  <w:vAlign w:val="center"/>
                </w:tcPr>
                <w:p w14:paraId="414F2F26">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0</w:t>
                  </w:r>
                </w:p>
              </w:tc>
              <w:tc>
                <w:tcPr>
                  <w:tcW w:w="379" w:type="pct"/>
                  <w:tcBorders>
                    <w:tl2br w:val="nil"/>
                    <w:tr2bl w:val="nil"/>
                  </w:tcBorders>
                  <w:vAlign w:val="center"/>
                </w:tcPr>
                <w:p w14:paraId="7FF51E1D">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0</w:t>
                  </w:r>
                </w:p>
              </w:tc>
            </w:tr>
            <w:tr w14:paraId="40AAAFA7">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restart"/>
                  <w:tcBorders>
                    <w:tl2br w:val="nil"/>
                    <w:tr2bl w:val="nil"/>
                  </w:tcBorders>
                  <w:vAlign w:val="center"/>
                </w:tcPr>
                <w:p w14:paraId="194F1415">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混凝</w:t>
                  </w:r>
                  <w:r>
                    <w:rPr>
                      <w:color w:val="auto"/>
                      <w:sz w:val="21"/>
                      <w:szCs w:val="21"/>
                    </w:rPr>
                    <w:t>气浮池</w:t>
                  </w:r>
                </w:p>
              </w:tc>
              <w:tc>
                <w:tcPr>
                  <w:tcW w:w="725" w:type="pct"/>
                  <w:tcBorders>
                    <w:tl2br w:val="nil"/>
                    <w:tr2bl w:val="nil"/>
                  </w:tcBorders>
                  <w:vAlign w:val="center"/>
                </w:tcPr>
                <w:p w14:paraId="5948BCD3">
                  <w:pPr>
                    <w:adjustRightInd w:val="0"/>
                    <w:snapToGrid w:val="0"/>
                    <w:spacing w:line="240" w:lineRule="auto"/>
                    <w:ind w:firstLine="0" w:firstLineChars="0"/>
                    <w:jc w:val="center"/>
                    <w:rPr>
                      <w:color w:val="auto"/>
                      <w:sz w:val="21"/>
                      <w:szCs w:val="21"/>
                    </w:rPr>
                  </w:pPr>
                  <w:r>
                    <w:rPr>
                      <w:color w:val="auto"/>
                      <w:sz w:val="21"/>
                      <w:szCs w:val="21"/>
                    </w:rPr>
                    <w:t>进水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7657DCF3">
                  <w:pPr>
                    <w:adjustRightInd w:val="0"/>
                    <w:snapToGrid w:val="0"/>
                    <w:spacing w:line="240" w:lineRule="auto"/>
                    <w:ind w:firstLine="0" w:firstLineChars="0"/>
                    <w:jc w:val="center"/>
                    <w:rPr>
                      <w:color w:val="auto"/>
                      <w:kern w:val="0"/>
                      <w:sz w:val="21"/>
                      <w:szCs w:val="21"/>
                      <w:lang w:bidi="ar"/>
                    </w:rPr>
                  </w:pPr>
                  <w:r>
                    <w:rPr>
                      <w:color w:val="auto"/>
                      <w:kern w:val="0"/>
                      <w:sz w:val="21"/>
                      <w:szCs w:val="21"/>
                      <w:lang w:bidi="ar"/>
                    </w:rPr>
                    <w:t>6~9</w:t>
                  </w:r>
                </w:p>
                <w:p w14:paraId="3FFFFCA9">
                  <w:pPr>
                    <w:adjustRightInd w:val="0"/>
                    <w:snapToGrid w:val="0"/>
                    <w:spacing w:line="240" w:lineRule="auto"/>
                    <w:ind w:firstLine="0" w:firstLineChars="0"/>
                    <w:jc w:val="center"/>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30E08C57">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400</w:t>
                  </w:r>
                </w:p>
              </w:tc>
              <w:tc>
                <w:tcPr>
                  <w:tcW w:w="471" w:type="pct"/>
                  <w:tcBorders>
                    <w:tl2br w:val="nil"/>
                    <w:tr2bl w:val="nil"/>
                  </w:tcBorders>
                  <w:shd w:val="clear" w:color="auto" w:fill="auto"/>
                  <w:vAlign w:val="center"/>
                </w:tcPr>
                <w:p w14:paraId="13486AD6">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300</w:t>
                  </w:r>
                </w:p>
              </w:tc>
              <w:tc>
                <w:tcPr>
                  <w:tcW w:w="358" w:type="pct"/>
                  <w:tcBorders>
                    <w:tl2br w:val="nil"/>
                    <w:tr2bl w:val="nil"/>
                  </w:tcBorders>
                  <w:shd w:val="clear" w:color="auto" w:fill="auto"/>
                  <w:vAlign w:val="center"/>
                </w:tcPr>
                <w:p w14:paraId="1595049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106</w:t>
                  </w:r>
                </w:p>
              </w:tc>
              <w:tc>
                <w:tcPr>
                  <w:tcW w:w="370" w:type="pct"/>
                  <w:tcBorders>
                    <w:tl2br w:val="nil"/>
                    <w:tr2bl w:val="nil"/>
                  </w:tcBorders>
                  <w:shd w:val="clear" w:color="auto" w:fill="auto"/>
                  <w:vAlign w:val="center"/>
                </w:tcPr>
                <w:p w14:paraId="7843C24E">
                  <w:pPr>
                    <w:adjustRightInd w:val="0"/>
                    <w:snapToGrid w:val="0"/>
                    <w:spacing w:line="240" w:lineRule="auto"/>
                    <w:ind w:firstLine="0" w:firstLineChars="0"/>
                    <w:jc w:val="center"/>
                    <w:rPr>
                      <w:rFonts w:hint="default"/>
                      <w:color w:val="auto"/>
                      <w:sz w:val="21"/>
                      <w:szCs w:val="21"/>
                      <w:lang w:val="en-US"/>
                    </w:rPr>
                  </w:pPr>
                  <w:r>
                    <w:rPr>
                      <w:rFonts w:hint="eastAsia"/>
                      <w:color w:val="auto"/>
                      <w:sz w:val="21"/>
                      <w:szCs w:val="21"/>
                      <w:lang w:val="en-US" w:eastAsia="zh-CN"/>
                    </w:rPr>
                    <w:t>25</w:t>
                  </w:r>
                </w:p>
              </w:tc>
              <w:tc>
                <w:tcPr>
                  <w:tcW w:w="403" w:type="pct"/>
                  <w:tcBorders>
                    <w:tl2br w:val="nil"/>
                    <w:tr2bl w:val="nil"/>
                  </w:tcBorders>
                  <w:shd w:val="clear" w:color="auto" w:fill="auto"/>
                  <w:vAlign w:val="center"/>
                </w:tcPr>
                <w:p w14:paraId="605BB5D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4" w:type="pct"/>
                  <w:tcBorders>
                    <w:tl2br w:val="nil"/>
                    <w:tr2bl w:val="nil"/>
                  </w:tcBorders>
                  <w:shd w:val="clear" w:color="auto" w:fill="auto"/>
                  <w:vAlign w:val="center"/>
                </w:tcPr>
                <w:p w14:paraId="0D799542">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2</w:t>
                  </w:r>
                </w:p>
              </w:tc>
              <w:tc>
                <w:tcPr>
                  <w:tcW w:w="424" w:type="pct"/>
                  <w:tcBorders>
                    <w:tl2br w:val="nil"/>
                    <w:tr2bl w:val="nil"/>
                  </w:tcBorders>
                  <w:shd w:val="clear" w:color="auto" w:fill="auto"/>
                  <w:vAlign w:val="center"/>
                </w:tcPr>
                <w:p w14:paraId="7F227E49">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9" w:type="pct"/>
                  <w:tcBorders>
                    <w:tl2br w:val="nil"/>
                    <w:tr2bl w:val="nil"/>
                  </w:tcBorders>
                  <w:shd w:val="clear" w:color="auto" w:fill="auto"/>
                  <w:vAlign w:val="center"/>
                </w:tcPr>
                <w:p w14:paraId="6FDD55F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0.05</w:t>
                  </w:r>
                </w:p>
              </w:tc>
            </w:tr>
            <w:tr w14:paraId="65344B74">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569AE410">
                  <w:pPr>
                    <w:adjustRightInd w:val="0"/>
                    <w:snapToGrid w:val="0"/>
                    <w:spacing w:line="240" w:lineRule="auto"/>
                    <w:ind w:firstLine="0" w:firstLineChars="0"/>
                    <w:jc w:val="center"/>
                    <w:rPr>
                      <w:color w:val="auto"/>
                      <w:sz w:val="21"/>
                      <w:szCs w:val="21"/>
                    </w:rPr>
                  </w:pPr>
                </w:p>
              </w:tc>
              <w:tc>
                <w:tcPr>
                  <w:tcW w:w="725" w:type="pct"/>
                  <w:tcBorders>
                    <w:tl2br w:val="nil"/>
                    <w:tr2bl w:val="nil"/>
                  </w:tcBorders>
                  <w:shd w:val="clear" w:color="auto" w:fill="auto"/>
                  <w:vAlign w:val="center"/>
                </w:tcPr>
                <w:p w14:paraId="410F2A9F">
                  <w:pPr>
                    <w:adjustRightInd w:val="0"/>
                    <w:snapToGrid w:val="0"/>
                    <w:spacing w:line="240" w:lineRule="auto"/>
                    <w:ind w:firstLine="0" w:firstLineChars="0"/>
                    <w:jc w:val="center"/>
                    <w:rPr>
                      <w:color w:val="auto"/>
                      <w:sz w:val="21"/>
                      <w:szCs w:val="21"/>
                    </w:rPr>
                  </w:pPr>
                  <w:r>
                    <w:rPr>
                      <w:color w:val="auto"/>
                      <w:sz w:val="21"/>
                      <w:szCs w:val="21"/>
                    </w:rPr>
                    <w:t>出水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6F8ED9B3">
                  <w:pPr>
                    <w:adjustRightInd w:val="0"/>
                    <w:snapToGrid w:val="0"/>
                    <w:spacing w:line="240" w:lineRule="auto"/>
                    <w:ind w:firstLine="0" w:firstLineChars="0"/>
                    <w:jc w:val="center"/>
                    <w:rPr>
                      <w:color w:val="auto"/>
                      <w:sz w:val="21"/>
                      <w:szCs w:val="21"/>
                    </w:rPr>
                  </w:pPr>
                  <w:r>
                    <w:rPr>
                      <w:color w:val="auto"/>
                      <w:sz w:val="21"/>
                      <w:szCs w:val="21"/>
                    </w:rPr>
                    <w:t>9.5</w:t>
                  </w:r>
                </w:p>
                <w:p w14:paraId="58A217D3">
                  <w:pPr>
                    <w:adjustRightInd w:val="0"/>
                    <w:snapToGrid w:val="0"/>
                    <w:spacing w:line="240" w:lineRule="auto"/>
                    <w:ind w:firstLine="0" w:firstLineChars="0"/>
                    <w:jc w:val="center"/>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3420F91C">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320</w:t>
                  </w:r>
                </w:p>
              </w:tc>
              <w:tc>
                <w:tcPr>
                  <w:tcW w:w="471" w:type="pct"/>
                  <w:tcBorders>
                    <w:tl2br w:val="nil"/>
                    <w:tr2bl w:val="nil"/>
                  </w:tcBorders>
                  <w:shd w:val="clear" w:color="auto" w:fill="auto"/>
                  <w:vAlign w:val="center"/>
                </w:tcPr>
                <w:p w14:paraId="0C1B3E06">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240</w:t>
                  </w:r>
                </w:p>
              </w:tc>
              <w:tc>
                <w:tcPr>
                  <w:tcW w:w="358" w:type="pct"/>
                  <w:tcBorders>
                    <w:tl2br w:val="nil"/>
                    <w:tr2bl w:val="nil"/>
                  </w:tcBorders>
                  <w:shd w:val="clear" w:color="auto" w:fill="auto"/>
                  <w:vAlign w:val="center"/>
                </w:tcPr>
                <w:p w14:paraId="04F9022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95</w:t>
                  </w:r>
                </w:p>
              </w:tc>
              <w:tc>
                <w:tcPr>
                  <w:tcW w:w="370" w:type="pct"/>
                  <w:tcBorders>
                    <w:tl2br w:val="nil"/>
                    <w:tr2bl w:val="nil"/>
                  </w:tcBorders>
                  <w:shd w:val="clear" w:color="auto" w:fill="auto"/>
                  <w:vAlign w:val="center"/>
                </w:tcPr>
                <w:p w14:paraId="46CBE9B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w:t>
                  </w:r>
                </w:p>
              </w:tc>
              <w:tc>
                <w:tcPr>
                  <w:tcW w:w="403" w:type="pct"/>
                  <w:tcBorders>
                    <w:tl2br w:val="nil"/>
                    <w:tr2bl w:val="nil"/>
                  </w:tcBorders>
                  <w:shd w:val="clear" w:color="auto" w:fill="auto"/>
                  <w:vAlign w:val="center"/>
                </w:tcPr>
                <w:p w14:paraId="438907BF">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21</w:t>
                  </w:r>
                </w:p>
              </w:tc>
              <w:tc>
                <w:tcPr>
                  <w:tcW w:w="374" w:type="pct"/>
                  <w:tcBorders>
                    <w:tl2br w:val="nil"/>
                    <w:tr2bl w:val="nil"/>
                  </w:tcBorders>
                  <w:shd w:val="clear" w:color="auto" w:fill="auto"/>
                  <w:vAlign w:val="center"/>
                </w:tcPr>
                <w:p w14:paraId="6EE5D47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0.6</w:t>
                  </w:r>
                </w:p>
              </w:tc>
              <w:tc>
                <w:tcPr>
                  <w:tcW w:w="424" w:type="pct"/>
                  <w:tcBorders>
                    <w:tl2br w:val="nil"/>
                    <w:tr2bl w:val="nil"/>
                  </w:tcBorders>
                  <w:shd w:val="clear" w:color="auto" w:fill="auto"/>
                  <w:vAlign w:val="center"/>
                </w:tcPr>
                <w:p w14:paraId="155768C5">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4.5</w:t>
                  </w:r>
                </w:p>
              </w:tc>
              <w:tc>
                <w:tcPr>
                  <w:tcW w:w="379" w:type="pct"/>
                  <w:tcBorders>
                    <w:tl2br w:val="nil"/>
                    <w:tr2bl w:val="nil"/>
                  </w:tcBorders>
                  <w:shd w:val="clear" w:color="auto" w:fill="auto"/>
                  <w:vAlign w:val="center"/>
                </w:tcPr>
                <w:p w14:paraId="3A7E904C">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0.02</w:t>
                  </w:r>
                </w:p>
              </w:tc>
            </w:tr>
            <w:tr w14:paraId="523487AF">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4DE3BCB4">
                  <w:pPr>
                    <w:adjustRightInd w:val="0"/>
                    <w:snapToGrid w:val="0"/>
                    <w:spacing w:line="240" w:lineRule="auto"/>
                    <w:ind w:firstLine="0" w:firstLineChars="0"/>
                    <w:jc w:val="center"/>
                    <w:rPr>
                      <w:color w:val="auto"/>
                      <w:sz w:val="21"/>
                      <w:szCs w:val="21"/>
                    </w:rPr>
                  </w:pPr>
                </w:p>
              </w:tc>
              <w:tc>
                <w:tcPr>
                  <w:tcW w:w="725" w:type="pct"/>
                  <w:tcBorders>
                    <w:tl2br w:val="nil"/>
                    <w:tr2bl w:val="nil"/>
                  </w:tcBorders>
                  <w:shd w:val="clear" w:color="auto" w:fill="auto"/>
                  <w:vAlign w:val="center"/>
                </w:tcPr>
                <w:p w14:paraId="6FAA1C3D">
                  <w:pPr>
                    <w:adjustRightInd w:val="0"/>
                    <w:snapToGrid w:val="0"/>
                    <w:spacing w:line="240" w:lineRule="auto"/>
                    <w:ind w:firstLine="0" w:firstLineChars="0"/>
                    <w:jc w:val="center"/>
                    <w:rPr>
                      <w:color w:val="auto"/>
                      <w:sz w:val="21"/>
                      <w:szCs w:val="21"/>
                    </w:rPr>
                  </w:pPr>
                  <w:r>
                    <w:rPr>
                      <w:color w:val="auto"/>
                      <w:sz w:val="21"/>
                      <w:szCs w:val="21"/>
                    </w:rPr>
                    <w:t>去除率</w:t>
                  </w:r>
                  <w:r>
                    <w:rPr>
                      <w:rFonts w:hint="eastAsia"/>
                      <w:color w:val="auto"/>
                      <w:sz w:val="21"/>
                      <w:szCs w:val="21"/>
                      <w:lang w:val="en-US" w:eastAsia="zh-CN"/>
                    </w:rPr>
                    <w:t>%</w:t>
                  </w:r>
                </w:p>
              </w:tc>
              <w:tc>
                <w:tcPr>
                  <w:tcW w:w="508" w:type="pct"/>
                  <w:tcBorders>
                    <w:tl2br w:val="nil"/>
                    <w:tr2bl w:val="nil"/>
                  </w:tcBorders>
                  <w:shd w:val="clear" w:color="auto" w:fill="auto"/>
                  <w:vAlign w:val="center"/>
                </w:tcPr>
                <w:p w14:paraId="1F028C06">
                  <w:pPr>
                    <w:adjustRightInd w:val="0"/>
                    <w:snapToGrid w:val="0"/>
                    <w:spacing w:line="240" w:lineRule="auto"/>
                    <w:ind w:firstLine="0" w:firstLineChars="0"/>
                    <w:jc w:val="center"/>
                    <w:rPr>
                      <w:color w:val="auto"/>
                      <w:sz w:val="21"/>
                      <w:szCs w:val="21"/>
                    </w:rPr>
                  </w:pPr>
                  <w:r>
                    <w:rPr>
                      <w:color w:val="auto"/>
                      <w:kern w:val="0"/>
                      <w:sz w:val="21"/>
                      <w:szCs w:val="21"/>
                      <w:lang w:bidi="ar"/>
                    </w:rPr>
                    <w:t>/</w:t>
                  </w:r>
                </w:p>
              </w:tc>
              <w:tc>
                <w:tcPr>
                  <w:tcW w:w="471" w:type="pct"/>
                  <w:tcBorders>
                    <w:tl2br w:val="nil"/>
                    <w:tr2bl w:val="nil"/>
                  </w:tcBorders>
                  <w:shd w:val="clear" w:color="auto" w:fill="auto"/>
                  <w:vAlign w:val="center"/>
                </w:tcPr>
                <w:p w14:paraId="54758748">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20</w:t>
                  </w:r>
                </w:p>
              </w:tc>
              <w:tc>
                <w:tcPr>
                  <w:tcW w:w="471" w:type="pct"/>
                  <w:tcBorders>
                    <w:tl2br w:val="nil"/>
                    <w:tr2bl w:val="nil"/>
                  </w:tcBorders>
                  <w:shd w:val="clear" w:color="auto" w:fill="auto"/>
                  <w:vAlign w:val="center"/>
                </w:tcPr>
                <w:p w14:paraId="32D12189">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20</w:t>
                  </w:r>
                </w:p>
              </w:tc>
              <w:tc>
                <w:tcPr>
                  <w:tcW w:w="358" w:type="pct"/>
                  <w:tcBorders>
                    <w:tl2br w:val="nil"/>
                    <w:tr2bl w:val="nil"/>
                  </w:tcBorders>
                  <w:shd w:val="clear" w:color="auto" w:fill="auto"/>
                  <w:vAlign w:val="center"/>
                </w:tcPr>
                <w:p w14:paraId="17A08722">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10</w:t>
                  </w:r>
                </w:p>
              </w:tc>
              <w:tc>
                <w:tcPr>
                  <w:tcW w:w="370" w:type="pct"/>
                  <w:tcBorders>
                    <w:tl2br w:val="nil"/>
                    <w:tr2bl w:val="nil"/>
                  </w:tcBorders>
                  <w:shd w:val="clear" w:color="auto" w:fill="auto"/>
                  <w:vAlign w:val="center"/>
                </w:tcPr>
                <w:p w14:paraId="59E83837">
                  <w:pPr>
                    <w:adjustRightInd w:val="0"/>
                    <w:snapToGrid w:val="0"/>
                    <w:spacing w:line="240" w:lineRule="auto"/>
                    <w:ind w:firstLine="0" w:firstLineChars="0"/>
                    <w:jc w:val="center"/>
                    <w:rPr>
                      <w:rFonts w:hint="default"/>
                      <w:color w:val="auto"/>
                      <w:sz w:val="21"/>
                      <w:szCs w:val="21"/>
                      <w:lang w:val="en-US"/>
                    </w:rPr>
                  </w:pPr>
                  <w:r>
                    <w:rPr>
                      <w:rFonts w:hint="eastAsia"/>
                      <w:color w:val="auto"/>
                      <w:sz w:val="21"/>
                      <w:szCs w:val="21"/>
                      <w:lang w:val="en-US" w:eastAsia="zh-CN"/>
                    </w:rPr>
                    <w:t>60</w:t>
                  </w:r>
                </w:p>
              </w:tc>
              <w:tc>
                <w:tcPr>
                  <w:tcW w:w="403" w:type="pct"/>
                  <w:tcBorders>
                    <w:tl2br w:val="nil"/>
                    <w:tr2bl w:val="nil"/>
                  </w:tcBorders>
                  <w:shd w:val="clear" w:color="auto" w:fill="auto"/>
                  <w:vAlign w:val="center"/>
                </w:tcPr>
                <w:p w14:paraId="6958E5A4">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4" w:type="pct"/>
                  <w:tcBorders>
                    <w:tl2br w:val="nil"/>
                    <w:tr2bl w:val="nil"/>
                  </w:tcBorders>
                  <w:shd w:val="clear" w:color="auto" w:fill="auto"/>
                  <w:vAlign w:val="center"/>
                </w:tcPr>
                <w:p w14:paraId="004E6A91">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70</w:t>
                  </w:r>
                </w:p>
              </w:tc>
              <w:tc>
                <w:tcPr>
                  <w:tcW w:w="424" w:type="pct"/>
                  <w:tcBorders>
                    <w:tl2br w:val="nil"/>
                    <w:tr2bl w:val="nil"/>
                  </w:tcBorders>
                  <w:shd w:val="clear" w:color="auto" w:fill="auto"/>
                  <w:vAlign w:val="center"/>
                </w:tcPr>
                <w:p w14:paraId="50D941E8">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85</w:t>
                  </w:r>
                </w:p>
              </w:tc>
              <w:tc>
                <w:tcPr>
                  <w:tcW w:w="379" w:type="pct"/>
                  <w:tcBorders>
                    <w:tl2br w:val="nil"/>
                    <w:tr2bl w:val="nil"/>
                  </w:tcBorders>
                  <w:shd w:val="clear" w:color="auto" w:fill="auto"/>
                  <w:vAlign w:val="center"/>
                </w:tcPr>
                <w:p w14:paraId="01A43576">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60</w:t>
                  </w:r>
                </w:p>
              </w:tc>
            </w:tr>
            <w:tr w14:paraId="448FAF86">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restart"/>
                  <w:tcBorders>
                    <w:tl2br w:val="nil"/>
                    <w:tr2bl w:val="nil"/>
                  </w:tcBorders>
                  <w:vAlign w:val="center"/>
                </w:tcPr>
                <w:p w14:paraId="781D80F8">
                  <w:pPr>
                    <w:adjustRightInd w:val="0"/>
                    <w:snapToGrid w:val="0"/>
                    <w:spacing w:line="240" w:lineRule="auto"/>
                    <w:ind w:firstLine="0" w:firstLineChars="0"/>
                    <w:jc w:val="center"/>
                    <w:rPr>
                      <w:color w:val="auto"/>
                      <w:sz w:val="21"/>
                      <w:szCs w:val="21"/>
                    </w:rPr>
                  </w:pPr>
                  <w:r>
                    <w:rPr>
                      <w:rFonts w:hint="eastAsia"/>
                      <w:color w:val="auto"/>
                      <w:sz w:val="21"/>
                      <w:szCs w:val="21"/>
                      <w:lang w:val="en-US" w:eastAsia="zh-CN"/>
                    </w:rPr>
                    <w:t>氧化</w:t>
                  </w:r>
                  <w:r>
                    <w:rPr>
                      <w:color w:val="auto"/>
                      <w:sz w:val="21"/>
                      <w:szCs w:val="21"/>
                    </w:rPr>
                    <w:t>池</w:t>
                  </w:r>
                </w:p>
                <w:p w14:paraId="64DFD552">
                  <w:pPr>
                    <w:adjustRightInd w:val="0"/>
                    <w:snapToGrid w:val="0"/>
                    <w:spacing w:line="240" w:lineRule="auto"/>
                    <w:ind w:firstLine="0" w:firstLineChars="0"/>
                    <w:jc w:val="center"/>
                    <w:rPr>
                      <w:color w:val="auto"/>
                      <w:sz w:val="21"/>
                      <w:szCs w:val="21"/>
                    </w:rPr>
                  </w:pPr>
                  <w:r>
                    <w:rPr>
                      <w:color w:val="auto"/>
                      <w:sz w:val="21"/>
                      <w:szCs w:val="21"/>
                    </w:rPr>
                    <w:t>二沉池</w:t>
                  </w:r>
                </w:p>
              </w:tc>
              <w:tc>
                <w:tcPr>
                  <w:tcW w:w="725" w:type="pct"/>
                  <w:tcBorders>
                    <w:tl2br w:val="nil"/>
                    <w:tr2bl w:val="nil"/>
                  </w:tcBorders>
                  <w:vAlign w:val="center"/>
                </w:tcPr>
                <w:p w14:paraId="6B29A001">
                  <w:pPr>
                    <w:adjustRightInd w:val="0"/>
                    <w:snapToGrid w:val="0"/>
                    <w:spacing w:line="240" w:lineRule="auto"/>
                    <w:ind w:firstLine="0" w:firstLineChars="0"/>
                    <w:jc w:val="center"/>
                    <w:rPr>
                      <w:color w:val="auto"/>
                      <w:sz w:val="21"/>
                      <w:szCs w:val="21"/>
                    </w:rPr>
                  </w:pPr>
                  <w:r>
                    <w:rPr>
                      <w:color w:val="auto"/>
                      <w:sz w:val="21"/>
                      <w:szCs w:val="21"/>
                    </w:rPr>
                    <w:t>进水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46B4CC7D">
                  <w:pPr>
                    <w:adjustRightInd w:val="0"/>
                    <w:snapToGrid w:val="0"/>
                    <w:spacing w:line="240" w:lineRule="auto"/>
                    <w:ind w:firstLine="0" w:firstLineChars="0"/>
                    <w:jc w:val="center"/>
                    <w:rPr>
                      <w:color w:val="auto"/>
                      <w:sz w:val="21"/>
                      <w:szCs w:val="21"/>
                    </w:rPr>
                  </w:pPr>
                  <w:r>
                    <w:rPr>
                      <w:color w:val="auto"/>
                      <w:sz w:val="21"/>
                      <w:szCs w:val="21"/>
                    </w:rPr>
                    <w:t>9.5</w:t>
                  </w:r>
                </w:p>
                <w:p w14:paraId="0FF6A3FE">
                  <w:pPr>
                    <w:adjustRightInd w:val="0"/>
                    <w:snapToGrid w:val="0"/>
                    <w:spacing w:line="240" w:lineRule="auto"/>
                    <w:ind w:firstLine="0" w:firstLineChars="0"/>
                    <w:jc w:val="center"/>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1803B75E">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320</w:t>
                  </w:r>
                </w:p>
              </w:tc>
              <w:tc>
                <w:tcPr>
                  <w:tcW w:w="471" w:type="pct"/>
                  <w:tcBorders>
                    <w:tl2br w:val="nil"/>
                    <w:tr2bl w:val="nil"/>
                  </w:tcBorders>
                  <w:shd w:val="clear" w:color="auto" w:fill="auto"/>
                  <w:vAlign w:val="center"/>
                </w:tcPr>
                <w:p w14:paraId="0F3BF8DE">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240</w:t>
                  </w:r>
                </w:p>
              </w:tc>
              <w:tc>
                <w:tcPr>
                  <w:tcW w:w="358" w:type="pct"/>
                  <w:tcBorders>
                    <w:tl2br w:val="nil"/>
                    <w:tr2bl w:val="nil"/>
                  </w:tcBorders>
                  <w:shd w:val="clear" w:color="auto" w:fill="auto"/>
                  <w:vAlign w:val="center"/>
                </w:tcPr>
                <w:p w14:paraId="3469CAF4">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95</w:t>
                  </w:r>
                </w:p>
              </w:tc>
              <w:tc>
                <w:tcPr>
                  <w:tcW w:w="370" w:type="pct"/>
                  <w:tcBorders>
                    <w:tl2br w:val="nil"/>
                    <w:tr2bl w:val="nil"/>
                  </w:tcBorders>
                  <w:shd w:val="clear" w:color="auto" w:fill="auto"/>
                  <w:vAlign w:val="center"/>
                </w:tcPr>
                <w:p w14:paraId="68E32132">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10</w:t>
                  </w:r>
                </w:p>
              </w:tc>
              <w:tc>
                <w:tcPr>
                  <w:tcW w:w="403" w:type="pct"/>
                  <w:tcBorders>
                    <w:tl2br w:val="nil"/>
                    <w:tr2bl w:val="nil"/>
                  </w:tcBorders>
                  <w:shd w:val="clear" w:color="auto" w:fill="auto"/>
                  <w:vAlign w:val="center"/>
                </w:tcPr>
                <w:p w14:paraId="68D5DE6E">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21</w:t>
                  </w:r>
                </w:p>
              </w:tc>
              <w:tc>
                <w:tcPr>
                  <w:tcW w:w="374" w:type="pct"/>
                  <w:tcBorders>
                    <w:tl2br w:val="nil"/>
                    <w:tr2bl w:val="nil"/>
                  </w:tcBorders>
                  <w:shd w:val="clear" w:color="auto" w:fill="auto"/>
                  <w:vAlign w:val="center"/>
                </w:tcPr>
                <w:p w14:paraId="3DDE0EFA">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0.6</w:t>
                  </w:r>
                </w:p>
              </w:tc>
              <w:tc>
                <w:tcPr>
                  <w:tcW w:w="424" w:type="pct"/>
                  <w:tcBorders>
                    <w:tl2br w:val="nil"/>
                    <w:tr2bl w:val="nil"/>
                  </w:tcBorders>
                  <w:shd w:val="clear" w:color="auto" w:fill="auto"/>
                  <w:vAlign w:val="center"/>
                </w:tcPr>
                <w:p w14:paraId="1C12D359">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4.5</w:t>
                  </w:r>
                </w:p>
              </w:tc>
              <w:tc>
                <w:tcPr>
                  <w:tcW w:w="379" w:type="pct"/>
                  <w:tcBorders>
                    <w:tl2br w:val="nil"/>
                    <w:tr2bl w:val="nil"/>
                  </w:tcBorders>
                  <w:shd w:val="clear" w:color="auto" w:fill="auto"/>
                  <w:vAlign w:val="center"/>
                </w:tcPr>
                <w:p w14:paraId="4C2EC8D6">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0.02</w:t>
                  </w:r>
                </w:p>
              </w:tc>
            </w:tr>
            <w:tr w14:paraId="720084D1">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3FCC2056">
                  <w:pPr>
                    <w:adjustRightInd w:val="0"/>
                    <w:snapToGrid w:val="0"/>
                    <w:spacing w:line="240" w:lineRule="auto"/>
                    <w:ind w:firstLine="0" w:firstLineChars="0"/>
                    <w:jc w:val="center"/>
                    <w:rPr>
                      <w:color w:val="auto"/>
                      <w:sz w:val="21"/>
                      <w:szCs w:val="21"/>
                    </w:rPr>
                  </w:pPr>
                </w:p>
              </w:tc>
              <w:tc>
                <w:tcPr>
                  <w:tcW w:w="725" w:type="pct"/>
                  <w:tcBorders>
                    <w:tl2br w:val="nil"/>
                    <w:tr2bl w:val="nil"/>
                  </w:tcBorders>
                  <w:shd w:val="clear" w:color="auto" w:fill="auto"/>
                  <w:vAlign w:val="center"/>
                </w:tcPr>
                <w:p w14:paraId="6FB0404F">
                  <w:pPr>
                    <w:adjustRightInd w:val="0"/>
                    <w:snapToGrid w:val="0"/>
                    <w:spacing w:line="240" w:lineRule="auto"/>
                    <w:ind w:firstLine="0" w:firstLineChars="0"/>
                    <w:jc w:val="center"/>
                    <w:rPr>
                      <w:color w:val="auto"/>
                      <w:sz w:val="21"/>
                      <w:szCs w:val="21"/>
                    </w:rPr>
                  </w:pPr>
                  <w:r>
                    <w:rPr>
                      <w:color w:val="auto"/>
                      <w:sz w:val="21"/>
                      <w:szCs w:val="21"/>
                    </w:rPr>
                    <w:t>出水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28F877A1">
                  <w:pPr>
                    <w:adjustRightInd w:val="0"/>
                    <w:snapToGrid w:val="0"/>
                    <w:spacing w:line="240" w:lineRule="auto"/>
                    <w:ind w:firstLine="0" w:firstLineChars="0"/>
                    <w:jc w:val="center"/>
                    <w:rPr>
                      <w:color w:val="auto"/>
                      <w:kern w:val="0"/>
                      <w:sz w:val="21"/>
                      <w:szCs w:val="21"/>
                      <w:lang w:bidi="ar"/>
                    </w:rPr>
                  </w:pPr>
                  <w:r>
                    <w:rPr>
                      <w:color w:val="auto"/>
                      <w:kern w:val="0"/>
                      <w:sz w:val="21"/>
                      <w:szCs w:val="21"/>
                      <w:lang w:bidi="ar"/>
                    </w:rPr>
                    <w:t>7~8</w:t>
                  </w:r>
                </w:p>
                <w:p w14:paraId="3FD88336">
                  <w:pPr>
                    <w:adjustRightInd w:val="0"/>
                    <w:snapToGrid w:val="0"/>
                    <w:spacing w:line="240" w:lineRule="auto"/>
                    <w:ind w:firstLine="0" w:firstLineChars="0"/>
                    <w:jc w:val="center"/>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368E42D9">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64</w:t>
                  </w:r>
                </w:p>
              </w:tc>
              <w:tc>
                <w:tcPr>
                  <w:tcW w:w="471" w:type="pct"/>
                  <w:tcBorders>
                    <w:tl2br w:val="nil"/>
                    <w:tr2bl w:val="nil"/>
                  </w:tcBorders>
                  <w:shd w:val="clear" w:color="auto" w:fill="auto"/>
                  <w:vAlign w:val="center"/>
                </w:tcPr>
                <w:p w14:paraId="6AEA6DE5">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14.4</w:t>
                  </w:r>
                </w:p>
              </w:tc>
              <w:tc>
                <w:tcPr>
                  <w:tcW w:w="358" w:type="pct"/>
                  <w:tcBorders>
                    <w:tl2br w:val="nil"/>
                    <w:tr2bl w:val="nil"/>
                  </w:tcBorders>
                  <w:shd w:val="clear" w:color="auto" w:fill="auto"/>
                  <w:vAlign w:val="center"/>
                </w:tcPr>
                <w:p w14:paraId="39587B78">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76</w:t>
                  </w:r>
                </w:p>
              </w:tc>
              <w:tc>
                <w:tcPr>
                  <w:tcW w:w="370" w:type="pct"/>
                  <w:tcBorders>
                    <w:tl2br w:val="nil"/>
                    <w:tr2bl w:val="nil"/>
                  </w:tcBorders>
                  <w:shd w:val="clear" w:color="auto" w:fill="auto"/>
                  <w:vAlign w:val="center"/>
                </w:tcPr>
                <w:p w14:paraId="14BE266A">
                  <w:pPr>
                    <w:adjustRightInd w:val="0"/>
                    <w:snapToGrid w:val="0"/>
                    <w:spacing w:line="240" w:lineRule="auto"/>
                    <w:ind w:firstLine="0" w:firstLineChars="0"/>
                    <w:jc w:val="center"/>
                    <w:rPr>
                      <w:rFonts w:hint="eastAsia" w:eastAsia="宋体"/>
                      <w:color w:val="auto"/>
                      <w:sz w:val="21"/>
                      <w:szCs w:val="21"/>
                      <w:lang w:eastAsia="zh-CN"/>
                    </w:rPr>
                  </w:pPr>
                  <w:r>
                    <w:rPr>
                      <w:rFonts w:hint="eastAsia"/>
                      <w:color w:val="auto"/>
                      <w:sz w:val="21"/>
                      <w:szCs w:val="21"/>
                      <w:lang w:val="en-US" w:eastAsia="zh-CN"/>
                    </w:rPr>
                    <w:t>2</w:t>
                  </w:r>
                </w:p>
              </w:tc>
              <w:tc>
                <w:tcPr>
                  <w:tcW w:w="403" w:type="pct"/>
                  <w:tcBorders>
                    <w:tl2br w:val="nil"/>
                    <w:tr2bl w:val="nil"/>
                  </w:tcBorders>
                  <w:shd w:val="clear" w:color="auto" w:fill="auto"/>
                  <w:vAlign w:val="center"/>
                </w:tcPr>
                <w:p w14:paraId="73A254A0">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14.7</w:t>
                  </w:r>
                </w:p>
              </w:tc>
              <w:tc>
                <w:tcPr>
                  <w:tcW w:w="374" w:type="pct"/>
                  <w:tcBorders>
                    <w:tl2br w:val="nil"/>
                    <w:tr2bl w:val="nil"/>
                  </w:tcBorders>
                  <w:shd w:val="clear" w:color="auto" w:fill="auto"/>
                  <w:vAlign w:val="center"/>
                </w:tcPr>
                <w:p w14:paraId="15138EF3">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0.48</w:t>
                  </w:r>
                </w:p>
              </w:tc>
              <w:tc>
                <w:tcPr>
                  <w:tcW w:w="424" w:type="pct"/>
                  <w:tcBorders>
                    <w:tl2br w:val="nil"/>
                    <w:tr2bl w:val="nil"/>
                  </w:tcBorders>
                  <w:shd w:val="clear" w:color="auto" w:fill="auto"/>
                  <w:vAlign w:val="center"/>
                </w:tcPr>
                <w:p w14:paraId="3AF6FCB8">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0.9</w:t>
                  </w:r>
                </w:p>
              </w:tc>
              <w:tc>
                <w:tcPr>
                  <w:tcW w:w="379" w:type="pct"/>
                  <w:tcBorders>
                    <w:tl2br w:val="nil"/>
                    <w:tr2bl w:val="nil"/>
                  </w:tcBorders>
                  <w:shd w:val="clear" w:color="auto" w:fill="auto"/>
                  <w:vAlign w:val="center"/>
                </w:tcPr>
                <w:p w14:paraId="019CDD9E">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0.02</w:t>
                  </w:r>
                </w:p>
              </w:tc>
            </w:tr>
            <w:tr w14:paraId="02891AFE">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0F820AEE">
                  <w:pPr>
                    <w:adjustRightInd w:val="0"/>
                    <w:snapToGrid w:val="0"/>
                    <w:spacing w:line="240" w:lineRule="auto"/>
                    <w:ind w:firstLine="0" w:firstLineChars="0"/>
                    <w:jc w:val="center"/>
                    <w:rPr>
                      <w:color w:val="auto"/>
                      <w:sz w:val="21"/>
                      <w:szCs w:val="21"/>
                    </w:rPr>
                  </w:pPr>
                </w:p>
              </w:tc>
              <w:tc>
                <w:tcPr>
                  <w:tcW w:w="725" w:type="pct"/>
                  <w:tcBorders>
                    <w:tl2br w:val="nil"/>
                    <w:tr2bl w:val="nil"/>
                  </w:tcBorders>
                  <w:shd w:val="clear" w:color="auto" w:fill="auto"/>
                  <w:vAlign w:val="center"/>
                </w:tcPr>
                <w:p w14:paraId="55B420D8">
                  <w:pPr>
                    <w:adjustRightInd w:val="0"/>
                    <w:snapToGrid w:val="0"/>
                    <w:spacing w:line="240" w:lineRule="auto"/>
                    <w:ind w:firstLine="0" w:firstLineChars="0"/>
                    <w:jc w:val="center"/>
                    <w:rPr>
                      <w:color w:val="auto"/>
                      <w:sz w:val="21"/>
                      <w:szCs w:val="21"/>
                    </w:rPr>
                  </w:pPr>
                  <w:r>
                    <w:rPr>
                      <w:color w:val="auto"/>
                      <w:sz w:val="21"/>
                      <w:szCs w:val="21"/>
                    </w:rPr>
                    <w:t>去除率</w:t>
                  </w:r>
                  <w:r>
                    <w:rPr>
                      <w:rFonts w:hint="eastAsia"/>
                      <w:color w:val="auto"/>
                      <w:sz w:val="21"/>
                      <w:szCs w:val="21"/>
                      <w:lang w:val="en-US" w:eastAsia="zh-CN"/>
                    </w:rPr>
                    <w:t>%</w:t>
                  </w:r>
                </w:p>
              </w:tc>
              <w:tc>
                <w:tcPr>
                  <w:tcW w:w="508" w:type="pct"/>
                  <w:tcBorders>
                    <w:tl2br w:val="nil"/>
                    <w:tr2bl w:val="nil"/>
                  </w:tcBorders>
                  <w:shd w:val="clear" w:color="auto" w:fill="auto"/>
                  <w:vAlign w:val="center"/>
                </w:tcPr>
                <w:p w14:paraId="0E654DD3">
                  <w:pPr>
                    <w:adjustRightInd w:val="0"/>
                    <w:snapToGrid w:val="0"/>
                    <w:spacing w:line="240" w:lineRule="auto"/>
                    <w:ind w:firstLine="0" w:firstLineChars="0"/>
                    <w:jc w:val="center"/>
                    <w:rPr>
                      <w:color w:val="auto"/>
                      <w:kern w:val="0"/>
                      <w:sz w:val="21"/>
                      <w:szCs w:val="21"/>
                      <w:lang w:bidi="ar"/>
                    </w:rPr>
                  </w:pPr>
                  <w:r>
                    <w:rPr>
                      <w:color w:val="auto"/>
                      <w:kern w:val="0"/>
                      <w:sz w:val="21"/>
                      <w:szCs w:val="21"/>
                      <w:lang w:bidi="ar"/>
                    </w:rPr>
                    <w:t>/</w:t>
                  </w:r>
                </w:p>
              </w:tc>
              <w:tc>
                <w:tcPr>
                  <w:tcW w:w="471" w:type="pct"/>
                  <w:tcBorders>
                    <w:tl2br w:val="nil"/>
                    <w:tr2bl w:val="nil"/>
                  </w:tcBorders>
                  <w:shd w:val="clear" w:color="auto" w:fill="auto"/>
                  <w:vAlign w:val="center"/>
                </w:tcPr>
                <w:p w14:paraId="77C5C75B">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80</w:t>
                  </w:r>
                </w:p>
              </w:tc>
              <w:tc>
                <w:tcPr>
                  <w:tcW w:w="471" w:type="pct"/>
                  <w:tcBorders>
                    <w:tl2br w:val="nil"/>
                    <w:tr2bl w:val="nil"/>
                  </w:tcBorders>
                  <w:shd w:val="clear" w:color="auto" w:fill="auto"/>
                  <w:vAlign w:val="center"/>
                </w:tcPr>
                <w:p w14:paraId="4C006C22">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94</w:t>
                  </w:r>
                </w:p>
              </w:tc>
              <w:tc>
                <w:tcPr>
                  <w:tcW w:w="358" w:type="pct"/>
                  <w:tcBorders>
                    <w:tl2br w:val="nil"/>
                    <w:tr2bl w:val="nil"/>
                  </w:tcBorders>
                  <w:shd w:val="clear" w:color="auto" w:fill="auto"/>
                  <w:vAlign w:val="center"/>
                </w:tcPr>
                <w:p w14:paraId="655620DE">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20</w:t>
                  </w:r>
                </w:p>
              </w:tc>
              <w:tc>
                <w:tcPr>
                  <w:tcW w:w="370" w:type="pct"/>
                  <w:tcBorders>
                    <w:tl2br w:val="nil"/>
                    <w:tr2bl w:val="nil"/>
                  </w:tcBorders>
                  <w:shd w:val="clear" w:color="auto" w:fill="auto"/>
                  <w:vAlign w:val="center"/>
                </w:tcPr>
                <w:p w14:paraId="6ADEDFF0">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80</w:t>
                  </w:r>
                </w:p>
              </w:tc>
              <w:tc>
                <w:tcPr>
                  <w:tcW w:w="403" w:type="pct"/>
                  <w:tcBorders>
                    <w:tl2br w:val="nil"/>
                    <w:tr2bl w:val="nil"/>
                  </w:tcBorders>
                  <w:shd w:val="clear" w:color="auto" w:fill="auto"/>
                  <w:vAlign w:val="center"/>
                </w:tcPr>
                <w:p w14:paraId="46FE601D">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30</w:t>
                  </w:r>
                </w:p>
              </w:tc>
              <w:tc>
                <w:tcPr>
                  <w:tcW w:w="374" w:type="pct"/>
                  <w:tcBorders>
                    <w:tl2br w:val="nil"/>
                    <w:tr2bl w:val="nil"/>
                  </w:tcBorders>
                  <w:shd w:val="clear" w:color="auto" w:fill="auto"/>
                  <w:vAlign w:val="center"/>
                </w:tcPr>
                <w:p w14:paraId="10A02FB4">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20</w:t>
                  </w:r>
                </w:p>
              </w:tc>
              <w:tc>
                <w:tcPr>
                  <w:tcW w:w="424" w:type="pct"/>
                  <w:tcBorders>
                    <w:tl2br w:val="nil"/>
                    <w:tr2bl w:val="nil"/>
                  </w:tcBorders>
                  <w:shd w:val="clear" w:color="auto" w:fill="auto"/>
                  <w:vAlign w:val="center"/>
                </w:tcPr>
                <w:p w14:paraId="51391C45">
                  <w:pPr>
                    <w:adjustRightInd w:val="0"/>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80</w:t>
                  </w:r>
                </w:p>
              </w:tc>
              <w:tc>
                <w:tcPr>
                  <w:tcW w:w="379" w:type="pct"/>
                  <w:tcBorders>
                    <w:tl2br w:val="nil"/>
                    <w:tr2bl w:val="nil"/>
                  </w:tcBorders>
                  <w:shd w:val="clear" w:color="auto" w:fill="auto"/>
                  <w:vAlign w:val="center"/>
                </w:tcPr>
                <w:p w14:paraId="0AC70048">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0</w:t>
                  </w:r>
                </w:p>
              </w:tc>
            </w:tr>
            <w:tr w14:paraId="2A5EFA76">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90" w:hRule="atLeast"/>
                <w:jc w:val="center"/>
              </w:trPr>
              <w:tc>
                <w:tcPr>
                  <w:tcW w:w="512" w:type="pct"/>
                  <w:vMerge w:val="restart"/>
                  <w:tcBorders>
                    <w:tl2br w:val="nil"/>
                    <w:tr2bl w:val="nil"/>
                  </w:tcBorders>
                  <w:vAlign w:val="center"/>
                </w:tcPr>
                <w:p w14:paraId="26DC0E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eastAsia="zh-CN"/>
                    </w:rPr>
                  </w:pPr>
                  <w:r>
                    <w:rPr>
                      <w:color w:val="auto"/>
                      <w:sz w:val="21"/>
                      <w:szCs w:val="21"/>
                    </w:rPr>
                    <w:t>石英砂过滤</w:t>
                  </w:r>
                  <w:r>
                    <w:rPr>
                      <w:rFonts w:hint="eastAsia"/>
                      <w:color w:val="auto"/>
                      <w:sz w:val="21"/>
                      <w:szCs w:val="21"/>
                      <w:lang w:eastAsia="zh-CN"/>
                    </w:rPr>
                    <w:t>、</w:t>
                  </w:r>
                  <w:r>
                    <w:rPr>
                      <w:color w:val="auto"/>
                      <w:sz w:val="21"/>
                      <w:szCs w:val="21"/>
                    </w:rPr>
                    <w:t>活性炭过滤</w:t>
                  </w:r>
                </w:p>
              </w:tc>
              <w:tc>
                <w:tcPr>
                  <w:tcW w:w="725" w:type="pct"/>
                  <w:tcBorders>
                    <w:tl2br w:val="nil"/>
                    <w:tr2bl w:val="nil"/>
                  </w:tcBorders>
                  <w:vAlign w:val="center"/>
                </w:tcPr>
                <w:p w14:paraId="014A00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进水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7EAAB3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 w:val="21"/>
                      <w:szCs w:val="21"/>
                      <w:lang w:bidi="ar"/>
                    </w:rPr>
                  </w:pPr>
                  <w:r>
                    <w:rPr>
                      <w:color w:val="auto"/>
                      <w:kern w:val="0"/>
                      <w:sz w:val="21"/>
                      <w:szCs w:val="21"/>
                      <w:lang w:bidi="ar"/>
                    </w:rPr>
                    <w:t>7~8</w:t>
                  </w:r>
                </w:p>
                <w:p w14:paraId="530AA2F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51EA46DE">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64</w:t>
                  </w:r>
                </w:p>
              </w:tc>
              <w:tc>
                <w:tcPr>
                  <w:tcW w:w="471" w:type="pct"/>
                  <w:tcBorders>
                    <w:tl2br w:val="nil"/>
                    <w:tr2bl w:val="nil"/>
                  </w:tcBorders>
                  <w:shd w:val="clear" w:color="auto" w:fill="auto"/>
                  <w:vAlign w:val="center"/>
                </w:tcPr>
                <w:p w14:paraId="3F3EA529">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14.4</w:t>
                  </w:r>
                </w:p>
              </w:tc>
              <w:tc>
                <w:tcPr>
                  <w:tcW w:w="358" w:type="pct"/>
                  <w:tcBorders>
                    <w:tl2br w:val="nil"/>
                    <w:tr2bl w:val="nil"/>
                  </w:tcBorders>
                  <w:shd w:val="clear" w:color="auto" w:fill="auto"/>
                  <w:vAlign w:val="center"/>
                </w:tcPr>
                <w:p w14:paraId="678A057D">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76</w:t>
                  </w:r>
                </w:p>
              </w:tc>
              <w:tc>
                <w:tcPr>
                  <w:tcW w:w="370" w:type="pct"/>
                  <w:tcBorders>
                    <w:tl2br w:val="nil"/>
                    <w:tr2bl w:val="nil"/>
                  </w:tcBorders>
                  <w:shd w:val="clear" w:color="auto" w:fill="auto"/>
                  <w:vAlign w:val="center"/>
                </w:tcPr>
                <w:p w14:paraId="0B8038FB">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w:t>
                  </w:r>
                </w:p>
              </w:tc>
              <w:tc>
                <w:tcPr>
                  <w:tcW w:w="403" w:type="pct"/>
                  <w:tcBorders>
                    <w:tl2br w:val="nil"/>
                    <w:tr2bl w:val="nil"/>
                  </w:tcBorders>
                  <w:shd w:val="clear" w:color="auto" w:fill="auto"/>
                  <w:vAlign w:val="center"/>
                </w:tcPr>
                <w:p w14:paraId="0EE5F899">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14.7</w:t>
                  </w:r>
                </w:p>
              </w:tc>
              <w:tc>
                <w:tcPr>
                  <w:tcW w:w="374" w:type="pct"/>
                  <w:tcBorders>
                    <w:tl2br w:val="nil"/>
                    <w:tr2bl w:val="nil"/>
                  </w:tcBorders>
                  <w:shd w:val="clear" w:color="auto" w:fill="auto"/>
                  <w:vAlign w:val="center"/>
                </w:tcPr>
                <w:p w14:paraId="7AD57AA8">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0.48</w:t>
                  </w:r>
                </w:p>
              </w:tc>
              <w:tc>
                <w:tcPr>
                  <w:tcW w:w="424" w:type="pct"/>
                  <w:tcBorders>
                    <w:tl2br w:val="nil"/>
                    <w:tr2bl w:val="nil"/>
                  </w:tcBorders>
                  <w:shd w:val="clear" w:color="auto" w:fill="auto"/>
                  <w:vAlign w:val="center"/>
                </w:tcPr>
                <w:p w14:paraId="4711511F">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0.9</w:t>
                  </w:r>
                </w:p>
              </w:tc>
              <w:tc>
                <w:tcPr>
                  <w:tcW w:w="379" w:type="pct"/>
                  <w:tcBorders>
                    <w:tl2br w:val="nil"/>
                    <w:tr2bl w:val="nil"/>
                  </w:tcBorders>
                  <w:shd w:val="clear" w:color="auto" w:fill="auto"/>
                  <w:vAlign w:val="center"/>
                </w:tcPr>
                <w:p w14:paraId="2BC6E340">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0.02</w:t>
                  </w:r>
                </w:p>
              </w:tc>
            </w:tr>
            <w:tr w14:paraId="591BBBA4">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6CCB67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p>
              </w:tc>
              <w:tc>
                <w:tcPr>
                  <w:tcW w:w="725" w:type="pct"/>
                  <w:tcBorders>
                    <w:tl2br w:val="nil"/>
                    <w:tr2bl w:val="nil"/>
                  </w:tcBorders>
                  <w:shd w:val="clear" w:color="auto" w:fill="auto"/>
                  <w:vAlign w:val="center"/>
                </w:tcPr>
                <w:p w14:paraId="7A2A3B6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出水</w:t>
                  </w:r>
                  <w:r>
                    <w:rPr>
                      <w:bCs/>
                      <w:color w:val="auto"/>
                      <w:sz w:val="21"/>
                      <w:szCs w:val="21"/>
                    </w:rPr>
                    <w:t>浓度</w:t>
                  </w:r>
                  <w:r>
                    <w:rPr>
                      <w:rFonts w:hint="eastAsia"/>
                      <w:bCs/>
                      <w:color w:val="auto"/>
                      <w:sz w:val="21"/>
                      <w:szCs w:val="21"/>
                      <w:lang w:eastAsia="zh-CN"/>
                    </w:rPr>
                    <w:t>（</w:t>
                  </w:r>
                  <w:r>
                    <w:rPr>
                      <w:bCs/>
                      <w:color w:val="auto"/>
                      <w:sz w:val="21"/>
                      <w:szCs w:val="21"/>
                    </w:rPr>
                    <w:t>mg/L</w:t>
                  </w:r>
                  <w:r>
                    <w:rPr>
                      <w:rFonts w:hint="eastAsia"/>
                      <w:bCs/>
                      <w:color w:val="auto"/>
                      <w:sz w:val="21"/>
                      <w:szCs w:val="21"/>
                      <w:lang w:eastAsia="zh-CN"/>
                    </w:rPr>
                    <w:t>）</w:t>
                  </w:r>
                </w:p>
              </w:tc>
              <w:tc>
                <w:tcPr>
                  <w:tcW w:w="508" w:type="pct"/>
                  <w:tcBorders>
                    <w:tl2br w:val="nil"/>
                    <w:tr2bl w:val="nil"/>
                  </w:tcBorders>
                  <w:shd w:val="clear" w:color="auto" w:fill="auto"/>
                  <w:vAlign w:val="center"/>
                </w:tcPr>
                <w:p w14:paraId="583FED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kern w:val="0"/>
                      <w:sz w:val="21"/>
                      <w:szCs w:val="21"/>
                      <w:lang w:bidi="ar"/>
                    </w:rPr>
                  </w:pPr>
                  <w:r>
                    <w:rPr>
                      <w:color w:val="auto"/>
                      <w:kern w:val="0"/>
                      <w:sz w:val="21"/>
                      <w:szCs w:val="21"/>
                      <w:lang w:bidi="ar"/>
                    </w:rPr>
                    <w:t>7~8</w:t>
                  </w:r>
                </w:p>
                <w:p w14:paraId="77BEA7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rFonts w:hint="eastAsia"/>
                      <w:color w:val="auto"/>
                      <w:kern w:val="0"/>
                      <w:sz w:val="21"/>
                      <w:szCs w:val="21"/>
                      <w:lang w:eastAsia="zh-CN" w:bidi="ar"/>
                    </w:rPr>
                    <w:t>（</w:t>
                  </w:r>
                  <w:r>
                    <w:rPr>
                      <w:color w:val="auto"/>
                      <w:kern w:val="0"/>
                      <w:sz w:val="21"/>
                      <w:szCs w:val="21"/>
                      <w:lang w:bidi="ar"/>
                    </w:rPr>
                    <w:t>无量纲</w:t>
                  </w:r>
                  <w:r>
                    <w:rPr>
                      <w:rFonts w:hint="eastAsia"/>
                      <w:color w:val="auto"/>
                      <w:kern w:val="0"/>
                      <w:sz w:val="21"/>
                      <w:szCs w:val="21"/>
                      <w:lang w:eastAsia="zh-CN" w:bidi="ar"/>
                    </w:rPr>
                    <w:t>）</w:t>
                  </w:r>
                </w:p>
              </w:tc>
              <w:tc>
                <w:tcPr>
                  <w:tcW w:w="471" w:type="pct"/>
                  <w:tcBorders>
                    <w:tl2br w:val="nil"/>
                    <w:tr2bl w:val="nil"/>
                  </w:tcBorders>
                  <w:shd w:val="clear" w:color="auto" w:fill="auto"/>
                  <w:vAlign w:val="center"/>
                </w:tcPr>
                <w:p w14:paraId="197EE4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38.4</w:t>
                  </w:r>
                </w:p>
              </w:tc>
              <w:tc>
                <w:tcPr>
                  <w:tcW w:w="471" w:type="pct"/>
                  <w:tcBorders>
                    <w:tl2br w:val="nil"/>
                    <w:tr2bl w:val="nil"/>
                  </w:tcBorders>
                  <w:shd w:val="clear" w:color="auto" w:fill="auto"/>
                  <w:vAlign w:val="center"/>
                </w:tcPr>
                <w:p w14:paraId="1272B0C0">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8.64</w:t>
                  </w:r>
                </w:p>
              </w:tc>
              <w:tc>
                <w:tcPr>
                  <w:tcW w:w="358" w:type="pct"/>
                  <w:tcBorders>
                    <w:tl2br w:val="nil"/>
                    <w:tr2bl w:val="nil"/>
                  </w:tcBorders>
                  <w:shd w:val="clear" w:color="auto" w:fill="auto"/>
                  <w:vAlign w:val="center"/>
                </w:tcPr>
                <w:p w14:paraId="34A8593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45.6</w:t>
                  </w:r>
                </w:p>
              </w:tc>
              <w:tc>
                <w:tcPr>
                  <w:tcW w:w="370" w:type="pct"/>
                  <w:tcBorders>
                    <w:tl2br w:val="nil"/>
                    <w:tr2bl w:val="nil"/>
                  </w:tcBorders>
                  <w:shd w:val="clear" w:color="auto" w:fill="auto"/>
                  <w:vAlign w:val="center"/>
                </w:tcPr>
                <w:p w14:paraId="2791AC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w:t>
                  </w:r>
                </w:p>
              </w:tc>
              <w:tc>
                <w:tcPr>
                  <w:tcW w:w="403" w:type="pct"/>
                  <w:tcBorders>
                    <w:tl2br w:val="nil"/>
                    <w:tr2bl w:val="nil"/>
                  </w:tcBorders>
                  <w:shd w:val="clear" w:color="auto" w:fill="auto"/>
                  <w:vAlign w:val="center"/>
                </w:tcPr>
                <w:p w14:paraId="0863F79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14.7</w:t>
                  </w:r>
                </w:p>
              </w:tc>
              <w:tc>
                <w:tcPr>
                  <w:tcW w:w="374" w:type="pct"/>
                  <w:tcBorders>
                    <w:tl2br w:val="nil"/>
                    <w:tr2bl w:val="nil"/>
                  </w:tcBorders>
                  <w:shd w:val="clear" w:color="auto" w:fill="auto"/>
                  <w:vAlign w:val="center"/>
                </w:tcPr>
                <w:p w14:paraId="1BE1F27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0.48</w:t>
                  </w:r>
                </w:p>
              </w:tc>
              <w:tc>
                <w:tcPr>
                  <w:tcW w:w="424" w:type="pct"/>
                  <w:tcBorders>
                    <w:tl2br w:val="nil"/>
                    <w:tr2bl w:val="nil"/>
                  </w:tcBorders>
                  <w:shd w:val="clear" w:color="auto" w:fill="auto"/>
                  <w:vAlign w:val="center"/>
                </w:tcPr>
                <w:p w14:paraId="26A8C24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0.9</w:t>
                  </w:r>
                </w:p>
              </w:tc>
              <w:tc>
                <w:tcPr>
                  <w:tcW w:w="379" w:type="pct"/>
                  <w:tcBorders>
                    <w:tl2br w:val="nil"/>
                    <w:tr2bl w:val="nil"/>
                  </w:tcBorders>
                  <w:shd w:val="clear" w:color="auto" w:fill="auto"/>
                  <w:vAlign w:val="center"/>
                </w:tcPr>
                <w:p w14:paraId="1BCC8D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0.02</w:t>
                  </w:r>
                </w:p>
              </w:tc>
            </w:tr>
            <w:tr w14:paraId="591E71EC">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512" w:type="pct"/>
                  <w:vMerge w:val="continue"/>
                  <w:tcBorders>
                    <w:tl2br w:val="nil"/>
                    <w:tr2bl w:val="nil"/>
                  </w:tcBorders>
                  <w:vAlign w:val="center"/>
                </w:tcPr>
                <w:p w14:paraId="6D5BC7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p>
              </w:tc>
              <w:tc>
                <w:tcPr>
                  <w:tcW w:w="725" w:type="pct"/>
                  <w:tcBorders>
                    <w:tl2br w:val="nil"/>
                    <w:tr2bl w:val="nil"/>
                  </w:tcBorders>
                  <w:shd w:val="clear" w:color="auto" w:fill="auto"/>
                  <w:vAlign w:val="center"/>
                </w:tcPr>
                <w:p w14:paraId="1C5E0B5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sz w:val="21"/>
                      <w:szCs w:val="21"/>
                    </w:rPr>
                    <w:t>去除率</w:t>
                  </w:r>
                  <w:r>
                    <w:rPr>
                      <w:rFonts w:hint="eastAsia"/>
                      <w:color w:val="auto"/>
                      <w:sz w:val="21"/>
                      <w:szCs w:val="21"/>
                      <w:lang w:val="en-US" w:eastAsia="zh-CN"/>
                    </w:rPr>
                    <w:t>%</w:t>
                  </w:r>
                </w:p>
              </w:tc>
              <w:tc>
                <w:tcPr>
                  <w:tcW w:w="508" w:type="pct"/>
                  <w:tcBorders>
                    <w:tl2br w:val="nil"/>
                    <w:tr2bl w:val="nil"/>
                  </w:tcBorders>
                  <w:shd w:val="clear" w:color="auto" w:fill="auto"/>
                  <w:vAlign w:val="center"/>
                </w:tcPr>
                <w:p w14:paraId="78B22C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rPr>
                  </w:pPr>
                  <w:r>
                    <w:rPr>
                      <w:color w:val="auto"/>
                      <w:kern w:val="0"/>
                      <w:sz w:val="21"/>
                      <w:szCs w:val="21"/>
                      <w:lang w:bidi="ar"/>
                    </w:rPr>
                    <w:t>/</w:t>
                  </w:r>
                </w:p>
              </w:tc>
              <w:tc>
                <w:tcPr>
                  <w:tcW w:w="471" w:type="pct"/>
                  <w:tcBorders>
                    <w:tl2br w:val="nil"/>
                    <w:tr2bl w:val="nil"/>
                  </w:tcBorders>
                  <w:shd w:val="clear" w:color="auto" w:fill="auto"/>
                  <w:vAlign w:val="center"/>
                </w:tcPr>
                <w:p w14:paraId="517FFE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40</w:t>
                  </w:r>
                </w:p>
              </w:tc>
              <w:tc>
                <w:tcPr>
                  <w:tcW w:w="471" w:type="pct"/>
                  <w:tcBorders>
                    <w:tl2br w:val="nil"/>
                    <w:tr2bl w:val="nil"/>
                  </w:tcBorders>
                  <w:shd w:val="clear" w:color="auto" w:fill="auto"/>
                  <w:vAlign w:val="center"/>
                </w:tcPr>
                <w:p w14:paraId="05AEC2D8">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40</w:t>
                  </w:r>
                </w:p>
              </w:tc>
              <w:tc>
                <w:tcPr>
                  <w:tcW w:w="358" w:type="pct"/>
                  <w:tcBorders>
                    <w:tl2br w:val="nil"/>
                    <w:tr2bl w:val="nil"/>
                  </w:tcBorders>
                  <w:shd w:val="clear" w:color="auto" w:fill="auto"/>
                  <w:vAlign w:val="center"/>
                </w:tcPr>
                <w:p w14:paraId="7F581D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40</w:t>
                  </w:r>
                </w:p>
              </w:tc>
              <w:tc>
                <w:tcPr>
                  <w:tcW w:w="370" w:type="pct"/>
                  <w:tcBorders>
                    <w:tl2br w:val="nil"/>
                    <w:tr2bl w:val="nil"/>
                  </w:tcBorders>
                  <w:shd w:val="clear" w:color="auto" w:fill="auto"/>
                  <w:vAlign w:val="center"/>
                </w:tcPr>
                <w:p w14:paraId="01C9F5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c>
                <w:tcPr>
                  <w:tcW w:w="403" w:type="pct"/>
                  <w:tcBorders>
                    <w:tl2br w:val="nil"/>
                    <w:tr2bl w:val="nil"/>
                  </w:tcBorders>
                  <w:shd w:val="clear" w:color="auto" w:fill="auto"/>
                  <w:vAlign w:val="center"/>
                </w:tcPr>
                <w:p w14:paraId="660AE8C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c>
                <w:tcPr>
                  <w:tcW w:w="374" w:type="pct"/>
                  <w:tcBorders>
                    <w:tl2br w:val="nil"/>
                    <w:tr2bl w:val="nil"/>
                  </w:tcBorders>
                  <w:shd w:val="clear" w:color="auto" w:fill="auto"/>
                  <w:vAlign w:val="center"/>
                </w:tcPr>
                <w:p w14:paraId="7ACABF6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c>
                <w:tcPr>
                  <w:tcW w:w="424" w:type="pct"/>
                  <w:tcBorders>
                    <w:tl2br w:val="nil"/>
                    <w:tr2bl w:val="nil"/>
                  </w:tcBorders>
                  <w:shd w:val="clear" w:color="auto" w:fill="auto"/>
                  <w:vAlign w:val="center"/>
                </w:tcPr>
                <w:p w14:paraId="5ECEB6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c>
                <w:tcPr>
                  <w:tcW w:w="379" w:type="pct"/>
                  <w:tcBorders>
                    <w:tl2br w:val="nil"/>
                    <w:tr2bl w:val="nil"/>
                  </w:tcBorders>
                  <w:shd w:val="clear" w:color="auto" w:fill="auto"/>
                  <w:vAlign w:val="center"/>
                </w:tcPr>
                <w:p w14:paraId="204449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lang w:val="en-US" w:eastAsia="zh-CN"/>
                    </w:rPr>
                  </w:pPr>
                  <w:r>
                    <w:rPr>
                      <w:rFonts w:hint="eastAsia"/>
                      <w:color w:val="auto"/>
                      <w:sz w:val="21"/>
                      <w:szCs w:val="21"/>
                      <w:lang w:val="en-US" w:eastAsia="zh-CN"/>
                    </w:rPr>
                    <w:t>0</w:t>
                  </w:r>
                </w:p>
              </w:tc>
            </w:tr>
            <w:tr w14:paraId="678E3A09">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1237" w:type="pct"/>
                  <w:gridSpan w:val="2"/>
                  <w:tcBorders>
                    <w:tl2br w:val="nil"/>
                    <w:tr2bl w:val="nil"/>
                  </w:tcBorders>
                  <w:vAlign w:val="center"/>
                </w:tcPr>
                <w:p w14:paraId="7252B25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总体去除效率%</w:t>
                  </w:r>
                </w:p>
              </w:tc>
              <w:tc>
                <w:tcPr>
                  <w:tcW w:w="508" w:type="pct"/>
                  <w:tcBorders>
                    <w:tl2br w:val="nil"/>
                    <w:tr2bl w:val="nil"/>
                  </w:tcBorders>
                  <w:vAlign w:val="center"/>
                </w:tcPr>
                <w:p w14:paraId="573F15F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w:t>
                  </w:r>
                </w:p>
              </w:tc>
              <w:tc>
                <w:tcPr>
                  <w:tcW w:w="471" w:type="pct"/>
                  <w:tcBorders>
                    <w:tl2br w:val="nil"/>
                    <w:tr2bl w:val="nil"/>
                  </w:tcBorders>
                  <w:shd w:val="clear" w:color="auto" w:fill="auto"/>
                  <w:vAlign w:val="center"/>
                </w:tcPr>
                <w:p w14:paraId="0827AF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90.4</w:t>
                  </w:r>
                </w:p>
              </w:tc>
              <w:tc>
                <w:tcPr>
                  <w:tcW w:w="471" w:type="pct"/>
                  <w:tcBorders>
                    <w:tl2br w:val="nil"/>
                    <w:tr2bl w:val="nil"/>
                  </w:tcBorders>
                  <w:shd w:val="clear" w:color="auto" w:fill="auto"/>
                  <w:vAlign w:val="center"/>
                </w:tcPr>
                <w:p w14:paraId="220C9050">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97.1</w:t>
                  </w:r>
                </w:p>
              </w:tc>
              <w:tc>
                <w:tcPr>
                  <w:tcW w:w="358" w:type="pct"/>
                  <w:tcBorders>
                    <w:tl2br w:val="nil"/>
                    <w:tr2bl w:val="nil"/>
                  </w:tcBorders>
                  <w:shd w:val="clear" w:color="auto" w:fill="auto"/>
                  <w:vAlign w:val="center"/>
                </w:tcPr>
                <w:p w14:paraId="24C501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60</w:t>
                  </w:r>
                </w:p>
              </w:tc>
              <w:tc>
                <w:tcPr>
                  <w:tcW w:w="370" w:type="pct"/>
                  <w:tcBorders>
                    <w:tl2br w:val="nil"/>
                    <w:tr2bl w:val="nil"/>
                  </w:tcBorders>
                  <w:shd w:val="clear" w:color="auto" w:fill="auto"/>
                  <w:vAlign w:val="center"/>
                </w:tcPr>
                <w:p w14:paraId="7164EF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92</w:t>
                  </w:r>
                </w:p>
              </w:tc>
              <w:tc>
                <w:tcPr>
                  <w:tcW w:w="403" w:type="pct"/>
                  <w:tcBorders>
                    <w:tl2br w:val="nil"/>
                    <w:tr2bl w:val="nil"/>
                  </w:tcBorders>
                  <w:shd w:val="clear" w:color="auto" w:fill="auto"/>
                  <w:vAlign w:val="center"/>
                </w:tcPr>
                <w:p w14:paraId="6F7136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51</w:t>
                  </w:r>
                </w:p>
              </w:tc>
              <w:tc>
                <w:tcPr>
                  <w:tcW w:w="374" w:type="pct"/>
                  <w:tcBorders>
                    <w:tl2br w:val="nil"/>
                    <w:tr2bl w:val="nil"/>
                  </w:tcBorders>
                  <w:shd w:val="clear" w:color="auto" w:fill="auto"/>
                  <w:vAlign w:val="center"/>
                </w:tcPr>
                <w:p w14:paraId="7A0AC8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76</w:t>
                  </w:r>
                </w:p>
              </w:tc>
              <w:tc>
                <w:tcPr>
                  <w:tcW w:w="424" w:type="pct"/>
                  <w:tcBorders>
                    <w:tl2br w:val="nil"/>
                    <w:tr2bl w:val="nil"/>
                  </w:tcBorders>
                  <w:shd w:val="clear" w:color="auto" w:fill="auto"/>
                  <w:vAlign w:val="center"/>
                </w:tcPr>
                <w:p w14:paraId="2F77281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97</w:t>
                  </w:r>
                </w:p>
              </w:tc>
              <w:tc>
                <w:tcPr>
                  <w:tcW w:w="379" w:type="pct"/>
                  <w:tcBorders>
                    <w:tl2br w:val="nil"/>
                    <w:tr2bl w:val="nil"/>
                  </w:tcBorders>
                  <w:shd w:val="clear" w:color="auto" w:fill="auto"/>
                  <w:vAlign w:val="center"/>
                </w:tcPr>
                <w:p w14:paraId="7733D7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60</w:t>
                  </w:r>
                </w:p>
              </w:tc>
            </w:tr>
            <w:tr w14:paraId="4B11EFDD">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1237" w:type="pct"/>
                  <w:gridSpan w:val="2"/>
                  <w:tcBorders>
                    <w:tl2br w:val="nil"/>
                    <w:tr2bl w:val="nil"/>
                  </w:tcBorders>
                  <w:vAlign w:val="center"/>
                </w:tcPr>
                <w:p w14:paraId="6A40A1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回用水质（</w:t>
                  </w:r>
                  <w:r>
                    <w:rPr>
                      <w:b/>
                      <w:bCs/>
                      <w:color w:val="auto"/>
                      <w:sz w:val="21"/>
                      <w:szCs w:val="21"/>
                    </w:rPr>
                    <w:t>mg/L</w:t>
                  </w:r>
                  <w:r>
                    <w:rPr>
                      <w:rFonts w:hint="eastAsia"/>
                      <w:b/>
                      <w:bCs/>
                      <w:color w:val="auto"/>
                      <w:sz w:val="21"/>
                      <w:szCs w:val="21"/>
                      <w:lang w:eastAsia="zh-CN"/>
                    </w:rPr>
                    <w:t>）</w:t>
                  </w:r>
                </w:p>
              </w:tc>
              <w:tc>
                <w:tcPr>
                  <w:tcW w:w="508" w:type="pct"/>
                  <w:tcBorders>
                    <w:tl2br w:val="nil"/>
                    <w:tr2bl w:val="nil"/>
                  </w:tcBorders>
                  <w:vAlign w:val="center"/>
                </w:tcPr>
                <w:p w14:paraId="7273F17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lang w:val="en-US" w:eastAsia="zh-CN"/>
                    </w:rPr>
                  </w:pPr>
                  <w:r>
                    <w:rPr>
                      <w:rFonts w:hint="eastAsia"/>
                      <w:b/>
                      <w:bCs/>
                      <w:color w:val="auto"/>
                      <w:sz w:val="21"/>
                      <w:szCs w:val="21"/>
                      <w:lang w:val="en-US" w:eastAsia="zh-CN"/>
                    </w:rPr>
                    <w:t>6~9（无量纲）</w:t>
                  </w:r>
                </w:p>
              </w:tc>
              <w:tc>
                <w:tcPr>
                  <w:tcW w:w="471" w:type="pct"/>
                  <w:tcBorders>
                    <w:tl2br w:val="nil"/>
                    <w:tr2bl w:val="nil"/>
                  </w:tcBorders>
                  <w:shd w:val="clear" w:color="auto" w:fill="auto"/>
                  <w:vAlign w:val="center"/>
                </w:tcPr>
                <w:p w14:paraId="3015BC2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38.4</w:t>
                  </w:r>
                </w:p>
              </w:tc>
              <w:tc>
                <w:tcPr>
                  <w:tcW w:w="471" w:type="pct"/>
                  <w:tcBorders>
                    <w:tl2br w:val="nil"/>
                    <w:tr2bl w:val="nil"/>
                  </w:tcBorders>
                  <w:shd w:val="clear" w:color="auto" w:fill="auto"/>
                  <w:vAlign w:val="center"/>
                </w:tcPr>
                <w:p w14:paraId="3A39C1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lang w:val="en-US" w:eastAsia="zh-CN"/>
                    </w:rPr>
                  </w:pPr>
                  <w:r>
                    <w:rPr>
                      <w:rFonts w:hint="eastAsia"/>
                      <w:b/>
                      <w:bCs/>
                      <w:color w:val="auto"/>
                      <w:sz w:val="21"/>
                      <w:szCs w:val="21"/>
                      <w:lang w:val="en-US" w:eastAsia="zh-CN"/>
                    </w:rPr>
                    <w:t>10</w:t>
                  </w:r>
                </w:p>
              </w:tc>
              <w:tc>
                <w:tcPr>
                  <w:tcW w:w="358" w:type="pct"/>
                  <w:tcBorders>
                    <w:tl2br w:val="nil"/>
                    <w:tr2bl w:val="nil"/>
                  </w:tcBorders>
                  <w:shd w:val="clear" w:color="auto" w:fill="auto"/>
                  <w:vAlign w:val="center"/>
                </w:tcPr>
                <w:p w14:paraId="65073E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52</w:t>
                  </w:r>
                </w:p>
              </w:tc>
              <w:tc>
                <w:tcPr>
                  <w:tcW w:w="370" w:type="pct"/>
                  <w:tcBorders>
                    <w:tl2br w:val="nil"/>
                    <w:tr2bl w:val="nil"/>
                  </w:tcBorders>
                  <w:shd w:val="clear" w:color="auto" w:fill="auto"/>
                  <w:vAlign w:val="center"/>
                </w:tcPr>
                <w:p w14:paraId="5C4C6F9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2</w:t>
                  </w:r>
                </w:p>
              </w:tc>
              <w:tc>
                <w:tcPr>
                  <w:tcW w:w="403" w:type="pct"/>
                  <w:tcBorders>
                    <w:tl2br w:val="nil"/>
                    <w:tr2bl w:val="nil"/>
                  </w:tcBorders>
                  <w:shd w:val="clear" w:color="auto" w:fill="auto"/>
                  <w:vAlign w:val="center"/>
                </w:tcPr>
                <w:p w14:paraId="283C32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14.7</w:t>
                  </w:r>
                </w:p>
              </w:tc>
              <w:tc>
                <w:tcPr>
                  <w:tcW w:w="374" w:type="pct"/>
                  <w:tcBorders>
                    <w:tl2br w:val="nil"/>
                    <w:tr2bl w:val="nil"/>
                  </w:tcBorders>
                  <w:shd w:val="clear" w:color="auto" w:fill="auto"/>
                  <w:vAlign w:val="center"/>
                </w:tcPr>
                <w:p w14:paraId="076586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0.48</w:t>
                  </w:r>
                </w:p>
              </w:tc>
              <w:tc>
                <w:tcPr>
                  <w:tcW w:w="424" w:type="pct"/>
                  <w:tcBorders>
                    <w:tl2br w:val="nil"/>
                    <w:tr2bl w:val="nil"/>
                  </w:tcBorders>
                  <w:shd w:val="clear" w:color="auto" w:fill="auto"/>
                  <w:vAlign w:val="center"/>
                </w:tcPr>
                <w:p w14:paraId="21E5C56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0.9</w:t>
                  </w:r>
                </w:p>
              </w:tc>
              <w:tc>
                <w:tcPr>
                  <w:tcW w:w="379" w:type="pct"/>
                  <w:tcBorders>
                    <w:tl2br w:val="nil"/>
                    <w:tr2bl w:val="nil"/>
                  </w:tcBorders>
                  <w:shd w:val="clear" w:color="auto" w:fill="auto"/>
                  <w:vAlign w:val="center"/>
                </w:tcPr>
                <w:p w14:paraId="52057F9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0.02</w:t>
                  </w:r>
                </w:p>
              </w:tc>
            </w:tr>
            <w:tr w14:paraId="1ECFC3F4">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cantSplit/>
                <w:trHeight w:val="340" w:hRule="atLeast"/>
                <w:jc w:val="center"/>
              </w:trPr>
              <w:tc>
                <w:tcPr>
                  <w:tcW w:w="1237" w:type="pct"/>
                  <w:gridSpan w:val="2"/>
                  <w:tcBorders>
                    <w:tl2br w:val="nil"/>
                    <w:tr2bl w:val="nil"/>
                  </w:tcBorders>
                  <w:vAlign w:val="center"/>
                </w:tcPr>
                <w:p w14:paraId="30392B0D">
                  <w:pPr>
                    <w:adjustRightInd w:val="0"/>
                    <w:snapToGrid w:val="0"/>
                    <w:spacing w:line="240" w:lineRule="auto"/>
                    <w:ind w:firstLine="0" w:firstLineChars="0"/>
                    <w:jc w:val="center"/>
                    <w:rPr>
                      <w:b/>
                      <w:bCs/>
                      <w:color w:val="auto"/>
                      <w:sz w:val="21"/>
                      <w:szCs w:val="21"/>
                    </w:rPr>
                  </w:pPr>
                  <w:r>
                    <w:rPr>
                      <w:b/>
                      <w:bCs/>
                      <w:color w:val="auto"/>
                      <w:sz w:val="21"/>
                      <w:szCs w:val="21"/>
                    </w:rPr>
                    <w:t>回用标准</w:t>
                  </w:r>
                  <w:r>
                    <w:rPr>
                      <w:rFonts w:hint="eastAsia"/>
                      <w:b/>
                      <w:bCs/>
                      <w:color w:val="auto"/>
                      <w:sz w:val="21"/>
                      <w:szCs w:val="21"/>
                      <w:lang w:eastAsia="zh-CN"/>
                    </w:rPr>
                    <w:t>（</w:t>
                  </w:r>
                  <w:r>
                    <w:rPr>
                      <w:b/>
                      <w:color w:val="auto"/>
                      <w:sz w:val="21"/>
                      <w:szCs w:val="21"/>
                    </w:rPr>
                    <w:t>mg/L</w:t>
                  </w:r>
                  <w:r>
                    <w:rPr>
                      <w:rFonts w:hint="eastAsia"/>
                      <w:b/>
                      <w:color w:val="auto"/>
                      <w:sz w:val="21"/>
                      <w:szCs w:val="21"/>
                      <w:lang w:eastAsia="zh-CN"/>
                    </w:rPr>
                    <w:t>）</w:t>
                  </w:r>
                </w:p>
              </w:tc>
              <w:tc>
                <w:tcPr>
                  <w:tcW w:w="508" w:type="pct"/>
                  <w:tcBorders>
                    <w:tl2br w:val="nil"/>
                    <w:tr2bl w:val="nil"/>
                  </w:tcBorders>
                  <w:vAlign w:val="center"/>
                </w:tcPr>
                <w:p w14:paraId="03940CC7">
                  <w:pPr>
                    <w:adjustRightInd w:val="0"/>
                    <w:snapToGrid w:val="0"/>
                    <w:spacing w:line="240" w:lineRule="auto"/>
                    <w:ind w:firstLine="0" w:firstLineChars="0"/>
                    <w:jc w:val="center"/>
                    <w:rPr>
                      <w:rFonts w:hint="default"/>
                      <w:b/>
                      <w:bCs/>
                      <w:color w:val="auto"/>
                      <w:sz w:val="21"/>
                      <w:szCs w:val="21"/>
                      <w:lang w:val="en-US"/>
                    </w:rPr>
                  </w:pPr>
                  <w:r>
                    <w:rPr>
                      <w:rFonts w:hint="eastAsia"/>
                      <w:b/>
                      <w:bCs/>
                      <w:color w:val="auto"/>
                      <w:sz w:val="21"/>
                      <w:szCs w:val="21"/>
                      <w:lang w:val="en-US" w:eastAsia="zh-CN"/>
                    </w:rPr>
                    <w:t>6~9（无量纲）</w:t>
                  </w:r>
                </w:p>
              </w:tc>
              <w:tc>
                <w:tcPr>
                  <w:tcW w:w="471" w:type="pct"/>
                  <w:tcBorders>
                    <w:tl2br w:val="nil"/>
                    <w:tr2bl w:val="nil"/>
                  </w:tcBorders>
                  <w:vAlign w:val="center"/>
                </w:tcPr>
                <w:p w14:paraId="2FB71FA5">
                  <w:pPr>
                    <w:adjustRightInd w:val="0"/>
                    <w:snapToGrid w:val="0"/>
                    <w:spacing w:line="240" w:lineRule="auto"/>
                    <w:ind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50</w:t>
                  </w:r>
                </w:p>
              </w:tc>
              <w:tc>
                <w:tcPr>
                  <w:tcW w:w="471" w:type="pct"/>
                  <w:tcBorders>
                    <w:tl2br w:val="nil"/>
                    <w:tr2bl w:val="nil"/>
                  </w:tcBorders>
                  <w:vAlign w:val="center"/>
                </w:tcPr>
                <w:p w14:paraId="5D872798">
                  <w:pPr>
                    <w:adjustRightInd w:val="0"/>
                    <w:snapToGrid w:val="0"/>
                    <w:spacing w:line="240" w:lineRule="auto"/>
                    <w:ind w:firstLine="0" w:firstLineChars="0"/>
                    <w:jc w:val="center"/>
                    <w:rPr>
                      <w:rFonts w:hint="default"/>
                      <w:b/>
                      <w:bCs/>
                      <w:color w:val="auto"/>
                      <w:sz w:val="21"/>
                      <w:szCs w:val="21"/>
                      <w:lang w:val="en-US" w:eastAsia="zh-CN"/>
                    </w:rPr>
                  </w:pPr>
                  <w:r>
                    <w:rPr>
                      <w:rFonts w:hint="eastAsia"/>
                      <w:b/>
                      <w:bCs/>
                      <w:color w:val="auto"/>
                      <w:sz w:val="21"/>
                      <w:szCs w:val="21"/>
                      <w:lang w:val="en-US" w:eastAsia="zh-CN"/>
                    </w:rPr>
                    <w:t>/</w:t>
                  </w:r>
                </w:p>
              </w:tc>
              <w:tc>
                <w:tcPr>
                  <w:tcW w:w="358" w:type="pct"/>
                  <w:tcBorders>
                    <w:tl2br w:val="nil"/>
                    <w:tr2bl w:val="nil"/>
                  </w:tcBorders>
                  <w:vAlign w:val="center"/>
                </w:tcPr>
                <w:p w14:paraId="28B578C3">
                  <w:pPr>
                    <w:adjustRightInd w:val="0"/>
                    <w:snapToGrid w:val="0"/>
                    <w:spacing w:line="240" w:lineRule="auto"/>
                    <w:ind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w:t>
                  </w:r>
                </w:p>
              </w:tc>
              <w:tc>
                <w:tcPr>
                  <w:tcW w:w="370" w:type="pct"/>
                  <w:tcBorders>
                    <w:tl2br w:val="nil"/>
                    <w:tr2bl w:val="nil"/>
                  </w:tcBorders>
                  <w:shd w:val="clear" w:color="auto" w:fill="auto"/>
                  <w:vAlign w:val="center"/>
                </w:tcPr>
                <w:p w14:paraId="211A3F0A">
                  <w:pPr>
                    <w:adjustRightInd w:val="0"/>
                    <w:snapToGrid w:val="0"/>
                    <w:spacing w:line="240" w:lineRule="auto"/>
                    <w:ind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eastAsia"/>
                      <w:b/>
                      <w:bCs/>
                      <w:color w:val="auto"/>
                      <w:sz w:val="21"/>
                      <w:szCs w:val="21"/>
                      <w:lang w:val="en-US" w:eastAsia="zh-CN"/>
                    </w:rPr>
                    <w:t>5</w:t>
                  </w:r>
                </w:p>
              </w:tc>
              <w:tc>
                <w:tcPr>
                  <w:tcW w:w="403" w:type="pct"/>
                  <w:tcBorders>
                    <w:tl2br w:val="nil"/>
                    <w:tr2bl w:val="nil"/>
                  </w:tcBorders>
                  <w:vAlign w:val="center"/>
                </w:tcPr>
                <w:p w14:paraId="548A3514">
                  <w:pPr>
                    <w:adjustRightInd w:val="0"/>
                    <w:snapToGrid w:val="0"/>
                    <w:spacing w:line="240" w:lineRule="auto"/>
                    <w:ind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15</w:t>
                  </w:r>
                </w:p>
              </w:tc>
              <w:tc>
                <w:tcPr>
                  <w:tcW w:w="374" w:type="pct"/>
                  <w:tcBorders>
                    <w:tl2br w:val="nil"/>
                    <w:tr2bl w:val="nil"/>
                  </w:tcBorders>
                  <w:vAlign w:val="center"/>
                </w:tcPr>
                <w:p w14:paraId="51D9740A">
                  <w:pPr>
                    <w:adjustRightInd w:val="0"/>
                    <w:snapToGrid w:val="0"/>
                    <w:spacing w:line="240" w:lineRule="auto"/>
                    <w:ind w:firstLine="0" w:firstLineChars="0"/>
                    <w:jc w:val="center"/>
                    <w:rPr>
                      <w:rFonts w:hint="default" w:eastAsia="宋体"/>
                      <w:b/>
                      <w:bCs/>
                      <w:color w:val="auto"/>
                      <w:sz w:val="21"/>
                      <w:szCs w:val="21"/>
                      <w:lang w:val="en-US" w:eastAsia="zh-CN"/>
                    </w:rPr>
                  </w:pPr>
                  <w:r>
                    <w:rPr>
                      <w:rFonts w:hint="eastAsia"/>
                      <w:b/>
                      <w:bCs/>
                      <w:color w:val="auto"/>
                      <w:sz w:val="21"/>
                      <w:szCs w:val="21"/>
                      <w:lang w:val="en-US" w:eastAsia="zh-CN"/>
                    </w:rPr>
                    <w:t>0.5</w:t>
                  </w:r>
                </w:p>
              </w:tc>
              <w:tc>
                <w:tcPr>
                  <w:tcW w:w="424" w:type="pct"/>
                  <w:tcBorders>
                    <w:tl2br w:val="nil"/>
                    <w:tr2bl w:val="nil"/>
                  </w:tcBorders>
                  <w:vAlign w:val="center"/>
                </w:tcPr>
                <w:p w14:paraId="36C5513F">
                  <w:pPr>
                    <w:adjustRightInd w:val="0"/>
                    <w:snapToGrid w:val="0"/>
                    <w:spacing w:line="240" w:lineRule="auto"/>
                    <w:ind w:firstLine="0" w:firstLineChars="0"/>
                    <w:jc w:val="center"/>
                    <w:rPr>
                      <w:b/>
                      <w:bCs/>
                      <w:color w:val="auto"/>
                      <w:sz w:val="21"/>
                      <w:szCs w:val="21"/>
                    </w:rPr>
                  </w:pPr>
                  <w:r>
                    <w:rPr>
                      <w:rFonts w:hint="eastAsia"/>
                      <w:b/>
                      <w:bCs/>
                      <w:color w:val="auto"/>
                      <w:sz w:val="21"/>
                      <w:szCs w:val="21"/>
                      <w:lang w:val="en-US" w:eastAsia="zh-CN"/>
                    </w:rPr>
                    <w:t>1</w:t>
                  </w:r>
                </w:p>
              </w:tc>
              <w:tc>
                <w:tcPr>
                  <w:tcW w:w="379" w:type="pct"/>
                  <w:tcBorders>
                    <w:tl2br w:val="nil"/>
                    <w:tr2bl w:val="nil"/>
                  </w:tcBorders>
                  <w:vAlign w:val="center"/>
                </w:tcPr>
                <w:p w14:paraId="53179010">
                  <w:pPr>
                    <w:adjustRightInd w:val="0"/>
                    <w:snapToGrid w:val="0"/>
                    <w:spacing w:line="240" w:lineRule="auto"/>
                    <w:ind w:firstLine="0" w:firstLineChars="0"/>
                    <w:jc w:val="center"/>
                    <w:rPr>
                      <w:rFonts w:hint="eastAsia" w:eastAsia="宋体"/>
                      <w:b/>
                      <w:bCs/>
                      <w:color w:val="auto"/>
                      <w:sz w:val="21"/>
                      <w:szCs w:val="21"/>
                      <w:lang w:val="en-US" w:eastAsia="zh-CN"/>
                    </w:rPr>
                  </w:pPr>
                  <w:r>
                    <w:rPr>
                      <w:rFonts w:hint="eastAsia"/>
                      <w:b/>
                      <w:bCs/>
                      <w:color w:val="auto"/>
                      <w:sz w:val="21"/>
                      <w:szCs w:val="21"/>
                      <w:lang w:val="en-US" w:eastAsia="zh-CN"/>
                    </w:rPr>
                    <w:t>/</w:t>
                  </w:r>
                </w:p>
              </w:tc>
            </w:tr>
          </w:tbl>
          <w:p w14:paraId="515AF617">
            <w:pPr>
              <w:pStyle w:val="15"/>
              <w:numPr>
                <w:ilvl w:val="0"/>
                <w:numId w:val="0"/>
              </w:numPr>
              <w:adjustRightInd w:val="0"/>
              <w:snapToGrid w:val="0"/>
              <w:spacing w:line="360" w:lineRule="auto"/>
              <w:ind w:firstLine="480" w:firstLineChars="200"/>
              <w:rPr>
                <w:color w:val="auto"/>
              </w:rPr>
            </w:pPr>
            <w:r>
              <w:rPr>
                <w:color w:val="auto"/>
              </w:rPr>
              <w:t>由分级处理效果表可知，织造污水处理站经深度处理后，回用水质能够达到</w:t>
            </w:r>
            <w:r>
              <w:rPr>
                <w:rFonts w:ascii="宋体" w:hAnsi="宋体" w:eastAsia="宋体" w:cs="宋体"/>
                <w:color w:val="auto"/>
                <w:sz w:val="24"/>
                <w:szCs w:val="24"/>
              </w:rPr>
              <w:t>《城市污</w:t>
            </w:r>
            <w:r>
              <w:rPr>
                <w:rFonts w:hint="default" w:ascii="Times New Roman" w:hAnsi="Times New Roman" w:eastAsia="宋体" w:cs="Times New Roman"/>
                <w:color w:val="auto"/>
                <w:sz w:val="24"/>
                <w:szCs w:val="24"/>
              </w:rPr>
              <w:t>水再生利用工业用水水质》</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GB/T19923—2024</w:t>
            </w:r>
            <w:r>
              <w:rPr>
                <w:rFonts w:hint="eastAsia" w:ascii="Times New Roman" w:hAnsi="Times New Roman" w:eastAsia="宋体" w:cs="Times New Roman"/>
                <w:color w:val="auto"/>
                <w:sz w:val="24"/>
                <w:szCs w:val="24"/>
                <w:lang w:eastAsia="zh-CN"/>
              </w:rPr>
              <w:t>）</w:t>
            </w:r>
            <w:r>
              <w:rPr>
                <w:color w:val="auto"/>
              </w:rPr>
              <w:t>中</w:t>
            </w:r>
            <w:r>
              <w:rPr>
                <w:rFonts w:ascii="宋体" w:hAnsi="宋体" w:eastAsia="宋体" w:cs="宋体"/>
                <w:color w:val="auto"/>
                <w:sz w:val="24"/>
                <w:szCs w:val="24"/>
              </w:rPr>
              <w:t>表一再生水用作工业用水水质基本控制项目及限值</w:t>
            </w:r>
            <w:r>
              <w:rPr>
                <w:color w:val="auto"/>
              </w:rPr>
              <w:t>，故出水全部回用于喷水织机可行。</w:t>
            </w:r>
          </w:p>
          <w:p w14:paraId="099D4992">
            <w:pPr>
              <w:snapToGrid w:val="0"/>
              <w:spacing w:line="360" w:lineRule="auto"/>
              <w:ind w:firstLine="480"/>
              <w:rPr>
                <w:rFonts w:hint="default" w:eastAsia="宋体"/>
                <w:b/>
                <w:bCs/>
                <w:color w:val="auto"/>
                <w:lang w:val="en-US" w:eastAsia="zh-CN"/>
              </w:rPr>
            </w:pPr>
            <w:r>
              <w:rPr>
                <w:rFonts w:hint="eastAsia"/>
                <w:b/>
                <w:bCs/>
                <w:color w:val="auto"/>
                <w:lang w:val="en-US" w:eastAsia="zh-CN"/>
              </w:rPr>
              <w:t>3.接管可行性分析</w:t>
            </w:r>
          </w:p>
          <w:p w14:paraId="09524684">
            <w:pPr>
              <w:spacing w:line="360" w:lineRule="auto"/>
              <w:ind w:firstLine="480" w:firstLineChars="200"/>
              <w:rPr>
                <w:rFonts w:hint="eastAsia"/>
                <w:color w:val="auto"/>
                <w:sz w:val="24"/>
              </w:rPr>
            </w:pPr>
            <w:r>
              <w:rPr>
                <w:rFonts w:hint="eastAsia"/>
                <w:color w:val="auto"/>
                <w:sz w:val="24"/>
              </w:rPr>
              <w:t>新袁镇污水处理厂设计规模</w:t>
            </w:r>
            <w:r>
              <w:rPr>
                <w:color w:val="auto"/>
                <w:sz w:val="24"/>
              </w:rPr>
              <w:t>5000t/d</w:t>
            </w:r>
            <w:r>
              <w:rPr>
                <w:rFonts w:hint="eastAsia"/>
                <w:color w:val="auto"/>
                <w:sz w:val="24"/>
              </w:rPr>
              <w:t>，污水处理厂采用生物转盘工艺，尾水执行《城镇污水处理厂污染物排放标准》（</w:t>
            </w:r>
            <w:r>
              <w:rPr>
                <w:color w:val="auto"/>
                <w:sz w:val="24"/>
              </w:rPr>
              <w:t>GB18918-2002</w:t>
            </w:r>
            <w:r>
              <w:rPr>
                <w:rFonts w:hint="eastAsia"/>
                <w:color w:val="auto"/>
                <w:sz w:val="24"/>
              </w:rPr>
              <w:t>）中表</w:t>
            </w:r>
            <w:r>
              <w:rPr>
                <w:color w:val="auto"/>
                <w:sz w:val="24"/>
              </w:rPr>
              <w:t>1</w:t>
            </w:r>
            <w:r>
              <w:rPr>
                <w:rFonts w:hint="eastAsia"/>
                <w:color w:val="auto"/>
                <w:sz w:val="24"/>
              </w:rPr>
              <w:t>一级</w:t>
            </w:r>
            <w:r>
              <w:rPr>
                <w:color w:val="auto"/>
                <w:sz w:val="24"/>
              </w:rPr>
              <w:t>A</w:t>
            </w:r>
            <w:r>
              <w:rPr>
                <w:rFonts w:hint="eastAsia"/>
                <w:color w:val="auto"/>
                <w:sz w:val="24"/>
              </w:rPr>
              <w:t>标准，规划收水范围为新袁镇城镇污水和新袁镇工业园区污水。新袁镇污水处理厂尾水排放能够稳定达到《城镇污水处理厂污染物排放标准》（</w:t>
            </w:r>
            <w:r>
              <w:rPr>
                <w:color w:val="auto"/>
                <w:sz w:val="24"/>
              </w:rPr>
              <w:t>GB18918-2002</w:t>
            </w:r>
            <w:r>
              <w:rPr>
                <w:rFonts w:hint="eastAsia"/>
                <w:color w:val="auto"/>
                <w:sz w:val="24"/>
              </w:rPr>
              <w:t>）中一级</w:t>
            </w:r>
            <w:r>
              <w:rPr>
                <w:color w:val="auto"/>
                <w:sz w:val="24"/>
              </w:rPr>
              <w:t>A</w:t>
            </w:r>
            <w:r>
              <w:rPr>
                <w:rFonts w:hint="eastAsia"/>
                <w:color w:val="auto"/>
                <w:sz w:val="24"/>
              </w:rPr>
              <w:t>标准，新袁镇污水处理厂尾水排入黄码河。泗阳县新袁镇污水处理厂污水处理具体工艺见图4-</w:t>
            </w:r>
            <w:r>
              <w:rPr>
                <w:rFonts w:hint="eastAsia"/>
                <w:color w:val="auto"/>
                <w:sz w:val="24"/>
                <w:lang w:val="en-US" w:eastAsia="zh-CN"/>
              </w:rPr>
              <w:t>2</w:t>
            </w:r>
            <w:r>
              <w:rPr>
                <w:rFonts w:hint="eastAsia"/>
                <w:color w:val="auto"/>
                <w:sz w:val="24"/>
              </w:rPr>
              <w:t>：</w:t>
            </w:r>
          </w:p>
          <w:p w14:paraId="47F81869">
            <w:pPr>
              <w:spacing w:line="360" w:lineRule="auto"/>
              <w:jc w:val="center"/>
              <w:rPr>
                <w:rFonts w:hint="eastAsia"/>
                <w:color w:val="auto"/>
              </w:rPr>
            </w:pPr>
            <w:r>
              <w:rPr>
                <w:rFonts w:hint="eastAsia"/>
                <w:color w:val="auto"/>
              </w:rPr>
              <w:drawing>
                <wp:inline distT="0" distB="0" distL="114300" distR="114300">
                  <wp:extent cx="5209540" cy="1494155"/>
                  <wp:effectExtent l="0" t="0" r="10160" b="10795"/>
                  <wp:docPr id="5" name="图片 1" descr="1743815677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1743815677019"/>
                          <pic:cNvPicPr>
                            <a:picLocks noChangeAspect="1"/>
                          </pic:cNvPicPr>
                        </pic:nvPicPr>
                        <pic:blipFill>
                          <a:blip r:embed="rId19"/>
                          <a:stretch>
                            <a:fillRect/>
                          </a:stretch>
                        </pic:blipFill>
                        <pic:spPr>
                          <a:xfrm>
                            <a:off x="0" y="0"/>
                            <a:ext cx="5209540" cy="1494155"/>
                          </a:xfrm>
                          <a:prstGeom prst="rect">
                            <a:avLst/>
                          </a:prstGeom>
                          <a:noFill/>
                          <a:ln>
                            <a:noFill/>
                          </a:ln>
                        </pic:spPr>
                      </pic:pic>
                    </a:graphicData>
                  </a:graphic>
                </wp:inline>
              </w:drawing>
            </w:r>
          </w:p>
          <w:p w14:paraId="0265E274">
            <w:pPr>
              <w:spacing w:line="360" w:lineRule="auto"/>
              <w:ind w:firstLine="482" w:firstLineChars="200"/>
              <w:jc w:val="center"/>
              <w:rPr>
                <w:b/>
                <w:color w:val="auto"/>
                <w:sz w:val="24"/>
              </w:rPr>
            </w:pPr>
            <w:r>
              <w:rPr>
                <w:b/>
                <w:color w:val="auto"/>
                <w:sz w:val="24"/>
              </w:rPr>
              <w:t>图4</w:t>
            </w:r>
            <w:r>
              <w:rPr>
                <w:rFonts w:hint="eastAsia"/>
                <w:b/>
                <w:color w:val="auto"/>
                <w:sz w:val="24"/>
                <w:lang w:val="en-US" w:eastAsia="zh-CN"/>
              </w:rPr>
              <w:t>-2</w:t>
            </w:r>
            <w:r>
              <w:rPr>
                <w:rFonts w:hint="eastAsia"/>
                <w:b/>
                <w:color w:val="auto"/>
                <w:sz w:val="24"/>
              </w:rPr>
              <w:t>泗阳县新袁镇污水处理厂</w:t>
            </w:r>
            <w:r>
              <w:rPr>
                <w:b/>
                <w:color w:val="auto"/>
                <w:sz w:val="24"/>
              </w:rPr>
              <w:t>处理工艺流程图</w:t>
            </w:r>
          </w:p>
          <w:p w14:paraId="58686358">
            <w:pPr>
              <w:spacing w:line="360" w:lineRule="auto"/>
              <w:ind w:firstLine="480" w:firstLineChars="200"/>
              <w:rPr>
                <w:rFonts w:hint="eastAsia"/>
                <w:color w:val="auto"/>
                <w:sz w:val="24"/>
              </w:rPr>
            </w:pPr>
            <w:r>
              <w:rPr>
                <w:rFonts w:hint="eastAsia"/>
                <w:color w:val="auto"/>
                <w:sz w:val="24"/>
                <w:lang w:val="en-US" w:eastAsia="zh-CN"/>
              </w:rPr>
              <w:t>1）</w:t>
            </w:r>
            <w:r>
              <w:rPr>
                <w:rFonts w:hint="eastAsia"/>
                <w:color w:val="auto"/>
                <w:sz w:val="24"/>
              </w:rPr>
              <w:t>泗阳县新袁镇污水处理厂处理能力为0.5万m</w:t>
            </w:r>
            <w:r>
              <w:rPr>
                <w:rFonts w:hint="eastAsia"/>
                <w:color w:val="auto"/>
                <w:sz w:val="24"/>
                <w:vertAlign w:val="superscript"/>
                <w:lang w:val="en-US" w:eastAsia="zh-CN"/>
              </w:rPr>
              <w:t>3</w:t>
            </w:r>
            <w:r>
              <w:rPr>
                <w:rFonts w:hint="eastAsia"/>
                <w:color w:val="auto"/>
                <w:sz w:val="24"/>
              </w:rPr>
              <w:t>/d，目前实际处理废水量平均约为</w:t>
            </w:r>
            <w:r>
              <w:rPr>
                <w:color w:val="auto"/>
                <w:sz w:val="24"/>
              </w:rPr>
              <w:t>0.3</w:t>
            </w:r>
            <w:r>
              <w:rPr>
                <w:rFonts w:hint="eastAsia"/>
                <w:color w:val="auto"/>
                <w:sz w:val="24"/>
              </w:rPr>
              <w:t>万</w:t>
            </w:r>
            <w:r>
              <w:rPr>
                <w:color w:val="auto"/>
                <w:sz w:val="24"/>
              </w:rPr>
              <w:t>t/d</w:t>
            </w:r>
            <w:r>
              <w:rPr>
                <w:rFonts w:hint="eastAsia"/>
                <w:color w:val="auto"/>
                <w:sz w:val="24"/>
              </w:rPr>
              <w:t>，尚有余量</w:t>
            </w:r>
            <w:r>
              <w:rPr>
                <w:color w:val="auto"/>
                <w:sz w:val="24"/>
              </w:rPr>
              <w:t>0.2</w:t>
            </w:r>
            <w:r>
              <w:rPr>
                <w:rFonts w:hint="eastAsia"/>
                <w:color w:val="auto"/>
                <w:sz w:val="24"/>
              </w:rPr>
              <w:t>万</w:t>
            </w:r>
            <w:r>
              <w:rPr>
                <w:color w:val="auto"/>
                <w:sz w:val="24"/>
              </w:rPr>
              <w:t>t/a</w:t>
            </w:r>
            <w:r>
              <w:rPr>
                <w:rFonts w:hint="eastAsia"/>
                <w:color w:val="auto"/>
                <w:sz w:val="24"/>
              </w:rPr>
              <w:t>，项目废水排放量为</w:t>
            </w:r>
            <w:r>
              <w:rPr>
                <w:rFonts w:hint="eastAsia"/>
                <w:color w:val="auto"/>
                <w:sz w:val="24"/>
                <w:lang w:val="en-US" w:eastAsia="zh-CN"/>
              </w:rPr>
              <w:t>2</w:t>
            </w:r>
            <w:r>
              <w:rPr>
                <w:rFonts w:hint="eastAsia"/>
                <w:color w:val="auto"/>
                <w:sz w:val="24"/>
              </w:rPr>
              <w:t>m</w:t>
            </w:r>
            <w:r>
              <w:rPr>
                <w:rFonts w:hint="eastAsia"/>
                <w:color w:val="auto"/>
                <w:sz w:val="24"/>
                <w:vertAlign w:val="superscript"/>
                <w:lang w:val="en-US" w:eastAsia="zh-CN"/>
              </w:rPr>
              <w:t>3</w:t>
            </w:r>
            <w:r>
              <w:rPr>
                <w:rFonts w:hint="eastAsia"/>
                <w:color w:val="auto"/>
                <w:sz w:val="24"/>
              </w:rPr>
              <w:t>/d，占污水处理厂余量的</w:t>
            </w:r>
            <w:r>
              <w:rPr>
                <w:rFonts w:hint="eastAsia"/>
                <w:color w:val="auto"/>
                <w:sz w:val="24"/>
                <w:lang w:val="en-US" w:eastAsia="zh-CN"/>
              </w:rPr>
              <w:t>0.</w:t>
            </w:r>
            <w:r>
              <w:rPr>
                <w:rFonts w:hint="eastAsia"/>
                <w:color w:val="auto"/>
                <w:sz w:val="24"/>
              </w:rPr>
              <w:t>1%，满足泗阳县新袁镇污水处理厂处理余量要求。</w:t>
            </w:r>
          </w:p>
          <w:p w14:paraId="7E22085B">
            <w:pPr>
              <w:spacing w:line="360" w:lineRule="auto"/>
              <w:ind w:firstLine="480" w:firstLineChars="200"/>
              <w:rPr>
                <w:rFonts w:hint="eastAsia"/>
                <w:color w:val="auto"/>
                <w:sz w:val="24"/>
              </w:rPr>
            </w:pPr>
            <w:r>
              <w:rPr>
                <w:rFonts w:hint="eastAsia"/>
                <w:color w:val="auto"/>
                <w:sz w:val="24"/>
                <w:lang w:val="en-US" w:eastAsia="zh-CN"/>
              </w:rPr>
              <w:t>2）</w:t>
            </w:r>
            <w:r>
              <w:rPr>
                <w:rFonts w:hint="eastAsia"/>
                <w:color w:val="auto"/>
                <w:sz w:val="24"/>
              </w:rPr>
              <w:t>本项目</w:t>
            </w:r>
            <w:r>
              <w:rPr>
                <w:rFonts w:hint="eastAsia"/>
                <w:color w:val="auto"/>
                <w:sz w:val="24"/>
                <w:lang w:val="en-US" w:eastAsia="zh-CN"/>
              </w:rPr>
              <w:t>仅排放生活污水，生活污水</w:t>
            </w:r>
            <w:r>
              <w:rPr>
                <w:rFonts w:hint="eastAsia"/>
                <w:color w:val="auto"/>
                <w:sz w:val="24"/>
              </w:rPr>
              <w:t>水质简单</w:t>
            </w:r>
            <w:r>
              <w:rPr>
                <w:rFonts w:hint="eastAsia"/>
                <w:lang w:eastAsia="zh-CN"/>
              </w:rPr>
              <w:t>，</w:t>
            </w:r>
            <w:r>
              <w:rPr>
                <w:rFonts w:hint="eastAsia"/>
                <w:color w:val="auto"/>
                <w:sz w:val="24"/>
                <w:lang w:val="en-US" w:eastAsia="zh-CN"/>
              </w:rPr>
              <w:t>符合新袁镇污水处理厂进水和出水相关要求，</w:t>
            </w:r>
            <w:r>
              <w:rPr>
                <w:rFonts w:hint="eastAsia"/>
                <w:color w:val="auto"/>
                <w:sz w:val="24"/>
              </w:rPr>
              <w:t>不含超出</w:t>
            </w:r>
            <w:r>
              <w:rPr>
                <w:rFonts w:hint="eastAsia"/>
                <w:color w:val="auto"/>
                <w:sz w:val="24"/>
                <w:lang w:eastAsia="zh-CN"/>
              </w:rPr>
              <w:t>污水处理厂</w:t>
            </w:r>
            <w:r>
              <w:rPr>
                <w:rFonts w:hint="eastAsia"/>
                <w:color w:val="auto"/>
                <w:sz w:val="24"/>
              </w:rPr>
              <w:t>设</w:t>
            </w:r>
            <w:r>
              <w:rPr>
                <w:color w:val="auto"/>
                <w:sz w:val="24"/>
              </w:rPr>
              <w:t>计的特征污染物，因此对于项目产生的废水，从水质水量角度分析，均能够达到</w:t>
            </w:r>
            <w:r>
              <w:rPr>
                <w:rFonts w:hint="eastAsia"/>
                <w:color w:val="auto"/>
                <w:sz w:val="24"/>
              </w:rPr>
              <w:t>泗阳县新袁镇污水处理厂</w:t>
            </w:r>
            <w:r>
              <w:rPr>
                <w:color w:val="auto"/>
                <w:sz w:val="24"/>
              </w:rPr>
              <w:t>的接纳要求</w:t>
            </w:r>
            <w:r>
              <w:rPr>
                <w:rFonts w:hint="eastAsia"/>
                <w:color w:val="auto"/>
                <w:sz w:val="24"/>
              </w:rPr>
              <w:t>。</w:t>
            </w:r>
          </w:p>
          <w:p w14:paraId="03ACDCFA">
            <w:pPr>
              <w:spacing w:line="360" w:lineRule="auto"/>
              <w:ind w:firstLine="480" w:firstLineChars="200"/>
              <w:rPr>
                <w:color w:val="auto"/>
                <w:sz w:val="24"/>
              </w:rPr>
            </w:pPr>
            <w:r>
              <w:rPr>
                <w:rFonts w:hint="eastAsia"/>
                <w:color w:val="auto"/>
                <w:sz w:val="24"/>
                <w:lang w:val="en-US" w:eastAsia="zh-CN"/>
              </w:rPr>
              <w:t>3）</w:t>
            </w:r>
            <w:r>
              <w:rPr>
                <w:rFonts w:hint="eastAsia"/>
                <w:color w:val="auto"/>
                <w:sz w:val="24"/>
              </w:rPr>
              <w:t>泗阳县新袁镇工业园区污水管网工程</w:t>
            </w:r>
            <w:r>
              <w:rPr>
                <w:rFonts w:hint="eastAsia"/>
                <w:color w:val="auto"/>
                <w:sz w:val="24"/>
                <w:lang w:val="en-US" w:eastAsia="zh-CN"/>
              </w:rPr>
              <w:t>已</w:t>
            </w:r>
            <w:r>
              <w:rPr>
                <w:rFonts w:hint="eastAsia"/>
                <w:color w:val="auto"/>
                <w:sz w:val="24"/>
              </w:rPr>
              <w:t>铺设完成，本项目在新袁镇污水处理厂纳管范</w:t>
            </w:r>
            <w:r>
              <w:rPr>
                <w:rFonts w:hint="eastAsia"/>
                <w:color w:val="auto"/>
                <w:sz w:val="24"/>
                <w:lang w:eastAsia="zh-CN"/>
              </w:rPr>
              <w:t>围内</w:t>
            </w:r>
            <w:r>
              <w:rPr>
                <w:rFonts w:hint="eastAsia"/>
                <w:color w:val="auto"/>
                <w:sz w:val="24"/>
              </w:rPr>
              <w:t>，满足项目排放要求。</w:t>
            </w:r>
          </w:p>
          <w:p w14:paraId="3AA814AF">
            <w:pPr>
              <w:spacing w:line="360" w:lineRule="auto"/>
              <w:ind w:firstLine="480" w:firstLineChars="200"/>
              <w:rPr>
                <w:color w:val="auto"/>
              </w:rPr>
            </w:pPr>
            <w:r>
              <w:rPr>
                <w:rFonts w:hint="eastAsia"/>
                <w:color w:val="auto"/>
                <w:sz w:val="24"/>
                <w:lang w:val="en-US" w:eastAsia="zh-CN"/>
              </w:rPr>
              <w:t>4）</w:t>
            </w:r>
            <w:r>
              <w:rPr>
                <w:color w:val="auto"/>
                <w:sz w:val="24"/>
              </w:rPr>
              <w:t>废水经</w:t>
            </w:r>
            <w:r>
              <w:rPr>
                <w:rFonts w:hint="eastAsia"/>
                <w:color w:val="auto"/>
                <w:sz w:val="24"/>
                <w:lang w:eastAsia="zh-CN"/>
              </w:rPr>
              <w:t>污水处理厂</w:t>
            </w:r>
            <w:r>
              <w:rPr>
                <w:color w:val="auto"/>
                <w:sz w:val="24"/>
              </w:rPr>
              <w:t>处理后达标排放，对区域水环境影响较小，可以满足环保要求。</w:t>
            </w:r>
          </w:p>
          <w:p w14:paraId="1712F516">
            <w:pPr>
              <w:snapToGrid w:val="0"/>
              <w:spacing w:line="360" w:lineRule="auto"/>
              <w:ind w:firstLine="480"/>
              <w:rPr>
                <w:b/>
                <w:bCs/>
                <w:color w:val="auto"/>
              </w:rPr>
            </w:pPr>
            <w:r>
              <w:rPr>
                <w:rFonts w:hint="eastAsia"/>
                <w:b/>
                <w:bCs/>
                <w:color w:val="auto"/>
                <w:lang w:val="en-US" w:eastAsia="zh-CN"/>
              </w:rPr>
              <w:t>4.</w:t>
            </w:r>
            <w:r>
              <w:rPr>
                <w:b/>
                <w:bCs/>
                <w:color w:val="auto"/>
              </w:rPr>
              <w:t>排污口规范化设置</w:t>
            </w:r>
          </w:p>
          <w:p w14:paraId="09E1997D">
            <w:pPr>
              <w:snapToGrid w:val="0"/>
              <w:spacing w:line="360" w:lineRule="auto"/>
              <w:ind w:firstLine="480"/>
              <w:rPr>
                <w:color w:val="auto"/>
              </w:rPr>
            </w:pPr>
            <w:r>
              <w:rPr>
                <w:color w:val="auto"/>
              </w:rPr>
              <w:t>项目污水接管口需根据</w:t>
            </w:r>
            <w:r>
              <w:rPr>
                <w:rFonts w:hint="eastAsia"/>
                <w:color w:val="auto"/>
              </w:rPr>
              <w:t>原</w:t>
            </w:r>
            <w:r>
              <w:rPr>
                <w:color w:val="auto"/>
              </w:rPr>
              <w:t>江苏省环保厅《江苏省排污口设置及规范化整治管理办法》进行规范化设计，原则上项目只能设置一个污水接排口和一个雨水排口，同时应在排放口设置明显规范化环保标识牌。</w:t>
            </w:r>
          </w:p>
          <w:p w14:paraId="3A1A0FEB">
            <w:pPr>
              <w:snapToGrid w:val="0"/>
              <w:spacing w:line="360" w:lineRule="auto"/>
              <w:ind w:firstLine="480"/>
              <w:rPr>
                <w:b/>
                <w:bCs/>
                <w:color w:val="auto"/>
              </w:rPr>
            </w:pPr>
            <w:r>
              <w:rPr>
                <w:rFonts w:hint="eastAsia"/>
                <w:b/>
                <w:bCs/>
                <w:color w:val="auto"/>
                <w:lang w:val="en-US" w:eastAsia="zh-CN"/>
              </w:rPr>
              <w:t>5.</w:t>
            </w:r>
            <w:r>
              <w:rPr>
                <w:b/>
                <w:bCs/>
                <w:color w:val="auto"/>
              </w:rPr>
              <w:t>废水类别、污染物及污染治理设施信息</w:t>
            </w:r>
          </w:p>
          <w:p w14:paraId="71697F67">
            <w:pPr>
              <w:adjustRightInd w:val="0"/>
              <w:snapToGrid w:val="0"/>
              <w:spacing w:line="240" w:lineRule="auto"/>
              <w:ind w:firstLine="0" w:firstLineChars="0"/>
              <w:jc w:val="center"/>
              <w:rPr>
                <w:b/>
                <w:color w:val="auto"/>
                <w:szCs w:val="21"/>
              </w:rPr>
            </w:pPr>
            <w:r>
              <w:rPr>
                <w:b/>
                <w:color w:val="auto"/>
                <w:szCs w:val="21"/>
              </w:rPr>
              <w:t>表4-</w:t>
            </w:r>
            <w:r>
              <w:rPr>
                <w:rFonts w:hint="eastAsia"/>
                <w:b/>
                <w:color w:val="auto"/>
                <w:szCs w:val="21"/>
                <w:lang w:val="en-US" w:eastAsia="zh-CN"/>
              </w:rPr>
              <w:t>17</w:t>
            </w:r>
            <w:r>
              <w:rPr>
                <w:b/>
                <w:color w:val="auto"/>
                <w:szCs w:val="21"/>
              </w:rPr>
              <w:t>废水类别、污染物及污染治理设施信息表</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374"/>
              <w:gridCol w:w="557"/>
              <w:gridCol w:w="769"/>
              <w:gridCol w:w="708"/>
              <w:gridCol w:w="899"/>
              <w:gridCol w:w="1014"/>
              <w:gridCol w:w="764"/>
              <w:gridCol w:w="692"/>
              <w:gridCol w:w="927"/>
              <w:gridCol w:w="1047"/>
              <w:gridCol w:w="1086"/>
            </w:tblGrid>
            <w:tr w14:paraId="15CA1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12" w:type="pct"/>
                  <w:vMerge w:val="restart"/>
                  <w:vAlign w:val="center"/>
                </w:tcPr>
                <w:p w14:paraId="7921CBE8">
                  <w:pPr>
                    <w:adjustRightInd w:val="0"/>
                    <w:snapToGrid w:val="0"/>
                    <w:spacing w:line="240" w:lineRule="auto"/>
                    <w:ind w:firstLine="0" w:firstLineChars="0"/>
                    <w:jc w:val="center"/>
                    <w:rPr>
                      <w:color w:val="auto"/>
                      <w:sz w:val="21"/>
                      <w:szCs w:val="21"/>
                    </w:rPr>
                  </w:pPr>
                  <w:r>
                    <w:rPr>
                      <w:color w:val="auto"/>
                      <w:sz w:val="21"/>
                      <w:szCs w:val="21"/>
                    </w:rPr>
                    <w:t>序号</w:t>
                  </w:r>
                </w:p>
              </w:tc>
              <w:tc>
                <w:tcPr>
                  <w:tcW w:w="315" w:type="pct"/>
                  <w:vMerge w:val="restart"/>
                  <w:vAlign w:val="center"/>
                </w:tcPr>
                <w:p w14:paraId="56F57EB5">
                  <w:pPr>
                    <w:adjustRightInd w:val="0"/>
                    <w:snapToGrid w:val="0"/>
                    <w:spacing w:line="240" w:lineRule="auto"/>
                    <w:ind w:firstLine="0" w:firstLineChars="0"/>
                    <w:jc w:val="center"/>
                    <w:rPr>
                      <w:color w:val="auto"/>
                      <w:sz w:val="21"/>
                      <w:szCs w:val="21"/>
                    </w:rPr>
                  </w:pPr>
                  <w:r>
                    <w:rPr>
                      <w:color w:val="auto"/>
                      <w:sz w:val="21"/>
                      <w:szCs w:val="21"/>
                    </w:rPr>
                    <w:t>废水类别</w:t>
                  </w:r>
                  <w:r>
                    <w:rPr>
                      <w:rFonts w:hint="eastAsia"/>
                      <w:color w:val="auto"/>
                      <w:sz w:val="21"/>
                      <w:szCs w:val="21"/>
                      <w:lang w:eastAsia="zh-CN"/>
                    </w:rPr>
                    <w:t>（</w:t>
                  </w:r>
                  <w:r>
                    <w:rPr>
                      <w:color w:val="auto"/>
                      <w:sz w:val="21"/>
                      <w:szCs w:val="21"/>
                    </w:rPr>
                    <w:t>a</w:t>
                  </w:r>
                  <w:r>
                    <w:rPr>
                      <w:rFonts w:hint="eastAsia"/>
                      <w:color w:val="auto"/>
                      <w:sz w:val="21"/>
                      <w:szCs w:val="21"/>
                      <w:lang w:eastAsia="zh-CN"/>
                    </w:rPr>
                    <w:t>）</w:t>
                  </w:r>
                </w:p>
              </w:tc>
              <w:tc>
                <w:tcPr>
                  <w:tcW w:w="435" w:type="pct"/>
                  <w:vMerge w:val="restart"/>
                  <w:vAlign w:val="center"/>
                </w:tcPr>
                <w:p w14:paraId="4EB9CB68">
                  <w:pPr>
                    <w:adjustRightInd w:val="0"/>
                    <w:snapToGrid w:val="0"/>
                    <w:spacing w:line="240" w:lineRule="auto"/>
                    <w:ind w:firstLine="0" w:firstLineChars="0"/>
                    <w:jc w:val="center"/>
                    <w:rPr>
                      <w:color w:val="auto"/>
                      <w:sz w:val="21"/>
                      <w:szCs w:val="21"/>
                    </w:rPr>
                  </w:pPr>
                  <w:r>
                    <w:rPr>
                      <w:color w:val="auto"/>
                      <w:sz w:val="21"/>
                      <w:szCs w:val="21"/>
                    </w:rPr>
                    <w:t>污染物种类</w:t>
                  </w:r>
                  <w:r>
                    <w:rPr>
                      <w:rFonts w:hint="eastAsia"/>
                      <w:color w:val="auto"/>
                      <w:sz w:val="21"/>
                      <w:szCs w:val="21"/>
                      <w:lang w:eastAsia="zh-CN"/>
                    </w:rPr>
                    <w:t>（</w:t>
                  </w:r>
                  <w:r>
                    <w:rPr>
                      <w:color w:val="auto"/>
                      <w:sz w:val="21"/>
                      <w:szCs w:val="21"/>
                    </w:rPr>
                    <w:t>b</w:t>
                  </w:r>
                  <w:r>
                    <w:rPr>
                      <w:rFonts w:hint="eastAsia"/>
                      <w:color w:val="auto"/>
                      <w:sz w:val="21"/>
                      <w:szCs w:val="21"/>
                      <w:lang w:eastAsia="zh-CN"/>
                    </w:rPr>
                    <w:t>）</w:t>
                  </w:r>
                </w:p>
              </w:tc>
              <w:tc>
                <w:tcPr>
                  <w:tcW w:w="400" w:type="pct"/>
                  <w:vMerge w:val="restart"/>
                  <w:vAlign w:val="center"/>
                </w:tcPr>
                <w:p w14:paraId="49CFDC3B">
                  <w:pPr>
                    <w:adjustRightInd w:val="0"/>
                    <w:snapToGrid w:val="0"/>
                    <w:spacing w:line="240" w:lineRule="auto"/>
                    <w:ind w:firstLine="0" w:firstLineChars="0"/>
                    <w:jc w:val="center"/>
                    <w:rPr>
                      <w:color w:val="auto"/>
                      <w:sz w:val="21"/>
                      <w:szCs w:val="21"/>
                    </w:rPr>
                  </w:pPr>
                  <w:r>
                    <w:rPr>
                      <w:color w:val="auto"/>
                      <w:sz w:val="21"/>
                      <w:szCs w:val="21"/>
                    </w:rPr>
                    <w:t>排放去向</w:t>
                  </w:r>
                  <w:r>
                    <w:rPr>
                      <w:rFonts w:hint="eastAsia"/>
                      <w:color w:val="auto"/>
                      <w:sz w:val="21"/>
                      <w:szCs w:val="21"/>
                      <w:lang w:eastAsia="zh-CN"/>
                    </w:rPr>
                    <w:t>（</w:t>
                  </w:r>
                  <w:r>
                    <w:rPr>
                      <w:color w:val="auto"/>
                      <w:sz w:val="21"/>
                      <w:szCs w:val="21"/>
                    </w:rPr>
                    <w:t>c</w:t>
                  </w:r>
                  <w:r>
                    <w:rPr>
                      <w:rFonts w:hint="eastAsia"/>
                      <w:color w:val="auto"/>
                      <w:sz w:val="21"/>
                      <w:szCs w:val="21"/>
                      <w:lang w:eastAsia="zh-CN"/>
                    </w:rPr>
                    <w:t>）</w:t>
                  </w:r>
                </w:p>
              </w:tc>
              <w:tc>
                <w:tcPr>
                  <w:tcW w:w="508" w:type="pct"/>
                  <w:vMerge w:val="restart"/>
                  <w:vAlign w:val="center"/>
                </w:tcPr>
                <w:p w14:paraId="2CD85E77">
                  <w:pPr>
                    <w:adjustRightInd w:val="0"/>
                    <w:snapToGrid w:val="0"/>
                    <w:spacing w:line="240" w:lineRule="auto"/>
                    <w:ind w:firstLine="0" w:firstLineChars="0"/>
                    <w:jc w:val="center"/>
                    <w:rPr>
                      <w:color w:val="auto"/>
                      <w:sz w:val="21"/>
                      <w:szCs w:val="21"/>
                    </w:rPr>
                  </w:pPr>
                  <w:r>
                    <w:rPr>
                      <w:color w:val="auto"/>
                      <w:sz w:val="21"/>
                      <w:szCs w:val="21"/>
                    </w:rPr>
                    <w:t>排放规律</w:t>
                  </w:r>
                </w:p>
                <w:p w14:paraId="1F9D84A6">
                  <w:pPr>
                    <w:adjustRightInd w:val="0"/>
                    <w:snapToGrid w:val="0"/>
                    <w:spacing w:line="240" w:lineRule="auto"/>
                    <w:ind w:firstLine="0" w:firstLineChars="0"/>
                    <w:jc w:val="center"/>
                    <w:rPr>
                      <w:color w:val="auto"/>
                      <w:sz w:val="21"/>
                      <w:szCs w:val="21"/>
                    </w:rPr>
                  </w:pPr>
                  <w:r>
                    <w:rPr>
                      <w:color w:val="auto"/>
                      <w:sz w:val="21"/>
                      <w:szCs w:val="21"/>
                    </w:rPr>
                    <w:t>(d)</w:t>
                  </w:r>
                </w:p>
              </w:tc>
              <w:tc>
                <w:tcPr>
                  <w:tcW w:w="1396" w:type="pct"/>
                  <w:gridSpan w:val="3"/>
                  <w:vAlign w:val="center"/>
                </w:tcPr>
                <w:p w14:paraId="6A5F3136">
                  <w:pPr>
                    <w:adjustRightInd w:val="0"/>
                    <w:snapToGrid w:val="0"/>
                    <w:spacing w:line="240" w:lineRule="auto"/>
                    <w:ind w:firstLine="0" w:firstLineChars="0"/>
                    <w:jc w:val="center"/>
                    <w:rPr>
                      <w:color w:val="auto"/>
                      <w:sz w:val="21"/>
                      <w:szCs w:val="21"/>
                    </w:rPr>
                  </w:pPr>
                  <w:r>
                    <w:rPr>
                      <w:color w:val="auto"/>
                      <w:sz w:val="21"/>
                      <w:szCs w:val="21"/>
                    </w:rPr>
                    <w:t>污染治理设施</w:t>
                  </w:r>
                </w:p>
              </w:tc>
              <w:tc>
                <w:tcPr>
                  <w:tcW w:w="524" w:type="pct"/>
                  <w:vMerge w:val="restart"/>
                  <w:vAlign w:val="center"/>
                </w:tcPr>
                <w:p w14:paraId="7B9B3DD7">
                  <w:pPr>
                    <w:adjustRightInd w:val="0"/>
                    <w:snapToGrid w:val="0"/>
                    <w:spacing w:line="240" w:lineRule="auto"/>
                    <w:ind w:firstLine="0" w:firstLineChars="0"/>
                    <w:jc w:val="center"/>
                    <w:rPr>
                      <w:color w:val="auto"/>
                      <w:sz w:val="21"/>
                      <w:szCs w:val="21"/>
                    </w:rPr>
                  </w:pPr>
                  <w:r>
                    <w:rPr>
                      <w:color w:val="auto"/>
                      <w:sz w:val="21"/>
                      <w:szCs w:val="21"/>
                    </w:rPr>
                    <w:t>排放口编号</w:t>
                  </w:r>
                  <w:r>
                    <w:rPr>
                      <w:rFonts w:hint="eastAsia"/>
                      <w:color w:val="auto"/>
                      <w:sz w:val="21"/>
                      <w:szCs w:val="21"/>
                      <w:lang w:eastAsia="zh-CN"/>
                    </w:rPr>
                    <w:t>（</w:t>
                  </w:r>
                  <w:r>
                    <w:rPr>
                      <w:color w:val="auto"/>
                      <w:sz w:val="21"/>
                      <w:szCs w:val="21"/>
                    </w:rPr>
                    <w:t>f</w:t>
                  </w:r>
                  <w:r>
                    <w:rPr>
                      <w:rFonts w:hint="eastAsia"/>
                      <w:color w:val="auto"/>
                      <w:sz w:val="21"/>
                      <w:szCs w:val="21"/>
                      <w:lang w:eastAsia="zh-CN"/>
                    </w:rPr>
                    <w:t>）</w:t>
                  </w:r>
                </w:p>
              </w:tc>
              <w:tc>
                <w:tcPr>
                  <w:tcW w:w="592" w:type="pct"/>
                  <w:vMerge w:val="restart"/>
                  <w:vAlign w:val="center"/>
                </w:tcPr>
                <w:p w14:paraId="51360EE3">
                  <w:pPr>
                    <w:adjustRightInd w:val="0"/>
                    <w:snapToGrid w:val="0"/>
                    <w:spacing w:line="240" w:lineRule="auto"/>
                    <w:ind w:firstLine="0" w:firstLineChars="0"/>
                    <w:jc w:val="center"/>
                    <w:rPr>
                      <w:color w:val="auto"/>
                      <w:sz w:val="21"/>
                      <w:szCs w:val="21"/>
                    </w:rPr>
                  </w:pPr>
                  <w:r>
                    <w:rPr>
                      <w:color w:val="auto"/>
                      <w:sz w:val="21"/>
                      <w:szCs w:val="21"/>
                    </w:rPr>
                    <w:t>排放口设置是否满足要求</w:t>
                  </w:r>
                  <w:r>
                    <w:rPr>
                      <w:rFonts w:hint="eastAsia"/>
                      <w:color w:val="auto"/>
                      <w:sz w:val="21"/>
                      <w:szCs w:val="21"/>
                      <w:lang w:eastAsia="zh-CN"/>
                    </w:rPr>
                    <w:t>（</w:t>
                  </w:r>
                  <w:r>
                    <w:rPr>
                      <w:color w:val="auto"/>
                      <w:sz w:val="21"/>
                      <w:szCs w:val="21"/>
                    </w:rPr>
                    <w:t>g</w:t>
                  </w:r>
                  <w:r>
                    <w:rPr>
                      <w:rFonts w:hint="eastAsia"/>
                      <w:color w:val="auto"/>
                      <w:sz w:val="21"/>
                      <w:szCs w:val="21"/>
                      <w:lang w:eastAsia="zh-CN"/>
                    </w:rPr>
                    <w:t>）</w:t>
                  </w:r>
                </w:p>
              </w:tc>
              <w:tc>
                <w:tcPr>
                  <w:tcW w:w="614" w:type="pct"/>
                  <w:vMerge w:val="restart"/>
                  <w:vAlign w:val="center"/>
                </w:tcPr>
                <w:p w14:paraId="3E5BECF2">
                  <w:pPr>
                    <w:adjustRightInd w:val="0"/>
                    <w:snapToGrid w:val="0"/>
                    <w:spacing w:line="240" w:lineRule="auto"/>
                    <w:ind w:firstLine="0" w:firstLineChars="0"/>
                    <w:jc w:val="center"/>
                    <w:rPr>
                      <w:color w:val="auto"/>
                      <w:sz w:val="21"/>
                      <w:szCs w:val="21"/>
                    </w:rPr>
                  </w:pPr>
                  <w:r>
                    <w:rPr>
                      <w:color w:val="auto"/>
                      <w:sz w:val="21"/>
                      <w:szCs w:val="21"/>
                    </w:rPr>
                    <w:t>排放口类型</w:t>
                  </w:r>
                </w:p>
              </w:tc>
            </w:tr>
            <w:tr w14:paraId="14632B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12" w:type="pct"/>
                  <w:vMerge w:val="continue"/>
                  <w:vAlign w:val="center"/>
                </w:tcPr>
                <w:p w14:paraId="1045BB4E">
                  <w:pPr>
                    <w:adjustRightInd w:val="0"/>
                    <w:snapToGrid w:val="0"/>
                    <w:spacing w:line="240" w:lineRule="auto"/>
                    <w:ind w:firstLine="0" w:firstLineChars="0"/>
                    <w:jc w:val="center"/>
                    <w:rPr>
                      <w:color w:val="auto"/>
                      <w:sz w:val="21"/>
                      <w:szCs w:val="21"/>
                    </w:rPr>
                  </w:pPr>
                </w:p>
              </w:tc>
              <w:tc>
                <w:tcPr>
                  <w:tcW w:w="315" w:type="pct"/>
                  <w:vMerge w:val="continue"/>
                  <w:vAlign w:val="center"/>
                </w:tcPr>
                <w:p w14:paraId="12020613">
                  <w:pPr>
                    <w:adjustRightInd w:val="0"/>
                    <w:snapToGrid w:val="0"/>
                    <w:spacing w:line="240" w:lineRule="auto"/>
                    <w:ind w:firstLine="0" w:firstLineChars="0"/>
                    <w:jc w:val="center"/>
                    <w:rPr>
                      <w:color w:val="auto"/>
                      <w:sz w:val="21"/>
                      <w:szCs w:val="21"/>
                    </w:rPr>
                  </w:pPr>
                </w:p>
              </w:tc>
              <w:tc>
                <w:tcPr>
                  <w:tcW w:w="435" w:type="pct"/>
                  <w:vMerge w:val="continue"/>
                  <w:vAlign w:val="center"/>
                </w:tcPr>
                <w:p w14:paraId="4B376C5F">
                  <w:pPr>
                    <w:adjustRightInd w:val="0"/>
                    <w:snapToGrid w:val="0"/>
                    <w:spacing w:line="240" w:lineRule="auto"/>
                    <w:ind w:firstLine="0" w:firstLineChars="0"/>
                    <w:jc w:val="center"/>
                    <w:rPr>
                      <w:color w:val="auto"/>
                      <w:sz w:val="21"/>
                      <w:szCs w:val="21"/>
                    </w:rPr>
                  </w:pPr>
                </w:p>
              </w:tc>
              <w:tc>
                <w:tcPr>
                  <w:tcW w:w="400" w:type="pct"/>
                  <w:vMerge w:val="continue"/>
                  <w:vAlign w:val="center"/>
                </w:tcPr>
                <w:p w14:paraId="6B53A5D0">
                  <w:pPr>
                    <w:adjustRightInd w:val="0"/>
                    <w:snapToGrid w:val="0"/>
                    <w:spacing w:line="240" w:lineRule="auto"/>
                    <w:ind w:firstLine="0" w:firstLineChars="0"/>
                    <w:jc w:val="center"/>
                    <w:rPr>
                      <w:color w:val="auto"/>
                      <w:sz w:val="21"/>
                      <w:szCs w:val="21"/>
                    </w:rPr>
                  </w:pPr>
                </w:p>
              </w:tc>
              <w:tc>
                <w:tcPr>
                  <w:tcW w:w="508" w:type="pct"/>
                  <w:vMerge w:val="continue"/>
                  <w:vAlign w:val="center"/>
                </w:tcPr>
                <w:p w14:paraId="5FF036BC">
                  <w:pPr>
                    <w:adjustRightInd w:val="0"/>
                    <w:snapToGrid w:val="0"/>
                    <w:spacing w:line="240" w:lineRule="auto"/>
                    <w:ind w:firstLine="0" w:firstLineChars="0"/>
                    <w:jc w:val="center"/>
                    <w:rPr>
                      <w:color w:val="auto"/>
                      <w:sz w:val="21"/>
                      <w:szCs w:val="21"/>
                    </w:rPr>
                  </w:pPr>
                </w:p>
              </w:tc>
              <w:tc>
                <w:tcPr>
                  <w:tcW w:w="573" w:type="pct"/>
                  <w:vAlign w:val="center"/>
                </w:tcPr>
                <w:p w14:paraId="59857AFE">
                  <w:pPr>
                    <w:adjustRightInd w:val="0"/>
                    <w:snapToGrid w:val="0"/>
                    <w:spacing w:line="240" w:lineRule="auto"/>
                    <w:ind w:firstLine="0" w:firstLineChars="0"/>
                    <w:jc w:val="center"/>
                    <w:rPr>
                      <w:color w:val="auto"/>
                      <w:sz w:val="21"/>
                      <w:szCs w:val="21"/>
                    </w:rPr>
                  </w:pPr>
                  <w:r>
                    <w:rPr>
                      <w:color w:val="auto"/>
                      <w:sz w:val="21"/>
                      <w:szCs w:val="21"/>
                    </w:rPr>
                    <w:t>污染治理设施编号</w:t>
                  </w:r>
                </w:p>
              </w:tc>
              <w:tc>
                <w:tcPr>
                  <w:tcW w:w="432" w:type="pct"/>
                  <w:vAlign w:val="center"/>
                </w:tcPr>
                <w:p w14:paraId="7524F897">
                  <w:pPr>
                    <w:adjustRightInd w:val="0"/>
                    <w:snapToGrid w:val="0"/>
                    <w:spacing w:line="240" w:lineRule="auto"/>
                    <w:ind w:firstLine="0" w:firstLineChars="0"/>
                    <w:jc w:val="center"/>
                    <w:rPr>
                      <w:color w:val="auto"/>
                      <w:sz w:val="21"/>
                      <w:szCs w:val="21"/>
                    </w:rPr>
                  </w:pPr>
                  <w:r>
                    <w:rPr>
                      <w:color w:val="auto"/>
                      <w:sz w:val="21"/>
                      <w:szCs w:val="21"/>
                    </w:rPr>
                    <w:t>污染治理设施名称</w:t>
                  </w:r>
                  <w:r>
                    <w:rPr>
                      <w:rFonts w:hint="eastAsia"/>
                      <w:color w:val="auto"/>
                      <w:sz w:val="21"/>
                      <w:szCs w:val="21"/>
                      <w:lang w:eastAsia="zh-CN"/>
                    </w:rPr>
                    <w:t>（</w:t>
                  </w:r>
                  <w:r>
                    <w:rPr>
                      <w:color w:val="auto"/>
                      <w:sz w:val="21"/>
                      <w:szCs w:val="21"/>
                    </w:rPr>
                    <w:t>e</w:t>
                  </w:r>
                  <w:r>
                    <w:rPr>
                      <w:rFonts w:hint="eastAsia"/>
                      <w:color w:val="auto"/>
                      <w:sz w:val="21"/>
                      <w:szCs w:val="21"/>
                      <w:lang w:eastAsia="zh-CN"/>
                    </w:rPr>
                    <w:t>）</w:t>
                  </w:r>
                </w:p>
              </w:tc>
              <w:tc>
                <w:tcPr>
                  <w:tcW w:w="389" w:type="pct"/>
                  <w:vAlign w:val="center"/>
                </w:tcPr>
                <w:p w14:paraId="5E26500C">
                  <w:pPr>
                    <w:adjustRightInd w:val="0"/>
                    <w:snapToGrid w:val="0"/>
                    <w:spacing w:line="240" w:lineRule="auto"/>
                    <w:ind w:firstLine="0" w:firstLineChars="0"/>
                    <w:jc w:val="center"/>
                    <w:rPr>
                      <w:color w:val="auto"/>
                      <w:sz w:val="21"/>
                      <w:szCs w:val="21"/>
                    </w:rPr>
                  </w:pPr>
                  <w:r>
                    <w:rPr>
                      <w:color w:val="auto"/>
                      <w:sz w:val="21"/>
                      <w:szCs w:val="21"/>
                    </w:rPr>
                    <w:t>污染治理设施工艺</w:t>
                  </w:r>
                </w:p>
              </w:tc>
              <w:tc>
                <w:tcPr>
                  <w:tcW w:w="524" w:type="pct"/>
                  <w:vMerge w:val="continue"/>
                  <w:vAlign w:val="center"/>
                </w:tcPr>
                <w:p w14:paraId="518BB602">
                  <w:pPr>
                    <w:adjustRightInd w:val="0"/>
                    <w:snapToGrid w:val="0"/>
                    <w:spacing w:line="240" w:lineRule="auto"/>
                    <w:ind w:firstLine="0" w:firstLineChars="0"/>
                    <w:jc w:val="center"/>
                    <w:rPr>
                      <w:color w:val="auto"/>
                      <w:sz w:val="21"/>
                      <w:szCs w:val="21"/>
                    </w:rPr>
                  </w:pPr>
                </w:p>
              </w:tc>
              <w:tc>
                <w:tcPr>
                  <w:tcW w:w="592" w:type="pct"/>
                  <w:vMerge w:val="continue"/>
                  <w:vAlign w:val="center"/>
                </w:tcPr>
                <w:p w14:paraId="34B10A3A">
                  <w:pPr>
                    <w:adjustRightInd w:val="0"/>
                    <w:snapToGrid w:val="0"/>
                    <w:spacing w:line="240" w:lineRule="auto"/>
                    <w:ind w:firstLine="0" w:firstLineChars="0"/>
                    <w:jc w:val="center"/>
                    <w:rPr>
                      <w:color w:val="auto"/>
                      <w:sz w:val="21"/>
                      <w:szCs w:val="21"/>
                    </w:rPr>
                  </w:pPr>
                </w:p>
              </w:tc>
              <w:tc>
                <w:tcPr>
                  <w:tcW w:w="614" w:type="pct"/>
                  <w:vMerge w:val="continue"/>
                  <w:vAlign w:val="center"/>
                </w:tcPr>
                <w:p w14:paraId="2DBBC1C6">
                  <w:pPr>
                    <w:adjustRightInd w:val="0"/>
                    <w:snapToGrid w:val="0"/>
                    <w:spacing w:line="240" w:lineRule="auto"/>
                    <w:ind w:firstLine="0" w:firstLineChars="0"/>
                    <w:jc w:val="center"/>
                    <w:rPr>
                      <w:color w:val="auto"/>
                      <w:sz w:val="21"/>
                      <w:szCs w:val="21"/>
                    </w:rPr>
                  </w:pPr>
                </w:p>
              </w:tc>
            </w:tr>
            <w:tr w14:paraId="6D3B0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12" w:type="pct"/>
                  <w:vAlign w:val="center"/>
                </w:tcPr>
                <w:p w14:paraId="4BA933BA">
                  <w:pPr>
                    <w:adjustRightInd w:val="0"/>
                    <w:snapToGrid w:val="0"/>
                    <w:spacing w:line="240" w:lineRule="auto"/>
                    <w:ind w:firstLine="0" w:firstLineChars="0"/>
                    <w:jc w:val="center"/>
                    <w:rPr>
                      <w:color w:val="auto"/>
                      <w:sz w:val="21"/>
                      <w:szCs w:val="21"/>
                    </w:rPr>
                  </w:pPr>
                  <w:r>
                    <w:rPr>
                      <w:color w:val="auto"/>
                      <w:sz w:val="21"/>
                      <w:szCs w:val="21"/>
                    </w:rPr>
                    <w:t>1</w:t>
                  </w:r>
                </w:p>
              </w:tc>
              <w:tc>
                <w:tcPr>
                  <w:tcW w:w="315" w:type="pct"/>
                  <w:vAlign w:val="center"/>
                </w:tcPr>
                <w:p w14:paraId="061D8DFE">
                  <w:pPr>
                    <w:adjustRightInd w:val="0"/>
                    <w:snapToGrid w:val="0"/>
                    <w:spacing w:line="240" w:lineRule="auto"/>
                    <w:ind w:firstLine="0" w:firstLineChars="0"/>
                    <w:jc w:val="center"/>
                    <w:rPr>
                      <w:color w:val="auto"/>
                      <w:sz w:val="21"/>
                      <w:szCs w:val="21"/>
                    </w:rPr>
                  </w:pPr>
                  <w:r>
                    <w:rPr>
                      <w:color w:val="auto"/>
                      <w:sz w:val="21"/>
                      <w:szCs w:val="21"/>
                    </w:rPr>
                    <w:t>生活污水</w:t>
                  </w:r>
                </w:p>
              </w:tc>
              <w:tc>
                <w:tcPr>
                  <w:tcW w:w="435" w:type="pct"/>
                  <w:vAlign w:val="center"/>
                </w:tcPr>
                <w:p w14:paraId="73D6B268">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color w:val="auto"/>
                      <w:sz w:val="21"/>
                      <w:szCs w:val="21"/>
                    </w:rPr>
                  </w:pPr>
                  <w:r>
                    <w:rPr>
                      <w:color w:val="auto"/>
                      <w:sz w:val="21"/>
                      <w:szCs w:val="21"/>
                    </w:rPr>
                    <w:t>COD</w:t>
                  </w:r>
                </w:p>
                <w:p w14:paraId="0E005C88">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rFonts w:hint="eastAsia"/>
                      <w:color w:val="auto"/>
                      <w:sz w:val="21"/>
                      <w:szCs w:val="21"/>
                      <w:vertAlign w:val="subscript"/>
                      <w:lang w:val="en-US" w:eastAsia="zh-CN"/>
                    </w:rPr>
                  </w:pPr>
                  <w:r>
                    <w:rPr>
                      <w:rFonts w:hint="eastAsia"/>
                      <w:color w:val="auto"/>
                      <w:sz w:val="21"/>
                      <w:szCs w:val="21"/>
                      <w:lang w:val="en-US" w:eastAsia="zh-CN"/>
                    </w:rPr>
                    <w:t>BOD</w:t>
                  </w:r>
                  <w:r>
                    <w:rPr>
                      <w:rFonts w:hint="eastAsia"/>
                      <w:color w:val="auto"/>
                      <w:sz w:val="21"/>
                      <w:szCs w:val="21"/>
                      <w:vertAlign w:val="subscript"/>
                      <w:lang w:val="en-US" w:eastAsia="zh-CN"/>
                    </w:rPr>
                    <w:t>5</w:t>
                  </w:r>
                </w:p>
                <w:p w14:paraId="3D4E1BED">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color w:val="auto"/>
                      <w:sz w:val="21"/>
                      <w:szCs w:val="21"/>
                    </w:rPr>
                  </w:pPr>
                  <w:r>
                    <w:rPr>
                      <w:color w:val="auto"/>
                      <w:sz w:val="21"/>
                      <w:szCs w:val="21"/>
                    </w:rPr>
                    <w:t>SS</w:t>
                  </w:r>
                </w:p>
                <w:p w14:paraId="24815933">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color w:val="auto"/>
                      <w:sz w:val="21"/>
                      <w:szCs w:val="21"/>
                    </w:rPr>
                  </w:pPr>
                  <w:r>
                    <w:rPr>
                      <w:color w:val="auto"/>
                      <w:sz w:val="21"/>
                      <w:szCs w:val="21"/>
                    </w:rPr>
                    <w:t>氨氮</w:t>
                  </w:r>
                </w:p>
                <w:p w14:paraId="40E082F8">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color w:val="auto"/>
                      <w:sz w:val="21"/>
                      <w:szCs w:val="21"/>
                    </w:rPr>
                  </w:pPr>
                  <w:r>
                    <w:rPr>
                      <w:color w:val="auto"/>
                      <w:sz w:val="21"/>
                      <w:szCs w:val="21"/>
                    </w:rPr>
                    <w:t>总磷</w:t>
                  </w:r>
                </w:p>
                <w:p w14:paraId="06BF896E">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color w:val="auto"/>
                      <w:sz w:val="21"/>
                      <w:szCs w:val="21"/>
                    </w:rPr>
                  </w:pPr>
                  <w:r>
                    <w:rPr>
                      <w:color w:val="auto"/>
                      <w:sz w:val="21"/>
                      <w:szCs w:val="21"/>
                    </w:rPr>
                    <w:t>TN</w:t>
                  </w:r>
                </w:p>
              </w:tc>
              <w:tc>
                <w:tcPr>
                  <w:tcW w:w="400" w:type="pct"/>
                  <w:vAlign w:val="center"/>
                </w:tcPr>
                <w:p w14:paraId="058B8CE4">
                  <w:pPr>
                    <w:adjustRightInd w:val="0"/>
                    <w:snapToGrid w:val="0"/>
                    <w:spacing w:line="240" w:lineRule="auto"/>
                    <w:ind w:firstLine="0" w:firstLineChars="0"/>
                    <w:jc w:val="center"/>
                    <w:rPr>
                      <w:color w:val="auto"/>
                      <w:sz w:val="21"/>
                      <w:szCs w:val="21"/>
                    </w:rPr>
                  </w:pPr>
                  <w:r>
                    <w:rPr>
                      <w:rFonts w:hint="eastAsia"/>
                      <w:color w:val="auto"/>
                      <w:sz w:val="21"/>
                      <w:szCs w:val="21"/>
                    </w:rPr>
                    <w:t>新袁镇</w:t>
                  </w:r>
                  <w:r>
                    <w:rPr>
                      <w:color w:val="auto"/>
                      <w:sz w:val="21"/>
                      <w:szCs w:val="21"/>
                    </w:rPr>
                    <w:t>污水处理厂</w:t>
                  </w:r>
                </w:p>
              </w:tc>
              <w:tc>
                <w:tcPr>
                  <w:tcW w:w="508" w:type="pct"/>
                  <w:vAlign w:val="center"/>
                </w:tcPr>
                <w:p w14:paraId="46299F3A">
                  <w:pPr>
                    <w:adjustRightInd w:val="0"/>
                    <w:snapToGrid w:val="0"/>
                    <w:spacing w:line="240" w:lineRule="auto"/>
                    <w:ind w:firstLine="0" w:firstLineChars="0"/>
                    <w:jc w:val="center"/>
                    <w:rPr>
                      <w:color w:val="auto"/>
                      <w:sz w:val="21"/>
                      <w:szCs w:val="21"/>
                    </w:rPr>
                  </w:pPr>
                  <w:r>
                    <w:rPr>
                      <w:color w:val="auto"/>
                      <w:sz w:val="21"/>
                      <w:szCs w:val="21"/>
                    </w:rPr>
                    <w:t>连续排放、流量稳定</w:t>
                  </w:r>
                </w:p>
              </w:tc>
              <w:tc>
                <w:tcPr>
                  <w:tcW w:w="573" w:type="pct"/>
                  <w:vAlign w:val="center"/>
                </w:tcPr>
                <w:p w14:paraId="3FDE7CB3">
                  <w:pPr>
                    <w:adjustRightInd w:val="0"/>
                    <w:snapToGrid w:val="0"/>
                    <w:spacing w:line="240" w:lineRule="auto"/>
                    <w:ind w:firstLine="0" w:firstLineChars="0"/>
                    <w:jc w:val="center"/>
                    <w:rPr>
                      <w:color w:val="auto"/>
                      <w:sz w:val="21"/>
                      <w:szCs w:val="21"/>
                    </w:rPr>
                  </w:pPr>
                  <w:r>
                    <w:rPr>
                      <w:rFonts w:hint="eastAsia"/>
                      <w:color w:val="auto"/>
                      <w:sz w:val="21"/>
                      <w:szCs w:val="21"/>
                    </w:rPr>
                    <w:t>TW001</w:t>
                  </w:r>
                </w:p>
              </w:tc>
              <w:tc>
                <w:tcPr>
                  <w:tcW w:w="432" w:type="pct"/>
                  <w:vAlign w:val="center"/>
                </w:tcPr>
                <w:p w14:paraId="28497C42">
                  <w:pPr>
                    <w:adjustRightInd w:val="0"/>
                    <w:snapToGrid w:val="0"/>
                    <w:spacing w:line="240" w:lineRule="auto"/>
                    <w:ind w:firstLine="0" w:firstLineChars="0"/>
                    <w:jc w:val="center"/>
                    <w:rPr>
                      <w:color w:val="auto"/>
                      <w:sz w:val="21"/>
                      <w:szCs w:val="21"/>
                    </w:rPr>
                  </w:pPr>
                  <w:r>
                    <w:rPr>
                      <w:color w:val="auto"/>
                      <w:sz w:val="21"/>
                      <w:szCs w:val="21"/>
                    </w:rPr>
                    <w:t>化粪池</w:t>
                  </w:r>
                </w:p>
              </w:tc>
              <w:tc>
                <w:tcPr>
                  <w:tcW w:w="389" w:type="pct"/>
                  <w:vAlign w:val="center"/>
                </w:tcPr>
                <w:p w14:paraId="6142FD24">
                  <w:pPr>
                    <w:adjustRightInd w:val="0"/>
                    <w:snapToGrid w:val="0"/>
                    <w:spacing w:line="240" w:lineRule="auto"/>
                    <w:ind w:firstLine="0" w:firstLineChars="0"/>
                    <w:jc w:val="center"/>
                    <w:rPr>
                      <w:color w:val="auto"/>
                      <w:sz w:val="21"/>
                      <w:szCs w:val="21"/>
                    </w:rPr>
                  </w:pPr>
                  <w:r>
                    <w:rPr>
                      <w:color w:val="auto"/>
                      <w:sz w:val="21"/>
                      <w:szCs w:val="21"/>
                    </w:rPr>
                    <w:t>生活污水处理系统</w:t>
                  </w:r>
                </w:p>
              </w:tc>
              <w:tc>
                <w:tcPr>
                  <w:tcW w:w="524" w:type="pct"/>
                  <w:vAlign w:val="center"/>
                </w:tcPr>
                <w:p w14:paraId="52B150AF">
                  <w:pPr>
                    <w:adjustRightInd w:val="0"/>
                    <w:snapToGrid w:val="0"/>
                    <w:spacing w:line="240" w:lineRule="auto"/>
                    <w:ind w:firstLine="0" w:firstLineChars="0"/>
                    <w:jc w:val="center"/>
                    <w:rPr>
                      <w:color w:val="auto"/>
                      <w:sz w:val="21"/>
                      <w:szCs w:val="21"/>
                    </w:rPr>
                  </w:pPr>
                  <w:r>
                    <w:rPr>
                      <w:color w:val="auto"/>
                      <w:sz w:val="21"/>
                      <w:szCs w:val="21"/>
                    </w:rPr>
                    <w:t>DW001</w:t>
                  </w:r>
                </w:p>
              </w:tc>
              <w:tc>
                <w:tcPr>
                  <w:tcW w:w="592" w:type="pct"/>
                  <w:vAlign w:val="center"/>
                </w:tcPr>
                <w:p w14:paraId="3286C4F6">
                  <w:pPr>
                    <w:adjustRightInd w:val="0"/>
                    <w:snapToGrid w:val="0"/>
                    <w:spacing w:line="240" w:lineRule="auto"/>
                    <w:ind w:firstLine="0" w:firstLineChars="0"/>
                    <w:jc w:val="center"/>
                    <w:rPr>
                      <w:color w:val="auto"/>
                      <w:sz w:val="21"/>
                      <w:szCs w:val="21"/>
                    </w:rPr>
                  </w:pPr>
                  <w:r>
                    <w:rPr>
                      <w:color w:val="auto"/>
                      <w:sz w:val="21"/>
                      <w:szCs w:val="21"/>
                    </w:rPr>
                    <w:sym w:font="Wingdings 2" w:char="0052"/>
                  </w:r>
                  <w:r>
                    <w:rPr>
                      <w:color w:val="auto"/>
                      <w:sz w:val="21"/>
                      <w:szCs w:val="21"/>
                    </w:rPr>
                    <w:t>是</w:t>
                  </w:r>
                </w:p>
                <w:p w14:paraId="36BE0B4A">
                  <w:pPr>
                    <w:pStyle w:val="14"/>
                    <w:adjustRightInd w:val="0"/>
                    <w:spacing w:before="0" w:after="0" w:line="240" w:lineRule="auto"/>
                    <w:ind w:right="0" w:firstLine="0" w:firstLineChars="0"/>
                    <w:jc w:val="center"/>
                    <w:rPr>
                      <w:color w:val="auto"/>
                      <w:kern w:val="2"/>
                      <w:sz w:val="21"/>
                      <w:szCs w:val="21"/>
                    </w:rPr>
                  </w:pPr>
                  <w:r>
                    <w:rPr>
                      <w:color w:val="auto"/>
                      <w:kern w:val="2"/>
                      <w:sz w:val="21"/>
                      <w:szCs w:val="21"/>
                    </w:rPr>
                    <w:sym w:font="Wingdings 2" w:char="00A3"/>
                  </w:r>
                  <w:r>
                    <w:rPr>
                      <w:color w:val="auto"/>
                      <w:kern w:val="2"/>
                      <w:sz w:val="21"/>
                      <w:szCs w:val="21"/>
                    </w:rPr>
                    <w:t>否</w:t>
                  </w:r>
                </w:p>
              </w:tc>
              <w:tc>
                <w:tcPr>
                  <w:tcW w:w="614" w:type="pct"/>
                  <w:vAlign w:val="center"/>
                </w:tcPr>
                <w:p w14:paraId="2A291165">
                  <w:pPr>
                    <w:adjustRightInd w:val="0"/>
                    <w:snapToGrid w:val="0"/>
                    <w:spacing w:line="240" w:lineRule="auto"/>
                    <w:ind w:firstLine="0" w:firstLineChars="0"/>
                    <w:jc w:val="center"/>
                    <w:rPr>
                      <w:color w:val="auto"/>
                      <w:sz w:val="21"/>
                      <w:szCs w:val="21"/>
                    </w:rPr>
                  </w:pPr>
                  <w:r>
                    <w:rPr>
                      <w:color w:val="auto"/>
                      <w:sz w:val="21"/>
                      <w:szCs w:val="21"/>
                    </w:rPr>
                    <w:sym w:font="Wingdings 2" w:char="0052"/>
                  </w:r>
                  <w:r>
                    <w:rPr>
                      <w:color w:val="auto"/>
                      <w:sz w:val="21"/>
                      <w:szCs w:val="21"/>
                    </w:rPr>
                    <w:t>企业总排</w:t>
                  </w:r>
                </w:p>
                <w:p w14:paraId="4CBCDB78">
                  <w:pPr>
                    <w:pStyle w:val="14"/>
                    <w:adjustRightInd w:val="0"/>
                    <w:spacing w:before="0" w:after="0" w:line="240" w:lineRule="auto"/>
                    <w:ind w:right="0" w:firstLine="0" w:firstLineChars="0"/>
                    <w:jc w:val="center"/>
                    <w:rPr>
                      <w:color w:val="auto"/>
                      <w:kern w:val="2"/>
                      <w:sz w:val="21"/>
                      <w:szCs w:val="21"/>
                    </w:rPr>
                  </w:pPr>
                  <w:r>
                    <w:rPr>
                      <w:color w:val="auto"/>
                      <w:kern w:val="2"/>
                      <w:sz w:val="21"/>
                      <w:szCs w:val="21"/>
                    </w:rPr>
                    <w:sym w:font="Wingdings 2" w:char="00A3"/>
                  </w:r>
                  <w:r>
                    <w:rPr>
                      <w:color w:val="auto"/>
                      <w:kern w:val="2"/>
                      <w:sz w:val="21"/>
                      <w:szCs w:val="21"/>
                    </w:rPr>
                    <w:t>雨水排放</w:t>
                  </w:r>
                </w:p>
                <w:p w14:paraId="04425050">
                  <w:pPr>
                    <w:pStyle w:val="14"/>
                    <w:adjustRightInd w:val="0"/>
                    <w:spacing w:before="0" w:after="0" w:line="240" w:lineRule="auto"/>
                    <w:ind w:right="0" w:firstLine="0" w:firstLineChars="0"/>
                    <w:jc w:val="center"/>
                    <w:rPr>
                      <w:color w:val="auto"/>
                      <w:kern w:val="2"/>
                      <w:sz w:val="21"/>
                      <w:szCs w:val="21"/>
                    </w:rPr>
                  </w:pPr>
                  <w:r>
                    <w:rPr>
                      <w:color w:val="auto"/>
                      <w:kern w:val="2"/>
                      <w:sz w:val="21"/>
                      <w:szCs w:val="21"/>
                    </w:rPr>
                    <w:sym w:font="Wingdings 2" w:char="00A3"/>
                  </w:r>
                  <w:r>
                    <w:rPr>
                      <w:color w:val="auto"/>
                      <w:kern w:val="2"/>
                      <w:sz w:val="21"/>
                      <w:szCs w:val="21"/>
                    </w:rPr>
                    <w:t>清净下水排放</w:t>
                  </w:r>
                </w:p>
                <w:p w14:paraId="0BEA7B69">
                  <w:pPr>
                    <w:pStyle w:val="14"/>
                    <w:adjustRightInd w:val="0"/>
                    <w:spacing w:before="0" w:after="0" w:line="240" w:lineRule="auto"/>
                    <w:ind w:right="0" w:firstLine="0" w:firstLineChars="0"/>
                    <w:jc w:val="center"/>
                    <w:rPr>
                      <w:color w:val="auto"/>
                      <w:kern w:val="2"/>
                      <w:sz w:val="21"/>
                      <w:szCs w:val="21"/>
                    </w:rPr>
                  </w:pPr>
                  <w:r>
                    <w:rPr>
                      <w:color w:val="auto"/>
                      <w:kern w:val="2"/>
                      <w:sz w:val="21"/>
                      <w:szCs w:val="21"/>
                    </w:rPr>
                    <w:sym w:font="Wingdings 2" w:char="00A3"/>
                  </w:r>
                  <w:r>
                    <w:rPr>
                      <w:color w:val="auto"/>
                      <w:kern w:val="2"/>
                      <w:sz w:val="21"/>
                      <w:szCs w:val="21"/>
                    </w:rPr>
                    <w:t>温排水排放</w:t>
                  </w:r>
                </w:p>
                <w:p w14:paraId="65AB268F">
                  <w:pPr>
                    <w:pStyle w:val="14"/>
                    <w:adjustRightInd w:val="0"/>
                    <w:spacing w:before="0" w:after="0" w:line="240" w:lineRule="auto"/>
                    <w:ind w:right="0" w:firstLine="0" w:firstLineChars="0"/>
                    <w:jc w:val="center"/>
                    <w:rPr>
                      <w:color w:val="auto"/>
                      <w:kern w:val="2"/>
                      <w:sz w:val="21"/>
                      <w:szCs w:val="21"/>
                    </w:rPr>
                  </w:pPr>
                  <w:r>
                    <w:rPr>
                      <w:color w:val="auto"/>
                      <w:kern w:val="2"/>
                      <w:sz w:val="21"/>
                      <w:szCs w:val="21"/>
                    </w:rPr>
                    <w:sym w:font="Wingdings 2" w:char="00A3"/>
                  </w:r>
                  <w:r>
                    <w:rPr>
                      <w:color w:val="auto"/>
                      <w:kern w:val="2"/>
                      <w:sz w:val="21"/>
                      <w:szCs w:val="21"/>
                    </w:rPr>
                    <w:t>车间或车间处理设置排放口</w:t>
                  </w:r>
                </w:p>
              </w:tc>
            </w:tr>
          </w:tbl>
          <w:p w14:paraId="4133F9AD">
            <w:pPr>
              <w:snapToGrid w:val="0"/>
              <w:spacing w:before="120" w:beforeLines="50" w:line="360" w:lineRule="auto"/>
              <w:ind w:firstLine="480"/>
              <w:rPr>
                <w:b/>
                <w:bCs/>
                <w:color w:val="auto"/>
              </w:rPr>
            </w:pPr>
            <w:r>
              <w:rPr>
                <w:rFonts w:hint="eastAsia"/>
                <w:b/>
                <w:bCs/>
                <w:color w:val="auto"/>
                <w:lang w:val="en-US" w:eastAsia="zh-CN"/>
              </w:rPr>
              <w:t>6.</w:t>
            </w:r>
            <w:r>
              <w:rPr>
                <w:b/>
                <w:bCs/>
                <w:color w:val="auto"/>
              </w:rPr>
              <w:t>废水排放口基本情况</w:t>
            </w:r>
          </w:p>
          <w:p w14:paraId="56B405FA">
            <w:pPr>
              <w:adjustRightInd w:val="0"/>
              <w:snapToGrid w:val="0"/>
              <w:spacing w:line="240" w:lineRule="auto"/>
              <w:ind w:firstLine="0" w:firstLineChars="0"/>
              <w:jc w:val="center"/>
              <w:rPr>
                <w:b/>
                <w:color w:val="auto"/>
                <w:szCs w:val="21"/>
              </w:rPr>
            </w:pPr>
            <w:r>
              <w:rPr>
                <w:b/>
                <w:color w:val="auto"/>
                <w:szCs w:val="21"/>
              </w:rPr>
              <w:t>表4-</w:t>
            </w:r>
            <w:r>
              <w:rPr>
                <w:rFonts w:hint="eastAsia"/>
                <w:b/>
                <w:color w:val="auto"/>
                <w:szCs w:val="21"/>
                <w:lang w:val="en-US" w:eastAsia="zh-CN"/>
              </w:rPr>
              <w:t>18</w:t>
            </w:r>
            <w:r>
              <w:rPr>
                <w:b/>
                <w:color w:val="auto"/>
                <w:szCs w:val="21"/>
              </w:rPr>
              <w:t>废水间接排放口基本情况表</w:t>
            </w:r>
          </w:p>
          <w:tbl>
            <w:tblPr>
              <w:tblStyle w:val="38"/>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57" w:type="dxa"/>
                <w:bottom w:w="0" w:type="dxa"/>
                <w:right w:w="57" w:type="dxa"/>
              </w:tblCellMar>
            </w:tblPr>
            <w:tblGrid>
              <w:gridCol w:w="421"/>
              <w:gridCol w:w="779"/>
              <w:gridCol w:w="752"/>
              <w:gridCol w:w="761"/>
              <w:gridCol w:w="786"/>
              <w:gridCol w:w="800"/>
              <w:gridCol w:w="801"/>
              <w:gridCol w:w="520"/>
              <w:gridCol w:w="829"/>
              <w:gridCol w:w="932"/>
              <w:gridCol w:w="720"/>
              <w:gridCol w:w="721"/>
            </w:tblGrid>
            <w:tr w14:paraId="19E2885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21" w:type="dxa"/>
                  <w:vMerge w:val="restart"/>
                  <w:vAlign w:val="center"/>
                </w:tcPr>
                <w:p w14:paraId="509F21BA">
                  <w:pPr>
                    <w:adjustRightInd w:val="0"/>
                    <w:snapToGrid w:val="0"/>
                    <w:spacing w:line="240" w:lineRule="auto"/>
                    <w:ind w:firstLine="0" w:firstLineChars="0"/>
                    <w:jc w:val="center"/>
                    <w:rPr>
                      <w:color w:val="auto"/>
                      <w:sz w:val="21"/>
                      <w:szCs w:val="21"/>
                    </w:rPr>
                  </w:pPr>
                  <w:r>
                    <w:rPr>
                      <w:color w:val="auto"/>
                      <w:sz w:val="21"/>
                      <w:szCs w:val="21"/>
                    </w:rPr>
                    <w:t>序号</w:t>
                  </w:r>
                </w:p>
              </w:tc>
              <w:tc>
                <w:tcPr>
                  <w:tcW w:w="779" w:type="dxa"/>
                  <w:vMerge w:val="restart"/>
                  <w:vAlign w:val="center"/>
                </w:tcPr>
                <w:p w14:paraId="35835FC5">
                  <w:pPr>
                    <w:adjustRightInd w:val="0"/>
                    <w:snapToGrid w:val="0"/>
                    <w:spacing w:line="240" w:lineRule="auto"/>
                    <w:ind w:firstLine="0" w:firstLineChars="0"/>
                    <w:jc w:val="center"/>
                    <w:rPr>
                      <w:color w:val="auto"/>
                      <w:sz w:val="21"/>
                      <w:szCs w:val="21"/>
                    </w:rPr>
                  </w:pPr>
                  <w:r>
                    <w:rPr>
                      <w:color w:val="auto"/>
                      <w:sz w:val="21"/>
                      <w:szCs w:val="21"/>
                    </w:rPr>
                    <w:t>排放口</w:t>
                  </w:r>
                </w:p>
                <w:p w14:paraId="6F936AA8">
                  <w:pPr>
                    <w:adjustRightInd w:val="0"/>
                    <w:snapToGrid w:val="0"/>
                    <w:spacing w:line="240" w:lineRule="auto"/>
                    <w:ind w:firstLine="0" w:firstLineChars="0"/>
                    <w:jc w:val="center"/>
                    <w:rPr>
                      <w:color w:val="auto"/>
                      <w:sz w:val="21"/>
                      <w:szCs w:val="21"/>
                    </w:rPr>
                  </w:pPr>
                  <w:r>
                    <w:rPr>
                      <w:color w:val="auto"/>
                      <w:sz w:val="21"/>
                      <w:szCs w:val="21"/>
                    </w:rPr>
                    <w:t>编号</w:t>
                  </w:r>
                </w:p>
              </w:tc>
              <w:tc>
                <w:tcPr>
                  <w:tcW w:w="1513" w:type="dxa"/>
                  <w:gridSpan w:val="2"/>
                  <w:vAlign w:val="center"/>
                </w:tcPr>
                <w:p w14:paraId="6AB79B1C">
                  <w:pPr>
                    <w:adjustRightInd w:val="0"/>
                    <w:snapToGrid w:val="0"/>
                    <w:spacing w:line="240" w:lineRule="auto"/>
                    <w:ind w:firstLine="0" w:firstLineChars="0"/>
                    <w:jc w:val="center"/>
                    <w:rPr>
                      <w:color w:val="auto"/>
                      <w:sz w:val="21"/>
                      <w:szCs w:val="21"/>
                    </w:rPr>
                  </w:pPr>
                  <w:r>
                    <w:rPr>
                      <w:color w:val="auto"/>
                      <w:sz w:val="21"/>
                      <w:szCs w:val="21"/>
                    </w:rPr>
                    <w:t>排放口地理坐标</w:t>
                  </w:r>
                  <w:r>
                    <w:rPr>
                      <w:rFonts w:hint="eastAsia"/>
                      <w:color w:val="auto"/>
                      <w:sz w:val="21"/>
                      <w:szCs w:val="21"/>
                      <w:lang w:eastAsia="zh-CN"/>
                    </w:rPr>
                    <w:t>（</w:t>
                  </w:r>
                  <w:r>
                    <w:rPr>
                      <w:color w:val="auto"/>
                      <w:sz w:val="21"/>
                      <w:szCs w:val="21"/>
                    </w:rPr>
                    <w:t>a</w:t>
                  </w:r>
                  <w:r>
                    <w:rPr>
                      <w:rFonts w:hint="eastAsia"/>
                      <w:color w:val="auto"/>
                      <w:sz w:val="21"/>
                      <w:szCs w:val="21"/>
                      <w:lang w:eastAsia="zh-CN"/>
                    </w:rPr>
                    <w:t>）</w:t>
                  </w:r>
                </w:p>
              </w:tc>
              <w:tc>
                <w:tcPr>
                  <w:tcW w:w="786" w:type="dxa"/>
                  <w:vMerge w:val="restart"/>
                  <w:vAlign w:val="center"/>
                </w:tcPr>
                <w:p w14:paraId="499BA33C">
                  <w:pPr>
                    <w:adjustRightInd w:val="0"/>
                    <w:snapToGrid w:val="0"/>
                    <w:spacing w:line="240" w:lineRule="auto"/>
                    <w:ind w:firstLine="0" w:firstLineChars="0"/>
                    <w:jc w:val="center"/>
                    <w:rPr>
                      <w:color w:val="auto"/>
                      <w:sz w:val="21"/>
                      <w:szCs w:val="21"/>
                    </w:rPr>
                  </w:pPr>
                  <w:r>
                    <w:rPr>
                      <w:color w:val="auto"/>
                      <w:sz w:val="21"/>
                      <w:szCs w:val="21"/>
                    </w:rPr>
                    <w:t>废水排放量/</w:t>
                  </w:r>
                </w:p>
                <w:p w14:paraId="0CDA2DB3">
                  <w:pPr>
                    <w:adjustRightInd w:val="0"/>
                    <w:snapToGrid w:val="0"/>
                    <w:spacing w:line="240" w:lineRule="auto"/>
                    <w:ind w:firstLine="0" w:firstLineChars="0"/>
                    <w:jc w:val="center"/>
                    <w:rPr>
                      <w:color w:val="auto"/>
                      <w:sz w:val="21"/>
                      <w:szCs w:val="21"/>
                    </w:rPr>
                  </w:pPr>
                  <w:r>
                    <w:rPr>
                      <w:color w:val="auto"/>
                      <w:sz w:val="21"/>
                      <w:szCs w:val="21"/>
                    </w:rPr>
                    <w:t>（万t/a）</w:t>
                  </w:r>
                </w:p>
              </w:tc>
              <w:tc>
                <w:tcPr>
                  <w:tcW w:w="800" w:type="dxa"/>
                  <w:vMerge w:val="restart"/>
                  <w:vAlign w:val="center"/>
                </w:tcPr>
                <w:p w14:paraId="58C56A25">
                  <w:pPr>
                    <w:adjustRightInd w:val="0"/>
                    <w:snapToGrid w:val="0"/>
                    <w:spacing w:line="240" w:lineRule="auto"/>
                    <w:ind w:firstLine="0" w:firstLineChars="0"/>
                    <w:jc w:val="center"/>
                    <w:rPr>
                      <w:color w:val="auto"/>
                      <w:sz w:val="21"/>
                      <w:szCs w:val="21"/>
                    </w:rPr>
                  </w:pPr>
                  <w:r>
                    <w:rPr>
                      <w:color w:val="auto"/>
                      <w:sz w:val="21"/>
                      <w:szCs w:val="21"/>
                    </w:rPr>
                    <w:t>排放去向</w:t>
                  </w:r>
                </w:p>
              </w:tc>
              <w:tc>
                <w:tcPr>
                  <w:tcW w:w="801" w:type="dxa"/>
                  <w:vMerge w:val="restart"/>
                  <w:vAlign w:val="center"/>
                </w:tcPr>
                <w:p w14:paraId="6DE39630">
                  <w:pPr>
                    <w:adjustRightInd w:val="0"/>
                    <w:snapToGrid w:val="0"/>
                    <w:spacing w:line="240" w:lineRule="auto"/>
                    <w:ind w:firstLine="0" w:firstLineChars="0"/>
                    <w:jc w:val="center"/>
                    <w:rPr>
                      <w:color w:val="auto"/>
                      <w:sz w:val="21"/>
                      <w:szCs w:val="21"/>
                    </w:rPr>
                  </w:pPr>
                  <w:r>
                    <w:rPr>
                      <w:color w:val="auto"/>
                      <w:sz w:val="21"/>
                      <w:szCs w:val="21"/>
                    </w:rPr>
                    <w:t>排放规律</w:t>
                  </w:r>
                </w:p>
              </w:tc>
              <w:tc>
                <w:tcPr>
                  <w:tcW w:w="520" w:type="dxa"/>
                  <w:vMerge w:val="restart"/>
                  <w:vAlign w:val="center"/>
                </w:tcPr>
                <w:p w14:paraId="7F6E9C9A">
                  <w:pPr>
                    <w:adjustRightInd w:val="0"/>
                    <w:snapToGrid w:val="0"/>
                    <w:spacing w:line="240" w:lineRule="auto"/>
                    <w:ind w:firstLine="0" w:firstLineChars="0"/>
                    <w:jc w:val="center"/>
                    <w:rPr>
                      <w:color w:val="auto"/>
                      <w:sz w:val="21"/>
                      <w:szCs w:val="21"/>
                    </w:rPr>
                  </w:pPr>
                  <w:r>
                    <w:rPr>
                      <w:color w:val="auto"/>
                      <w:sz w:val="21"/>
                      <w:szCs w:val="21"/>
                    </w:rPr>
                    <w:t>间歇排</w:t>
                  </w:r>
                </w:p>
                <w:p w14:paraId="78E8B163">
                  <w:pPr>
                    <w:adjustRightInd w:val="0"/>
                    <w:snapToGrid w:val="0"/>
                    <w:spacing w:line="240" w:lineRule="auto"/>
                    <w:ind w:firstLine="0" w:firstLineChars="0"/>
                    <w:jc w:val="center"/>
                    <w:rPr>
                      <w:color w:val="auto"/>
                      <w:sz w:val="21"/>
                      <w:szCs w:val="21"/>
                    </w:rPr>
                  </w:pPr>
                  <w:r>
                    <w:rPr>
                      <w:color w:val="auto"/>
                      <w:sz w:val="21"/>
                      <w:szCs w:val="21"/>
                    </w:rPr>
                    <w:t>放时段</w:t>
                  </w:r>
                </w:p>
              </w:tc>
              <w:tc>
                <w:tcPr>
                  <w:tcW w:w="3202" w:type="dxa"/>
                  <w:gridSpan w:val="4"/>
                  <w:vAlign w:val="center"/>
                </w:tcPr>
                <w:p w14:paraId="3376C104">
                  <w:pPr>
                    <w:adjustRightInd w:val="0"/>
                    <w:snapToGrid w:val="0"/>
                    <w:spacing w:line="240" w:lineRule="auto"/>
                    <w:ind w:firstLine="0" w:firstLineChars="0"/>
                    <w:jc w:val="center"/>
                    <w:rPr>
                      <w:color w:val="auto"/>
                      <w:sz w:val="21"/>
                      <w:szCs w:val="21"/>
                    </w:rPr>
                  </w:pPr>
                  <w:r>
                    <w:rPr>
                      <w:color w:val="auto"/>
                      <w:sz w:val="21"/>
                      <w:szCs w:val="21"/>
                    </w:rPr>
                    <w:t>受纳污水处理厂信息</w:t>
                  </w:r>
                </w:p>
              </w:tc>
            </w:tr>
            <w:tr w14:paraId="2755F5A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1359" w:hRule="atLeast"/>
                <w:jc w:val="center"/>
              </w:trPr>
              <w:tc>
                <w:tcPr>
                  <w:tcW w:w="421" w:type="dxa"/>
                  <w:vMerge w:val="continue"/>
                  <w:vAlign w:val="center"/>
                </w:tcPr>
                <w:p w14:paraId="40167CAA">
                  <w:pPr>
                    <w:adjustRightInd w:val="0"/>
                    <w:snapToGrid w:val="0"/>
                    <w:spacing w:line="240" w:lineRule="auto"/>
                    <w:ind w:firstLine="0" w:firstLineChars="0"/>
                    <w:jc w:val="center"/>
                    <w:rPr>
                      <w:color w:val="auto"/>
                      <w:sz w:val="21"/>
                      <w:szCs w:val="21"/>
                    </w:rPr>
                  </w:pPr>
                </w:p>
              </w:tc>
              <w:tc>
                <w:tcPr>
                  <w:tcW w:w="779" w:type="dxa"/>
                  <w:vMerge w:val="continue"/>
                  <w:vAlign w:val="center"/>
                </w:tcPr>
                <w:p w14:paraId="7935D003">
                  <w:pPr>
                    <w:adjustRightInd w:val="0"/>
                    <w:snapToGrid w:val="0"/>
                    <w:spacing w:line="240" w:lineRule="auto"/>
                    <w:ind w:firstLine="0" w:firstLineChars="0"/>
                    <w:jc w:val="center"/>
                    <w:rPr>
                      <w:color w:val="auto"/>
                      <w:sz w:val="21"/>
                      <w:szCs w:val="21"/>
                    </w:rPr>
                  </w:pPr>
                </w:p>
              </w:tc>
              <w:tc>
                <w:tcPr>
                  <w:tcW w:w="752" w:type="dxa"/>
                  <w:vMerge w:val="restart"/>
                  <w:vAlign w:val="center"/>
                </w:tcPr>
                <w:p w14:paraId="765D3C3C">
                  <w:pPr>
                    <w:adjustRightInd w:val="0"/>
                    <w:snapToGrid w:val="0"/>
                    <w:spacing w:line="240" w:lineRule="auto"/>
                    <w:ind w:firstLine="0" w:firstLineChars="0"/>
                    <w:jc w:val="center"/>
                    <w:rPr>
                      <w:color w:val="auto"/>
                      <w:sz w:val="21"/>
                      <w:szCs w:val="21"/>
                    </w:rPr>
                  </w:pPr>
                  <w:r>
                    <w:rPr>
                      <w:color w:val="auto"/>
                      <w:sz w:val="21"/>
                      <w:szCs w:val="21"/>
                    </w:rPr>
                    <w:t>经度</w:t>
                  </w:r>
                </w:p>
              </w:tc>
              <w:tc>
                <w:tcPr>
                  <w:tcW w:w="761" w:type="dxa"/>
                  <w:vMerge w:val="restart"/>
                  <w:vAlign w:val="center"/>
                </w:tcPr>
                <w:p w14:paraId="1E0F6DAA">
                  <w:pPr>
                    <w:adjustRightInd w:val="0"/>
                    <w:snapToGrid w:val="0"/>
                    <w:spacing w:line="240" w:lineRule="auto"/>
                    <w:ind w:firstLine="0" w:firstLineChars="0"/>
                    <w:jc w:val="center"/>
                    <w:rPr>
                      <w:color w:val="auto"/>
                      <w:sz w:val="21"/>
                      <w:szCs w:val="21"/>
                    </w:rPr>
                  </w:pPr>
                  <w:r>
                    <w:rPr>
                      <w:color w:val="auto"/>
                      <w:sz w:val="21"/>
                      <w:szCs w:val="21"/>
                    </w:rPr>
                    <w:t>纬度</w:t>
                  </w:r>
                </w:p>
              </w:tc>
              <w:tc>
                <w:tcPr>
                  <w:tcW w:w="786" w:type="dxa"/>
                  <w:vMerge w:val="continue"/>
                  <w:vAlign w:val="center"/>
                </w:tcPr>
                <w:p w14:paraId="62EDC27D">
                  <w:pPr>
                    <w:adjustRightInd w:val="0"/>
                    <w:snapToGrid w:val="0"/>
                    <w:spacing w:line="240" w:lineRule="auto"/>
                    <w:ind w:firstLine="0" w:firstLineChars="0"/>
                    <w:jc w:val="center"/>
                    <w:rPr>
                      <w:color w:val="auto"/>
                      <w:sz w:val="21"/>
                      <w:szCs w:val="21"/>
                    </w:rPr>
                  </w:pPr>
                </w:p>
              </w:tc>
              <w:tc>
                <w:tcPr>
                  <w:tcW w:w="800" w:type="dxa"/>
                  <w:vMerge w:val="continue"/>
                  <w:vAlign w:val="center"/>
                </w:tcPr>
                <w:p w14:paraId="1FDD6B7E">
                  <w:pPr>
                    <w:adjustRightInd w:val="0"/>
                    <w:snapToGrid w:val="0"/>
                    <w:spacing w:line="240" w:lineRule="auto"/>
                    <w:ind w:firstLine="0" w:firstLineChars="0"/>
                    <w:jc w:val="center"/>
                    <w:rPr>
                      <w:color w:val="auto"/>
                      <w:sz w:val="21"/>
                      <w:szCs w:val="21"/>
                    </w:rPr>
                  </w:pPr>
                </w:p>
              </w:tc>
              <w:tc>
                <w:tcPr>
                  <w:tcW w:w="801" w:type="dxa"/>
                  <w:vMerge w:val="continue"/>
                  <w:vAlign w:val="center"/>
                </w:tcPr>
                <w:p w14:paraId="17A981E1">
                  <w:pPr>
                    <w:adjustRightInd w:val="0"/>
                    <w:snapToGrid w:val="0"/>
                    <w:spacing w:line="240" w:lineRule="auto"/>
                    <w:ind w:firstLine="0" w:firstLineChars="0"/>
                    <w:jc w:val="center"/>
                    <w:rPr>
                      <w:color w:val="auto"/>
                      <w:sz w:val="21"/>
                      <w:szCs w:val="21"/>
                    </w:rPr>
                  </w:pPr>
                </w:p>
              </w:tc>
              <w:tc>
                <w:tcPr>
                  <w:tcW w:w="520" w:type="dxa"/>
                  <w:vMerge w:val="continue"/>
                  <w:vAlign w:val="center"/>
                </w:tcPr>
                <w:p w14:paraId="68FB6ED7">
                  <w:pPr>
                    <w:adjustRightInd w:val="0"/>
                    <w:snapToGrid w:val="0"/>
                    <w:spacing w:line="240" w:lineRule="auto"/>
                    <w:ind w:firstLine="0" w:firstLineChars="0"/>
                    <w:jc w:val="center"/>
                    <w:rPr>
                      <w:color w:val="auto"/>
                      <w:sz w:val="21"/>
                      <w:szCs w:val="21"/>
                    </w:rPr>
                  </w:pPr>
                </w:p>
              </w:tc>
              <w:tc>
                <w:tcPr>
                  <w:tcW w:w="829" w:type="dxa"/>
                  <w:vMerge w:val="restart"/>
                  <w:vAlign w:val="center"/>
                </w:tcPr>
                <w:p w14:paraId="752888F2">
                  <w:pPr>
                    <w:adjustRightInd w:val="0"/>
                    <w:snapToGrid w:val="0"/>
                    <w:spacing w:line="240" w:lineRule="auto"/>
                    <w:ind w:firstLine="0" w:firstLineChars="0"/>
                    <w:jc w:val="center"/>
                    <w:rPr>
                      <w:color w:val="auto"/>
                      <w:sz w:val="21"/>
                      <w:szCs w:val="21"/>
                    </w:rPr>
                  </w:pPr>
                  <w:r>
                    <w:rPr>
                      <w:color w:val="auto"/>
                      <w:sz w:val="21"/>
                      <w:szCs w:val="21"/>
                    </w:rPr>
                    <w:t>名称</w:t>
                  </w:r>
                  <w:r>
                    <w:rPr>
                      <w:rFonts w:hint="eastAsia"/>
                      <w:color w:val="auto"/>
                      <w:sz w:val="21"/>
                      <w:szCs w:val="21"/>
                      <w:lang w:eastAsia="zh-CN"/>
                    </w:rPr>
                    <w:t>（</w:t>
                  </w:r>
                  <w:r>
                    <w:rPr>
                      <w:color w:val="auto"/>
                      <w:sz w:val="21"/>
                      <w:szCs w:val="21"/>
                    </w:rPr>
                    <w:t>b</w:t>
                  </w:r>
                  <w:r>
                    <w:rPr>
                      <w:rFonts w:hint="eastAsia"/>
                      <w:color w:val="auto"/>
                      <w:sz w:val="21"/>
                      <w:szCs w:val="21"/>
                      <w:lang w:eastAsia="zh-CN"/>
                    </w:rPr>
                    <w:t>）</w:t>
                  </w:r>
                </w:p>
              </w:tc>
              <w:tc>
                <w:tcPr>
                  <w:tcW w:w="932" w:type="dxa"/>
                  <w:vMerge w:val="restart"/>
                  <w:vAlign w:val="center"/>
                </w:tcPr>
                <w:p w14:paraId="1DFC418A">
                  <w:pPr>
                    <w:adjustRightInd w:val="0"/>
                    <w:snapToGrid w:val="0"/>
                    <w:spacing w:line="240" w:lineRule="auto"/>
                    <w:ind w:firstLine="0" w:firstLineChars="0"/>
                    <w:jc w:val="center"/>
                    <w:rPr>
                      <w:color w:val="auto"/>
                      <w:sz w:val="21"/>
                      <w:szCs w:val="21"/>
                    </w:rPr>
                  </w:pPr>
                  <w:r>
                    <w:rPr>
                      <w:color w:val="auto"/>
                      <w:sz w:val="21"/>
                      <w:szCs w:val="21"/>
                    </w:rPr>
                    <w:t>污染物种类</w:t>
                  </w:r>
                </w:p>
              </w:tc>
              <w:tc>
                <w:tcPr>
                  <w:tcW w:w="1441" w:type="dxa"/>
                  <w:gridSpan w:val="2"/>
                  <w:vAlign w:val="center"/>
                </w:tcPr>
                <w:p w14:paraId="767DDCC0">
                  <w:pPr>
                    <w:adjustRightInd w:val="0"/>
                    <w:snapToGrid w:val="0"/>
                    <w:spacing w:line="240" w:lineRule="auto"/>
                    <w:ind w:firstLine="0" w:firstLineChars="0"/>
                    <w:jc w:val="center"/>
                    <w:rPr>
                      <w:color w:val="auto"/>
                      <w:sz w:val="21"/>
                      <w:szCs w:val="21"/>
                    </w:rPr>
                  </w:pPr>
                  <w:r>
                    <w:rPr>
                      <w:color w:val="auto"/>
                      <w:sz w:val="21"/>
                      <w:szCs w:val="21"/>
                    </w:rPr>
                    <w:t>国家或地方污染物排放标准浓度限值/（mg/L）</w:t>
                  </w:r>
                </w:p>
              </w:tc>
            </w:tr>
            <w:tr w14:paraId="54FFF1F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1359" w:hRule="atLeast"/>
                <w:jc w:val="center"/>
              </w:trPr>
              <w:tc>
                <w:tcPr>
                  <w:tcW w:w="421" w:type="dxa"/>
                  <w:vMerge w:val="continue"/>
                  <w:vAlign w:val="center"/>
                </w:tcPr>
                <w:p w14:paraId="0E745402">
                  <w:pPr>
                    <w:adjustRightInd w:val="0"/>
                    <w:snapToGrid w:val="0"/>
                    <w:spacing w:line="240" w:lineRule="auto"/>
                    <w:ind w:firstLine="0" w:firstLineChars="0"/>
                    <w:jc w:val="center"/>
                  </w:pPr>
                </w:p>
              </w:tc>
              <w:tc>
                <w:tcPr>
                  <w:tcW w:w="779" w:type="dxa"/>
                  <w:vMerge w:val="continue"/>
                  <w:vAlign w:val="center"/>
                </w:tcPr>
                <w:p w14:paraId="54D5D7AE">
                  <w:pPr>
                    <w:adjustRightInd w:val="0"/>
                    <w:snapToGrid w:val="0"/>
                    <w:spacing w:line="240" w:lineRule="auto"/>
                    <w:ind w:firstLine="0" w:firstLineChars="0"/>
                    <w:jc w:val="center"/>
                  </w:pPr>
                </w:p>
              </w:tc>
              <w:tc>
                <w:tcPr>
                  <w:tcW w:w="752" w:type="dxa"/>
                  <w:vMerge w:val="continue"/>
                  <w:vAlign w:val="center"/>
                </w:tcPr>
                <w:p w14:paraId="1239BC85">
                  <w:pPr>
                    <w:adjustRightInd w:val="0"/>
                    <w:snapToGrid w:val="0"/>
                    <w:spacing w:line="240" w:lineRule="auto"/>
                    <w:ind w:firstLine="0" w:firstLineChars="0"/>
                    <w:jc w:val="center"/>
                  </w:pPr>
                </w:p>
              </w:tc>
              <w:tc>
                <w:tcPr>
                  <w:tcW w:w="761" w:type="dxa"/>
                  <w:vMerge w:val="continue"/>
                  <w:vAlign w:val="center"/>
                </w:tcPr>
                <w:p w14:paraId="5CDBC7EE">
                  <w:pPr>
                    <w:adjustRightInd w:val="0"/>
                    <w:snapToGrid w:val="0"/>
                    <w:spacing w:line="240" w:lineRule="auto"/>
                    <w:ind w:firstLine="0" w:firstLineChars="0"/>
                    <w:jc w:val="center"/>
                  </w:pPr>
                </w:p>
              </w:tc>
              <w:tc>
                <w:tcPr>
                  <w:tcW w:w="786" w:type="dxa"/>
                  <w:vMerge w:val="continue"/>
                  <w:vAlign w:val="center"/>
                </w:tcPr>
                <w:p w14:paraId="0D35B5A1">
                  <w:pPr>
                    <w:adjustRightInd w:val="0"/>
                    <w:snapToGrid w:val="0"/>
                    <w:spacing w:line="240" w:lineRule="auto"/>
                    <w:ind w:firstLine="0" w:firstLineChars="0"/>
                    <w:jc w:val="center"/>
                  </w:pPr>
                </w:p>
              </w:tc>
              <w:tc>
                <w:tcPr>
                  <w:tcW w:w="800" w:type="dxa"/>
                  <w:vMerge w:val="continue"/>
                  <w:vAlign w:val="center"/>
                </w:tcPr>
                <w:p w14:paraId="65BB6B61">
                  <w:pPr>
                    <w:adjustRightInd w:val="0"/>
                    <w:snapToGrid w:val="0"/>
                    <w:spacing w:line="240" w:lineRule="auto"/>
                    <w:ind w:firstLine="0" w:firstLineChars="0"/>
                    <w:jc w:val="center"/>
                  </w:pPr>
                </w:p>
              </w:tc>
              <w:tc>
                <w:tcPr>
                  <w:tcW w:w="801" w:type="dxa"/>
                  <w:vMerge w:val="continue"/>
                  <w:vAlign w:val="center"/>
                </w:tcPr>
                <w:p w14:paraId="47214063">
                  <w:pPr>
                    <w:adjustRightInd w:val="0"/>
                    <w:snapToGrid w:val="0"/>
                    <w:spacing w:line="240" w:lineRule="auto"/>
                    <w:ind w:firstLine="0" w:firstLineChars="0"/>
                    <w:jc w:val="center"/>
                  </w:pPr>
                </w:p>
              </w:tc>
              <w:tc>
                <w:tcPr>
                  <w:tcW w:w="520" w:type="dxa"/>
                  <w:vMerge w:val="continue"/>
                  <w:vAlign w:val="center"/>
                </w:tcPr>
                <w:p w14:paraId="179DEAAD">
                  <w:pPr>
                    <w:adjustRightInd w:val="0"/>
                    <w:snapToGrid w:val="0"/>
                    <w:spacing w:line="240" w:lineRule="auto"/>
                    <w:ind w:firstLine="0" w:firstLineChars="0"/>
                    <w:jc w:val="center"/>
                  </w:pPr>
                </w:p>
              </w:tc>
              <w:tc>
                <w:tcPr>
                  <w:tcW w:w="829" w:type="dxa"/>
                  <w:vMerge w:val="continue"/>
                  <w:vAlign w:val="center"/>
                </w:tcPr>
                <w:p w14:paraId="176DF6B6">
                  <w:pPr>
                    <w:adjustRightInd w:val="0"/>
                    <w:snapToGrid w:val="0"/>
                    <w:spacing w:line="240" w:lineRule="auto"/>
                    <w:ind w:firstLine="0" w:firstLineChars="0"/>
                    <w:jc w:val="center"/>
                  </w:pPr>
                </w:p>
              </w:tc>
              <w:tc>
                <w:tcPr>
                  <w:tcW w:w="932" w:type="dxa"/>
                  <w:vMerge w:val="continue"/>
                  <w:vAlign w:val="center"/>
                </w:tcPr>
                <w:p w14:paraId="131CC22F">
                  <w:pPr>
                    <w:adjustRightInd w:val="0"/>
                    <w:snapToGrid w:val="0"/>
                    <w:spacing w:line="240" w:lineRule="auto"/>
                    <w:ind w:firstLine="0" w:firstLineChars="0"/>
                    <w:jc w:val="center"/>
                  </w:pPr>
                </w:p>
              </w:tc>
              <w:tc>
                <w:tcPr>
                  <w:tcW w:w="720" w:type="dxa"/>
                  <w:vAlign w:val="center"/>
                </w:tcPr>
                <w:p w14:paraId="60816A4F">
                  <w:pPr>
                    <w:adjustRightInd w:val="0"/>
                    <w:snapToGrid w:val="0"/>
                    <w:spacing w:line="240" w:lineRule="auto"/>
                    <w:ind w:firstLine="0" w:firstLineChars="0"/>
                    <w:jc w:val="center"/>
                    <w:rPr>
                      <w:color w:val="auto"/>
                      <w:sz w:val="21"/>
                      <w:szCs w:val="21"/>
                    </w:rPr>
                  </w:pPr>
                  <w:r>
                    <w:rPr>
                      <w:rFonts w:hint="eastAsia"/>
                      <w:color w:val="auto"/>
                      <w:sz w:val="21"/>
                      <w:szCs w:val="21"/>
                    </w:rPr>
                    <w:t>（GB18918-2002）中表1一级A标准</w:t>
                  </w:r>
                </w:p>
              </w:tc>
              <w:tc>
                <w:tcPr>
                  <w:tcW w:w="721" w:type="dxa"/>
                  <w:vAlign w:val="center"/>
                </w:tcPr>
                <w:p w14:paraId="6A0D6656">
                  <w:pPr>
                    <w:adjustRightInd w:val="0"/>
                    <w:snapToGrid w:val="0"/>
                    <w:spacing w:line="240" w:lineRule="auto"/>
                    <w:ind w:firstLine="0" w:firstLineChars="0"/>
                    <w:jc w:val="center"/>
                    <w:rPr>
                      <w:rFonts w:hint="eastAsia"/>
                      <w:color w:val="auto"/>
                      <w:sz w:val="21"/>
                      <w:szCs w:val="21"/>
                      <w:lang w:eastAsia="zh-CN"/>
                    </w:rPr>
                  </w:pPr>
                  <w:r>
                    <w:rPr>
                      <w:rFonts w:hint="eastAsia"/>
                      <w:color w:val="auto"/>
                      <w:sz w:val="21"/>
                      <w:szCs w:val="21"/>
                      <w:lang w:eastAsia="zh-CN"/>
                    </w:rPr>
                    <w:t>（DB32/4440-2022）中表1一级C标准）</w:t>
                  </w:r>
                </w:p>
              </w:tc>
            </w:tr>
            <w:tr w14:paraId="40957A1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97" w:hRule="atLeast"/>
                <w:jc w:val="center"/>
              </w:trPr>
              <w:tc>
                <w:tcPr>
                  <w:tcW w:w="421" w:type="dxa"/>
                  <w:vAlign w:val="center"/>
                </w:tcPr>
                <w:p w14:paraId="56D8A166">
                  <w:pPr>
                    <w:adjustRightInd w:val="0"/>
                    <w:snapToGrid w:val="0"/>
                    <w:spacing w:line="240" w:lineRule="auto"/>
                    <w:ind w:firstLine="0" w:firstLineChars="0"/>
                    <w:jc w:val="center"/>
                    <w:rPr>
                      <w:color w:val="auto"/>
                      <w:sz w:val="21"/>
                      <w:szCs w:val="21"/>
                    </w:rPr>
                  </w:pPr>
                  <w:r>
                    <w:rPr>
                      <w:color w:val="auto"/>
                      <w:sz w:val="21"/>
                      <w:szCs w:val="21"/>
                    </w:rPr>
                    <w:t>1</w:t>
                  </w:r>
                </w:p>
              </w:tc>
              <w:tc>
                <w:tcPr>
                  <w:tcW w:w="779" w:type="dxa"/>
                  <w:vAlign w:val="center"/>
                </w:tcPr>
                <w:p w14:paraId="703F6AAC">
                  <w:pPr>
                    <w:adjustRightInd w:val="0"/>
                    <w:snapToGrid w:val="0"/>
                    <w:spacing w:line="240" w:lineRule="auto"/>
                    <w:ind w:firstLine="0" w:firstLineChars="0"/>
                    <w:jc w:val="center"/>
                    <w:rPr>
                      <w:color w:val="auto"/>
                      <w:sz w:val="21"/>
                      <w:szCs w:val="21"/>
                    </w:rPr>
                  </w:pPr>
                  <w:r>
                    <w:rPr>
                      <w:color w:val="auto"/>
                      <w:sz w:val="21"/>
                      <w:szCs w:val="21"/>
                    </w:rPr>
                    <w:t>DW001</w:t>
                  </w:r>
                </w:p>
              </w:tc>
              <w:tc>
                <w:tcPr>
                  <w:tcW w:w="752" w:type="dxa"/>
                  <w:vAlign w:val="center"/>
                </w:tcPr>
                <w:p w14:paraId="1999ABB9">
                  <w:pPr>
                    <w:adjustRightInd w:val="0"/>
                    <w:snapToGrid w:val="0"/>
                    <w:spacing w:line="240" w:lineRule="auto"/>
                    <w:ind w:firstLine="0" w:firstLineChars="0"/>
                    <w:jc w:val="center"/>
                    <w:rPr>
                      <w:color w:val="auto"/>
                      <w:sz w:val="21"/>
                      <w:szCs w:val="21"/>
                    </w:rPr>
                  </w:pPr>
                  <w:r>
                    <w:rPr>
                      <w:rFonts w:hint="eastAsia"/>
                      <w:color w:val="auto"/>
                      <w:sz w:val="21"/>
                      <w:szCs w:val="21"/>
                    </w:rPr>
                    <w:t>/</w:t>
                  </w:r>
                </w:p>
              </w:tc>
              <w:tc>
                <w:tcPr>
                  <w:tcW w:w="761" w:type="dxa"/>
                  <w:vAlign w:val="center"/>
                </w:tcPr>
                <w:p w14:paraId="146491F3">
                  <w:pPr>
                    <w:adjustRightInd w:val="0"/>
                    <w:snapToGrid w:val="0"/>
                    <w:spacing w:line="240" w:lineRule="auto"/>
                    <w:ind w:firstLine="0" w:firstLineChars="0"/>
                    <w:jc w:val="center"/>
                    <w:rPr>
                      <w:color w:val="auto"/>
                      <w:sz w:val="21"/>
                      <w:szCs w:val="21"/>
                    </w:rPr>
                  </w:pPr>
                  <w:r>
                    <w:rPr>
                      <w:rFonts w:hint="eastAsia"/>
                      <w:color w:val="auto"/>
                      <w:sz w:val="21"/>
                      <w:szCs w:val="21"/>
                    </w:rPr>
                    <w:t>/</w:t>
                  </w:r>
                </w:p>
              </w:tc>
              <w:tc>
                <w:tcPr>
                  <w:tcW w:w="786" w:type="dxa"/>
                  <w:vAlign w:val="center"/>
                </w:tcPr>
                <w:p w14:paraId="10B971CB">
                  <w:pPr>
                    <w:adjustRightInd w:val="0"/>
                    <w:snapToGrid w:val="0"/>
                    <w:spacing w:line="240" w:lineRule="auto"/>
                    <w:ind w:firstLine="0" w:firstLineChars="0"/>
                    <w:jc w:val="center"/>
                    <w:rPr>
                      <w:rFonts w:hint="default" w:eastAsia="宋体"/>
                      <w:color w:val="auto"/>
                      <w:sz w:val="21"/>
                      <w:szCs w:val="21"/>
                      <w:lang w:val="en-US" w:eastAsia="zh-CN"/>
                    </w:rPr>
                  </w:pPr>
                  <w:r>
                    <w:rPr>
                      <w:color w:val="auto"/>
                      <w:sz w:val="21"/>
                      <w:szCs w:val="21"/>
                    </w:rPr>
                    <w:t>0.</w:t>
                  </w:r>
                  <w:r>
                    <w:rPr>
                      <w:rFonts w:hint="eastAsia"/>
                      <w:color w:val="auto"/>
                      <w:sz w:val="21"/>
                      <w:szCs w:val="21"/>
                      <w:lang w:val="en-US" w:eastAsia="zh-CN"/>
                    </w:rPr>
                    <w:t>06</w:t>
                  </w:r>
                </w:p>
              </w:tc>
              <w:tc>
                <w:tcPr>
                  <w:tcW w:w="800" w:type="dxa"/>
                  <w:vAlign w:val="center"/>
                </w:tcPr>
                <w:p w14:paraId="13B6DBFC">
                  <w:pPr>
                    <w:adjustRightInd w:val="0"/>
                    <w:snapToGrid w:val="0"/>
                    <w:spacing w:line="240" w:lineRule="auto"/>
                    <w:ind w:firstLine="0" w:firstLineChars="0"/>
                    <w:jc w:val="center"/>
                    <w:rPr>
                      <w:color w:val="auto"/>
                      <w:sz w:val="21"/>
                      <w:szCs w:val="21"/>
                    </w:rPr>
                  </w:pPr>
                  <w:r>
                    <w:rPr>
                      <w:color w:val="auto"/>
                      <w:sz w:val="21"/>
                      <w:szCs w:val="21"/>
                    </w:rPr>
                    <w:t>进入城市污水处理厂</w:t>
                  </w:r>
                </w:p>
              </w:tc>
              <w:tc>
                <w:tcPr>
                  <w:tcW w:w="801" w:type="dxa"/>
                  <w:vAlign w:val="center"/>
                </w:tcPr>
                <w:p w14:paraId="732FB56F">
                  <w:pPr>
                    <w:adjustRightInd w:val="0"/>
                    <w:snapToGrid w:val="0"/>
                    <w:spacing w:line="240" w:lineRule="auto"/>
                    <w:ind w:firstLine="0" w:firstLineChars="0"/>
                    <w:jc w:val="center"/>
                    <w:rPr>
                      <w:color w:val="auto"/>
                      <w:sz w:val="21"/>
                      <w:szCs w:val="21"/>
                    </w:rPr>
                  </w:pPr>
                  <w:r>
                    <w:rPr>
                      <w:color w:val="auto"/>
                      <w:sz w:val="21"/>
                      <w:szCs w:val="21"/>
                    </w:rPr>
                    <w:t>连续排放、流量稳定</w:t>
                  </w:r>
                </w:p>
              </w:tc>
              <w:tc>
                <w:tcPr>
                  <w:tcW w:w="520" w:type="dxa"/>
                  <w:vAlign w:val="center"/>
                </w:tcPr>
                <w:p w14:paraId="22855FC1">
                  <w:pPr>
                    <w:adjustRightInd w:val="0"/>
                    <w:snapToGrid w:val="0"/>
                    <w:spacing w:line="240" w:lineRule="auto"/>
                    <w:ind w:firstLine="0" w:firstLineChars="0"/>
                    <w:jc w:val="center"/>
                    <w:rPr>
                      <w:color w:val="auto"/>
                      <w:sz w:val="21"/>
                      <w:szCs w:val="21"/>
                    </w:rPr>
                  </w:pPr>
                  <w:r>
                    <w:rPr>
                      <w:color w:val="auto"/>
                      <w:sz w:val="21"/>
                      <w:szCs w:val="21"/>
                    </w:rPr>
                    <w:t>—</w:t>
                  </w:r>
                </w:p>
              </w:tc>
              <w:tc>
                <w:tcPr>
                  <w:tcW w:w="829" w:type="dxa"/>
                  <w:vAlign w:val="center"/>
                </w:tcPr>
                <w:p w14:paraId="38614C76">
                  <w:pPr>
                    <w:snapToGrid w:val="0"/>
                    <w:spacing w:line="240" w:lineRule="auto"/>
                    <w:ind w:firstLine="0" w:firstLineChars="0"/>
                    <w:jc w:val="center"/>
                    <w:rPr>
                      <w:color w:val="auto"/>
                      <w:sz w:val="21"/>
                      <w:szCs w:val="21"/>
                    </w:rPr>
                  </w:pPr>
                  <w:r>
                    <w:rPr>
                      <w:rFonts w:hint="eastAsia"/>
                      <w:color w:val="auto"/>
                      <w:sz w:val="21"/>
                      <w:szCs w:val="21"/>
                    </w:rPr>
                    <w:t>新袁镇</w:t>
                  </w:r>
                  <w:r>
                    <w:rPr>
                      <w:color w:val="auto"/>
                      <w:sz w:val="21"/>
                      <w:szCs w:val="21"/>
                    </w:rPr>
                    <w:t>污水处理厂</w:t>
                  </w:r>
                </w:p>
              </w:tc>
              <w:tc>
                <w:tcPr>
                  <w:tcW w:w="932" w:type="dxa"/>
                  <w:vAlign w:val="center"/>
                </w:tcPr>
                <w:p w14:paraId="7388560C">
                  <w:pPr>
                    <w:keepNext w:val="0"/>
                    <w:keepLines w:val="0"/>
                    <w:pageBreakBefore w:val="0"/>
                    <w:kinsoku/>
                    <w:wordWrap/>
                    <w:overflowPunct/>
                    <w:topLinePunct w:val="0"/>
                    <w:autoSpaceDE/>
                    <w:autoSpaceDN/>
                    <w:bidi w:val="0"/>
                    <w:adjustRightInd w:val="0"/>
                    <w:snapToGrid w:val="0"/>
                    <w:spacing w:line="240" w:lineRule="auto"/>
                    <w:ind w:right="0" w:firstLine="0" w:firstLineChars="0"/>
                    <w:jc w:val="center"/>
                    <w:textAlignment w:val="auto"/>
                    <w:rPr>
                      <w:color w:val="auto"/>
                      <w:sz w:val="21"/>
                      <w:szCs w:val="21"/>
                    </w:rPr>
                  </w:pPr>
                  <w:r>
                    <w:rPr>
                      <w:color w:val="auto"/>
                      <w:sz w:val="21"/>
                      <w:szCs w:val="21"/>
                    </w:rPr>
                    <w:t>COD</w:t>
                  </w:r>
                </w:p>
                <w:p w14:paraId="68DFD33E">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rFonts w:hint="eastAsia"/>
                      <w:color w:val="auto"/>
                      <w:sz w:val="21"/>
                      <w:szCs w:val="21"/>
                      <w:vertAlign w:val="subscript"/>
                      <w:lang w:val="en-US" w:eastAsia="zh-CN"/>
                    </w:rPr>
                  </w:pPr>
                  <w:r>
                    <w:rPr>
                      <w:rFonts w:hint="eastAsia"/>
                      <w:color w:val="auto"/>
                      <w:sz w:val="21"/>
                      <w:szCs w:val="21"/>
                      <w:lang w:val="en-US" w:eastAsia="zh-CN"/>
                    </w:rPr>
                    <w:t>BOD</w:t>
                  </w:r>
                  <w:r>
                    <w:rPr>
                      <w:rFonts w:hint="eastAsia"/>
                      <w:color w:val="auto"/>
                      <w:sz w:val="21"/>
                      <w:szCs w:val="21"/>
                      <w:vertAlign w:val="subscript"/>
                      <w:lang w:val="en-US" w:eastAsia="zh-CN"/>
                    </w:rPr>
                    <w:t>5</w:t>
                  </w:r>
                </w:p>
                <w:p w14:paraId="7760724A">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color w:val="auto"/>
                      <w:sz w:val="21"/>
                      <w:szCs w:val="21"/>
                    </w:rPr>
                  </w:pPr>
                  <w:r>
                    <w:rPr>
                      <w:color w:val="auto"/>
                      <w:sz w:val="21"/>
                      <w:szCs w:val="21"/>
                    </w:rPr>
                    <w:t>SS</w:t>
                  </w:r>
                </w:p>
                <w:p w14:paraId="73633290">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color w:val="auto"/>
                      <w:sz w:val="21"/>
                      <w:szCs w:val="21"/>
                    </w:rPr>
                  </w:pPr>
                  <w:r>
                    <w:rPr>
                      <w:color w:val="auto"/>
                      <w:sz w:val="21"/>
                      <w:szCs w:val="21"/>
                    </w:rPr>
                    <w:t>氨氮</w:t>
                  </w:r>
                </w:p>
                <w:p w14:paraId="55EBBF91">
                  <w:pPr>
                    <w:pStyle w:val="14"/>
                    <w:keepNext w:val="0"/>
                    <w:keepLines w:val="0"/>
                    <w:pageBreakBefore w:val="0"/>
                    <w:kinsoku/>
                    <w:wordWrap/>
                    <w:overflowPunct/>
                    <w:topLinePunct w:val="0"/>
                    <w:autoSpaceDE/>
                    <w:autoSpaceDN/>
                    <w:bidi w:val="0"/>
                    <w:snapToGrid w:val="0"/>
                    <w:spacing w:before="0" w:after="0" w:line="240" w:lineRule="auto"/>
                    <w:ind w:left="0" w:leftChars="0" w:right="0" w:firstLine="0" w:firstLineChars="0"/>
                    <w:jc w:val="center"/>
                    <w:textAlignment w:val="auto"/>
                    <w:rPr>
                      <w:color w:val="auto"/>
                      <w:sz w:val="21"/>
                      <w:szCs w:val="21"/>
                    </w:rPr>
                  </w:pPr>
                  <w:r>
                    <w:rPr>
                      <w:color w:val="auto"/>
                      <w:sz w:val="21"/>
                      <w:szCs w:val="21"/>
                    </w:rPr>
                    <w:t>总磷</w:t>
                  </w:r>
                </w:p>
                <w:p w14:paraId="1D362CED">
                  <w:pPr>
                    <w:snapToGrid w:val="0"/>
                    <w:spacing w:line="240" w:lineRule="auto"/>
                    <w:ind w:firstLine="0" w:firstLineChars="0"/>
                    <w:jc w:val="center"/>
                    <w:rPr>
                      <w:color w:val="auto"/>
                      <w:sz w:val="21"/>
                      <w:szCs w:val="21"/>
                    </w:rPr>
                  </w:pPr>
                  <w:r>
                    <w:rPr>
                      <w:color w:val="auto"/>
                      <w:sz w:val="21"/>
                      <w:szCs w:val="21"/>
                    </w:rPr>
                    <w:t>TN</w:t>
                  </w:r>
                </w:p>
              </w:tc>
              <w:tc>
                <w:tcPr>
                  <w:tcW w:w="720" w:type="dxa"/>
                  <w:vAlign w:val="center"/>
                </w:tcPr>
                <w:p w14:paraId="1BEE3C76">
                  <w:pPr>
                    <w:snapToGrid w:val="0"/>
                    <w:spacing w:line="240" w:lineRule="auto"/>
                    <w:ind w:firstLine="0" w:firstLineChars="0"/>
                    <w:jc w:val="center"/>
                    <w:rPr>
                      <w:color w:val="auto"/>
                      <w:sz w:val="21"/>
                      <w:szCs w:val="21"/>
                    </w:rPr>
                  </w:pPr>
                  <w:r>
                    <w:rPr>
                      <w:color w:val="auto"/>
                      <w:sz w:val="21"/>
                      <w:szCs w:val="21"/>
                    </w:rPr>
                    <w:t>≤50</w:t>
                  </w:r>
                </w:p>
                <w:p w14:paraId="21D61EED">
                  <w:pPr>
                    <w:snapToGrid w:val="0"/>
                    <w:spacing w:line="240" w:lineRule="auto"/>
                    <w:ind w:firstLine="0" w:firstLineChars="0"/>
                    <w:jc w:val="center"/>
                  </w:pPr>
                  <w:r>
                    <w:rPr>
                      <w:color w:val="auto"/>
                      <w:sz w:val="21"/>
                      <w:szCs w:val="21"/>
                    </w:rPr>
                    <w:t>≤10</w:t>
                  </w:r>
                </w:p>
                <w:p w14:paraId="6EE5CCA0">
                  <w:pPr>
                    <w:snapToGrid w:val="0"/>
                    <w:spacing w:line="240" w:lineRule="auto"/>
                    <w:ind w:firstLine="0" w:firstLineChars="0"/>
                    <w:jc w:val="center"/>
                    <w:rPr>
                      <w:color w:val="auto"/>
                      <w:sz w:val="21"/>
                      <w:szCs w:val="21"/>
                    </w:rPr>
                  </w:pPr>
                  <w:r>
                    <w:rPr>
                      <w:color w:val="auto"/>
                      <w:sz w:val="21"/>
                      <w:szCs w:val="21"/>
                    </w:rPr>
                    <w:t>≤10</w:t>
                  </w:r>
                </w:p>
                <w:p w14:paraId="3273E46F">
                  <w:pPr>
                    <w:snapToGrid w:val="0"/>
                    <w:spacing w:line="240" w:lineRule="auto"/>
                    <w:ind w:firstLine="0" w:firstLineChars="0"/>
                    <w:jc w:val="center"/>
                    <w:rPr>
                      <w:color w:val="auto"/>
                      <w:sz w:val="21"/>
                      <w:szCs w:val="21"/>
                    </w:rPr>
                  </w:pPr>
                  <w:r>
                    <w:rPr>
                      <w:color w:val="auto"/>
                      <w:sz w:val="21"/>
                      <w:szCs w:val="21"/>
                    </w:rPr>
                    <w:t>≤</w:t>
                  </w:r>
                  <w:r>
                    <w:rPr>
                      <w:rFonts w:hint="eastAsia"/>
                      <w:color w:val="auto"/>
                      <w:sz w:val="21"/>
                      <w:szCs w:val="21"/>
                      <w:lang w:val="en-US" w:eastAsia="zh-CN"/>
                    </w:rPr>
                    <w:t>5(8)</w:t>
                  </w:r>
                </w:p>
                <w:p w14:paraId="20949994">
                  <w:pPr>
                    <w:snapToGrid w:val="0"/>
                    <w:spacing w:line="240" w:lineRule="auto"/>
                    <w:ind w:firstLine="0" w:firstLineChars="0"/>
                    <w:jc w:val="center"/>
                    <w:rPr>
                      <w:color w:val="auto"/>
                      <w:sz w:val="21"/>
                      <w:szCs w:val="21"/>
                    </w:rPr>
                  </w:pPr>
                  <w:r>
                    <w:rPr>
                      <w:color w:val="auto"/>
                      <w:sz w:val="21"/>
                      <w:szCs w:val="21"/>
                    </w:rPr>
                    <w:t>≤0.5</w:t>
                  </w:r>
                </w:p>
                <w:p w14:paraId="6CEFC569">
                  <w:pPr>
                    <w:snapToGrid w:val="0"/>
                    <w:spacing w:line="240" w:lineRule="auto"/>
                    <w:ind w:firstLine="0" w:firstLineChars="0"/>
                    <w:jc w:val="center"/>
                    <w:rPr>
                      <w:rFonts w:hint="default" w:eastAsia="宋体"/>
                      <w:color w:val="auto"/>
                      <w:sz w:val="21"/>
                      <w:szCs w:val="21"/>
                      <w:lang w:val="en-US" w:eastAsia="zh-CN"/>
                    </w:rPr>
                  </w:pPr>
                  <w:r>
                    <w:rPr>
                      <w:color w:val="auto"/>
                      <w:sz w:val="21"/>
                      <w:szCs w:val="21"/>
                    </w:rPr>
                    <w:t>≤</w:t>
                  </w:r>
                  <w:r>
                    <w:rPr>
                      <w:rFonts w:hint="eastAsia"/>
                      <w:color w:val="auto"/>
                      <w:sz w:val="21"/>
                      <w:szCs w:val="21"/>
                      <w:lang w:val="en-US" w:eastAsia="zh-CN"/>
                    </w:rPr>
                    <w:t>15</w:t>
                  </w:r>
                </w:p>
              </w:tc>
              <w:tc>
                <w:tcPr>
                  <w:tcW w:w="721" w:type="dxa"/>
                  <w:vAlign w:val="center"/>
                </w:tcPr>
                <w:p w14:paraId="3EF10E91">
                  <w:pPr>
                    <w:snapToGrid w:val="0"/>
                    <w:spacing w:line="240" w:lineRule="auto"/>
                    <w:ind w:firstLine="0" w:firstLineChars="0"/>
                    <w:jc w:val="center"/>
                    <w:rPr>
                      <w:color w:val="auto"/>
                      <w:sz w:val="21"/>
                      <w:szCs w:val="21"/>
                    </w:rPr>
                  </w:pPr>
                  <w:r>
                    <w:rPr>
                      <w:color w:val="auto"/>
                      <w:sz w:val="21"/>
                      <w:szCs w:val="21"/>
                    </w:rPr>
                    <w:t>≤50</w:t>
                  </w:r>
                </w:p>
                <w:p w14:paraId="76ACE82F">
                  <w:pPr>
                    <w:snapToGrid w:val="0"/>
                    <w:spacing w:line="240" w:lineRule="auto"/>
                    <w:ind w:firstLine="0" w:firstLineChars="0"/>
                    <w:jc w:val="center"/>
                  </w:pPr>
                  <w:r>
                    <w:rPr>
                      <w:color w:val="auto"/>
                      <w:sz w:val="21"/>
                      <w:szCs w:val="21"/>
                    </w:rPr>
                    <w:t>≤10</w:t>
                  </w:r>
                </w:p>
                <w:p w14:paraId="53CF7E3C">
                  <w:pPr>
                    <w:snapToGrid w:val="0"/>
                    <w:spacing w:line="240" w:lineRule="auto"/>
                    <w:ind w:firstLine="0" w:firstLineChars="0"/>
                    <w:jc w:val="center"/>
                    <w:rPr>
                      <w:color w:val="auto"/>
                      <w:sz w:val="21"/>
                      <w:szCs w:val="21"/>
                    </w:rPr>
                  </w:pPr>
                  <w:r>
                    <w:rPr>
                      <w:color w:val="auto"/>
                      <w:sz w:val="21"/>
                      <w:szCs w:val="21"/>
                    </w:rPr>
                    <w:t>≤10</w:t>
                  </w:r>
                </w:p>
                <w:p w14:paraId="27219786">
                  <w:pPr>
                    <w:snapToGrid w:val="0"/>
                    <w:spacing w:line="240" w:lineRule="auto"/>
                    <w:ind w:firstLine="0" w:firstLineChars="0"/>
                    <w:jc w:val="center"/>
                    <w:rPr>
                      <w:color w:val="auto"/>
                      <w:sz w:val="21"/>
                      <w:szCs w:val="21"/>
                    </w:rPr>
                  </w:pPr>
                  <w:r>
                    <w:rPr>
                      <w:color w:val="auto"/>
                      <w:sz w:val="21"/>
                      <w:szCs w:val="21"/>
                    </w:rPr>
                    <w:t>≤</w:t>
                  </w:r>
                  <w:r>
                    <w:rPr>
                      <w:rFonts w:hint="eastAsia"/>
                      <w:color w:val="auto"/>
                      <w:sz w:val="21"/>
                      <w:szCs w:val="21"/>
                      <w:lang w:val="en-US" w:eastAsia="zh-CN"/>
                    </w:rPr>
                    <w:t>4(6)</w:t>
                  </w:r>
                </w:p>
                <w:p w14:paraId="32223846">
                  <w:pPr>
                    <w:snapToGrid w:val="0"/>
                    <w:spacing w:line="240" w:lineRule="auto"/>
                    <w:ind w:firstLine="0" w:firstLineChars="0"/>
                    <w:jc w:val="center"/>
                    <w:rPr>
                      <w:color w:val="auto"/>
                      <w:sz w:val="21"/>
                      <w:szCs w:val="21"/>
                    </w:rPr>
                  </w:pPr>
                  <w:r>
                    <w:rPr>
                      <w:color w:val="auto"/>
                      <w:sz w:val="21"/>
                      <w:szCs w:val="21"/>
                    </w:rPr>
                    <w:t>≤0.5</w:t>
                  </w:r>
                </w:p>
                <w:p w14:paraId="786DA43E">
                  <w:pPr>
                    <w:snapToGrid w:val="0"/>
                    <w:spacing w:line="240" w:lineRule="auto"/>
                    <w:ind w:firstLine="0" w:firstLineChars="0"/>
                    <w:jc w:val="center"/>
                    <w:rPr>
                      <w:color w:val="auto"/>
                      <w:sz w:val="21"/>
                      <w:szCs w:val="21"/>
                    </w:rPr>
                  </w:pPr>
                  <w:r>
                    <w:rPr>
                      <w:color w:val="auto"/>
                      <w:sz w:val="21"/>
                      <w:szCs w:val="21"/>
                    </w:rPr>
                    <w:t>≤</w:t>
                  </w:r>
                  <w:r>
                    <w:rPr>
                      <w:rFonts w:hint="eastAsia"/>
                      <w:color w:val="auto"/>
                      <w:sz w:val="21"/>
                      <w:szCs w:val="21"/>
                      <w:lang w:val="en-US" w:eastAsia="zh-CN"/>
                    </w:rPr>
                    <w:t>15</w:t>
                  </w:r>
                </w:p>
              </w:tc>
            </w:tr>
          </w:tbl>
          <w:p w14:paraId="2F6EA218">
            <w:pPr>
              <w:adjustRightInd w:val="0"/>
              <w:snapToGrid w:val="0"/>
              <w:spacing w:line="240" w:lineRule="auto"/>
              <w:ind w:firstLine="0" w:firstLineChars="0"/>
              <w:rPr>
                <w:rFonts w:hint="default" w:ascii="Times New Roman" w:hAnsi="Times New Roman" w:cs="Times New Roman"/>
                <w:color w:val="auto"/>
                <w:sz w:val="21"/>
                <w:szCs w:val="21"/>
              </w:rPr>
            </w:pPr>
            <w:r>
              <w:rPr>
                <w:color w:val="auto"/>
                <w:sz w:val="21"/>
                <w:szCs w:val="21"/>
              </w:rPr>
              <w:t>注</w:t>
            </w:r>
            <w:r>
              <w:rPr>
                <w:rFonts w:hint="eastAsia"/>
                <w:color w:val="auto"/>
                <w:sz w:val="21"/>
                <w:szCs w:val="21"/>
              </w:rPr>
              <w:t>*</w:t>
            </w:r>
            <w:r>
              <w:rPr>
                <w:color w:val="auto"/>
                <w:sz w:val="21"/>
                <w:szCs w:val="21"/>
              </w:rPr>
              <w:t>：</w:t>
            </w:r>
            <w:r>
              <w:rPr>
                <w:rFonts w:hint="eastAsia"/>
                <w:color w:val="auto"/>
                <w:sz w:val="21"/>
                <w:szCs w:val="21"/>
              </w:rPr>
              <w:t>（1）新袁镇污水处理厂排放标准（GB18918-2002）中表1一级A标准中，氨氮括号外数值为水温</w:t>
            </w:r>
            <w:r>
              <w:rPr>
                <w:rFonts w:hint="default" w:ascii="Times New Roman" w:hAnsi="Times New Roman" w:cs="Times New Roman"/>
                <w:color w:val="auto"/>
                <w:sz w:val="21"/>
                <w:szCs w:val="21"/>
              </w:rPr>
              <w:t>＞12℃时的控制指标，括号内数值为水温≤12℃时的控制指标。</w:t>
            </w:r>
          </w:p>
          <w:p w14:paraId="3BAEC41F">
            <w:pPr>
              <w:adjustRightInd w:val="0"/>
              <w:snapToGrid w:val="0"/>
              <w:spacing w:line="240" w:lineRule="auto"/>
              <w:ind w:firstLine="0" w:firstLineChars="0"/>
              <w:rPr>
                <w:color w:val="auto"/>
              </w:rPr>
            </w:pPr>
            <w:r>
              <w:rPr>
                <w:rFonts w:hint="default" w:ascii="Times New Roman" w:hAnsi="Times New Roman" w:cs="Times New Roman"/>
                <w:color w:val="auto"/>
                <w:sz w:val="21"/>
                <w:szCs w:val="21"/>
              </w:rPr>
              <w:t>（2）新袁镇污水处理厂设计规模为5000t/d，2026</w:t>
            </w:r>
            <w:r>
              <w:rPr>
                <w:rFonts w:hint="eastAsia"/>
                <w:color w:val="auto"/>
                <w:sz w:val="21"/>
                <w:szCs w:val="21"/>
              </w:rPr>
              <w:t>年3月执行《城镇污水处理厂污染物排放标准》（DB32/4440-2022）中表1一级C标准</w:t>
            </w:r>
            <w:r>
              <w:rPr>
                <w:rFonts w:hint="eastAsia"/>
                <w:color w:val="auto"/>
                <w:sz w:val="21"/>
                <w:szCs w:val="21"/>
                <w:lang w:eastAsia="zh-CN"/>
              </w:rPr>
              <w:t>，</w:t>
            </w:r>
            <w:r>
              <w:rPr>
                <w:rFonts w:hint="eastAsia"/>
                <w:color w:val="auto"/>
                <w:sz w:val="21"/>
                <w:szCs w:val="21"/>
              </w:rPr>
              <w:t>氨氮和总氮每年11月1日至次年3月31日执行括号内排放限值。</w:t>
            </w:r>
          </w:p>
          <w:p w14:paraId="13188576">
            <w:pPr>
              <w:snapToGrid w:val="0"/>
              <w:spacing w:before="120" w:beforeLines="50" w:line="360" w:lineRule="auto"/>
              <w:ind w:firstLine="482"/>
              <w:rPr>
                <w:b/>
                <w:bCs/>
                <w:color w:val="auto"/>
              </w:rPr>
            </w:pPr>
            <w:r>
              <w:rPr>
                <w:rFonts w:hint="eastAsia"/>
                <w:b/>
                <w:bCs/>
                <w:color w:val="auto"/>
                <w:lang w:val="en-US" w:eastAsia="zh-CN"/>
              </w:rPr>
              <w:t>7.</w:t>
            </w:r>
            <w:r>
              <w:rPr>
                <w:rFonts w:hint="eastAsia"/>
                <w:b/>
                <w:bCs/>
                <w:color w:val="auto"/>
              </w:rPr>
              <w:t>环境监测</w:t>
            </w:r>
            <w:r>
              <w:rPr>
                <w:b/>
                <w:bCs/>
                <w:color w:val="auto"/>
              </w:rPr>
              <w:t>计划</w:t>
            </w:r>
          </w:p>
          <w:p w14:paraId="70518293">
            <w:pPr>
              <w:pStyle w:val="14"/>
              <w:spacing w:before="0" w:after="0" w:line="360" w:lineRule="auto"/>
              <w:ind w:right="0" w:firstLine="480"/>
              <w:rPr>
                <w:color w:val="auto"/>
                <w:sz w:val="24"/>
                <w:szCs w:val="24"/>
              </w:rPr>
            </w:pPr>
            <w:r>
              <w:rPr>
                <w:rFonts w:hint="eastAsia"/>
                <w:color w:val="auto"/>
                <w:sz w:val="24"/>
                <w:szCs w:val="24"/>
              </w:rPr>
              <w:t>本项目排污口</w:t>
            </w:r>
            <w:r>
              <w:rPr>
                <w:color w:val="auto"/>
                <w:sz w:val="24"/>
                <w:szCs w:val="24"/>
              </w:rPr>
              <w:t>为生活污水单独排放口，排放方式为间接排放，</w:t>
            </w:r>
            <w:r>
              <w:rPr>
                <w:color w:val="auto"/>
                <w:sz w:val="24"/>
                <w:szCs w:val="28"/>
              </w:rPr>
              <w:t>根据</w:t>
            </w:r>
            <w:r>
              <w:rPr>
                <w:snapToGrid w:val="0"/>
                <w:color w:val="auto"/>
                <w:sz w:val="24"/>
                <w:szCs w:val="28"/>
              </w:rPr>
              <w:t>《排污单位自行监测技术指南总则》</w:t>
            </w:r>
            <w:r>
              <w:rPr>
                <w:rFonts w:hint="eastAsia"/>
                <w:snapToGrid w:val="0"/>
                <w:color w:val="auto"/>
                <w:sz w:val="24"/>
                <w:szCs w:val="28"/>
                <w:lang w:eastAsia="zh-CN"/>
              </w:rPr>
              <w:t>（</w:t>
            </w:r>
            <w:r>
              <w:rPr>
                <w:snapToGrid w:val="0"/>
                <w:color w:val="auto"/>
                <w:sz w:val="24"/>
                <w:szCs w:val="28"/>
              </w:rPr>
              <w:t>HJ819-2017</w:t>
            </w:r>
            <w:r>
              <w:rPr>
                <w:rFonts w:hint="eastAsia"/>
                <w:snapToGrid w:val="0"/>
                <w:color w:val="auto"/>
                <w:sz w:val="24"/>
                <w:szCs w:val="28"/>
                <w:lang w:eastAsia="zh-CN"/>
              </w:rPr>
              <w:t>）</w:t>
            </w:r>
            <w:r>
              <w:rPr>
                <w:snapToGrid w:val="0"/>
                <w:color w:val="auto"/>
                <w:sz w:val="24"/>
                <w:szCs w:val="28"/>
              </w:rPr>
              <w:t>、</w:t>
            </w:r>
            <w:r>
              <w:rPr>
                <w:rFonts w:eastAsia="瀹嬩綋"/>
                <w:color w:val="auto"/>
                <w:kern w:val="0"/>
                <w:sz w:val="24"/>
                <w:szCs w:val="28"/>
                <w:lang w:bidi="ar"/>
              </w:rPr>
              <w:t>同时参照</w:t>
            </w:r>
            <w:r>
              <w:rPr>
                <w:rFonts w:hint="eastAsia" w:eastAsia="宋体"/>
                <w:color w:val="auto"/>
                <w:kern w:val="0"/>
                <w:sz w:val="24"/>
                <w:szCs w:val="28"/>
                <w:lang w:eastAsia="zh-CN" w:bidi="ar"/>
              </w:rPr>
              <w:t>《排污单位自行监测技术指南纺织印染工业》（HJ879-2017）</w:t>
            </w:r>
            <w:r>
              <w:rPr>
                <w:rFonts w:hint="eastAsia"/>
                <w:color w:val="auto"/>
                <w:sz w:val="24"/>
                <w:szCs w:val="24"/>
              </w:rPr>
              <w:t>，项目</w:t>
            </w:r>
            <w:r>
              <w:rPr>
                <w:color w:val="auto"/>
                <w:sz w:val="24"/>
                <w:szCs w:val="24"/>
              </w:rPr>
              <w:t>废水</w:t>
            </w:r>
            <w:r>
              <w:rPr>
                <w:rFonts w:hint="eastAsia"/>
                <w:color w:val="auto"/>
                <w:sz w:val="24"/>
                <w:szCs w:val="24"/>
              </w:rPr>
              <w:t>排放口可不监测</w:t>
            </w:r>
            <w:r>
              <w:rPr>
                <w:rFonts w:hint="eastAsia"/>
                <w:color w:val="auto"/>
                <w:sz w:val="24"/>
                <w:szCs w:val="24"/>
                <w:lang w:eastAsia="zh-CN"/>
              </w:rPr>
              <w:t>，</w:t>
            </w:r>
            <w:r>
              <w:rPr>
                <w:rFonts w:hint="eastAsia"/>
                <w:color w:val="auto"/>
                <w:sz w:val="24"/>
                <w:szCs w:val="24"/>
                <w:lang w:val="en-US" w:eastAsia="zh-CN"/>
              </w:rPr>
              <w:t>参照</w:t>
            </w:r>
            <w:r>
              <w:rPr>
                <w:rFonts w:hint="eastAsia" w:eastAsia="宋体"/>
                <w:color w:val="auto"/>
                <w:kern w:val="0"/>
                <w:sz w:val="24"/>
                <w:szCs w:val="28"/>
                <w:lang w:eastAsia="zh-CN" w:bidi="ar"/>
              </w:rPr>
              <w:t>《排污单位自行监测技术指南纺织印染工业》（HJ879-2017）</w:t>
            </w:r>
            <w:r>
              <w:rPr>
                <w:rFonts w:hint="eastAsia"/>
                <w:color w:val="auto"/>
                <w:kern w:val="0"/>
                <w:sz w:val="24"/>
                <w:szCs w:val="28"/>
                <w:lang w:val="en-US" w:eastAsia="zh-CN" w:bidi="ar"/>
              </w:rPr>
              <w:t>表2管理要求</w:t>
            </w:r>
            <w:r>
              <w:rPr>
                <w:rFonts w:hint="eastAsia"/>
                <w:color w:val="auto"/>
                <w:sz w:val="24"/>
                <w:szCs w:val="24"/>
                <w:lang w:val="en-US" w:eastAsia="zh-CN"/>
              </w:rPr>
              <w:t>雨水排口监测计划见表4-19</w:t>
            </w:r>
            <w:r>
              <w:rPr>
                <w:color w:val="auto"/>
                <w:sz w:val="24"/>
                <w:szCs w:val="24"/>
              </w:rPr>
              <w:t>。</w:t>
            </w:r>
          </w:p>
          <w:p w14:paraId="641C71CC">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jc w:val="center"/>
              <w:textAlignment w:val="auto"/>
              <w:rPr>
                <w:color w:val="auto"/>
              </w:rPr>
            </w:pPr>
            <w:r>
              <w:rPr>
                <w:b/>
                <w:bCs/>
                <w:color w:val="auto"/>
                <w:spacing w:val="-3"/>
              </w:rPr>
              <w:t>表</w:t>
            </w:r>
            <w:r>
              <w:rPr>
                <w:color w:val="auto"/>
                <w:spacing w:val="-51"/>
              </w:rPr>
              <w:t xml:space="preserve"> </w:t>
            </w:r>
            <w:r>
              <w:rPr>
                <w:rFonts w:ascii="Times New Roman" w:hAnsi="Times New Roman" w:eastAsia="Times New Roman" w:cs="Times New Roman"/>
                <w:b/>
                <w:bCs/>
                <w:color w:val="auto"/>
                <w:spacing w:val="-3"/>
              </w:rPr>
              <w:t>4-</w:t>
            </w:r>
            <w:r>
              <w:rPr>
                <w:rFonts w:hint="eastAsia" w:ascii="Times New Roman" w:hAnsi="Times New Roman" w:cs="Times New Roman"/>
                <w:b/>
                <w:bCs/>
                <w:color w:val="auto"/>
                <w:spacing w:val="-3"/>
                <w:lang w:val="en-US" w:eastAsia="zh-CN"/>
              </w:rPr>
              <w:t>19</w:t>
            </w:r>
            <w:r>
              <w:rPr>
                <w:rFonts w:ascii="Times New Roman" w:hAnsi="Times New Roman" w:eastAsia="Times New Roman" w:cs="Times New Roman"/>
                <w:b/>
                <w:bCs/>
                <w:color w:val="auto"/>
                <w:spacing w:val="-3"/>
              </w:rPr>
              <w:t xml:space="preserve"> </w:t>
            </w:r>
            <w:r>
              <w:rPr>
                <w:b/>
                <w:bCs/>
                <w:color w:val="auto"/>
                <w:spacing w:val="-3"/>
              </w:rPr>
              <w:t>监测计划</w:t>
            </w:r>
          </w:p>
          <w:p w14:paraId="7FFE2DBC">
            <w:pPr>
              <w:spacing w:line="17" w:lineRule="exact"/>
              <w:rPr>
                <w:color w:val="auto"/>
              </w:rPr>
            </w:pPr>
          </w:p>
          <w:tbl>
            <w:tblPr>
              <w:tblStyle w:val="232"/>
              <w:tblW w:w="8788" w:type="dxa"/>
              <w:tblInd w:w="98"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558"/>
              <w:gridCol w:w="3962"/>
              <w:gridCol w:w="2268"/>
            </w:tblGrid>
            <w:tr w14:paraId="64D777E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2558" w:type="dxa"/>
                  <w:tcBorders>
                    <w:tl2br w:val="nil"/>
                    <w:tr2bl w:val="nil"/>
                  </w:tcBorders>
                  <w:vAlign w:val="center"/>
                </w:tcPr>
                <w:p w14:paraId="17737D88">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jc w:val="center"/>
                    <w:textAlignment w:val="auto"/>
                    <w:rPr>
                      <w:color w:val="auto"/>
                      <w:sz w:val="21"/>
                      <w:szCs w:val="21"/>
                    </w:rPr>
                  </w:pPr>
                  <w:r>
                    <w:rPr>
                      <w:b/>
                      <w:bCs/>
                      <w:color w:val="auto"/>
                      <w:spacing w:val="6"/>
                      <w:sz w:val="21"/>
                      <w:szCs w:val="21"/>
                    </w:rPr>
                    <w:t>监测位置</w:t>
                  </w:r>
                </w:p>
              </w:tc>
              <w:tc>
                <w:tcPr>
                  <w:tcW w:w="3962" w:type="dxa"/>
                  <w:tcBorders>
                    <w:tl2br w:val="nil"/>
                    <w:tr2bl w:val="nil"/>
                  </w:tcBorders>
                  <w:vAlign w:val="center"/>
                </w:tcPr>
                <w:p w14:paraId="0041A473">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jc w:val="center"/>
                    <w:textAlignment w:val="auto"/>
                    <w:rPr>
                      <w:color w:val="auto"/>
                      <w:sz w:val="21"/>
                      <w:szCs w:val="21"/>
                    </w:rPr>
                  </w:pPr>
                  <w:r>
                    <w:rPr>
                      <w:b/>
                      <w:bCs/>
                      <w:color w:val="auto"/>
                      <w:spacing w:val="6"/>
                      <w:sz w:val="21"/>
                      <w:szCs w:val="21"/>
                    </w:rPr>
                    <w:t>监测因子</w:t>
                  </w:r>
                </w:p>
              </w:tc>
              <w:tc>
                <w:tcPr>
                  <w:tcW w:w="2268" w:type="dxa"/>
                  <w:tcBorders>
                    <w:tl2br w:val="nil"/>
                    <w:tr2bl w:val="nil"/>
                  </w:tcBorders>
                  <w:vAlign w:val="center"/>
                </w:tcPr>
                <w:p w14:paraId="7139C23A">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jc w:val="center"/>
                    <w:textAlignment w:val="auto"/>
                    <w:rPr>
                      <w:color w:val="auto"/>
                      <w:sz w:val="21"/>
                      <w:szCs w:val="21"/>
                    </w:rPr>
                  </w:pPr>
                  <w:r>
                    <w:rPr>
                      <w:b/>
                      <w:bCs/>
                      <w:color w:val="auto"/>
                      <w:spacing w:val="6"/>
                      <w:sz w:val="21"/>
                      <w:szCs w:val="21"/>
                    </w:rPr>
                    <w:t>监测频次</w:t>
                  </w:r>
                </w:p>
              </w:tc>
            </w:tr>
            <w:tr w14:paraId="392E9C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2558" w:type="dxa"/>
                  <w:tcBorders>
                    <w:tl2br w:val="nil"/>
                    <w:tr2bl w:val="nil"/>
                  </w:tcBorders>
                  <w:vAlign w:val="center"/>
                </w:tcPr>
                <w:p w14:paraId="0F63FD5D">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jc w:val="center"/>
                    <w:textAlignment w:val="auto"/>
                    <w:rPr>
                      <w:color w:val="auto"/>
                      <w:sz w:val="21"/>
                      <w:szCs w:val="21"/>
                    </w:rPr>
                  </w:pPr>
                  <w:r>
                    <w:rPr>
                      <w:color w:val="auto"/>
                      <w:spacing w:val="6"/>
                      <w:sz w:val="21"/>
                      <w:szCs w:val="21"/>
                    </w:rPr>
                    <w:t>雨水排口（</w:t>
                  </w:r>
                  <w:r>
                    <w:rPr>
                      <w:rFonts w:ascii="Times New Roman" w:hAnsi="Times New Roman" w:eastAsia="Times New Roman" w:cs="Times New Roman"/>
                      <w:color w:val="auto"/>
                      <w:sz w:val="21"/>
                      <w:szCs w:val="21"/>
                    </w:rPr>
                    <w:t>YS</w:t>
                  </w:r>
                  <w:r>
                    <w:rPr>
                      <w:rFonts w:ascii="Times New Roman" w:hAnsi="Times New Roman" w:eastAsia="Times New Roman" w:cs="Times New Roman"/>
                      <w:color w:val="auto"/>
                      <w:spacing w:val="6"/>
                      <w:sz w:val="21"/>
                      <w:szCs w:val="21"/>
                    </w:rPr>
                    <w:t>001</w:t>
                  </w:r>
                  <w:r>
                    <w:rPr>
                      <w:color w:val="auto"/>
                      <w:spacing w:val="6"/>
                      <w:sz w:val="21"/>
                      <w:szCs w:val="21"/>
                    </w:rPr>
                    <w:t>）</w:t>
                  </w:r>
                </w:p>
              </w:tc>
              <w:tc>
                <w:tcPr>
                  <w:tcW w:w="3962" w:type="dxa"/>
                  <w:tcBorders>
                    <w:tl2br w:val="nil"/>
                    <w:tr2bl w:val="nil"/>
                  </w:tcBorders>
                  <w:vAlign w:val="center"/>
                </w:tcPr>
                <w:p w14:paraId="0079360F">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jc w:val="center"/>
                    <w:textAlignment w:val="auto"/>
                    <w:rPr>
                      <w:rFonts w:ascii="Times New Roman" w:hAnsi="Times New Roman" w:eastAsia="Times New Roman" w:cs="Times New Roman"/>
                      <w:color w:val="auto"/>
                      <w:sz w:val="21"/>
                      <w:szCs w:val="21"/>
                    </w:rPr>
                  </w:pPr>
                  <w:r>
                    <w:rPr>
                      <w:color w:val="auto"/>
                      <w:spacing w:val="9"/>
                      <w:sz w:val="21"/>
                      <w:szCs w:val="21"/>
                    </w:rPr>
                    <w:t>化学需氧量、</w:t>
                  </w:r>
                  <w:r>
                    <w:rPr>
                      <w:rFonts w:ascii="Times New Roman" w:hAnsi="Times New Roman" w:eastAsia="Times New Roman" w:cs="Times New Roman"/>
                      <w:color w:val="auto"/>
                      <w:sz w:val="21"/>
                      <w:szCs w:val="21"/>
                    </w:rPr>
                    <w:t>SS</w:t>
                  </w:r>
                </w:p>
              </w:tc>
              <w:tc>
                <w:tcPr>
                  <w:tcW w:w="2268" w:type="dxa"/>
                  <w:tcBorders>
                    <w:tl2br w:val="nil"/>
                    <w:tr2bl w:val="nil"/>
                  </w:tcBorders>
                  <w:vAlign w:val="center"/>
                </w:tcPr>
                <w:p w14:paraId="126326AE">
                  <w:pPr>
                    <w:pStyle w:val="224"/>
                    <w:keepNext w:val="0"/>
                    <w:keepLines w:val="0"/>
                    <w:pageBreakBefore w:val="0"/>
                    <w:widowControl/>
                    <w:kinsoku/>
                    <w:wordWrap/>
                    <w:overflowPunct w:val="0"/>
                    <w:topLinePunct w:val="0"/>
                    <w:autoSpaceDE w:val="0"/>
                    <w:autoSpaceDN w:val="0"/>
                    <w:bidi w:val="0"/>
                    <w:adjustRightInd w:val="0"/>
                    <w:snapToGrid w:val="0"/>
                    <w:spacing w:after="0" w:line="240" w:lineRule="auto"/>
                    <w:ind w:left="0" w:right="0"/>
                    <w:jc w:val="center"/>
                    <w:textAlignment w:val="auto"/>
                    <w:rPr>
                      <w:color w:val="auto"/>
                      <w:sz w:val="21"/>
                      <w:szCs w:val="21"/>
                    </w:rPr>
                  </w:pPr>
                  <w:r>
                    <w:rPr>
                      <w:color w:val="auto"/>
                      <w:spacing w:val="8"/>
                      <w:sz w:val="21"/>
                      <w:szCs w:val="21"/>
                    </w:rPr>
                    <w:t>排放期间按日监测</w:t>
                  </w:r>
                </w:p>
              </w:tc>
            </w:tr>
          </w:tbl>
          <w:p w14:paraId="796C6FF6">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textAlignment w:val="auto"/>
              <w:rPr>
                <w:b/>
                <w:bCs/>
                <w:color w:val="auto"/>
              </w:rPr>
            </w:pPr>
            <w:r>
              <w:rPr>
                <w:rFonts w:hint="eastAsia"/>
                <w:b/>
                <w:bCs/>
                <w:color w:val="auto"/>
              </w:rPr>
              <w:t>三、运营期</w:t>
            </w:r>
            <w:r>
              <w:rPr>
                <w:b/>
                <w:bCs/>
                <w:color w:val="auto"/>
              </w:rPr>
              <w:t>声环境影响和保护措施</w:t>
            </w:r>
          </w:p>
          <w:p w14:paraId="2E6FEB80">
            <w:pPr>
              <w:spacing w:line="360" w:lineRule="auto"/>
              <w:ind w:firstLine="482"/>
              <w:rPr>
                <w:rFonts w:hint="default" w:ascii="Times New Roman" w:hAnsi="Times New Roman" w:eastAsia="宋体" w:cs="Times New Roman"/>
                <w:b/>
                <w:bCs/>
                <w:color w:val="auto"/>
              </w:rPr>
            </w:pPr>
            <w:r>
              <w:rPr>
                <w:rFonts w:hint="eastAsia" w:cs="Times New Roman"/>
                <w:b/>
                <w:bCs/>
                <w:color w:val="auto"/>
                <w:lang w:val="en-US" w:eastAsia="zh-CN"/>
              </w:rPr>
              <w:t>1.</w:t>
            </w:r>
            <w:r>
              <w:rPr>
                <w:rFonts w:hint="default" w:ascii="Times New Roman" w:hAnsi="Times New Roman" w:eastAsia="宋体" w:cs="Times New Roman"/>
                <w:b/>
                <w:bCs/>
                <w:color w:val="auto"/>
              </w:rPr>
              <w:t>噪声产生情况</w:t>
            </w:r>
          </w:p>
          <w:p w14:paraId="4DE1CACE">
            <w:pPr>
              <w:spacing w:line="360" w:lineRule="auto"/>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本项目租赁</w:t>
            </w:r>
            <w:r>
              <w:rPr>
                <w:rFonts w:hint="eastAsia" w:cs="Times New Roman"/>
                <w:color w:val="auto"/>
                <w:kern w:val="0"/>
                <w:sz w:val="24"/>
                <w:szCs w:val="24"/>
                <w:lang w:val="en-US" w:eastAsia="zh-CN"/>
              </w:rPr>
              <w:t>宿迁市泗阳县新袁镇仁和路东侧、新河路南侧（3）2#厂房</w:t>
            </w:r>
            <w:r>
              <w:rPr>
                <w:rFonts w:hint="default" w:ascii="Times New Roman" w:hAnsi="Times New Roman" w:eastAsia="宋体" w:cs="Times New Roman"/>
                <w:color w:val="auto"/>
              </w:rPr>
              <w:t>进行生产活动，项目建成后全厂主要高噪声源为室外风机，</w:t>
            </w:r>
            <w:r>
              <w:rPr>
                <w:rFonts w:hint="eastAsia" w:ascii="Times New Roman" w:hAnsi="Times New Roman" w:eastAsia="宋体" w:cs="Times New Roman"/>
                <w:color w:val="auto"/>
                <w:lang w:val="en-US" w:eastAsia="zh-CN"/>
              </w:rPr>
              <w:t>生产</w:t>
            </w:r>
            <w:r>
              <w:rPr>
                <w:rFonts w:hint="default" w:ascii="Times New Roman" w:hAnsi="Times New Roman" w:eastAsia="宋体" w:cs="Times New Roman"/>
                <w:color w:val="auto"/>
              </w:rPr>
              <w:t>厂房</w:t>
            </w:r>
            <w:r>
              <w:rPr>
                <w:rFonts w:hint="eastAsia" w:cs="Times New Roman"/>
                <w:color w:val="auto"/>
                <w:lang w:val="en-US" w:eastAsia="zh-CN"/>
              </w:rPr>
              <w:t>内</w:t>
            </w:r>
            <w:r>
              <w:rPr>
                <w:rFonts w:hint="default" w:ascii="Times New Roman" w:hAnsi="Times New Roman" w:eastAsia="宋体" w:cs="Times New Roman"/>
                <w:color w:val="auto"/>
              </w:rPr>
              <w:t>的设备噪声，</w:t>
            </w:r>
            <w:r>
              <w:rPr>
                <w:rFonts w:hint="eastAsia" w:cs="Times New Roman"/>
                <w:color w:val="auto"/>
                <w:lang w:val="en-US" w:eastAsia="zh-CN"/>
              </w:rPr>
              <w:t>风机、厂房内设备</w:t>
            </w:r>
            <w:r>
              <w:rPr>
                <w:rFonts w:hint="default" w:ascii="Times New Roman" w:hAnsi="Times New Roman" w:eastAsia="宋体" w:cs="Times New Roman"/>
                <w:color w:val="auto"/>
              </w:rPr>
              <w:t>单台</w:t>
            </w:r>
            <w:r>
              <w:rPr>
                <w:rFonts w:hint="eastAsia" w:cs="Times New Roman"/>
                <w:color w:val="auto"/>
                <w:lang w:val="en-US" w:eastAsia="zh-CN"/>
              </w:rPr>
              <w:t>噪声</w:t>
            </w:r>
            <w:r>
              <w:rPr>
                <w:rFonts w:hint="default" w:ascii="Times New Roman" w:hAnsi="Times New Roman" w:eastAsia="宋体" w:cs="Times New Roman"/>
                <w:color w:val="auto"/>
              </w:rPr>
              <w:t>源强约为7</w:t>
            </w:r>
            <w:r>
              <w:rPr>
                <w:rFonts w:hint="eastAsia" w:ascii="Times New Roman" w:hAnsi="Times New Roman" w:eastAsia="宋体" w:cs="Times New Roman"/>
                <w:color w:val="auto"/>
                <w:lang w:val="en-US" w:eastAsia="zh-CN"/>
              </w:rPr>
              <w:t>0</w:t>
            </w:r>
            <w:r>
              <w:rPr>
                <w:rFonts w:hint="default" w:ascii="Times New Roman" w:hAnsi="Times New Roman" w:eastAsia="宋体" w:cs="Times New Roman"/>
                <w:color w:val="auto"/>
              </w:rPr>
              <w:t>～85dB</w:t>
            </w:r>
            <w:r>
              <w:rPr>
                <w:rFonts w:hint="eastAsia" w:cs="Times New Roman"/>
                <w:color w:val="auto"/>
                <w:lang w:eastAsia="zh-CN"/>
              </w:rPr>
              <w:t>（</w:t>
            </w:r>
            <w:r>
              <w:rPr>
                <w:rFonts w:hint="default" w:ascii="Times New Roman" w:hAnsi="Times New Roman" w:eastAsia="宋体" w:cs="Times New Roman"/>
                <w:color w:val="auto"/>
              </w:rPr>
              <w:t>A</w:t>
            </w:r>
            <w:r>
              <w:rPr>
                <w:rFonts w:hint="eastAsia" w:cs="Times New Roman"/>
                <w:color w:val="auto"/>
                <w:lang w:eastAsia="zh-CN"/>
              </w:rPr>
              <w:t>）</w:t>
            </w:r>
            <w:r>
              <w:rPr>
                <w:rFonts w:hint="default" w:ascii="Times New Roman" w:hAnsi="Times New Roman" w:eastAsia="宋体" w:cs="Times New Roman"/>
                <w:color w:val="auto"/>
              </w:rPr>
              <w:t>，主要设备噪声值见表4-</w:t>
            </w:r>
            <w:r>
              <w:rPr>
                <w:rFonts w:hint="eastAsia" w:cs="Times New Roman"/>
                <w:color w:val="auto"/>
                <w:lang w:val="en-US" w:eastAsia="zh-CN"/>
              </w:rPr>
              <w:t>20</w:t>
            </w:r>
            <w:r>
              <w:rPr>
                <w:rFonts w:hint="default" w:ascii="Times New Roman" w:hAnsi="Times New Roman" w:eastAsia="宋体" w:cs="Times New Roman"/>
                <w:color w:val="auto"/>
              </w:rPr>
              <w:t>~</w:t>
            </w:r>
            <w:r>
              <w:rPr>
                <w:rFonts w:hint="eastAsia" w:cs="Times New Roman"/>
                <w:color w:val="auto"/>
                <w:lang w:val="en-US" w:eastAsia="zh-CN"/>
              </w:rPr>
              <w:t>22</w:t>
            </w:r>
            <w:r>
              <w:rPr>
                <w:rFonts w:hint="default" w:ascii="Times New Roman" w:hAnsi="Times New Roman" w:eastAsia="宋体" w:cs="Times New Roman"/>
                <w:color w:val="auto"/>
              </w:rPr>
              <w:t>。</w:t>
            </w:r>
          </w:p>
          <w:p w14:paraId="3FBD65C5">
            <w:pPr>
              <w:pStyle w:val="30"/>
              <w:keepNext w:val="0"/>
              <w:keepLines w:val="0"/>
              <w:pageBreakBefore w:val="0"/>
              <w:widowControl w:val="0"/>
              <w:tabs>
                <w:tab w:val="left" w:pos="789"/>
              </w:tabs>
              <w:kinsoku/>
              <w:wordWrap/>
              <w:overflowPunct/>
              <w:topLinePunct w:val="0"/>
              <w:autoSpaceDE w:val="0"/>
              <w:autoSpaceDN w:val="0"/>
              <w:bidi w:val="0"/>
              <w:adjustRightInd w:val="0"/>
              <w:snapToGrid w:val="0"/>
              <w:spacing w:before="0" w:beforeAutospacing="0" w:after="0" w:afterAutospacing="0" w:line="240" w:lineRule="auto"/>
              <w:ind w:firstLine="0" w:firstLineChars="0"/>
              <w:jc w:val="center"/>
              <w:textAlignment w:val="auto"/>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表4-</w:t>
            </w:r>
            <w:r>
              <w:rPr>
                <w:rFonts w:hint="eastAsia" w:ascii="Times New Roman" w:hAnsi="Times New Roman" w:cs="Times New Roman"/>
                <w:b/>
                <w:bCs/>
                <w:color w:val="auto"/>
                <w:szCs w:val="24"/>
                <w:lang w:val="en-US" w:eastAsia="zh-CN"/>
              </w:rPr>
              <w:t>20</w:t>
            </w:r>
            <w:r>
              <w:rPr>
                <w:rFonts w:hint="default" w:ascii="Times New Roman" w:hAnsi="Times New Roman" w:eastAsia="宋体" w:cs="Times New Roman"/>
                <w:b/>
                <w:bCs/>
                <w:color w:val="auto"/>
                <w:szCs w:val="24"/>
              </w:rPr>
              <w:t>工业企业噪声源强调查清单（室外声源）</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95"/>
              <w:gridCol w:w="1319"/>
              <w:gridCol w:w="1897"/>
              <w:gridCol w:w="771"/>
              <w:gridCol w:w="764"/>
              <w:gridCol w:w="773"/>
              <w:gridCol w:w="909"/>
              <w:gridCol w:w="1012"/>
              <w:gridCol w:w="797"/>
            </w:tblGrid>
            <w:tr w14:paraId="07F6F1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36" w:type="pct"/>
                  <w:vMerge w:val="restart"/>
                  <w:noWrap w:val="0"/>
                  <w:vAlign w:val="center"/>
                </w:tcPr>
                <w:p w14:paraId="5F4BA0B1">
                  <w:pPr>
                    <w:spacing w:line="240" w:lineRule="auto"/>
                    <w:ind w:firstLine="0" w:firstLineChars="0"/>
                    <w:jc w:val="center"/>
                    <w:rPr>
                      <w:rFonts w:ascii="Times New Roman" w:hAnsi="Times New Roman" w:eastAsia="宋体" w:cs="Times New Roman"/>
                      <w:b/>
                      <w:bCs/>
                      <w:sz w:val="21"/>
                    </w:rPr>
                  </w:pPr>
                  <w:r>
                    <w:rPr>
                      <w:rFonts w:ascii="Times New Roman" w:hAnsi="Times New Roman" w:eastAsia="宋体" w:cs="Times New Roman"/>
                      <w:b/>
                      <w:bCs/>
                      <w:sz w:val="21"/>
                    </w:rPr>
                    <w:t>序号</w:t>
                  </w:r>
                </w:p>
              </w:tc>
              <w:tc>
                <w:tcPr>
                  <w:tcW w:w="746" w:type="pct"/>
                  <w:vMerge w:val="restart"/>
                  <w:noWrap w:val="0"/>
                  <w:vAlign w:val="center"/>
                </w:tcPr>
                <w:p w14:paraId="7BE25605">
                  <w:pPr>
                    <w:spacing w:line="240" w:lineRule="auto"/>
                    <w:ind w:firstLine="0" w:firstLineChars="0"/>
                    <w:jc w:val="center"/>
                    <w:rPr>
                      <w:rFonts w:ascii="Times New Roman" w:hAnsi="Times New Roman" w:eastAsia="宋体" w:cs="Times New Roman"/>
                      <w:b/>
                      <w:bCs/>
                      <w:sz w:val="21"/>
                    </w:rPr>
                  </w:pPr>
                  <w:r>
                    <w:rPr>
                      <w:rFonts w:hint="eastAsia" w:ascii="Times New Roman" w:hAnsi="Times New Roman" w:eastAsia="宋体" w:cs="Times New Roman"/>
                      <w:b/>
                      <w:bCs/>
                      <w:sz w:val="21"/>
                    </w:rPr>
                    <w:t>声源</w:t>
                  </w:r>
                  <w:r>
                    <w:rPr>
                      <w:rFonts w:ascii="Times New Roman" w:hAnsi="Times New Roman" w:eastAsia="宋体" w:cs="Times New Roman"/>
                      <w:b/>
                      <w:bCs/>
                      <w:sz w:val="21"/>
                    </w:rPr>
                    <w:t>名称</w:t>
                  </w:r>
                </w:p>
              </w:tc>
              <w:tc>
                <w:tcPr>
                  <w:tcW w:w="1073" w:type="pct"/>
                  <w:vMerge w:val="restart"/>
                  <w:noWrap w:val="0"/>
                  <w:vAlign w:val="center"/>
                </w:tcPr>
                <w:p w14:paraId="1942C894">
                  <w:pPr>
                    <w:spacing w:line="240" w:lineRule="auto"/>
                    <w:ind w:firstLine="0" w:firstLineChars="0"/>
                    <w:jc w:val="center"/>
                    <w:rPr>
                      <w:rFonts w:hint="eastAsia" w:ascii="Times New Roman" w:hAnsi="Times New Roman" w:eastAsia="宋体" w:cs="Times New Roman"/>
                      <w:b/>
                      <w:bCs/>
                      <w:sz w:val="21"/>
                      <w:lang w:val="en-US" w:eastAsia="zh-CN"/>
                    </w:rPr>
                  </w:pPr>
                  <w:r>
                    <w:rPr>
                      <w:rFonts w:hint="eastAsia" w:ascii="Times New Roman" w:hAnsi="Times New Roman" w:eastAsia="宋体" w:cs="Times New Roman"/>
                      <w:b/>
                      <w:bCs/>
                      <w:sz w:val="21"/>
                      <w:lang w:val="en-US" w:eastAsia="zh-CN"/>
                    </w:rPr>
                    <w:t>型号</w:t>
                  </w:r>
                </w:p>
              </w:tc>
              <w:tc>
                <w:tcPr>
                  <w:tcW w:w="1305" w:type="pct"/>
                  <w:gridSpan w:val="3"/>
                  <w:noWrap w:val="0"/>
                  <w:vAlign w:val="center"/>
                </w:tcPr>
                <w:p w14:paraId="1B05C2AF">
                  <w:pPr>
                    <w:spacing w:line="240" w:lineRule="auto"/>
                    <w:ind w:firstLine="0" w:firstLineChars="0"/>
                    <w:jc w:val="center"/>
                    <w:rPr>
                      <w:rFonts w:ascii="Times New Roman" w:hAnsi="Times New Roman" w:eastAsia="宋体" w:cs="Times New Roman"/>
                      <w:b/>
                      <w:bCs/>
                      <w:sz w:val="21"/>
                    </w:rPr>
                  </w:pPr>
                  <w:r>
                    <w:rPr>
                      <w:rFonts w:hint="eastAsia" w:ascii="Times New Roman" w:hAnsi="Times New Roman" w:eastAsia="宋体" w:cs="Times New Roman"/>
                      <w:b/>
                      <w:bCs/>
                      <w:sz w:val="21"/>
                    </w:rPr>
                    <w:t>空间相对位置/m</w:t>
                  </w:r>
                </w:p>
              </w:tc>
              <w:tc>
                <w:tcPr>
                  <w:tcW w:w="514" w:type="pct"/>
                  <w:vMerge w:val="restart"/>
                  <w:noWrap w:val="0"/>
                  <w:vAlign w:val="center"/>
                </w:tcPr>
                <w:p w14:paraId="65F76C1D">
                  <w:pPr>
                    <w:spacing w:line="240" w:lineRule="auto"/>
                    <w:ind w:firstLine="0" w:firstLineChars="0"/>
                    <w:jc w:val="center"/>
                    <w:rPr>
                      <w:rFonts w:ascii="Times New Roman" w:hAnsi="Times New Roman" w:eastAsia="宋体" w:cs="Times New Roman"/>
                      <w:b/>
                      <w:bCs/>
                      <w:sz w:val="21"/>
                    </w:rPr>
                  </w:pPr>
                  <w:r>
                    <w:rPr>
                      <w:rFonts w:hint="eastAsia" w:ascii="Times New Roman" w:hAnsi="Times New Roman" w:eastAsia="宋体" w:cs="Times New Roman"/>
                      <w:b/>
                      <w:bCs/>
                      <w:sz w:val="21"/>
                    </w:rPr>
                    <w:t>声源源强/</w:t>
                  </w:r>
                  <w:r>
                    <w:rPr>
                      <w:rFonts w:hint="eastAsia" w:ascii="Times New Roman" w:hAnsi="Times New Roman" w:eastAsia="宋体" w:cs="Times New Roman"/>
                      <w:b/>
                      <w:bCs/>
                      <w:sz w:val="21"/>
                      <w:lang w:eastAsia="zh-CN"/>
                    </w:rPr>
                    <w:t>dB</w:t>
                  </w:r>
                  <w:r>
                    <w:rPr>
                      <w:rFonts w:hint="eastAsia" w:ascii="Times New Roman" w:hAnsi="Times New Roman" w:eastAsia="宋体" w:cs="Times New Roman"/>
                      <w:b/>
                      <w:bCs/>
                      <w:sz w:val="21"/>
                    </w:rPr>
                    <w:t>（A）</w:t>
                  </w:r>
                </w:p>
              </w:tc>
              <w:tc>
                <w:tcPr>
                  <w:tcW w:w="572" w:type="pct"/>
                  <w:vMerge w:val="restart"/>
                  <w:noWrap w:val="0"/>
                  <w:vAlign w:val="center"/>
                </w:tcPr>
                <w:p w14:paraId="0AE58BAA">
                  <w:pPr>
                    <w:spacing w:line="240" w:lineRule="auto"/>
                    <w:ind w:firstLine="0" w:firstLineChars="0"/>
                    <w:jc w:val="center"/>
                    <w:rPr>
                      <w:rFonts w:ascii="Times New Roman" w:hAnsi="Times New Roman" w:eastAsia="宋体" w:cs="Times New Roman"/>
                      <w:b/>
                      <w:bCs/>
                      <w:sz w:val="21"/>
                    </w:rPr>
                  </w:pPr>
                  <w:r>
                    <w:rPr>
                      <w:rFonts w:hint="eastAsia" w:ascii="Times New Roman" w:hAnsi="Times New Roman" w:eastAsia="宋体" w:cs="Times New Roman"/>
                      <w:b/>
                      <w:bCs/>
                      <w:sz w:val="21"/>
                    </w:rPr>
                    <w:t>声源控制措施</w:t>
                  </w:r>
                </w:p>
              </w:tc>
              <w:tc>
                <w:tcPr>
                  <w:tcW w:w="451" w:type="pct"/>
                  <w:vMerge w:val="restart"/>
                  <w:noWrap w:val="0"/>
                  <w:vAlign w:val="center"/>
                </w:tcPr>
                <w:p w14:paraId="619CA70F">
                  <w:pPr>
                    <w:spacing w:line="240" w:lineRule="auto"/>
                    <w:ind w:firstLine="0" w:firstLineChars="0"/>
                    <w:jc w:val="center"/>
                    <w:rPr>
                      <w:rFonts w:ascii="Times New Roman" w:hAnsi="Times New Roman" w:eastAsia="宋体" w:cs="Times New Roman"/>
                      <w:b/>
                      <w:bCs/>
                      <w:sz w:val="21"/>
                    </w:rPr>
                  </w:pPr>
                  <w:r>
                    <w:rPr>
                      <w:rFonts w:hint="eastAsia" w:ascii="Times New Roman" w:hAnsi="Times New Roman" w:eastAsia="宋体" w:cs="Times New Roman"/>
                      <w:b/>
                      <w:bCs/>
                      <w:sz w:val="21"/>
                    </w:rPr>
                    <w:t>运行时段</w:t>
                  </w:r>
                </w:p>
              </w:tc>
            </w:tr>
            <w:tr w14:paraId="0ADDA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336" w:type="pct"/>
                  <w:vMerge w:val="continue"/>
                  <w:noWrap w:val="0"/>
                  <w:vAlign w:val="center"/>
                </w:tcPr>
                <w:p w14:paraId="57B6F8B9">
                  <w:pPr>
                    <w:spacing w:line="240" w:lineRule="auto"/>
                    <w:ind w:firstLine="0" w:firstLineChars="0"/>
                    <w:jc w:val="center"/>
                    <w:rPr>
                      <w:rFonts w:ascii="Times New Roman" w:hAnsi="Times New Roman" w:eastAsia="宋体" w:cs="Times New Roman"/>
                      <w:b/>
                      <w:bCs/>
                      <w:sz w:val="21"/>
                    </w:rPr>
                  </w:pPr>
                </w:p>
              </w:tc>
              <w:tc>
                <w:tcPr>
                  <w:tcW w:w="746" w:type="pct"/>
                  <w:vMerge w:val="continue"/>
                  <w:noWrap w:val="0"/>
                  <w:vAlign w:val="center"/>
                </w:tcPr>
                <w:p w14:paraId="0BA4CCA3">
                  <w:pPr>
                    <w:spacing w:line="240" w:lineRule="auto"/>
                    <w:ind w:firstLine="0" w:firstLineChars="0"/>
                    <w:jc w:val="center"/>
                    <w:rPr>
                      <w:rFonts w:ascii="Times New Roman" w:hAnsi="Times New Roman" w:eastAsia="宋体" w:cs="Times New Roman"/>
                      <w:b/>
                      <w:bCs/>
                      <w:sz w:val="21"/>
                    </w:rPr>
                  </w:pPr>
                </w:p>
              </w:tc>
              <w:tc>
                <w:tcPr>
                  <w:tcW w:w="1073" w:type="pct"/>
                  <w:vMerge w:val="continue"/>
                  <w:noWrap w:val="0"/>
                  <w:vAlign w:val="center"/>
                </w:tcPr>
                <w:p w14:paraId="0676D593">
                  <w:pPr>
                    <w:spacing w:line="240" w:lineRule="auto"/>
                    <w:ind w:firstLine="0" w:firstLineChars="0"/>
                    <w:jc w:val="center"/>
                    <w:rPr>
                      <w:rFonts w:ascii="Times New Roman" w:hAnsi="Times New Roman" w:eastAsia="宋体" w:cs="Times New Roman"/>
                      <w:b/>
                      <w:bCs/>
                      <w:sz w:val="21"/>
                    </w:rPr>
                  </w:pPr>
                </w:p>
              </w:tc>
              <w:tc>
                <w:tcPr>
                  <w:tcW w:w="436" w:type="pct"/>
                  <w:noWrap w:val="0"/>
                  <w:vAlign w:val="center"/>
                </w:tcPr>
                <w:p w14:paraId="33FD2311">
                  <w:pPr>
                    <w:spacing w:line="240" w:lineRule="auto"/>
                    <w:ind w:firstLine="0" w:firstLineChars="0"/>
                    <w:jc w:val="center"/>
                    <w:rPr>
                      <w:rFonts w:hint="eastAsia" w:ascii="Times New Roman" w:hAnsi="Times New Roman" w:eastAsia="宋体" w:cs="Times New Roman"/>
                      <w:b/>
                      <w:bCs/>
                      <w:color w:val="auto"/>
                      <w:sz w:val="21"/>
                    </w:rPr>
                  </w:pPr>
                  <w:r>
                    <w:rPr>
                      <w:rFonts w:hint="eastAsia" w:ascii="Times New Roman" w:hAnsi="Times New Roman" w:eastAsia="宋体" w:cs="Times New Roman"/>
                      <w:b/>
                      <w:bCs/>
                      <w:color w:val="auto"/>
                      <w:sz w:val="21"/>
                    </w:rPr>
                    <w:t>X</w:t>
                  </w:r>
                </w:p>
              </w:tc>
              <w:tc>
                <w:tcPr>
                  <w:tcW w:w="432" w:type="pct"/>
                  <w:noWrap w:val="0"/>
                  <w:vAlign w:val="center"/>
                </w:tcPr>
                <w:p w14:paraId="68A5B607">
                  <w:pPr>
                    <w:spacing w:line="240" w:lineRule="auto"/>
                    <w:ind w:firstLine="0" w:firstLineChars="0"/>
                    <w:jc w:val="center"/>
                    <w:rPr>
                      <w:rFonts w:hint="eastAsia" w:ascii="Times New Roman" w:hAnsi="Times New Roman" w:eastAsia="宋体" w:cs="Times New Roman"/>
                      <w:b/>
                      <w:bCs/>
                      <w:color w:val="auto"/>
                      <w:sz w:val="21"/>
                    </w:rPr>
                  </w:pPr>
                  <w:r>
                    <w:rPr>
                      <w:rFonts w:hint="eastAsia" w:ascii="Times New Roman" w:hAnsi="Times New Roman" w:eastAsia="宋体" w:cs="Times New Roman"/>
                      <w:b/>
                      <w:bCs/>
                      <w:color w:val="auto"/>
                      <w:sz w:val="21"/>
                    </w:rPr>
                    <w:t>Y</w:t>
                  </w:r>
                </w:p>
              </w:tc>
              <w:tc>
                <w:tcPr>
                  <w:tcW w:w="437" w:type="pct"/>
                  <w:noWrap w:val="0"/>
                  <w:vAlign w:val="center"/>
                </w:tcPr>
                <w:p w14:paraId="41045EC2">
                  <w:pPr>
                    <w:spacing w:line="240" w:lineRule="auto"/>
                    <w:ind w:firstLine="0" w:firstLineChars="0"/>
                    <w:jc w:val="center"/>
                    <w:rPr>
                      <w:rFonts w:hint="eastAsia" w:ascii="Times New Roman" w:hAnsi="Times New Roman" w:eastAsia="宋体" w:cs="Times New Roman"/>
                      <w:b/>
                      <w:bCs/>
                      <w:color w:val="auto"/>
                      <w:sz w:val="21"/>
                    </w:rPr>
                  </w:pPr>
                  <w:r>
                    <w:rPr>
                      <w:rFonts w:hint="eastAsia" w:ascii="Times New Roman" w:hAnsi="Times New Roman" w:eastAsia="宋体" w:cs="Times New Roman"/>
                      <w:b/>
                      <w:bCs/>
                      <w:color w:val="auto"/>
                      <w:sz w:val="21"/>
                    </w:rPr>
                    <w:t>Z</w:t>
                  </w:r>
                </w:p>
              </w:tc>
              <w:tc>
                <w:tcPr>
                  <w:tcW w:w="514" w:type="pct"/>
                  <w:vMerge w:val="continue"/>
                  <w:noWrap w:val="0"/>
                  <w:vAlign w:val="center"/>
                </w:tcPr>
                <w:p w14:paraId="6B6F2B7D">
                  <w:pPr>
                    <w:spacing w:line="240" w:lineRule="auto"/>
                    <w:ind w:firstLine="0" w:firstLineChars="0"/>
                    <w:jc w:val="center"/>
                    <w:rPr>
                      <w:rFonts w:ascii="Times New Roman" w:hAnsi="Times New Roman" w:eastAsia="宋体" w:cs="Times New Roman"/>
                      <w:sz w:val="21"/>
                    </w:rPr>
                  </w:pPr>
                </w:p>
              </w:tc>
              <w:tc>
                <w:tcPr>
                  <w:tcW w:w="572" w:type="pct"/>
                  <w:vMerge w:val="continue"/>
                  <w:noWrap w:val="0"/>
                  <w:vAlign w:val="center"/>
                </w:tcPr>
                <w:p w14:paraId="4B6FE3F7">
                  <w:pPr>
                    <w:spacing w:line="240" w:lineRule="auto"/>
                    <w:ind w:firstLine="0" w:firstLineChars="0"/>
                    <w:jc w:val="center"/>
                    <w:rPr>
                      <w:rFonts w:ascii="Times New Roman" w:hAnsi="Times New Roman" w:eastAsia="宋体" w:cs="Times New Roman"/>
                      <w:sz w:val="21"/>
                    </w:rPr>
                  </w:pPr>
                </w:p>
              </w:tc>
              <w:tc>
                <w:tcPr>
                  <w:tcW w:w="451" w:type="pct"/>
                  <w:vMerge w:val="continue"/>
                  <w:noWrap w:val="0"/>
                  <w:vAlign w:val="center"/>
                </w:tcPr>
                <w:p w14:paraId="46B2621E">
                  <w:pPr>
                    <w:spacing w:line="240" w:lineRule="auto"/>
                    <w:ind w:firstLine="0" w:firstLineChars="0"/>
                    <w:jc w:val="center"/>
                    <w:rPr>
                      <w:rFonts w:ascii="Times New Roman" w:hAnsi="Times New Roman" w:eastAsia="宋体" w:cs="Times New Roman"/>
                      <w:sz w:val="21"/>
                    </w:rPr>
                  </w:pPr>
                </w:p>
              </w:tc>
            </w:tr>
            <w:tr w14:paraId="7A62EB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3" w:hRule="atLeast"/>
                <w:jc w:val="center"/>
              </w:trPr>
              <w:tc>
                <w:tcPr>
                  <w:tcW w:w="336" w:type="pct"/>
                  <w:noWrap w:val="0"/>
                  <w:vAlign w:val="center"/>
                </w:tcPr>
                <w:p w14:paraId="46BC18E3">
                  <w:pPr>
                    <w:spacing w:line="240" w:lineRule="auto"/>
                    <w:ind w:firstLine="0" w:firstLineChars="0"/>
                    <w:jc w:val="center"/>
                    <w:rPr>
                      <w:rFonts w:ascii="Times New Roman" w:hAnsi="Times New Roman" w:eastAsia="宋体" w:cs="Times New Roman"/>
                      <w:sz w:val="21"/>
                    </w:rPr>
                  </w:pPr>
                  <w:r>
                    <w:rPr>
                      <w:rFonts w:ascii="Times New Roman" w:hAnsi="Times New Roman" w:eastAsia="宋体" w:cs="Times New Roman"/>
                      <w:sz w:val="21"/>
                    </w:rPr>
                    <w:t>1</w:t>
                  </w:r>
                </w:p>
              </w:tc>
              <w:tc>
                <w:tcPr>
                  <w:tcW w:w="746" w:type="pct"/>
                  <w:noWrap w:val="0"/>
                  <w:vAlign w:val="center"/>
                </w:tcPr>
                <w:p w14:paraId="318EAC21">
                  <w:pPr>
                    <w:spacing w:line="240" w:lineRule="auto"/>
                    <w:ind w:firstLine="0" w:firstLineChars="0"/>
                    <w:jc w:val="center"/>
                    <w:rPr>
                      <w:rFonts w:ascii="Times New Roman" w:hAnsi="Times New Roman" w:eastAsia="宋体" w:cs="Times New Roman"/>
                      <w:sz w:val="21"/>
                      <w:highlight w:val="none"/>
                    </w:rPr>
                  </w:pPr>
                  <w:r>
                    <w:rPr>
                      <w:rFonts w:hint="eastAsia" w:ascii="Times New Roman" w:hAnsi="Times New Roman" w:eastAsia="宋体" w:cs="Times New Roman"/>
                      <w:sz w:val="21"/>
                      <w:highlight w:val="none"/>
                      <w:lang w:val="en-US" w:eastAsia="zh-CN"/>
                    </w:rPr>
                    <w:t>DA001</w:t>
                  </w:r>
                  <w:r>
                    <w:rPr>
                      <w:rFonts w:hint="eastAsia" w:ascii="Times New Roman" w:hAnsi="Times New Roman" w:eastAsia="宋体" w:cs="Times New Roman"/>
                      <w:sz w:val="21"/>
                      <w:highlight w:val="none"/>
                    </w:rPr>
                    <w:t>风机</w:t>
                  </w:r>
                </w:p>
              </w:tc>
              <w:tc>
                <w:tcPr>
                  <w:tcW w:w="1073" w:type="pct"/>
                  <w:noWrap w:val="0"/>
                  <w:vAlign w:val="center"/>
                </w:tcPr>
                <w:p w14:paraId="27E3C4D0">
                  <w:pPr>
                    <w:spacing w:line="240" w:lineRule="auto"/>
                    <w:ind w:firstLine="0" w:firstLineChars="0"/>
                    <w:jc w:val="center"/>
                    <w:rPr>
                      <w:rFonts w:hint="default" w:ascii="Times New Roman" w:hAnsi="Times New Roman" w:eastAsia="宋体" w:cs="Times New Roman"/>
                      <w:sz w:val="21"/>
                      <w:highlight w:val="none"/>
                      <w:lang w:val="en-US" w:eastAsia="zh-CN"/>
                    </w:rPr>
                  </w:pPr>
                  <w:r>
                    <w:rPr>
                      <w:rFonts w:hint="eastAsia" w:ascii="Times New Roman" w:hAnsi="Times New Roman" w:eastAsia="宋体" w:cs="Times New Roman"/>
                      <w:sz w:val="21"/>
                      <w:highlight w:val="none"/>
                      <w:lang w:val="en-US" w:eastAsia="zh-CN"/>
                    </w:rPr>
                    <w:t>/</w:t>
                  </w:r>
                </w:p>
              </w:tc>
              <w:tc>
                <w:tcPr>
                  <w:tcW w:w="436" w:type="pct"/>
                  <w:noWrap w:val="0"/>
                  <w:vAlign w:val="center"/>
                </w:tcPr>
                <w:p w14:paraId="6B70DA98">
                  <w:pPr>
                    <w:spacing w:line="240" w:lineRule="auto"/>
                    <w:ind w:firstLine="0" w:firstLineChars="0"/>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12</w:t>
                  </w:r>
                </w:p>
              </w:tc>
              <w:tc>
                <w:tcPr>
                  <w:tcW w:w="432" w:type="pct"/>
                  <w:noWrap w:val="0"/>
                  <w:vAlign w:val="center"/>
                </w:tcPr>
                <w:p w14:paraId="62DFFD48">
                  <w:pPr>
                    <w:spacing w:line="240" w:lineRule="auto"/>
                    <w:ind w:firstLine="0" w:firstLineChars="0"/>
                    <w:jc w:val="center"/>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15</w:t>
                  </w:r>
                </w:p>
              </w:tc>
              <w:tc>
                <w:tcPr>
                  <w:tcW w:w="437" w:type="pct"/>
                  <w:noWrap w:val="0"/>
                  <w:vAlign w:val="center"/>
                </w:tcPr>
                <w:p w14:paraId="24AB26A6">
                  <w:pPr>
                    <w:spacing w:line="240" w:lineRule="auto"/>
                    <w:ind w:firstLine="0" w:firstLineChars="0"/>
                    <w:jc w:val="center"/>
                    <w:rPr>
                      <w:rFonts w:ascii="Times New Roman" w:hAnsi="Times New Roman" w:eastAsia="宋体" w:cs="Times New Roman"/>
                      <w:color w:val="auto"/>
                      <w:sz w:val="21"/>
                      <w:highlight w:val="none"/>
                    </w:rPr>
                  </w:pPr>
                  <w:r>
                    <w:rPr>
                      <w:rFonts w:hint="eastAsia" w:ascii="Times New Roman" w:hAnsi="Times New Roman" w:eastAsia="宋体" w:cs="Times New Roman"/>
                      <w:color w:val="auto"/>
                      <w:sz w:val="21"/>
                      <w:highlight w:val="none"/>
                    </w:rPr>
                    <w:t>1</w:t>
                  </w:r>
                </w:p>
              </w:tc>
              <w:tc>
                <w:tcPr>
                  <w:tcW w:w="514" w:type="pct"/>
                  <w:noWrap w:val="0"/>
                  <w:vAlign w:val="center"/>
                </w:tcPr>
                <w:p w14:paraId="3BB35F8C">
                  <w:pPr>
                    <w:spacing w:line="240" w:lineRule="auto"/>
                    <w:ind w:firstLine="0" w:firstLineChars="0"/>
                    <w:jc w:val="center"/>
                    <w:rPr>
                      <w:rFonts w:hint="eastAsia" w:ascii="Times New Roman" w:hAnsi="Times New Roman" w:eastAsia="宋体" w:cs="Times New Roman"/>
                      <w:sz w:val="21"/>
                      <w:lang w:val="en-US" w:eastAsia="zh-CN"/>
                    </w:rPr>
                  </w:pPr>
                  <w:r>
                    <w:rPr>
                      <w:rFonts w:hint="eastAsia" w:ascii="Times New Roman" w:hAnsi="Times New Roman" w:eastAsia="宋体" w:cs="Times New Roman"/>
                      <w:sz w:val="21"/>
                    </w:rPr>
                    <w:t>8</w:t>
                  </w:r>
                  <w:r>
                    <w:rPr>
                      <w:rFonts w:hint="eastAsia" w:ascii="Times New Roman" w:hAnsi="Times New Roman" w:eastAsia="宋体" w:cs="Times New Roman"/>
                      <w:sz w:val="21"/>
                      <w:lang w:val="en-US" w:eastAsia="zh-CN"/>
                    </w:rPr>
                    <w:t>5</w:t>
                  </w:r>
                </w:p>
              </w:tc>
              <w:tc>
                <w:tcPr>
                  <w:tcW w:w="572" w:type="pct"/>
                  <w:noWrap w:val="0"/>
                  <w:vAlign w:val="center"/>
                </w:tcPr>
                <w:p w14:paraId="65AD768E">
                  <w:pPr>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合理布局、选用低转速、低噪声的风机和电机，风机进出口安装软接头</w:t>
                  </w:r>
                </w:p>
              </w:tc>
              <w:tc>
                <w:tcPr>
                  <w:tcW w:w="451" w:type="pct"/>
                  <w:noWrap w:val="0"/>
                  <w:vAlign w:val="center"/>
                </w:tcPr>
                <w:p w14:paraId="314E22C6">
                  <w:pPr>
                    <w:spacing w:line="240" w:lineRule="auto"/>
                    <w:ind w:firstLine="0" w:firstLineChars="0"/>
                    <w:jc w:val="center"/>
                    <w:rPr>
                      <w:rFonts w:hint="eastAsia" w:ascii="Times New Roman" w:hAnsi="Times New Roman" w:eastAsia="宋体" w:cs="Times New Roman"/>
                      <w:sz w:val="21"/>
                    </w:rPr>
                  </w:pPr>
                  <w:r>
                    <w:rPr>
                      <w:rFonts w:hint="eastAsia" w:ascii="Times New Roman" w:hAnsi="Times New Roman" w:eastAsia="宋体" w:cs="Times New Roman"/>
                      <w:sz w:val="21"/>
                    </w:rPr>
                    <w:t>昼、夜间</w:t>
                  </w:r>
                </w:p>
              </w:tc>
            </w:tr>
            <w:tr w14:paraId="643A99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00" w:type="pct"/>
                  <w:gridSpan w:val="9"/>
                  <w:noWrap w:val="0"/>
                  <w:vAlign w:val="center"/>
                </w:tcPr>
                <w:p w14:paraId="4F1EA779">
                  <w:pPr>
                    <w:widowControl/>
                    <w:spacing w:line="360" w:lineRule="exact"/>
                    <w:ind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注：相对空间位置原点为车间西南角，正东方向为X轴正方向，正北方向为Y轴正方向。</w:t>
                  </w:r>
                </w:p>
              </w:tc>
            </w:tr>
          </w:tbl>
          <w:p w14:paraId="06765BDC">
            <w:pPr>
              <w:spacing w:line="360" w:lineRule="auto"/>
              <w:ind w:firstLine="480"/>
              <w:rPr>
                <w:color w:val="auto"/>
              </w:rPr>
            </w:pPr>
          </w:p>
        </w:tc>
      </w:tr>
    </w:tbl>
    <w:p w14:paraId="06B637A5">
      <w:pPr>
        <w:adjustRightInd w:val="0"/>
        <w:snapToGrid w:val="0"/>
        <w:ind w:firstLine="0" w:firstLineChars="0"/>
        <w:jc w:val="center"/>
        <w:rPr>
          <w:bCs/>
          <w:color w:val="auto"/>
          <w:szCs w:val="21"/>
        </w:rPr>
        <w:sectPr>
          <w:pgSz w:w="11906" w:h="16838"/>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8"/>
        <w:tblW w:w="502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3797"/>
      </w:tblGrid>
      <w:tr w14:paraId="166D18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3" w:type="pct"/>
            <w:tcMar>
              <w:left w:w="28" w:type="dxa"/>
              <w:right w:w="28" w:type="dxa"/>
            </w:tcMar>
            <w:vAlign w:val="center"/>
          </w:tcPr>
          <w:p w14:paraId="47719A08">
            <w:pPr>
              <w:adjustRightInd w:val="0"/>
              <w:snapToGrid w:val="0"/>
              <w:ind w:firstLine="0" w:firstLineChars="0"/>
              <w:jc w:val="center"/>
              <w:rPr>
                <w:bCs/>
                <w:color w:val="auto"/>
                <w:szCs w:val="21"/>
              </w:rPr>
            </w:pPr>
          </w:p>
        </w:tc>
        <w:tc>
          <w:tcPr>
            <w:tcW w:w="4776" w:type="pct"/>
            <w:vAlign w:val="center"/>
          </w:tcPr>
          <w:p w14:paraId="23E72EF6">
            <w:pPr>
              <w:pStyle w:val="30"/>
              <w:widowControl w:val="0"/>
              <w:tabs>
                <w:tab w:val="left" w:pos="789"/>
              </w:tabs>
              <w:autoSpaceDE w:val="0"/>
              <w:autoSpaceDN w:val="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表4-</w:t>
            </w:r>
            <w:r>
              <w:rPr>
                <w:rFonts w:hint="eastAsia" w:ascii="Times New Roman" w:hAnsi="Times New Roman" w:cs="Times New Roman"/>
                <w:b/>
                <w:bCs/>
                <w:color w:val="auto"/>
                <w:szCs w:val="24"/>
                <w:lang w:val="en-US" w:eastAsia="zh-CN"/>
              </w:rPr>
              <w:t>21</w:t>
            </w:r>
            <w:r>
              <w:rPr>
                <w:rFonts w:hint="default" w:ascii="Times New Roman" w:hAnsi="Times New Roman" w:eastAsia="宋体" w:cs="Times New Roman"/>
                <w:b/>
                <w:bCs/>
                <w:color w:val="auto"/>
                <w:szCs w:val="24"/>
              </w:rPr>
              <w:t>工业企业噪声源强调查清单（室内声源）</w:t>
            </w:r>
          </w:p>
          <w:tbl>
            <w:tblPr>
              <w:tblStyle w:val="3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26"/>
              <w:gridCol w:w="1270"/>
              <w:gridCol w:w="1091"/>
              <w:gridCol w:w="1091"/>
              <w:gridCol w:w="815"/>
              <w:gridCol w:w="880"/>
              <w:gridCol w:w="891"/>
              <w:gridCol w:w="912"/>
              <w:gridCol w:w="891"/>
              <w:gridCol w:w="834"/>
              <w:gridCol w:w="1073"/>
              <w:gridCol w:w="1070"/>
              <w:gridCol w:w="1073"/>
              <w:gridCol w:w="1159"/>
            </w:tblGrid>
            <w:tr w14:paraId="14C644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4" w:type="pct"/>
                  <w:vMerge w:val="restart"/>
                  <w:noWrap w:val="0"/>
                  <w:vAlign w:val="center"/>
                </w:tcPr>
                <w:p w14:paraId="4A4A3C18">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序号</w:t>
                  </w:r>
                </w:p>
              </w:tc>
              <w:tc>
                <w:tcPr>
                  <w:tcW w:w="468" w:type="pct"/>
                  <w:vMerge w:val="restart"/>
                  <w:noWrap w:val="0"/>
                  <w:vAlign w:val="center"/>
                </w:tcPr>
                <w:p w14:paraId="73EDCCDA">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声源名称</w:t>
                  </w:r>
                </w:p>
              </w:tc>
              <w:tc>
                <w:tcPr>
                  <w:tcW w:w="402" w:type="pct"/>
                  <w:vMerge w:val="restart"/>
                  <w:noWrap w:val="0"/>
                  <w:vAlign w:val="center"/>
                </w:tcPr>
                <w:p w14:paraId="6B430E79">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型号</w:t>
                  </w:r>
                </w:p>
              </w:tc>
              <w:tc>
                <w:tcPr>
                  <w:tcW w:w="402" w:type="pct"/>
                  <w:noWrap w:val="0"/>
                  <w:vAlign w:val="center"/>
                </w:tcPr>
                <w:p w14:paraId="2FBFB94A">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声源源强</w:t>
                  </w:r>
                </w:p>
              </w:tc>
              <w:tc>
                <w:tcPr>
                  <w:tcW w:w="300" w:type="pct"/>
                  <w:vMerge w:val="restart"/>
                  <w:noWrap w:val="0"/>
                  <w:vAlign w:val="center"/>
                </w:tcPr>
                <w:p w14:paraId="3E3EC842">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声源控制措施</w:t>
                  </w:r>
                </w:p>
              </w:tc>
              <w:tc>
                <w:tcPr>
                  <w:tcW w:w="988" w:type="pct"/>
                  <w:gridSpan w:val="3"/>
                  <w:noWrap w:val="0"/>
                  <w:vAlign w:val="center"/>
                </w:tcPr>
                <w:p w14:paraId="1DABCD52">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空间相对位置/m</w:t>
                  </w:r>
                </w:p>
              </w:tc>
              <w:tc>
                <w:tcPr>
                  <w:tcW w:w="328" w:type="pct"/>
                  <w:vMerge w:val="restart"/>
                  <w:noWrap w:val="0"/>
                  <w:vAlign w:val="center"/>
                </w:tcPr>
                <w:p w14:paraId="2F6E6241">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距室内边界距离m</w:t>
                  </w:r>
                </w:p>
              </w:tc>
              <w:tc>
                <w:tcPr>
                  <w:tcW w:w="307" w:type="pct"/>
                  <w:vMerge w:val="restart"/>
                  <w:noWrap w:val="0"/>
                  <w:vAlign w:val="center"/>
                </w:tcPr>
                <w:p w14:paraId="4846828D">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室内边界声级dB（A）</w:t>
                  </w:r>
                </w:p>
              </w:tc>
              <w:tc>
                <w:tcPr>
                  <w:tcW w:w="395" w:type="pct"/>
                  <w:vMerge w:val="restart"/>
                  <w:noWrap w:val="0"/>
                  <w:vAlign w:val="center"/>
                </w:tcPr>
                <w:p w14:paraId="3D64018A">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运行时段</w:t>
                  </w:r>
                </w:p>
              </w:tc>
              <w:tc>
                <w:tcPr>
                  <w:tcW w:w="394" w:type="pct"/>
                  <w:vMerge w:val="restart"/>
                  <w:noWrap w:val="0"/>
                  <w:vAlign w:val="center"/>
                </w:tcPr>
                <w:p w14:paraId="1A9B8FC3">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建筑物插入损失dB（A）</w:t>
                  </w:r>
                </w:p>
              </w:tc>
              <w:tc>
                <w:tcPr>
                  <w:tcW w:w="815" w:type="pct"/>
                  <w:gridSpan w:val="2"/>
                  <w:noWrap w:val="0"/>
                  <w:vAlign w:val="center"/>
                </w:tcPr>
                <w:p w14:paraId="16C7C00E">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建筑物外噪声</w:t>
                  </w:r>
                </w:p>
              </w:tc>
            </w:tr>
            <w:tr w14:paraId="366A41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4" w:type="pct"/>
                  <w:vMerge w:val="continue"/>
                  <w:noWrap w:val="0"/>
                  <w:vAlign w:val="center"/>
                </w:tcPr>
                <w:p w14:paraId="5B9E45E5">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468" w:type="pct"/>
                  <w:vMerge w:val="continue"/>
                  <w:noWrap w:val="0"/>
                  <w:vAlign w:val="center"/>
                </w:tcPr>
                <w:p w14:paraId="6A49EA22">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402" w:type="pct"/>
                  <w:vMerge w:val="continue"/>
                  <w:noWrap w:val="0"/>
                  <w:vAlign w:val="center"/>
                </w:tcPr>
                <w:p w14:paraId="4E702405">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402" w:type="pct"/>
                  <w:noWrap w:val="0"/>
                  <w:vAlign w:val="center"/>
                </w:tcPr>
                <w:p w14:paraId="406E516B">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声功率级dB（A）</w:t>
                  </w:r>
                </w:p>
              </w:tc>
              <w:tc>
                <w:tcPr>
                  <w:tcW w:w="300" w:type="pct"/>
                  <w:vMerge w:val="continue"/>
                  <w:noWrap w:val="0"/>
                  <w:vAlign w:val="center"/>
                </w:tcPr>
                <w:p w14:paraId="5B5E3643">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324" w:type="pct"/>
                  <w:noWrap w:val="0"/>
                  <w:vAlign w:val="center"/>
                </w:tcPr>
                <w:p w14:paraId="0C973544">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X</w:t>
                  </w:r>
                </w:p>
              </w:tc>
              <w:tc>
                <w:tcPr>
                  <w:tcW w:w="328" w:type="pct"/>
                  <w:noWrap w:val="0"/>
                  <w:vAlign w:val="center"/>
                </w:tcPr>
                <w:p w14:paraId="7810F844">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Y</w:t>
                  </w:r>
                </w:p>
              </w:tc>
              <w:tc>
                <w:tcPr>
                  <w:tcW w:w="335" w:type="pct"/>
                  <w:noWrap w:val="0"/>
                  <w:vAlign w:val="center"/>
                </w:tcPr>
                <w:p w14:paraId="5EDCA9E8">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Z</w:t>
                  </w:r>
                </w:p>
              </w:tc>
              <w:tc>
                <w:tcPr>
                  <w:tcW w:w="328" w:type="pct"/>
                  <w:vMerge w:val="continue"/>
                  <w:noWrap w:val="0"/>
                  <w:vAlign w:val="center"/>
                </w:tcPr>
                <w:p w14:paraId="36BF2918">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307" w:type="pct"/>
                  <w:vMerge w:val="continue"/>
                  <w:noWrap w:val="0"/>
                  <w:vAlign w:val="center"/>
                </w:tcPr>
                <w:p w14:paraId="745DF01D">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395" w:type="pct"/>
                  <w:vMerge w:val="continue"/>
                  <w:noWrap w:val="0"/>
                  <w:vAlign w:val="center"/>
                </w:tcPr>
                <w:p w14:paraId="02BAAF0D">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394" w:type="pct"/>
                  <w:vMerge w:val="continue"/>
                  <w:noWrap w:val="0"/>
                  <w:vAlign w:val="center"/>
                </w:tcPr>
                <w:p w14:paraId="0E9FE8F2">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395" w:type="pct"/>
                  <w:noWrap w:val="0"/>
                  <w:vAlign w:val="center"/>
                </w:tcPr>
                <w:p w14:paraId="3007239B">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声压级dB（A）</w:t>
                  </w:r>
                </w:p>
              </w:tc>
              <w:tc>
                <w:tcPr>
                  <w:tcW w:w="420" w:type="pct"/>
                  <w:noWrap w:val="0"/>
                  <w:vAlign w:val="center"/>
                </w:tcPr>
                <w:p w14:paraId="33AAE0E0">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建筑物外距离m</w:t>
                  </w:r>
                </w:p>
              </w:tc>
            </w:tr>
            <w:tr w14:paraId="46F632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4" w:type="pct"/>
                  <w:noWrap w:val="0"/>
                  <w:vAlign w:val="center"/>
                </w:tcPr>
                <w:p w14:paraId="55D57F3B">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w:t>
                  </w:r>
                </w:p>
              </w:tc>
              <w:tc>
                <w:tcPr>
                  <w:tcW w:w="1270" w:type="dxa"/>
                  <w:noWrap w:val="0"/>
                  <w:vAlign w:val="center"/>
                </w:tcPr>
                <w:p w14:paraId="173FDA0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喷水织机</w:t>
                  </w:r>
                </w:p>
              </w:tc>
              <w:tc>
                <w:tcPr>
                  <w:tcW w:w="1091" w:type="dxa"/>
                  <w:noWrap w:val="0"/>
                  <w:vAlign w:val="center"/>
                </w:tcPr>
                <w:p w14:paraId="3E4B5A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2"/>
                      <w:sz w:val="21"/>
                      <w:szCs w:val="21"/>
                      <w:lang w:val="en-US" w:eastAsia="zh-CN" w:bidi="ar-SA"/>
                    </w:rPr>
                    <w:t>190-360型</w:t>
                  </w:r>
                </w:p>
              </w:tc>
              <w:tc>
                <w:tcPr>
                  <w:tcW w:w="402" w:type="pct"/>
                  <w:noWrap w:val="0"/>
                  <w:vAlign w:val="center"/>
                </w:tcPr>
                <w:p w14:paraId="21DFCAB4">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85</w:t>
                  </w:r>
                </w:p>
              </w:tc>
              <w:tc>
                <w:tcPr>
                  <w:tcW w:w="300" w:type="pct"/>
                  <w:vMerge w:val="restart"/>
                  <w:noWrap w:val="0"/>
                  <w:vAlign w:val="center"/>
                </w:tcPr>
                <w:p w14:paraId="1D24F3FF">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yellow"/>
                      <w:lang w:val="en-US" w:eastAsia="zh-CN" w:bidi="ar"/>
                    </w:rPr>
                  </w:pPr>
                  <w:r>
                    <w:rPr>
                      <w:rFonts w:hint="eastAsia" w:ascii="Times New Roman" w:hAnsi="Times New Roman" w:eastAsia="宋体" w:cs="Times New Roman"/>
                      <w:color w:val="auto"/>
                      <w:kern w:val="0"/>
                      <w:sz w:val="21"/>
                      <w:szCs w:val="21"/>
                      <w:highlight w:val="none"/>
                      <w:lang w:val="en-US" w:eastAsia="zh-CN" w:bidi="ar"/>
                    </w:rPr>
                    <w:t>购买低噪声设备、厂房隔声、合理布局</w:t>
                  </w:r>
                </w:p>
              </w:tc>
              <w:tc>
                <w:tcPr>
                  <w:tcW w:w="324" w:type="pct"/>
                  <w:noWrap w:val="0"/>
                  <w:vAlign w:val="center"/>
                </w:tcPr>
                <w:p w14:paraId="20799A51">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7</w:t>
                  </w:r>
                </w:p>
              </w:tc>
              <w:tc>
                <w:tcPr>
                  <w:tcW w:w="328" w:type="pct"/>
                  <w:noWrap w:val="0"/>
                  <w:vAlign w:val="center"/>
                </w:tcPr>
                <w:p w14:paraId="6ECE05C1">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150</w:t>
                  </w:r>
                </w:p>
              </w:tc>
              <w:tc>
                <w:tcPr>
                  <w:tcW w:w="335" w:type="pct"/>
                  <w:noWrap w:val="0"/>
                  <w:vAlign w:val="center"/>
                </w:tcPr>
                <w:p w14:paraId="44996FCB">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w:t>
                  </w:r>
                </w:p>
              </w:tc>
              <w:tc>
                <w:tcPr>
                  <w:tcW w:w="328" w:type="pct"/>
                  <w:noWrap w:val="0"/>
                  <w:vAlign w:val="center"/>
                </w:tcPr>
                <w:p w14:paraId="6CB23733">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北5</w:t>
                  </w:r>
                </w:p>
              </w:tc>
              <w:tc>
                <w:tcPr>
                  <w:tcW w:w="834" w:type="dxa"/>
                  <w:noWrap w:val="0"/>
                  <w:vAlign w:val="center"/>
                </w:tcPr>
                <w:p w14:paraId="1FF4E8C6">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95.20 </w:t>
                  </w:r>
                </w:p>
              </w:tc>
              <w:tc>
                <w:tcPr>
                  <w:tcW w:w="395" w:type="pct"/>
                  <w:vMerge w:val="restart"/>
                  <w:noWrap w:val="0"/>
                  <w:vAlign w:val="center"/>
                </w:tcPr>
                <w:p w14:paraId="26F2EEC8">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昼、夜间</w:t>
                  </w:r>
                </w:p>
              </w:tc>
              <w:tc>
                <w:tcPr>
                  <w:tcW w:w="394" w:type="pct"/>
                  <w:noWrap w:val="0"/>
                  <w:vAlign w:val="center"/>
                </w:tcPr>
                <w:p w14:paraId="50B5AD4A">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25</w:t>
                  </w:r>
                </w:p>
              </w:tc>
              <w:tc>
                <w:tcPr>
                  <w:tcW w:w="1073" w:type="dxa"/>
                  <w:noWrap w:val="0"/>
                  <w:vAlign w:val="center"/>
                </w:tcPr>
                <w:p w14:paraId="21BC1D43">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64.20 </w:t>
                  </w:r>
                </w:p>
              </w:tc>
              <w:tc>
                <w:tcPr>
                  <w:tcW w:w="420" w:type="pct"/>
                  <w:noWrap w:val="0"/>
                  <w:vAlign w:val="center"/>
                </w:tcPr>
                <w:p w14:paraId="4120DB68">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1</w:t>
                  </w:r>
                </w:p>
              </w:tc>
            </w:tr>
            <w:tr w14:paraId="6A6CF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4" w:type="pct"/>
                  <w:noWrap w:val="0"/>
                  <w:vAlign w:val="center"/>
                </w:tcPr>
                <w:p w14:paraId="2386250B">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2</w:t>
                  </w:r>
                </w:p>
              </w:tc>
              <w:tc>
                <w:tcPr>
                  <w:tcW w:w="1270" w:type="dxa"/>
                  <w:noWrap w:val="0"/>
                  <w:vAlign w:val="center"/>
                </w:tcPr>
                <w:p w14:paraId="13258A9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加弹机</w:t>
                  </w:r>
                </w:p>
              </w:tc>
              <w:tc>
                <w:tcPr>
                  <w:tcW w:w="1091" w:type="dxa"/>
                  <w:noWrap w:val="0"/>
                  <w:vAlign w:val="center"/>
                </w:tcPr>
                <w:p w14:paraId="0DB9C9A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2"/>
                      <w:sz w:val="21"/>
                      <w:szCs w:val="21"/>
                      <w:lang w:val="en-US" w:eastAsia="zh-CN" w:bidi="ar-SA"/>
                    </w:rPr>
                    <w:t>TY-830A</w:t>
                  </w:r>
                </w:p>
              </w:tc>
              <w:tc>
                <w:tcPr>
                  <w:tcW w:w="402" w:type="pct"/>
                  <w:noWrap w:val="0"/>
                  <w:vAlign w:val="center"/>
                </w:tcPr>
                <w:p w14:paraId="61A0C18C">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8</w:t>
                  </w:r>
                  <w:r>
                    <w:rPr>
                      <w:rFonts w:hint="eastAsia" w:cs="Times New Roman"/>
                      <w:color w:val="auto"/>
                      <w:kern w:val="0"/>
                      <w:sz w:val="21"/>
                      <w:szCs w:val="21"/>
                      <w:highlight w:val="none"/>
                      <w:lang w:val="en-US" w:eastAsia="zh-CN" w:bidi="ar"/>
                    </w:rPr>
                    <w:t>0</w:t>
                  </w:r>
                </w:p>
              </w:tc>
              <w:tc>
                <w:tcPr>
                  <w:tcW w:w="300" w:type="pct"/>
                  <w:vMerge w:val="continue"/>
                  <w:noWrap w:val="0"/>
                  <w:vAlign w:val="center"/>
                </w:tcPr>
                <w:p w14:paraId="65462A1A">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yellow"/>
                      <w:lang w:val="en-US" w:eastAsia="zh-CN" w:bidi="ar"/>
                    </w:rPr>
                  </w:pPr>
                </w:p>
              </w:tc>
              <w:tc>
                <w:tcPr>
                  <w:tcW w:w="324" w:type="pct"/>
                  <w:noWrap w:val="0"/>
                  <w:vAlign w:val="center"/>
                </w:tcPr>
                <w:p w14:paraId="499B6AAD">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10</w:t>
                  </w:r>
                </w:p>
              </w:tc>
              <w:tc>
                <w:tcPr>
                  <w:tcW w:w="328" w:type="pct"/>
                  <w:noWrap w:val="0"/>
                  <w:vAlign w:val="center"/>
                </w:tcPr>
                <w:p w14:paraId="3331C838">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3</w:t>
                  </w:r>
                </w:p>
              </w:tc>
              <w:tc>
                <w:tcPr>
                  <w:tcW w:w="335" w:type="pct"/>
                  <w:noWrap w:val="0"/>
                  <w:vAlign w:val="center"/>
                </w:tcPr>
                <w:p w14:paraId="1F798DC0">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w:t>
                  </w:r>
                </w:p>
              </w:tc>
              <w:tc>
                <w:tcPr>
                  <w:tcW w:w="328" w:type="pct"/>
                  <w:noWrap w:val="0"/>
                  <w:vAlign w:val="center"/>
                </w:tcPr>
                <w:p w14:paraId="2F6CCF9C">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yellow"/>
                      <w:lang w:val="en-US" w:eastAsia="zh-CN" w:bidi="ar"/>
                    </w:rPr>
                  </w:pPr>
                  <w:r>
                    <w:rPr>
                      <w:rFonts w:hint="eastAsia" w:cs="Times New Roman"/>
                      <w:color w:val="auto"/>
                      <w:kern w:val="0"/>
                      <w:sz w:val="21"/>
                      <w:szCs w:val="21"/>
                      <w:highlight w:val="none"/>
                      <w:lang w:val="en-US" w:eastAsia="zh-CN" w:bidi="ar"/>
                    </w:rPr>
                    <w:t>南3</w:t>
                  </w:r>
                </w:p>
              </w:tc>
              <w:tc>
                <w:tcPr>
                  <w:tcW w:w="834" w:type="dxa"/>
                  <w:noWrap w:val="0"/>
                  <w:vAlign w:val="center"/>
                </w:tcPr>
                <w:p w14:paraId="69603A08">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74.43 </w:t>
                  </w:r>
                </w:p>
              </w:tc>
              <w:tc>
                <w:tcPr>
                  <w:tcW w:w="395" w:type="pct"/>
                  <w:vMerge w:val="continue"/>
                  <w:noWrap w:val="0"/>
                  <w:vAlign w:val="center"/>
                </w:tcPr>
                <w:p w14:paraId="6A3AEA25">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p>
              </w:tc>
              <w:tc>
                <w:tcPr>
                  <w:tcW w:w="394" w:type="pct"/>
                  <w:noWrap w:val="0"/>
                  <w:vAlign w:val="center"/>
                </w:tcPr>
                <w:p w14:paraId="0891DF3A">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25</w:t>
                  </w:r>
                </w:p>
              </w:tc>
              <w:tc>
                <w:tcPr>
                  <w:tcW w:w="1073" w:type="dxa"/>
                  <w:noWrap w:val="0"/>
                  <w:vAlign w:val="center"/>
                </w:tcPr>
                <w:p w14:paraId="060E38C1">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43.43 </w:t>
                  </w:r>
                </w:p>
              </w:tc>
              <w:tc>
                <w:tcPr>
                  <w:tcW w:w="420" w:type="pct"/>
                  <w:noWrap w:val="0"/>
                  <w:vAlign w:val="center"/>
                </w:tcPr>
                <w:p w14:paraId="7001B319">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1</w:t>
                  </w:r>
                </w:p>
              </w:tc>
            </w:tr>
            <w:tr w14:paraId="41C4CC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4" w:type="pct"/>
                  <w:noWrap w:val="0"/>
                  <w:vAlign w:val="center"/>
                </w:tcPr>
                <w:p w14:paraId="44E4BED8">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3</w:t>
                  </w:r>
                </w:p>
              </w:tc>
              <w:tc>
                <w:tcPr>
                  <w:tcW w:w="1270" w:type="dxa"/>
                  <w:noWrap w:val="0"/>
                  <w:vAlign w:val="center"/>
                </w:tcPr>
                <w:p w14:paraId="2D36F09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
                    </w:rPr>
                  </w:pPr>
                  <w:r>
                    <w:rPr>
                      <w:rFonts w:hint="eastAsia" w:cs="Times New Roman"/>
                      <w:color w:val="auto"/>
                      <w:sz w:val="21"/>
                      <w:szCs w:val="21"/>
                      <w:lang w:val="en-US" w:eastAsia="zh-CN"/>
                    </w:rPr>
                    <w:t>牵经车</w:t>
                  </w:r>
                </w:p>
              </w:tc>
              <w:tc>
                <w:tcPr>
                  <w:tcW w:w="1091" w:type="dxa"/>
                  <w:noWrap w:val="0"/>
                  <w:vAlign w:val="center"/>
                </w:tcPr>
                <w:p w14:paraId="4E05D3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2"/>
                      <w:sz w:val="21"/>
                      <w:szCs w:val="21"/>
                      <w:lang w:val="en-US" w:eastAsia="zh-CN" w:bidi="ar-SA"/>
                    </w:rPr>
                    <w:t>260-360型</w:t>
                  </w:r>
                </w:p>
              </w:tc>
              <w:tc>
                <w:tcPr>
                  <w:tcW w:w="402" w:type="pct"/>
                  <w:noWrap w:val="0"/>
                  <w:vAlign w:val="center"/>
                </w:tcPr>
                <w:p w14:paraId="2B3F97DC">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75</w:t>
                  </w:r>
                </w:p>
              </w:tc>
              <w:tc>
                <w:tcPr>
                  <w:tcW w:w="300" w:type="pct"/>
                  <w:vMerge w:val="continue"/>
                  <w:noWrap w:val="0"/>
                  <w:vAlign w:val="center"/>
                </w:tcPr>
                <w:p w14:paraId="53382520">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yellow"/>
                      <w:lang w:val="en-US" w:eastAsia="zh-CN" w:bidi="ar"/>
                    </w:rPr>
                  </w:pPr>
                </w:p>
              </w:tc>
              <w:tc>
                <w:tcPr>
                  <w:tcW w:w="324" w:type="pct"/>
                  <w:noWrap w:val="0"/>
                  <w:vAlign w:val="center"/>
                </w:tcPr>
                <w:p w14:paraId="640C6EA0">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22</w:t>
                  </w:r>
                </w:p>
              </w:tc>
              <w:tc>
                <w:tcPr>
                  <w:tcW w:w="328" w:type="pct"/>
                  <w:noWrap w:val="0"/>
                  <w:vAlign w:val="center"/>
                </w:tcPr>
                <w:p w14:paraId="630173F0">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25</w:t>
                  </w:r>
                </w:p>
              </w:tc>
              <w:tc>
                <w:tcPr>
                  <w:tcW w:w="335" w:type="pct"/>
                  <w:noWrap w:val="0"/>
                  <w:vAlign w:val="center"/>
                </w:tcPr>
                <w:p w14:paraId="187A5C9A">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w:t>
                  </w:r>
                </w:p>
              </w:tc>
              <w:tc>
                <w:tcPr>
                  <w:tcW w:w="328" w:type="pct"/>
                  <w:noWrap w:val="0"/>
                  <w:vAlign w:val="center"/>
                </w:tcPr>
                <w:p w14:paraId="0412A20F">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yellow"/>
                      <w:lang w:val="en-US" w:eastAsia="zh-CN" w:bidi="ar"/>
                    </w:rPr>
                  </w:pPr>
                  <w:r>
                    <w:rPr>
                      <w:rFonts w:hint="eastAsia" w:cs="Times New Roman"/>
                      <w:color w:val="auto"/>
                      <w:kern w:val="0"/>
                      <w:sz w:val="21"/>
                      <w:szCs w:val="21"/>
                      <w:highlight w:val="none"/>
                      <w:lang w:val="en-US" w:eastAsia="zh-CN" w:bidi="ar"/>
                    </w:rPr>
                    <w:t>西15</w:t>
                  </w:r>
                </w:p>
              </w:tc>
              <w:tc>
                <w:tcPr>
                  <w:tcW w:w="834" w:type="dxa"/>
                  <w:noWrap w:val="0"/>
                  <w:vAlign w:val="center"/>
                </w:tcPr>
                <w:p w14:paraId="08E4D15F">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65.69 </w:t>
                  </w:r>
                </w:p>
              </w:tc>
              <w:tc>
                <w:tcPr>
                  <w:tcW w:w="395" w:type="pct"/>
                  <w:vMerge w:val="continue"/>
                  <w:noWrap w:val="0"/>
                  <w:vAlign w:val="center"/>
                </w:tcPr>
                <w:p w14:paraId="05EE055A">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p>
              </w:tc>
              <w:tc>
                <w:tcPr>
                  <w:tcW w:w="394" w:type="pct"/>
                  <w:noWrap w:val="0"/>
                  <w:vAlign w:val="center"/>
                </w:tcPr>
                <w:p w14:paraId="7B9BA14B">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25</w:t>
                  </w:r>
                </w:p>
              </w:tc>
              <w:tc>
                <w:tcPr>
                  <w:tcW w:w="1073" w:type="dxa"/>
                  <w:noWrap w:val="0"/>
                  <w:vAlign w:val="center"/>
                </w:tcPr>
                <w:p w14:paraId="31B46FA1">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34.69 </w:t>
                  </w:r>
                </w:p>
              </w:tc>
              <w:tc>
                <w:tcPr>
                  <w:tcW w:w="420" w:type="pct"/>
                  <w:noWrap w:val="0"/>
                  <w:vAlign w:val="center"/>
                </w:tcPr>
                <w:p w14:paraId="013CC660">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1</w:t>
                  </w:r>
                </w:p>
              </w:tc>
            </w:tr>
            <w:tr w14:paraId="3FB2D0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94" w:type="pct"/>
                  <w:noWrap w:val="0"/>
                  <w:vAlign w:val="center"/>
                </w:tcPr>
                <w:p w14:paraId="186BAD4B">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4</w:t>
                  </w:r>
                </w:p>
              </w:tc>
              <w:tc>
                <w:tcPr>
                  <w:tcW w:w="1270" w:type="dxa"/>
                  <w:noWrap w:val="0"/>
                  <w:vAlign w:val="center"/>
                </w:tcPr>
                <w:p w14:paraId="08855C3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验布机</w:t>
                  </w:r>
                </w:p>
              </w:tc>
              <w:tc>
                <w:tcPr>
                  <w:tcW w:w="1091" w:type="dxa"/>
                  <w:noWrap w:val="0"/>
                  <w:vAlign w:val="center"/>
                </w:tcPr>
                <w:p w14:paraId="6F61D18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2"/>
                      <w:sz w:val="21"/>
                      <w:szCs w:val="21"/>
                      <w:lang w:val="en-US" w:eastAsia="zh-CN" w:bidi="ar-SA"/>
                    </w:rPr>
                    <w:t>YFD-2100型</w:t>
                  </w:r>
                </w:p>
              </w:tc>
              <w:tc>
                <w:tcPr>
                  <w:tcW w:w="402" w:type="pct"/>
                  <w:noWrap w:val="0"/>
                  <w:vAlign w:val="center"/>
                </w:tcPr>
                <w:p w14:paraId="3CEE4E5B">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70</w:t>
                  </w:r>
                </w:p>
              </w:tc>
              <w:tc>
                <w:tcPr>
                  <w:tcW w:w="300" w:type="pct"/>
                  <w:vMerge w:val="continue"/>
                  <w:noWrap w:val="0"/>
                  <w:vAlign w:val="center"/>
                </w:tcPr>
                <w:p w14:paraId="742B671F">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yellow"/>
                      <w:lang w:val="en-US" w:eastAsia="zh-CN" w:bidi="ar"/>
                    </w:rPr>
                  </w:pPr>
                </w:p>
              </w:tc>
              <w:tc>
                <w:tcPr>
                  <w:tcW w:w="324" w:type="pct"/>
                  <w:noWrap w:val="0"/>
                  <w:vAlign w:val="center"/>
                </w:tcPr>
                <w:p w14:paraId="03169372">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30</w:t>
                  </w:r>
                </w:p>
              </w:tc>
              <w:tc>
                <w:tcPr>
                  <w:tcW w:w="328" w:type="pct"/>
                  <w:noWrap w:val="0"/>
                  <w:vAlign w:val="center"/>
                </w:tcPr>
                <w:p w14:paraId="5E8D78BE">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40</w:t>
                  </w:r>
                </w:p>
              </w:tc>
              <w:tc>
                <w:tcPr>
                  <w:tcW w:w="335" w:type="pct"/>
                  <w:noWrap w:val="0"/>
                  <w:vAlign w:val="center"/>
                </w:tcPr>
                <w:p w14:paraId="5FE51E89">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2</w:t>
                  </w:r>
                </w:p>
              </w:tc>
              <w:tc>
                <w:tcPr>
                  <w:tcW w:w="328" w:type="pct"/>
                  <w:noWrap w:val="0"/>
                  <w:vAlign w:val="center"/>
                </w:tcPr>
                <w:p w14:paraId="106A4FD3">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东</w:t>
                  </w:r>
                  <w:r>
                    <w:rPr>
                      <w:rFonts w:hint="eastAsia" w:cs="Times New Roman"/>
                      <w:color w:val="auto"/>
                      <w:kern w:val="0"/>
                      <w:sz w:val="21"/>
                      <w:szCs w:val="21"/>
                      <w:highlight w:val="none"/>
                      <w:lang w:val="en-US" w:eastAsia="zh-CN" w:bidi="ar"/>
                    </w:rPr>
                    <w:t>8</w:t>
                  </w:r>
                </w:p>
              </w:tc>
              <w:tc>
                <w:tcPr>
                  <w:tcW w:w="834" w:type="dxa"/>
                  <w:noWrap w:val="0"/>
                  <w:vAlign w:val="center"/>
                </w:tcPr>
                <w:p w14:paraId="4F052E2D">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60.94 </w:t>
                  </w:r>
                </w:p>
              </w:tc>
              <w:tc>
                <w:tcPr>
                  <w:tcW w:w="395" w:type="pct"/>
                  <w:vMerge w:val="continue"/>
                  <w:noWrap w:val="0"/>
                  <w:vAlign w:val="center"/>
                </w:tcPr>
                <w:p w14:paraId="64670738">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p>
              </w:tc>
              <w:tc>
                <w:tcPr>
                  <w:tcW w:w="394" w:type="pct"/>
                  <w:noWrap w:val="0"/>
                  <w:vAlign w:val="center"/>
                </w:tcPr>
                <w:p w14:paraId="2ADE070F">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25</w:t>
                  </w:r>
                </w:p>
              </w:tc>
              <w:tc>
                <w:tcPr>
                  <w:tcW w:w="1073" w:type="dxa"/>
                  <w:noWrap w:val="0"/>
                  <w:vAlign w:val="center"/>
                </w:tcPr>
                <w:p w14:paraId="0CB02E13">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29.94 </w:t>
                  </w:r>
                </w:p>
              </w:tc>
              <w:tc>
                <w:tcPr>
                  <w:tcW w:w="420" w:type="pct"/>
                  <w:noWrap w:val="0"/>
                  <w:vAlign w:val="center"/>
                </w:tcPr>
                <w:p w14:paraId="2F61A225">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1</w:t>
                  </w:r>
                </w:p>
              </w:tc>
            </w:tr>
            <w:tr w14:paraId="46040B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4" w:type="pct"/>
                  <w:noWrap w:val="0"/>
                  <w:vAlign w:val="center"/>
                </w:tcPr>
                <w:p w14:paraId="0C11265E">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5</w:t>
                  </w:r>
                </w:p>
              </w:tc>
              <w:tc>
                <w:tcPr>
                  <w:tcW w:w="1270" w:type="dxa"/>
                  <w:noWrap w:val="0"/>
                  <w:vAlign w:val="center"/>
                </w:tcPr>
                <w:p w14:paraId="452E5E9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val="0"/>
                      <w:color w:val="auto"/>
                      <w:sz w:val="21"/>
                      <w:szCs w:val="21"/>
                      <w:lang w:val="en-US" w:eastAsia="zh-CN"/>
                    </w:rPr>
                  </w:pPr>
                  <w:r>
                    <w:rPr>
                      <w:rFonts w:hint="eastAsia" w:cs="Times New Roman"/>
                      <w:color w:val="auto"/>
                      <w:sz w:val="21"/>
                      <w:szCs w:val="21"/>
                      <w:lang w:val="en-US" w:eastAsia="zh-CN"/>
                    </w:rPr>
                    <w:t>空压机</w:t>
                  </w:r>
                </w:p>
              </w:tc>
              <w:tc>
                <w:tcPr>
                  <w:tcW w:w="1091" w:type="dxa"/>
                  <w:noWrap w:val="0"/>
                  <w:vAlign w:val="center"/>
                </w:tcPr>
                <w:p w14:paraId="5C4EA8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0"/>
                      <w:sz w:val="21"/>
                      <w:szCs w:val="21"/>
                      <w:lang w:val="en-US" w:eastAsia="zh-CN" w:bidi="ar"/>
                    </w:rPr>
                  </w:pPr>
                  <w:r>
                    <w:rPr>
                      <w:rFonts w:hint="eastAsia" w:cs="Times New Roman"/>
                      <w:color w:val="auto"/>
                      <w:kern w:val="2"/>
                      <w:sz w:val="21"/>
                      <w:szCs w:val="21"/>
                      <w:lang w:val="en-US" w:eastAsia="zh-CN" w:bidi="ar-SA"/>
                    </w:rPr>
                    <w:t>SA22A</w:t>
                  </w:r>
                </w:p>
              </w:tc>
              <w:tc>
                <w:tcPr>
                  <w:tcW w:w="402" w:type="pct"/>
                  <w:noWrap w:val="0"/>
                  <w:vAlign w:val="center"/>
                </w:tcPr>
                <w:p w14:paraId="18965236">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85</w:t>
                  </w:r>
                </w:p>
              </w:tc>
              <w:tc>
                <w:tcPr>
                  <w:tcW w:w="300" w:type="pct"/>
                  <w:vMerge w:val="continue"/>
                  <w:noWrap w:val="0"/>
                  <w:vAlign w:val="center"/>
                </w:tcPr>
                <w:p w14:paraId="522BEB47">
                  <w:pPr>
                    <w:widowControl/>
                    <w:spacing w:line="360" w:lineRule="exact"/>
                    <w:ind w:firstLine="0" w:firstLineChars="0"/>
                    <w:jc w:val="center"/>
                    <w:textAlignment w:val="center"/>
                    <w:rPr>
                      <w:rFonts w:hint="eastAsia" w:ascii="Times New Roman" w:hAnsi="Times New Roman" w:eastAsia="宋体" w:cs="Times New Roman"/>
                      <w:color w:val="auto"/>
                      <w:kern w:val="0"/>
                      <w:sz w:val="21"/>
                      <w:szCs w:val="21"/>
                      <w:highlight w:val="yellow"/>
                      <w:lang w:val="en-US" w:eastAsia="zh-CN" w:bidi="ar"/>
                    </w:rPr>
                  </w:pPr>
                </w:p>
              </w:tc>
              <w:tc>
                <w:tcPr>
                  <w:tcW w:w="324" w:type="pct"/>
                  <w:noWrap w:val="0"/>
                  <w:vAlign w:val="center"/>
                </w:tcPr>
                <w:p w14:paraId="5EA4E0B7">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45</w:t>
                  </w:r>
                </w:p>
              </w:tc>
              <w:tc>
                <w:tcPr>
                  <w:tcW w:w="328" w:type="pct"/>
                  <w:noWrap w:val="0"/>
                  <w:vAlign w:val="center"/>
                </w:tcPr>
                <w:p w14:paraId="2015A443">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10</w:t>
                  </w:r>
                </w:p>
              </w:tc>
              <w:tc>
                <w:tcPr>
                  <w:tcW w:w="335" w:type="pct"/>
                  <w:noWrap w:val="0"/>
                  <w:vAlign w:val="center"/>
                </w:tcPr>
                <w:p w14:paraId="50770360">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w:t>
                  </w:r>
                </w:p>
              </w:tc>
              <w:tc>
                <w:tcPr>
                  <w:tcW w:w="328" w:type="pct"/>
                  <w:noWrap w:val="0"/>
                  <w:vAlign w:val="center"/>
                </w:tcPr>
                <w:p w14:paraId="375D0473">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东5</w:t>
                  </w:r>
                </w:p>
              </w:tc>
              <w:tc>
                <w:tcPr>
                  <w:tcW w:w="834" w:type="dxa"/>
                  <w:noWrap w:val="0"/>
                  <w:vAlign w:val="center"/>
                </w:tcPr>
                <w:p w14:paraId="001F1F91">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73.44 </w:t>
                  </w:r>
                </w:p>
              </w:tc>
              <w:tc>
                <w:tcPr>
                  <w:tcW w:w="395" w:type="pct"/>
                  <w:vMerge w:val="continue"/>
                  <w:noWrap w:val="0"/>
                  <w:vAlign w:val="center"/>
                </w:tcPr>
                <w:p w14:paraId="6FCE56D0">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p>
              </w:tc>
              <w:tc>
                <w:tcPr>
                  <w:tcW w:w="394" w:type="pct"/>
                  <w:noWrap w:val="0"/>
                  <w:vAlign w:val="center"/>
                </w:tcPr>
                <w:p w14:paraId="1077A3AA">
                  <w:pPr>
                    <w:widowControl/>
                    <w:spacing w:line="360" w:lineRule="exact"/>
                    <w:ind w:firstLine="0" w:firstLineChars="0"/>
                    <w:jc w:val="center"/>
                    <w:textAlignment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25</w:t>
                  </w:r>
                </w:p>
              </w:tc>
              <w:tc>
                <w:tcPr>
                  <w:tcW w:w="1073" w:type="dxa"/>
                  <w:noWrap w:val="0"/>
                  <w:vAlign w:val="center"/>
                </w:tcPr>
                <w:p w14:paraId="6FC96C6C">
                  <w:pPr>
                    <w:widowControl/>
                    <w:spacing w:line="360" w:lineRule="exact"/>
                    <w:ind w:firstLine="0" w:firstLineChars="0"/>
                    <w:jc w:val="center"/>
                    <w:textAlignment w:val="center"/>
                    <w:rPr>
                      <w:rFonts w:hint="eastAsia"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 xml:space="preserve">42.44 </w:t>
                  </w:r>
                </w:p>
              </w:tc>
              <w:tc>
                <w:tcPr>
                  <w:tcW w:w="420" w:type="pct"/>
                  <w:noWrap w:val="0"/>
                  <w:vAlign w:val="center"/>
                </w:tcPr>
                <w:p w14:paraId="4C305061">
                  <w:pPr>
                    <w:widowControl/>
                    <w:spacing w:line="360" w:lineRule="exact"/>
                    <w:ind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1</w:t>
                  </w:r>
                </w:p>
              </w:tc>
            </w:tr>
            <w:tr w14:paraId="321C77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00" w:type="pct"/>
                  <w:gridSpan w:val="14"/>
                  <w:noWrap w:val="0"/>
                  <w:vAlign w:val="center"/>
                </w:tcPr>
                <w:p w14:paraId="73079F35">
                  <w:pPr>
                    <w:widowControl/>
                    <w:spacing w:line="360" w:lineRule="exact"/>
                    <w:ind w:firstLine="0" w:firstLineChars="0"/>
                    <w:jc w:val="center"/>
                    <w:textAlignment w:val="center"/>
                    <w:rPr>
                      <w:rFonts w:hint="eastAsia" w:ascii="Times New Roman" w:hAnsi="Times New Roman" w:eastAsia="宋体" w:cs="Times New Roman"/>
                      <w:color w:val="FF0000"/>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注：相对空间位置原点为车间西南角，正东方向为X轴正方向，正北方向为Y轴正方向。</w:t>
                  </w:r>
                </w:p>
              </w:tc>
            </w:tr>
          </w:tbl>
          <w:p w14:paraId="6388AFA7">
            <w:pPr>
              <w:spacing w:line="360" w:lineRule="auto"/>
              <w:ind w:firstLine="480"/>
              <w:rPr>
                <w:color w:val="auto"/>
              </w:rPr>
            </w:pPr>
          </w:p>
        </w:tc>
      </w:tr>
    </w:tbl>
    <w:p w14:paraId="348F1D2B">
      <w:pPr>
        <w:ind w:firstLine="0" w:firstLineChars="0"/>
        <w:rPr>
          <w:color w:val="auto"/>
        </w:rPr>
        <w:sectPr>
          <w:pgSz w:w="16838" w:h="11906" w:orient="landscape"/>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9038"/>
      </w:tblGrid>
      <w:tr w14:paraId="46BB5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2" w:hRule="atLeast"/>
        </w:trPr>
        <w:tc>
          <w:tcPr>
            <w:tcW w:w="249" w:type="pct"/>
            <w:vAlign w:val="center"/>
          </w:tcPr>
          <w:p w14:paraId="441B7601">
            <w:pPr>
              <w:ind w:firstLine="0" w:firstLineChars="0"/>
              <w:jc w:val="center"/>
              <w:rPr>
                <w:bCs/>
                <w:snapToGrid w:val="0"/>
                <w:color w:val="auto"/>
                <w:szCs w:val="30"/>
              </w:rPr>
            </w:pPr>
            <w:r>
              <w:rPr>
                <w:bCs/>
                <w:snapToGrid w:val="0"/>
                <w:color w:val="auto"/>
                <w:szCs w:val="30"/>
              </w:rPr>
              <w:t>运营</w:t>
            </w:r>
          </w:p>
          <w:p w14:paraId="5E89D01A">
            <w:pPr>
              <w:ind w:firstLine="0" w:firstLineChars="0"/>
              <w:jc w:val="center"/>
              <w:rPr>
                <w:bCs/>
                <w:snapToGrid w:val="0"/>
                <w:color w:val="auto"/>
                <w:szCs w:val="30"/>
              </w:rPr>
            </w:pPr>
            <w:r>
              <w:rPr>
                <w:bCs/>
                <w:snapToGrid w:val="0"/>
                <w:color w:val="auto"/>
                <w:szCs w:val="30"/>
              </w:rPr>
              <w:t>期环</w:t>
            </w:r>
          </w:p>
          <w:p w14:paraId="44276466">
            <w:pPr>
              <w:ind w:firstLine="0" w:firstLineChars="0"/>
              <w:jc w:val="center"/>
              <w:rPr>
                <w:bCs/>
                <w:snapToGrid w:val="0"/>
                <w:color w:val="auto"/>
                <w:szCs w:val="30"/>
              </w:rPr>
            </w:pPr>
            <w:r>
              <w:rPr>
                <w:bCs/>
                <w:snapToGrid w:val="0"/>
                <w:color w:val="auto"/>
                <w:szCs w:val="30"/>
              </w:rPr>
              <w:t>境影</w:t>
            </w:r>
          </w:p>
          <w:p w14:paraId="1CC87F52">
            <w:pPr>
              <w:ind w:firstLine="0" w:firstLineChars="0"/>
              <w:jc w:val="center"/>
              <w:rPr>
                <w:bCs/>
                <w:snapToGrid w:val="0"/>
                <w:color w:val="auto"/>
                <w:szCs w:val="30"/>
              </w:rPr>
            </w:pPr>
            <w:r>
              <w:rPr>
                <w:bCs/>
                <w:snapToGrid w:val="0"/>
                <w:color w:val="auto"/>
                <w:szCs w:val="30"/>
              </w:rPr>
              <w:t>响和</w:t>
            </w:r>
          </w:p>
          <w:p w14:paraId="7E67B448">
            <w:pPr>
              <w:ind w:firstLine="0" w:firstLineChars="0"/>
              <w:jc w:val="center"/>
              <w:rPr>
                <w:bCs/>
                <w:snapToGrid w:val="0"/>
                <w:color w:val="auto"/>
                <w:szCs w:val="30"/>
              </w:rPr>
            </w:pPr>
            <w:r>
              <w:rPr>
                <w:bCs/>
                <w:snapToGrid w:val="0"/>
                <w:color w:val="auto"/>
                <w:szCs w:val="30"/>
              </w:rPr>
              <w:t>保护措施</w:t>
            </w:r>
          </w:p>
        </w:tc>
        <w:tc>
          <w:tcPr>
            <w:tcW w:w="4750" w:type="pct"/>
          </w:tcPr>
          <w:p w14:paraId="47D4BA6F">
            <w:pPr>
              <w:snapToGrid w:val="0"/>
              <w:spacing w:line="360" w:lineRule="auto"/>
              <w:ind w:firstLine="482"/>
              <w:rPr>
                <w:b/>
                <w:color w:val="auto"/>
              </w:rPr>
            </w:pPr>
            <w:r>
              <w:rPr>
                <w:rFonts w:hint="eastAsia"/>
                <w:b/>
                <w:color w:val="auto"/>
                <w:lang w:val="en-US" w:eastAsia="zh-CN"/>
              </w:rPr>
              <w:t>2.</w:t>
            </w:r>
            <w:r>
              <w:rPr>
                <w:b/>
                <w:color w:val="auto"/>
              </w:rPr>
              <w:t>噪声环境影响分析</w:t>
            </w:r>
          </w:p>
          <w:p w14:paraId="55BE8777">
            <w:pPr>
              <w:snapToGrid w:val="0"/>
              <w:spacing w:line="360" w:lineRule="auto"/>
              <w:ind w:firstLine="480"/>
              <w:rPr>
                <w:color w:val="auto"/>
              </w:rPr>
            </w:pPr>
            <w:r>
              <w:rPr>
                <w:color w:val="auto"/>
              </w:rPr>
              <w:t>1）预测模式</w:t>
            </w:r>
          </w:p>
          <w:p w14:paraId="5D6A1B71">
            <w:pPr>
              <w:snapToGrid w:val="0"/>
              <w:spacing w:line="360" w:lineRule="auto"/>
              <w:ind w:firstLine="480"/>
              <w:rPr>
                <w:color w:val="auto"/>
              </w:rPr>
            </w:pPr>
            <w:r>
              <w:rPr>
                <w:color w:val="auto"/>
              </w:rPr>
              <w:t>本次评价拟采用《环境影响评价技术导则声环境》（HJ2.4-2021）推荐的噪声传播衰减方法进行预测，预测模式如下。</w:t>
            </w:r>
          </w:p>
          <w:p w14:paraId="3BF29B7B">
            <w:pPr>
              <w:spacing w:line="360" w:lineRule="auto"/>
              <w:ind w:firstLine="482"/>
              <w:rPr>
                <w:b/>
                <w:color w:val="auto"/>
                <w:szCs w:val="22"/>
              </w:rPr>
            </w:pPr>
            <w:r>
              <w:rPr>
                <w:b/>
                <w:color w:val="auto"/>
                <w:szCs w:val="22"/>
              </w:rPr>
              <w:drawing>
                <wp:inline distT="0" distB="0" distL="114300" distR="114300">
                  <wp:extent cx="1628140" cy="392430"/>
                  <wp:effectExtent l="0" t="0" r="0" b="0"/>
                  <wp:docPr id="2" name="图片 1" descr="C:\Users\Administrator\Documents\Tencent Files\860501921\FileRecv\MobileFile\Image\Q(TR01F{S}FE3E)MTYE_O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Documents\Tencent Files\860501921\FileRecv\MobileFile\Image\Q(TR01F{S}FE3E)MTYE_O49.png"/>
                          <pic:cNvPicPr>
                            <a:picLocks noChangeAspect="1"/>
                          </pic:cNvPicPr>
                        </pic:nvPicPr>
                        <pic:blipFill>
                          <a:blip r:embed="rId20"/>
                          <a:stretch>
                            <a:fillRect/>
                          </a:stretch>
                        </pic:blipFill>
                        <pic:spPr>
                          <a:xfrm>
                            <a:off x="0" y="0"/>
                            <a:ext cx="1628140" cy="392430"/>
                          </a:xfrm>
                          <a:prstGeom prst="rect">
                            <a:avLst/>
                          </a:prstGeom>
                          <a:noFill/>
                          <a:ln>
                            <a:noFill/>
                          </a:ln>
                        </pic:spPr>
                      </pic:pic>
                    </a:graphicData>
                  </a:graphic>
                </wp:inline>
              </w:drawing>
            </w:r>
          </w:p>
          <w:p w14:paraId="60F774CB">
            <w:pPr>
              <w:spacing w:line="348" w:lineRule="auto"/>
              <w:ind w:firstLine="480"/>
              <w:rPr>
                <w:color w:val="auto"/>
              </w:rPr>
            </w:pPr>
            <w:r>
              <w:rPr>
                <w:color w:val="auto"/>
              </w:rPr>
              <w:t>式中：</w:t>
            </w:r>
            <w:r>
              <w:rPr>
                <w:i/>
                <w:color w:val="auto"/>
              </w:rPr>
              <w:t>L</w:t>
            </w:r>
            <w:r>
              <w:rPr>
                <w:i/>
                <w:color w:val="auto"/>
                <w:vertAlign w:val="subscript"/>
              </w:rPr>
              <w:t>Pi</w:t>
            </w:r>
            <w:r>
              <w:rPr>
                <w:color w:val="auto"/>
              </w:rPr>
              <w:t>—第i个噪声源噪声的距离的衰减值，dB(A</w:t>
            </w:r>
            <w:r>
              <w:rPr>
                <w:rFonts w:hint="eastAsia"/>
                <w:color w:val="auto"/>
                <w:lang w:eastAsia="zh-CN"/>
              </w:rPr>
              <w:t>)</w:t>
            </w:r>
            <w:r>
              <w:rPr>
                <w:color w:val="auto"/>
              </w:rPr>
              <w:t>；</w:t>
            </w:r>
          </w:p>
          <w:p w14:paraId="436FE3A8">
            <w:pPr>
              <w:spacing w:line="348" w:lineRule="auto"/>
              <w:ind w:firstLine="1200" w:firstLineChars="500"/>
              <w:rPr>
                <w:color w:val="auto"/>
              </w:rPr>
            </w:pPr>
            <w:r>
              <w:rPr>
                <w:i/>
                <w:color w:val="auto"/>
              </w:rPr>
              <w:t>L</w:t>
            </w:r>
            <w:r>
              <w:rPr>
                <w:i/>
                <w:color w:val="auto"/>
                <w:vertAlign w:val="subscript"/>
              </w:rPr>
              <w:t>0i</w:t>
            </w:r>
            <w:r>
              <w:rPr>
                <w:color w:val="auto"/>
              </w:rPr>
              <w:t>—第i个噪声源的A声级，dB(A</w:t>
            </w:r>
            <w:r>
              <w:rPr>
                <w:rFonts w:hint="eastAsia"/>
                <w:color w:val="auto"/>
                <w:lang w:eastAsia="zh-CN"/>
              </w:rPr>
              <w:t>)</w:t>
            </w:r>
            <w:r>
              <w:rPr>
                <w:color w:val="auto"/>
              </w:rPr>
              <w:t>；</w:t>
            </w:r>
          </w:p>
          <w:p w14:paraId="772CAFE8">
            <w:pPr>
              <w:spacing w:line="348" w:lineRule="auto"/>
              <w:ind w:firstLine="1200" w:firstLineChars="500"/>
              <w:rPr>
                <w:color w:val="auto"/>
              </w:rPr>
            </w:pPr>
            <w:r>
              <w:rPr>
                <w:i/>
                <w:color w:val="auto"/>
              </w:rPr>
              <w:t>r</w:t>
            </w:r>
            <w:r>
              <w:rPr>
                <w:i/>
                <w:color w:val="auto"/>
                <w:vertAlign w:val="subscript"/>
              </w:rPr>
              <w:t>i</w:t>
            </w:r>
            <w:r>
              <w:rPr>
                <w:color w:val="auto"/>
              </w:rPr>
              <w:t>—第i个噪声源噪声衰减距离，m；</w:t>
            </w:r>
          </w:p>
          <w:p w14:paraId="3741829A">
            <w:pPr>
              <w:spacing w:line="348" w:lineRule="auto"/>
              <w:ind w:firstLine="1080" w:firstLineChars="450"/>
              <w:rPr>
                <w:color w:val="auto"/>
              </w:rPr>
            </w:pPr>
            <w:r>
              <w:rPr>
                <w:i/>
                <w:color w:val="auto"/>
              </w:rPr>
              <w:t>r</w:t>
            </w:r>
            <w:r>
              <w:rPr>
                <w:i/>
                <w:color w:val="auto"/>
                <w:vertAlign w:val="subscript"/>
              </w:rPr>
              <w:t>0i</w:t>
            </w:r>
            <w:r>
              <w:rPr>
                <w:color w:val="auto"/>
              </w:rPr>
              <w:t>—距离声源1m处，m；</w:t>
            </w:r>
          </w:p>
          <w:p w14:paraId="3D2ECFA7">
            <w:pPr>
              <w:spacing w:line="348" w:lineRule="auto"/>
              <w:ind w:firstLine="960" w:firstLineChars="400"/>
              <w:rPr>
                <w:color w:val="auto"/>
              </w:rPr>
            </w:pPr>
            <w:r>
              <w:rPr>
                <w:i/>
                <w:color w:val="auto"/>
              </w:rPr>
              <w:t>ΔL</w:t>
            </w:r>
            <w:r>
              <w:rPr>
                <w:color w:val="auto"/>
              </w:rPr>
              <w:t>—</w:t>
            </w:r>
            <w:r>
              <w:rPr>
                <w:rFonts w:hint="eastAsia"/>
                <w:color w:val="auto"/>
                <w:lang w:eastAsia="zh-CN"/>
              </w:rPr>
              <w:t>其他</w:t>
            </w:r>
            <w:r>
              <w:rPr>
                <w:color w:val="auto"/>
              </w:rPr>
              <w:t>环境因素引起的衰减值，dB(A</w:t>
            </w:r>
            <w:r>
              <w:rPr>
                <w:rFonts w:hint="eastAsia"/>
                <w:color w:val="auto"/>
                <w:lang w:eastAsia="zh-CN"/>
              </w:rPr>
              <w:t>)</w:t>
            </w:r>
            <w:r>
              <w:rPr>
                <w:color w:val="auto"/>
              </w:rPr>
              <w:t>。</w:t>
            </w:r>
          </w:p>
          <w:p w14:paraId="2AD72C80">
            <w:pPr>
              <w:spacing w:line="348" w:lineRule="auto"/>
              <w:ind w:firstLine="436" w:firstLineChars="182"/>
              <w:rPr>
                <w:color w:val="auto"/>
              </w:rPr>
            </w:pPr>
            <w:r>
              <w:rPr>
                <w:color w:val="auto"/>
              </w:rPr>
              <w:t>2）噪声评价方法及结果</w:t>
            </w:r>
          </w:p>
          <w:p w14:paraId="47C65776">
            <w:pPr>
              <w:spacing w:line="348" w:lineRule="auto"/>
              <w:ind w:firstLine="480"/>
              <w:rPr>
                <w:color w:val="auto"/>
              </w:rPr>
            </w:pPr>
            <w:r>
              <w:rPr>
                <w:color w:val="auto"/>
              </w:rPr>
              <w:t>本项目为新建项目，根据《环境评价技术导则—声环境》（HJ2.4-2021），各噪声源经距离衰减后，对预测点的贡献叠加后即为预测值，以此评价项目噪声对环境的影响。</w:t>
            </w:r>
          </w:p>
          <w:p w14:paraId="4B21343B">
            <w:pPr>
              <w:spacing w:line="348" w:lineRule="auto"/>
              <w:ind w:firstLine="480"/>
              <w:rPr>
                <w:b/>
                <w:color w:val="auto"/>
                <w:szCs w:val="22"/>
              </w:rPr>
            </w:pPr>
            <w:r>
              <w:rPr>
                <w:color w:val="auto"/>
              </w:rPr>
              <w:t>噪声叠加公式：</w:t>
            </w:r>
          </w:p>
          <w:p w14:paraId="428989FB">
            <w:pPr>
              <w:spacing w:line="348" w:lineRule="auto"/>
              <w:ind w:firstLine="480"/>
              <w:rPr>
                <w:b/>
                <w:color w:val="auto"/>
                <w:sz w:val="21"/>
                <w:szCs w:val="22"/>
              </w:rPr>
            </w:pPr>
            <w:r>
              <w:rPr>
                <w:color w:val="auto"/>
                <w:szCs w:val="22"/>
              </w:rPr>
              <w:drawing>
                <wp:inline distT="0" distB="0" distL="114300" distR="114300">
                  <wp:extent cx="1189990" cy="428625"/>
                  <wp:effectExtent l="0" t="0" r="0" b="0"/>
                  <wp:docPr id="3" name="图片 2" descr="C:\Users\Administrator\Documents\Tencent Files\860501921\FileRecv\MobileFile\Image\T3N2O0Q62259Y}}ADYMA83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ocuments\Tencent Files\860501921\FileRecv\MobileFile\Image\T3N2O0Q62259Y}}ADYMA83E.png"/>
                          <pic:cNvPicPr>
                            <a:picLocks noChangeAspect="1"/>
                          </pic:cNvPicPr>
                        </pic:nvPicPr>
                        <pic:blipFill>
                          <a:blip r:embed="rId21"/>
                          <a:stretch>
                            <a:fillRect/>
                          </a:stretch>
                        </pic:blipFill>
                        <pic:spPr>
                          <a:xfrm>
                            <a:off x="0" y="0"/>
                            <a:ext cx="1189990" cy="428625"/>
                          </a:xfrm>
                          <a:prstGeom prst="rect">
                            <a:avLst/>
                          </a:prstGeom>
                          <a:noFill/>
                          <a:ln>
                            <a:noFill/>
                          </a:ln>
                        </pic:spPr>
                      </pic:pic>
                    </a:graphicData>
                  </a:graphic>
                </wp:inline>
              </w:drawing>
            </w:r>
          </w:p>
          <w:p w14:paraId="5781859E">
            <w:pPr>
              <w:spacing w:line="348" w:lineRule="auto"/>
              <w:ind w:firstLine="480"/>
              <w:rPr>
                <w:color w:val="auto"/>
              </w:rPr>
            </w:pPr>
            <w:r>
              <w:rPr>
                <w:color w:val="auto"/>
              </w:rPr>
              <w:t>式中：</w:t>
            </w:r>
            <w:r>
              <w:rPr>
                <w:i/>
                <w:color w:val="auto"/>
              </w:rPr>
              <w:t>L</w:t>
            </w:r>
            <w:r>
              <w:rPr>
                <w:color w:val="auto"/>
              </w:rPr>
              <w:t>—某点噪声总叠加值，dB（A）；</w:t>
            </w:r>
          </w:p>
          <w:p w14:paraId="21768B95">
            <w:pPr>
              <w:spacing w:line="348" w:lineRule="auto"/>
              <w:ind w:firstLine="1200" w:firstLineChars="500"/>
              <w:rPr>
                <w:color w:val="auto"/>
              </w:rPr>
            </w:pPr>
            <w:r>
              <w:rPr>
                <w:i/>
                <w:color w:val="auto"/>
              </w:rPr>
              <w:t>Li</w:t>
            </w:r>
            <w:r>
              <w:rPr>
                <w:color w:val="auto"/>
              </w:rPr>
              <w:t>—第i个声源的噪声值，dB（A）；</w:t>
            </w:r>
          </w:p>
          <w:p w14:paraId="4A8EA44F">
            <w:pPr>
              <w:spacing w:line="348" w:lineRule="auto"/>
              <w:ind w:firstLine="1200" w:firstLineChars="500"/>
              <w:rPr>
                <w:color w:val="auto"/>
              </w:rPr>
            </w:pPr>
            <w:r>
              <w:rPr>
                <w:i/>
                <w:color w:val="auto"/>
              </w:rPr>
              <w:t>n</w:t>
            </w:r>
            <w:r>
              <w:rPr>
                <w:color w:val="auto"/>
              </w:rPr>
              <w:t>—声源个数。</w:t>
            </w:r>
          </w:p>
          <w:p w14:paraId="3F292E91">
            <w:pPr>
              <w:spacing w:line="348" w:lineRule="auto"/>
              <w:ind w:firstLine="480"/>
              <w:rPr>
                <w:color w:val="auto"/>
              </w:rPr>
            </w:pPr>
            <w:r>
              <w:rPr>
                <w:color w:val="auto"/>
              </w:rPr>
              <w:t>项目主要噪声源厂界贡献值见表4-</w:t>
            </w:r>
            <w:r>
              <w:rPr>
                <w:rFonts w:hint="eastAsia"/>
                <w:color w:val="auto"/>
                <w:lang w:val="en-US" w:eastAsia="zh-CN"/>
              </w:rPr>
              <w:t>22</w:t>
            </w:r>
            <w:r>
              <w:rPr>
                <w:color w:val="auto"/>
              </w:rPr>
              <w:t>。</w:t>
            </w:r>
          </w:p>
          <w:p w14:paraId="3CEECFB4">
            <w:pPr>
              <w:adjustRightInd w:val="0"/>
              <w:snapToGrid w:val="0"/>
              <w:spacing w:line="240" w:lineRule="auto"/>
              <w:ind w:firstLine="0" w:firstLineChars="0"/>
              <w:jc w:val="center"/>
              <w:rPr>
                <w:b/>
                <w:bCs w:val="0"/>
                <w:color w:val="auto"/>
              </w:rPr>
            </w:pPr>
            <w:r>
              <w:rPr>
                <w:b/>
                <w:bCs w:val="0"/>
                <w:color w:val="auto"/>
              </w:rPr>
              <w:t>表4-</w:t>
            </w:r>
            <w:r>
              <w:rPr>
                <w:rFonts w:hint="eastAsia"/>
                <w:b/>
                <w:bCs w:val="0"/>
                <w:color w:val="auto"/>
                <w:lang w:val="en-US" w:eastAsia="zh-CN"/>
              </w:rPr>
              <w:t>22</w:t>
            </w:r>
            <w:r>
              <w:rPr>
                <w:b/>
                <w:bCs w:val="0"/>
                <w:color w:val="auto"/>
              </w:rPr>
              <w:t>建设项目厂界噪声预测结果一览表</w:t>
            </w:r>
            <w:r>
              <w:rPr>
                <w:b/>
                <w:bCs w:val="0"/>
                <w:color w:val="auto"/>
                <w:sz w:val="21"/>
                <w:szCs w:val="21"/>
              </w:rPr>
              <w:t>单位：dB(A)</w:t>
            </w:r>
          </w:p>
          <w:tbl>
            <w:tblPr>
              <w:tblStyle w:val="3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466"/>
              <w:gridCol w:w="1470"/>
              <w:gridCol w:w="1230"/>
              <w:gridCol w:w="1267"/>
              <w:gridCol w:w="1284"/>
            </w:tblGrid>
            <w:tr w14:paraId="2F403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1" w:type="pct"/>
                  <w:vMerge w:val="restart"/>
                  <w:vAlign w:val="center"/>
                </w:tcPr>
                <w:p w14:paraId="63F89E8B">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监测点位</w:t>
                  </w:r>
                </w:p>
              </w:tc>
              <w:tc>
                <w:tcPr>
                  <w:tcW w:w="1664" w:type="pct"/>
                  <w:gridSpan w:val="2"/>
                  <w:vAlign w:val="center"/>
                </w:tcPr>
                <w:p w14:paraId="1201E722">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贡献值</w:t>
                  </w:r>
                </w:p>
              </w:tc>
              <w:tc>
                <w:tcPr>
                  <w:tcW w:w="1415" w:type="pct"/>
                  <w:gridSpan w:val="2"/>
                  <w:vAlign w:val="center"/>
                </w:tcPr>
                <w:p w14:paraId="160AEEF1">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标准值</w:t>
                  </w:r>
                </w:p>
              </w:tc>
              <w:tc>
                <w:tcPr>
                  <w:tcW w:w="728" w:type="pct"/>
                  <w:vMerge w:val="restart"/>
                  <w:vAlign w:val="center"/>
                </w:tcPr>
                <w:p w14:paraId="584910AE">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达标情况</w:t>
                  </w:r>
                </w:p>
              </w:tc>
            </w:tr>
            <w:tr w14:paraId="50C3C2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1" w:type="pct"/>
                  <w:vMerge w:val="continue"/>
                  <w:vAlign w:val="center"/>
                </w:tcPr>
                <w:p w14:paraId="04BE657D">
                  <w:pPr>
                    <w:pStyle w:val="228"/>
                    <w:spacing w:line="240" w:lineRule="auto"/>
                    <w:ind w:firstLine="0" w:firstLineChars="0"/>
                    <w:rPr>
                      <w:rFonts w:hint="default" w:ascii="Times New Roman" w:hAnsi="Times New Roman" w:eastAsia="宋体" w:cs="Times New Roman"/>
                      <w:b/>
                      <w:bCs/>
                      <w:color w:val="auto"/>
                      <w:szCs w:val="21"/>
                    </w:rPr>
                  </w:pPr>
                </w:p>
              </w:tc>
              <w:tc>
                <w:tcPr>
                  <w:tcW w:w="831" w:type="pct"/>
                  <w:vAlign w:val="center"/>
                </w:tcPr>
                <w:p w14:paraId="7451A4D2">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昼间</w:t>
                  </w:r>
                </w:p>
              </w:tc>
              <w:tc>
                <w:tcPr>
                  <w:tcW w:w="833" w:type="pct"/>
                  <w:vAlign w:val="center"/>
                </w:tcPr>
                <w:p w14:paraId="3BC9878F">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夜间</w:t>
                  </w:r>
                </w:p>
              </w:tc>
              <w:tc>
                <w:tcPr>
                  <w:tcW w:w="697" w:type="pct"/>
                  <w:vAlign w:val="center"/>
                </w:tcPr>
                <w:p w14:paraId="67C0A4F7">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昼间</w:t>
                  </w:r>
                </w:p>
              </w:tc>
              <w:tc>
                <w:tcPr>
                  <w:tcW w:w="718" w:type="pct"/>
                  <w:vAlign w:val="center"/>
                </w:tcPr>
                <w:p w14:paraId="1BC02C8B">
                  <w:pPr>
                    <w:pStyle w:val="228"/>
                    <w:spacing w:line="240" w:lineRule="auto"/>
                    <w:ind w:firstLine="0" w:firstLineChars="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夜间</w:t>
                  </w:r>
                </w:p>
              </w:tc>
              <w:tc>
                <w:tcPr>
                  <w:tcW w:w="728" w:type="pct"/>
                  <w:vMerge w:val="continue"/>
                  <w:vAlign w:val="center"/>
                </w:tcPr>
                <w:p w14:paraId="4B5E2480">
                  <w:pPr>
                    <w:pStyle w:val="228"/>
                    <w:spacing w:line="240" w:lineRule="auto"/>
                    <w:ind w:firstLine="0" w:firstLineChars="0"/>
                    <w:rPr>
                      <w:rFonts w:hint="default" w:ascii="Times New Roman" w:hAnsi="Times New Roman" w:eastAsia="宋体" w:cs="Times New Roman"/>
                      <w:b/>
                      <w:bCs/>
                      <w:color w:val="auto"/>
                      <w:szCs w:val="21"/>
                    </w:rPr>
                  </w:pPr>
                </w:p>
              </w:tc>
            </w:tr>
            <w:tr w14:paraId="73227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1" w:type="pct"/>
                  <w:vAlign w:val="center"/>
                </w:tcPr>
                <w:p w14:paraId="3AAF489A">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东厂界</w:t>
                  </w:r>
                </w:p>
              </w:tc>
              <w:tc>
                <w:tcPr>
                  <w:tcW w:w="831" w:type="pct"/>
                  <w:vAlign w:val="center"/>
                </w:tcPr>
                <w:p w14:paraId="7143094E">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46.21</w:t>
                  </w:r>
                </w:p>
              </w:tc>
              <w:tc>
                <w:tcPr>
                  <w:tcW w:w="1470" w:type="dxa"/>
                  <w:shd w:val="clear" w:color="auto" w:fill="auto"/>
                  <w:vAlign w:val="center"/>
                </w:tcPr>
                <w:p w14:paraId="73A2FEAA">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46.21</w:t>
                  </w:r>
                </w:p>
              </w:tc>
              <w:tc>
                <w:tcPr>
                  <w:tcW w:w="697" w:type="pct"/>
                  <w:vAlign w:val="center"/>
                </w:tcPr>
                <w:p w14:paraId="4DAAD3EF">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w:t>
                  </w:r>
                </w:p>
              </w:tc>
              <w:tc>
                <w:tcPr>
                  <w:tcW w:w="718" w:type="pct"/>
                  <w:vAlign w:val="center"/>
                </w:tcPr>
                <w:p w14:paraId="7F67615F">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c>
                <w:tcPr>
                  <w:tcW w:w="728" w:type="pct"/>
                  <w:vAlign w:val="center"/>
                </w:tcPr>
                <w:p w14:paraId="6E887561">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达标</w:t>
                  </w:r>
                </w:p>
              </w:tc>
            </w:tr>
            <w:tr w14:paraId="5C835D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1" w:type="pct"/>
                  <w:vAlign w:val="center"/>
                </w:tcPr>
                <w:p w14:paraId="1F9E69C6">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南厂界</w:t>
                  </w:r>
                </w:p>
              </w:tc>
              <w:tc>
                <w:tcPr>
                  <w:tcW w:w="831" w:type="pct"/>
                  <w:vAlign w:val="center"/>
                </w:tcPr>
                <w:p w14:paraId="6C50297B">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50.29</w:t>
                  </w:r>
                </w:p>
              </w:tc>
              <w:tc>
                <w:tcPr>
                  <w:tcW w:w="1470" w:type="dxa"/>
                  <w:shd w:val="clear" w:color="auto" w:fill="auto"/>
                  <w:vAlign w:val="center"/>
                </w:tcPr>
                <w:p w14:paraId="4FC045ED">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50.29</w:t>
                  </w:r>
                </w:p>
              </w:tc>
              <w:tc>
                <w:tcPr>
                  <w:tcW w:w="697" w:type="pct"/>
                  <w:vAlign w:val="center"/>
                </w:tcPr>
                <w:p w14:paraId="63715CCC">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w:t>
                  </w:r>
                </w:p>
              </w:tc>
              <w:tc>
                <w:tcPr>
                  <w:tcW w:w="718" w:type="pct"/>
                  <w:vAlign w:val="center"/>
                </w:tcPr>
                <w:p w14:paraId="5A7ADA83">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c>
                <w:tcPr>
                  <w:tcW w:w="728" w:type="pct"/>
                  <w:vAlign w:val="center"/>
                </w:tcPr>
                <w:p w14:paraId="0B1C3F26">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达标</w:t>
                  </w:r>
                </w:p>
              </w:tc>
            </w:tr>
            <w:tr w14:paraId="1C745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1" w:type="pct"/>
                  <w:vAlign w:val="center"/>
                </w:tcPr>
                <w:p w14:paraId="1ED2F43A">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西厂界</w:t>
                  </w:r>
                </w:p>
              </w:tc>
              <w:tc>
                <w:tcPr>
                  <w:tcW w:w="831" w:type="pct"/>
                  <w:vAlign w:val="center"/>
                </w:tcPr>
                <w:p w14:paraId="143A0249">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40.75</w:t>
                  </w:r>
                </w:p>
              </w:tc>
              <w:tc>
                <w:tcPr>
                  <w:tcW w:w="1470" w:type="dxa"/>
                  <w:shd w:val="clear" w:color="auto" w:fill="auto"/>
                  <w:vAlign w:val="center"/>
                </w:tcPr>
                <w:p w14:paraId="36DADBBB">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40.75</w:t>
                  </w:r>
                </w:p>
              </w:tc>
              <w:tc>
                <w:tcPr>
                  <w:tcW w:w="697" w:type="pct"/>
                  <w:vAlign w:val="center"/>
                </w:tcPr>
                <w:p w14:paraId="0D286562">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w:t>
                  </w:r>
                </w:p>
              </w:tc>
              <w:tc>
                <w:tcPr>
                  <w:tcW w:w="718" w:type="pct"/>
                  <w:vAlign w:val="center"/>
                </w:tcPr>
                <w:p w14:paraId="1F1B65EB">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c>
                <w:tcPr>
                  <w:tcW w:w="728" w:type="pct"/>
                  <w:vAlign w:val="center"/>
                </w:tcPr>
                <w:p w14:paraId="7164C04F">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达标</w:t>
                  </w:r>
                </w:p>
              </w:tc>
            </w:tr>
            <w:tr w14:paraId="6430E7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1" w:type="pct"/>
                  <w:vAlign w:val="center"/>
                </w:tcPr>
                <w:p w14:paraId="52932EBE">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北厂界</w:t>
                  </w:r>
                </w:p>
              </w:tc>
              <w:tc>
                <w:tcPr>
                  <w:tcW w:w="831" w:type="pct"/>
                  <w:vAlign w:val="center"/>
                </w:tcPr>
                <w:p w14:paraId="724CE346">
                  <w:pPr>
                    <w:adjustRightInd w:val="0"/>
                    <w:snapToGrid w:val="0"/>
                    <w:spacing w:line="240" w:lineRule="auto"/>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54.72</w:t>
                  </w:r>
                </w:p>
              </w:tc>
              <w:tc>
                <w:tcPr>
                  <w:tcW w:w="1470" w:type="dxa"/>
                  <w:shd w:val="clear" w:color="auto" w:fill="auto"/>
                  <w:vAlign w:val="center"/>
                </w:tcPr>
                <w:p w14:paraId="236D5405">
                  <w:pPr>
                    <w:adjustRightInd w:val="0"/>
                    <w:snapToGrid w:val="0"/>
                    <w:spacing w:line="240" w:lineRule="auto"/>
                    <w:ind w:firstLine="420" w:firstLineChars="200"/>
                    <w:jc w:val="both"/>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54.72</w:t>
                  </w:r>
                </w:p>
              </w:tc>
              <w:tc>
                <w:tcPr>
                  <w:tcW w:w="697" w:type="pct"/>
                  <w:vAlign w:val="center"/>
                </w:tcPr>
                <w:p w14:paraId="50659D8A">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w:t>
                  </w:r>
                </w:p>
              </w:tc>
              <w:tc>
                <w:tcPr>
                  <w:tcW w:w="718" w:type="pct"/>
                  <w:vAlign w:val="center"/>
                </w:tcPr>
                <w:p w14:paraId="0ED7DBAB">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c>
                <w:tcPr>
                  <w:tcW w:w="728" w:type="pct"/>
                  <w:vAlign w:val="center"/>
                </w:tcPr>
                <w:p w14:paraId="0BED1E34">
                  <w:pPr>
                    <w:pStyle w:val="228"/>
                    <w:spacing w:line="240" w:lineRule="auto"/>
                    <w:ind w:firstLine="0" w:firstLineChars="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达标</w:t>
                  </w:r>
                </w:p>
              </w:tc>
            </w:tr>
          </w:tbl>
          <w:p w14:paraId="5BC39F1E">
            <w:pPr>
              <w:spacing w:before="120" w:beforeLines="50" w:line="360" w:lineRule="auto"/>
              <w:ind w:firstLine="480"/>
              <w:rPr>
                <w:color w:val="auto"/>
              </w:rPr>
            </w:pPr>
            <w:r>
              <w:rPr>
                <w:color w:val="auto"/>
              </w:rPr>
              <w:t>本项目噪声在通过合理布局，距离衰减后，</w:t>
            </w:r>
            <w:r>
              <w:rPr>
                <w:rFonts w:hint="eastAsia"/>
                <w:color w:val="auto"/>
              </w:rPr>
              <w:t>厂界四周</w:t>
            </w:r>
            <w:r>
              <w:rPr>
                <w:color w:val="auto"/>
              </w:rPr>
              <w:t>满足《工业企业厂界环境噪声排放标准》（GB12348-2008）中的</w:t>
            </w:r>
            <w:r>
              <w:rPr>
                <w:rFonts w:hint="eastAsia"/>
                <w:color w:val="auto"/>
              </w:rPr>
              <w:t>3</w:t>
            </w:r>
            <w:r>
              <w:rPr>
                <w:color w:val="auto"/>
              </w:rPr>
              <w:t>类标准：昼间≤6</w:t>
            </w:r>
            <w:r>
              <w:rPr>
                <w:rFonts w:hint="eastAsia"/>
                <w:color w:val="auto"/>
              </w:rPr>
              <w:t>5</w:t>
            </w:r>
            <w:r>
              <w:rPr>
                <w:color w:val="auto"/>
              </w:rPr>
              <w:t>dB（A）</w:t>
            </w:r>
            <w:r>
              <w:rPr>
                <w:rFonts w:hint="eastAsia"/>
                <w:color w:val="auto"/>
              </w:rPr>
              <w:t>，</w:t>
            </w:r>
            <w:r>
              <w:rPr>
                <w:rFonts w:hint="eastAsia"/>
                <w:color w:val="auto"/>
                <w:lang w:val="en-US" w:eastAsia="zh-CN"/>
              </w:rPr>
              <w:t>夜</w:t>
            </w:r>
            <w:r>
              <w:rPr>
                <w:color w:val="auto"/>
              </w:rPr>
              <w:t>间≤</w:t>
            </w:r>
            <w:r>
              <w:rPr>
                <w:rFonts w:hint="eastAsia"/>
                <w:color w:val="auto"/>
                <w:lang w:val="en-US" w:eastAsia="zh-CN"/>
              </w:rPr>
              <w:t>5</w:t>
            </w:r>
            <w:r>
              <w:rPr>
                <w:rFonts w:hint="eastAsia"/>
                <w:color w:val="auto"/>
              </w:rPr>
              <w:t>5</w:t>
            </w:r>
            <w:r>
              <w:rPr>
                <w:color w:val="auto"/>
              </w:rPr>
              <w:t>dB（A）。不会降低当地的环境声功能级别。综上，本项目实施后的设备噪声对周围声环境影响较小。</w:t>
            </w:r>
          </w:p>
          <w:p w14:paraId="041DBF2E">
            <w:pPr>
              <w:snapToGrid w:val="0"/>
              <w:spacing w:line="360" w:lineRule="auto"/>
              <w:ind w:firstLine="472" w:firstLineChars="196"/>
              <w:rPr>
                <w:b/>
                <w:bCs/>
                <w:color w:val="auto"/>
              </w:rPr>
            </w:pPr>
            <w:r>
              <w:rPr>
                <w:rFonts w:hint="eastAsia"/>
                <w:b/>
                <w:bCs/>
                <w:color w:val="auto"/>
                <w:lang w:val="en-US" w:eastAsia="zh-CN"/>
              </w:rPr>
              <w:t>3.</w:t>
            </w:r>
            <w:r>
              <w:rPr>
                <w:b/>
                <w:bCs/>
                <w:color w:val="auto"/>
              </w:rPr>
              <w:t>监测计划</w:t>
            </w:r>
          </w:p>
          <w:p w14:paraId="1890D6B1">
            <w:pPr>
              <w:spacing w:line="360" w:lineRule="auto"/>
              <w:ind w:firstLine="480"/>
              <w:rPr>
                <w:b/>
                <w:bCs/>
                <w:color w:val="auto"/>
              </w:rPr>
            </w:pPr>
            <w:r>
              <w:rPr>
                <w:rFonts w:hint="eastAsia"/>
                <w:bCs/>
                <w:color w:val="auto"/>
              </w:rPr>
              <w:t>按照《排污单位自行监测技术指南总则》（HJ819-2017）相关要求需要每季度对厂界外噪声进行一次昼</w:t>
            </w:r>
            <w:r>
              <w:rPr>
                <w:rFonts w:hint="eastAsia"/>
                <w:bCs/>
                <w:color w:val="auto"/>
                <w:lang w:val="en-US" w:eastAsia="zh-CN"/>
              </w:rPr>
              <w:t>夜</w:t>
            </w:r>
            <w:r>
              <w:rPr>
                <w:rFonts w:hint="eastAsia"/>
                <w:bCs/>
                <w:color w:val="auto"/>
              </w:rPr>
              <w:t>监测，监测因子包括厂界</w:t>
            </w:r>
            <w:r>
              <w:rPr>
                <w:rFonts w:hint="eastAsia"/>
                <w:bCs/>
                <w:color w:val="auto"/>
                <w:lang w:val="en-US" w:eastAsia="zh-CN"/>
              </w:rPr>
              <w:t>四周</w:t>
            </w:r>
            <w:r>
              <w:rPr>
                <w:rFonts w:hint="eastAsia"/>
                <w:bCs/>
                <w:color w:val="auto"/>
              </w:rPr>
              <w:t>昼</w:t>
            </w:r>
            <w:r>
              <w:rPr>
                <w:rFonts w:hint="eastAsia"/>
                <w:bCs/>
                <w:color w:val="auto"/>
                <w:lang w:val="en-US" w:eastAsia="zh-CN"/>
              </w:rPr>
              <w:t>夜</w:t>
            </w:r>
            <w:r>
              <w:rPr>
                <w:rFonts w:hint="eastAsia"/>
                <w:bCs/>
                <w:color w:val="auto"/>
              </w:rPr>
              <w:t>等效连续A声级。</w:t>
            </w:r>
            <w:r>
              <w:rPr>
                <w:rFonts w:hint="eastAsia"/>
                <w:color w:val="auto"/>
              </w:rPr>
              <w:t>污染源监测计划见表</w:t>
            </w:r>
            <w:r>
              <w:rPr>
                <w:color w:val="auto"/>
              </w:rPr>
              <w:t>4-</w:t>
            </w:r>
            <w:r>
              <w:rPr>
                <w:rFonts w:hint="eastAsia"/>
                <w:color w:val="auto"/>
                <w:lang w:val="en-US" w:eastAsia="zh-CN"/>
              </w:rPr>
              <w:t>23</w:t>
            </w:r>
            <w:r>
              <w:rPr>
                <w:rFonts w:hint="eastAsia"/>
                <w:color w:val="auto"/>
              </w:rPr>
              <w:t>。</w:t>
            </w:r>
          </w:p>
          <w:p w14:paraId="5F71E5D7">
            <w:pPr>
              <w:spacing w:line="240" w:lineRule="auto"/>
              <w:ind w:firstLine="0" w:firstLineChars="0"/>
              <w:jc w:val="center"/>
              <w:rPr>
                <w:b/>
                <w:bCs/>
                <w:color w:val="auto"/>
              </w:rPr>
            </w:pPr>
            <w:r>
              <w:rPr>
                <w:b/>
                <w:bCs/>
                <w:color w:val="auto"/>
              </w:rPr>
              <w:t>表4-</w:t>
            </w:r>
            <w:r>
              <w:rPr>
                <w:rFonts w:hint="eastAsia"/>
                <w:b/>
                <w:bCs/>
                <w:color w:val="auto"/>
                <w:lang w:val="en-US" w:eastAsia="zh-CN"/>
              </w:rPr>
              <w:t>23</w:t>
            </w:r>
            <w:r>
              <w:rPr>
                <w:b/>
                <w:bCs/>
                <w:color w:val="auto"/>
              </w:rPr>
              <w:t>项目</w:t>
            </w:r>
            <w:r>
              <w:rPr>
                <w:rFonts w:hint="eastAsia"/>
                <w:b/>
                <w:bCs/>
                <w:color w:val="auto"/>
              </w:rPr>
              <w:t>污染源监测计划</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233"/>
              <w:gridCol w:w="1152"/>
              <w:gridCol w:w="1600"/>
              <w:gridCol w:w="1231"/>
              <w:gridCol w:w="2913"/>
            </w:tblGrid>
            <w:tr w14:paraId="7249BB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90" w:type="pct"/>
                  <w:vAlign w:val="center"/>
                </w:tcPr>
                <w:p w14:paraId="071F50B0">
                  <w:pPr>
                    <w:widowControl/>
                    <w:adjustRightInd w:val="0"/>
                    <w:snapToGrid w:val="0"/>
                    <w:spacing w:line="240" w:lineRule="auto"/>
                    <w:ind w:firstLine="0" w:firstLineChars="0"/>
                    <w:jc w:val="center"/>
                    <w:rPr>
                      <w:b/>
                      <w:bCs/>
                      <w:color w:val="auto"/>
                      <w:sz w:val="21"/>
                    </w:rPr>
                  </w:pPr>
                  <w:r>
                    <w:rPr>
                      <w:b/>
                      <w:bCs/>
                      <w:color w:val="auto"/>
                      <w:sz w:val="21"/>
                    </w:rPr>
                    <w:t>分类</w:t>
                  </w:r>
                </w:p>
              </w:tc>
              <w:tc>
                <w:tcPr>
                  <w:tcW w:w="699" w:type="pct"/>
                  <w:vAlign w:val="center"/>
                </w:tcPr>
                <w:p w14:paraId="43A22525">
                  <w:pPr>
                    <w:widowControl/>
                    <w:adjustRightInd w:val="0"/>
                    <w:snapToGrid w:val="0"/>
                    <w:spacing w:line="240" w:lineRule="auto"/>
                    <w:ind w:firstLine="0" w:firstLineChars="0"/>
                    <w:jc w:val="center"/>
                    <w:rPr>
                      <w:b/>
                      <w:bCs/>
                      <w:color w:val="auto"/>
                      <w:sz w:val="21"/>
                    </w:rPr>
                  </w:pPr>
                  <w:r>
                    <w:rPr>
                      <w:b/>
                      <w:bCs/>
                      <w:color w:val="auto"/>
                      <w:sz w:val="21"/>
                    </w:rPr>
                    <w:t>监测位置</w:t>
                  </w:r>
                </w:p>
              </w:tc>
              <w:tc>
                <w:tcPr>
                  <w:tcW w:w="653" w:type="pct"/>
                  <w:vAlign w:val="center"/>
                </w:tcPr>
                <w:p w14:paraId="043E26AF">
                  <w:pPr>
                    <w:widowControl/>
                    <w:adjustRightInd w:val="0"/>
                    <w:snapToGrid w:val="0"/>
                    <w:spacing w:line="240" w:lineRule="auto"/>
                    <w:ind w:firstLine="0" w:firstLineChars="0"/>
                    <w:jc w:val="center"/>
                    <w:rPr>
                      <w:b/>
                      <w:bCs/>
                      <w:color w:val="auto"/>
                      <w:sz w:val="21"/>
                    </w:rPr>
                  </w:pPr>
                  <w:r>
                    <w:rPr>
                      <w:b/>
                      <w:bCs/>
                      <w:color w:val="auto"/>
                      <w:sz w:val="21"/>
                    </w:rPr>
                    <w:t>监测点数</w:t>
                  </w:r>
                </w:p>
              </w:tc>
              <w:tc>
                <w:tcPr>
                  <w:tcW w:w="907" w:type="pct"/>
                  <w:vAlign w:val="center"/>
                </w:tcPr>
                <w:p w14:paraId="655CDE96">
                  <w:pPr>
                    <w:widowControl/>
                    <w:adjustRightInd w:val="0"/>
                    <w:snapToGrid w:val="0"/>
                    <w:spacing w:line="240" w:lineRule="auto"/>
                    <w:ind w:firstLine="0" w:firstLineChars="0"/>
                    <w:jc w:val="center"/>
                    <w:rPr>
                      <w:b/>
                      <w:bCs/>
                      <w:color w:val="auto"/>
                      <w:sz w:val="21"/>
                    </w:rPr>
                  </w:pPr>
                  <w:r>
                    <w:rPr>
                      <w:b/>
                      <w:bCs/>
                      <w:color w:val="auto"/>
                      <w:sz w:val="21"/>
                    </w:rPr>
                    <w:t>监测项目</w:t>
                  </w:r>
                </w:p>
              </w:tc>
              <w:tc>
                <w:tcPr>
                  <w:tcW w:w="698" w:type="pct"/>
                  <w:vAlign w:val="center"/>
                </w:tcPr>
                <w:p w14:paraId="59220FC4">
                  <w:pPr>
                    <w:widowControl/>
                    <w:adjustRightInd w:val="0"/>
                    <w:snapToGrid w:val="0"/>
                    <w:spacing w:line="240" w:lineRule="auto"/>
                    <w:ind w:firstLine="0" w:firstLineChars="0"/>
                    <w:jc w:val="center"/>
                    <w:rPr>
                      <w:b/>
                      <w:bCs/>
                      <w:color w:val="auto"/>
                      <w:sz w:val="21"/>
                    </w:rPr>
                  </w:pPr>
                  <w:r>
                    <w:rPr>
                      <w:b/>
                      <w:bCs/>
                      <w:color w:val="auto"/>
                      <w:sz w:val="21"/>
                    </w:rPr>
                    <w:t>监测频次</w:t>
                  </w:r>
                </w:p>
              </w:tc>
              <w:tc>
                <w:tcPr>
                  <w:tcW w:w="1651" w:type="pct"/>
                  <w:vAlign w:val="center"/>
                </w:tcPr>
                <w:p w14:paraId="46EF303E">
                  <w:pPr>
                    <w:widowControl/>
                    <w:adjustRightInd w:val="0"/>
                    <w:snapToGrid w:val="0"/>
                    <w:spacing w:line="240" w:lineRule="auto"/>
                    <w:ind w:firstLine="0" w:firstLineChars="0"/>
                    <w:jc w:val="center"/>
                    <w:rPr>
                      <w:b/>
                      <w:bCs/>
                      <w:color w:val="auto"/>
                      <w:sz w:val="21"/>
                    </w:rPr>
                  </w:pPr>
                  <w:r>
                    <w:rPr>
                      <w:b/>
                      <w:bCs/>
                      <w:color w:val="auto"/>
                      <w:sz w:val="21"/>
                    </w:rPr>
                    <w:t>执行标准</w:t>
                  </w:r>
                </w:p>
              </w:tc>
            </w:tr>
            <w:tr w14:paraId="39291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90" w:type="pct"/>
                  <w:vAlign w:val="center"/>
                </w:tcPr>
                <w:p w14:paraId="5FDB4A01">
                  <w:pPr>
                    <w:tabs>
                      <w:tab w:val="center" w:pos="4153"/>
                      <w:tab w:val="right" w:pos="8306"/>
                    </w:tabs>
                    <w:adjustRightInd w:val="0"/>
                    <w:snapToGrid w:val="0"/>
                    <w:spacing w:line="240" w:lineRule="auto"/>
                    <w:ind w:firstLine="0" w:firstLineChars="0"/>
                    <w:jc w:val="center"/>
                    <w:rPr>
                      <w:color w:val="auto"/>
                      <w:kern w:val="0"/>
                      <w:sz w:val="18"/>
                      <w:szCs w:val="20"/>
                    </w:rPr>
                  </w:pPr>
                  <w:r>
                    <w:rPr>
                      <w:color w:val="auto"/>
                      <w:kern w:val="0"/>
                      <w:sz w:val="18"/>
                      <w:szCs w:val="20"/>
                    </w:rPr>
                    <w:t>噪声</w:t>
                  </w:r>
                </w:p>
              </w:tc>
              <w:tc>
                <w:tcPr>
                  <w:tcW w:w="699" w:type="pct"/>
                  <w:vAlign w:val="center"/>
                </w:tcPr>
                <w:p w14:paraId="79DC9856">
                  <w:pPr>
                    <w:widowControl/>
                    <w:adjustRightInd w:val="0"/>
                    <w:snapToGrid w:val="0"/>
                    <w:spacing w:line="240" w:lineRule="auto"/>
                    <w:ind w:firstLine="0" w:firstLineChars="0"/>
                    <w:jc w:val="center"/>
                    <w:rPr>
                      <w:color w:val="auto"/>
                      <w:sz w:val="21"/>
                    </w:rPr>
                  </w:pPr>
                  <w:r>
                    <w:rPr>
                      <w:color w:val="auto"/>
                      <w:sz w:val="21"/>
                    </w:rPr>
                    <w:t>厂界四周</w:t>
                  </w:r>
                </w:p>
              </w:tc>
              <w:tc>
                <w:tcPr>
                  <w:tcW w:w="653" w:type="pct"/>
                  <w:vAlign w:val="center"/>
                </w:tcPr>
                <w:p w14:paraId="458D2F0C">
                  <w:pPr>
                    <w:tabs>
                      <w:tab w:val="center" w:pos="4153"/>
                      <w:tab w:val="right" w:pos="8306"/>
                    </w:tabs>
                    <w:adjustRightInd w:val="0"/>
                    <w:snapToGrid w:val="0"/>
                    <w:spacing w:line="240" w:lineRule="auto"/>
                    <w:ind w:firstLine="0" w:firstLineChars="0"/>
                    <w:jc w:val="center"/>
                    <w:rPr>
                      <w:rFonts w:hint="eastAsia" w:eastAsia="宋体"/>
                      <w:color w:val="auto"/>
                      <w:kern w:val="0"/>
                      <w:sz w:val="18"/>
                      <w:szCs w:val="20"/>
                      <w:lang w:eastAsia="zh-CN"/>
                    </w:rPr>
                  </w:pPr>
                  <w:r>
                    <w:rPr>
                      <w:rFonts w:hint="eastAsia"/>
                      <w:color w:val="auto"/>
                      <w:kern w:val="0"/>
                      <w:sz w:val="18"/>
                      <w:szCs w:val="20"/>
                      <w:lang w:val="en-US" w:eastAsia="zh-CN"/>
                    </w:rPr>
                    <w:t>4</w:t>
                  </w:r>
                </w:p>
              </w:tc>
              <w:tc>
                <w:tcPr>
                  <w:tcW w:w="907" w:type="pct"/>
                  <w:vAlign w:val="center"/>
                </w:tcPr>
                <w:p w14:paraId="3BC04F72">
                  <w:pPr>
                    <w:widowControl/>
                    <w:adjustRightInd w:val="0"/>
                    <w:snapToGrid w:val="0"/>
                    <w:spacing w:line="240" w:lineRule="auto"/>
                    <w:ind w:firstLine="0" w:firstLineChars="0"/>
                    <w:jc w:val="center"/>
                    <w:rPr>
                      <w:color w:val="auto"/>
                      <w:sz w:val="21"/>
                    </w:rPr>
                  </w:pPr>
                  <w:r>
                    <w:rPr>
                      <w:color w:val="auto"/>
                      <w:sz w:val="21"/>
                    </w:rPr>
                    <w:t>连续等效A级</w:t>
                  </w:r>
                </w:p>
                <w:p w14:paraId="36708DF2">
                  <w:pPr>
                    <w:widowControl/>
                    <w:adjustRightInd w:val="0"/>
                    <w:snapToGrid w:val="0"/>
                    <w:spacing w:line="240" w:lineRule="auto"/>
                    <w:ind w:firstLine="0" w:firstLineChars="0"/>
                    <w:jc w:val="center"/>
                    <w:rPr>
                      <w:color w:val="auto"/>
                      <w:sz w:val="21"/>
                    </w:rPr>
                  </w:pPr>
                  <w:r>
                    <w:rPr>
                      <w:rFonts w:hint="eastAsia"/>
                      <w:color w:val="auto"/>
                      <w:sz w:val="21"/>
                      <w:lang w:eastAsia="zh-CN"/>
                    </w:rPr>
                    <w:t>(</w:t>
                  </w:r>
                  <w:r>
                    <w:rPr>
                      <w:color w:val="auto"/>
                      <w:sz w:val="21"/>
                    </w:rPr>
                    <w:t>Leq</w:t>
                  </w:r>
                  <w:r>
                    <w:rPr>
                      <w:rFonts w:hint="eastAsia"/>
                      <w:color w:val="auto"/>
                      <w:sz w:val="21"/>
                      <w:lang w:eastAsia="zh-CN"/>
                    </w:rPr>
                    <w:t>(</w:t>
                  </w:r>
                  <w:r>
                    <w:rPr>
                      <w:color w:val="auto"/>
                      <w:sz w:val="21"/>
                    </w:rPr>
                    <w:t>A</w:t>
                  </w:r>
                  <w:r>
                    <w:rPr>
                      <w:rFonts w:hint="eastAsia"/>
                      <w:color w:val="auto"/>
                      <w:sz w:val="21"/>
                      <w:lang w:eastAsia="zh-CN"/>
                    </w:rPr>
                    <w:t>))</w:t>
                  </w:r>
                </w:p>
              </w:tc>
              <w:tc>
                <w:tcPr>
                  <w:tcW w:w="698" w:type="pct"/>
                  <w:vAlign w:val="center"/>
                </w:tcPr>
                <w:p w14:paraId="3DA40877">
                  <w:pPr>
                    <w:widowControl/>
                    <w:adjustRightInd w:val="0"/>
                    <w:snapToGrid w:val="0"/>
                    <w:spacing w:line="240" w:lineRule="auto"/>
                    <w:ind w:firstLine="0" w:firstLineChars="0"/>
                    <w:jc w:val="center"/>
                    <w:rPr>
                      <w:color w:val="auto"/>
                      <w:sz w:val="21"/>
                    </w:rPr>
                  </w:pPr>
                  <w:r>
                    <w:rPr>
                      <w:color w:val="auto"/>
                      <w:sz w:val="21"/>
                    </w:rPr>
                    <w:t>1次/季度</w:t>
                  </w:r>
                </w:p>
              </w:tc>
              <w:tc>
                <w:tcPr>
                  <w:tcW w:w="1651" w:type="pct"/>
                  <w:vAlign w:val="center"/>
                </w:tcPr>
                <w:p w14:paraId="0A971FDD">
                  <w:pPr>
                    <w:widowControl/>
                    <w:adjustRightInd w:val="0"/>
                    <w:snapToGrid w:val="0"/>
                    <w:spacing w:line="240" w:lineRule="auto"/>
                    <w:ind w:firstLine="0" w:firstLineChars="0"/>
                    <w:jc w:val="center"/>
                    <w:rPr>
                      <w:color w:val="auto"/>
                      <w:sz w:val="21"/>
                    </w:rPr>
                  </w:pPr>
                  <w:r>
                    <w:rPr>
                      <w:color w:val="auto"/>
                      <w:sz w:val="21"/>
                    </w:rPr>
                    <w:t>《工业企业厂界环境噪声排放标准》（GB12348-2008）表1中</w:t>
                  </w:r>
                  <w:r>
                    <w:rPr>
                      <w:rFonts w:hint="eastAsia"/>
                      <w:color w:val="auto"/>
                      <w:sz w:val="21"/>
                    </w:rPr>
                    <w:t>3</w:t>
                  </w:r>
                  <w:r>
                    <w:rPr>
                      <w:color w:val="auto"/>
                      <w:sz w:val="21"/>
                    </w:rPr>
                    <w:t>类标准</w:t>
                  </w:r>
                </w:p>
              </w:tc>
            </w:tr>
          </w:tbl>
          <w:p w14:paraId="19FCA3D0">
            <w:pPr>
              <w:snapToGrid w:val="0"/>
              <w:spacing w:before="120" w:beforeLines="50" w:line="360" w:lineRule="auto"/>
              <w:ind w:firstLine="482"/>
              <w:rPr>
                <w:b/>
                <w:bCs/>
                <w:color w:val="auto"/>
              </w:rPr>
            </w:pPr>
            <w:r>
              <w:rPr>
                <w:rFonts w:hint="eastAsia"/>
                <w:b/>
                <w:bCs/>
                <w:color w:val="auto"/>
              </w:rPr>
              <w:t>四、</w:t>
            </w:r>
            <w:r>
              <w:rPr>
                <w:b/>
                <w:bCs/>
                <w:color w:val="auto"/>
              </w:rPr>
              <w:t>固体废物环境影响和保护措施</w:t>
            </w:r>
          </w:p>
          <w:p w14:paraId="5BAAC940">
            <w:pPr>
              <w:snapToGrid w:val="0"/>
              <w:spacing w:line="360" w:lineRule="auto"/>
              <w:ind w:firstLine="482"/>
              <w:rPr>
                <w:b/>
                <w:color w:val="auto"/>
              </w:rPr>
            </w:pPr>
            <w:r>
              <w:rPr>
                <w:rFonts w:hint="eastAsia"/>
                <w:b/>
                <w:color w:val="auto"/>
                <w:lang w:eastAsia="zh-CN"/>
              </w:rPr>
              <w:t>1.</w:t>
            </w:r>
            <w:r>
              <w:rPr>
                <w:rFonts w:hint="eastAsia"/>
                <w:b/>
                <w:color w:val="auto"/>
              </w:rPr>
              <w:t>固体废物产生及处置情况</w:t>
            </w:r>
          </w:p>
          <w:p w14:paraId="6165B606">
            <w:pPr>
              <w:snapToGrid w:val="0"/>
              <w:spacing w:line="360" w:lineRule="auto"/>
              <w:ind w:firstLine="482"/>
              <w:rPr>
                <w:b/>
                <w:color w:val="auto"/>
              </w:rPr>
            </w:pPr>
            <w:r>
              <w:rPr>
                <w:rFonts w:hint="eastAsia"/>
                <w:b/>
                <w:color w:val="auto"/>
              </w:rPr>
              <w:t>a.建设项目固体废物产生情况</w:t>
            </w:r>
          </w:p>
          <w:p w14:paraId="03569569">
            <w:pPr>
              <w:spacing w:line="360" w:lineRule="auto"/>
              <w:ind w:firstLine="480" w:firstLineChars="200"/>
              <w:rPr>
                <w:color w:val="auto"/>
              </w:rPr>
            </w:pPr>
            <w:r>
              <w:rPr>
                <w:color w:val="auto"/>
              </w:rPr>
              <w:t>建设项目营运期产生的固体废物主要为生活垃圾</w:t>
            </w:r>
            <w:r>
              <w:rPr>
                <w:rFonts w:hint="eastAsia"/>
                <w:color w:val="auto"/>
              </w:rPr>
              <w:t>、</w:t>
            </w:r>
            <w:r>
              <w:rPr>
                <w:rFonts w:hint="eastAsia"/>
                <w:color w:val="auto"/>
                <w:sz w:val="24"/>
              </w:rPr>
              <w:t>生化污泥</w:t>
            </w:r>
            <w:r>
              <w:rPr>
                <w:color w:val="auto"/>
                <w:sz w:val="24"/>
              </w:rPr>
              <w:t>、废丝</w:t>
            </w:r>
            <w:r>
              <w:rPr>
                <w:rFonts w:hint="eastAsia"/>
                <w:color w:val="auto"/>
                <w:sz w:val="24"/>
                <w:lang w:eastAsia="zh-CN"/>
              </w:rPr>
              <w:t>、废布</w:t>
            </w:r>
            <w:r>
              <w:rPr>
                <w:color w:val="auto"/>
                <w:sz w:val="24"/>
              </w:rPr>
              <w:t>、</w:t>
            </w:r>
            <w:r>
              <w:rPr>
                <w:rFonts w:hint="eastAsia"/>
                <w:color w:val="auto"/>
                <w:sz w:val="24"/>
                <w:lang w:val="en-US" w:eastAsia="zh-CN"/>
              </w:rPr>
              <w:t>污（油）泥、</w:t>
            </w:r>
            <w:r>
              <w:rPr>
                <w:color w:val="auto"/>
                <w:sz w:val="24"/>
              </w:rPr>
              <w:t>废油桶、废机油</w:t>
            </w:r>
            <w:r>
              <w:rPr>
                <w:rFonts w:hint="eastAsia"/>
                <w:color w:val="auto"/>
                <w:sz w:val="24"/>
                <w:lang w:eastAsia="zh-CN"/>
              </w:rPr>
              <w:t>、</w:t>
            </w:r>
            <w:r>
              <w:rPr>
                <w:rFonts w:hint="eastAsia"/>
                <w:b w:val="0"/>
                <w:bCs w:val="0"/>
                <w:color w:val="auto"/>
                <w:kern w:val="0"/>
                <w:sz w:val="24"/>
                <w:szCs w:val="24"/>
                <w:lang w:val="en-US" w:eastAsia="zh-CN"/>
              </w:rPr>
              <w:t>油烟净化器废油</w:t>
            </w:r>
            <w:r>
              <w:rPr>
                <w:rFonts w:hint="eastAsia"/>
                <w:color w:val="auto"/>
                <w:lang w:eastAsia="zh-CN"/>
              </w:rPr>
              <w:t>、</w:t>
            </w:r>
            <w:r>
              <w:rPr>
                <w:rFonts w:hint="eastAsia"/>
                <w:color w:val="auto"/>
                <w:lang w:val="en-US" w:eastAsia="zh-CN"/>
              </w:rPr>
              <w:t>废过滤介质</w:t>
            </w:r>
            <w:r>
              <w:rPr>
                <w:color w:val="auto"/>
                <w:sz w:val="24"/>
              </w:rPr>
              <w:t>。其中废丝、废布为一般固废，收集后外售或综合利用处置；生活垃圾交由环卫部门处理；</w:t>
            </w:r>
            <w:r>
              <w:rPr>
                <w:rFonts w:hint="eastAsia"/>
                <w:color w:val="auto"/>
                <w:sz w:val="24"/>
              </w:rPr>
              <w:t>废油桶、废机油、污（油）泥、</w:t>
            </w:r>
            <w:r>
              <w:rPr>
                <w:rFonts w:hint="eastAsia"/>
                <w:b w:val="0"/>
                <w:bCs w:val="0"/>
                <w:color w:val="auto"/>
                <w:kern w:val="0"/>
                <w:sz w:val="24"/>
                <w:szCs w:val="24"/>
                <w:lang w:val="en-US" w:eastAsia="zh-CN"/>
              </w:rPr>
              <w:t>油烟净化器废油为危险废物，委托有资质单位安全处置</w:t>
            </w:r>
            <w:r>
              <w:rPr>
                <w:rFonts w:hint="eastAsia"/>
                <w:color w:val="auto"/>
                <w:sz w:val="24"/>
                <w:lang w:eastAsia="zh-CN"/>
              </w:rPr>
              <w:t>；</w:t>
            </w:r>
            <w:r>
              <w:rPr>
                <w:rFonts w:hint="eastAsia"/>
                <w:color w:val="auto"/>
                <w:sz w:val="24"/>
              </w:rPr>
              <w:t>生化污泥依据</w:t>
            </w:r>
            <w:r>
              <w:rPr>
                <w:rFonts w:hint="eastAsia"/>
                <w:color w:val="auto"/>
                <w:sz w:val="24"/>
                <w:lang w:eastAsia="zh-CN"/>
              </w:rPr>
              <w:t>鉴别</w:t>
            </w:r>
            <w:r>
              <w:rPr>
                <w:rFonts w:hint="eastAsia"/>
                <w:color w:val="auto"/>
                <w:sz w:val="24"/>
              </w:rPr>
              <w:t>后的固废属性进行管理，废过滤介质参照生化污泥的</w:t>
            </w:r>
            <w:r>
              <w:rPr>
                <w:rFonts w:hint="eastAsia"/>
                <w:color w:val="auto"/>
                <w:sz w:val="24"/>
                <w:lang w:eastAsia="zh-CN"/>
              </w:rPr>
              <w:t>鉴别</w:t>
            </w:r>
            <w:r>
              <w:rPr>
                <w:rFonts w:hint="eastAsia"/>
                <w:color w:val="auto"/>
                <w:sz w:val="24"/>
              </w:rPr>
              <w:t>结论进行管理，未</w:t>
            </w:r>
            <w:r>
              <w:rPr>
                <w:rFonts w:hint="eastAsia"/>
                <w:color w:val="auto"/>
                <w:sz w:val="24"/>
                <w:lang w:eastAsia="zh-CN"/>
              </w:rPr>
              <w:t>鉴别</w:t>
            </w:r>
            <w:r>
              <w:rPr>
                <w:rFonts w:hint="eastAsia"/>
                <w:color w:val="auto"/>
                <w:sz w:val="24"/>
              </w:rPr>
              <w:t>前，统一按危险废物从严管理。</w:t>
            </w:r>
          </w:p>
          <w:p w14:paraId="34C49359">
            <w:pPr>
              <w:snapToGrid w:val="0"/>
              <w:spacing w:line="360" w:lineRule="auto"/>
              <w:ind w:firstLine="480"/>
              <w:rPr>
                <w:rFonts w:hint="eastAsia" w:eastAsia="宋体"/>
                <w:color w:val="auto"/>
                <w:lang w:eastAsia="zh-CN"/>
              </w:rPr>
            </w:pPr>
            <w:r>
              <w:rPr>
                <w:color w:val="auto"/>
              </w:rPr>
              <w:t>1）生活垃圾：项目劳动定员</w:t>
            </w:r>
            <w:r>
              <w:rPr>
                <w:rFonts w:hint="eastAsia"/>
                <w:color w:val="auto"/>
                <w:lang w:val="en-US" w:eastAsia="zh-CN"/>
              </w:rPr>
              <w:t>5</w:t>
            </w:r>
            <w:r>
              <w:rPr>
                <w:color w:val="auto"/>
              </w:rPr>
              <w:t>0人，</w:t>
            </w:r>
            <w:r>
              <w:rPr>
                <w:rFonts w:hint="eastAsia"/>
                <w:color w:val="auto"/>
              </w:rPr>
              <w:t>年运行3</w:t>
            </w:r>
            <w:r>
              <w:rPr>
                <w:color w:val="auto"/>
              </w:rPr>
              <w:t>0</w:t>
            </w:r>
            <w:r>
              <w:rPr>
                <w:rFonts w:hint="eastAsia"/>
                <w:color w:val="auto"/>
              </w:rPr>
              <w:t>0天，</w:t>
            </w:r>
            <w:r>
              <w:rPr>
                <w:color w:val="auto"/>
              </w:rPr>
              <w:t>以每人每天0.5kg计，则生活垃圾产生量约</w:t>
            </w:r>
            <w:r>
              <w:rPr>
                <w:rFonts w:hint="eastAsia"/>
                <w:color w:val="auto"/>
                <w:lang w:val="en-US" w:eastAsia="zh-CN"/>
              </w:rPr>
              <w:t>7.5</w:t>
            </w:r>
            <w:r>
              <w:rPr>
                <w:color w:val="auto"/>
              </w:rPr>
              <w:t>t/a</w:t>
            </w:r>
            <w:r>
              <w:rPr>
                <w:rFonts w:hint="eastAsia"/>
                <w:color w:val="auto"/>
                <w:lang w:eastAsia="zh-CN"/>
              </w:rPr>
              <w:t>。</w:t>
            </w:r>
          </w:p>
          <w:p w14:paraId="0D325F99">
            <w:pPr>
              <w:pStyle w:val="231"/>
              <w:ind w:firstLine="480"/>
              <w:rPr>
                <w:rFonts w:ascii="Times New Roman" w:hAnsi="Times New Roman"/>
                <w:color w:val="auto"/>
                <w:kern w:val="2"/>
                <w:sz w:val="24"/>
                <w:szCs w:val="24"/>
                <w:lang w:eastAsia="zh-CN"/>
              </w:rPr>
            </w:pPr>
            <w:r>
              <w:rPr>
                <w:rFonts w:ascii="Times New Roman" w:hAnsi="Times New Roman"/>
                <w:bCs/>
                <w:color w:val="auto"/>
                <w:kern w:val="2"/>
                <w:sz w:val="24"/>
                <w:szCs w:val="24"/>
                <w:lang w:eastAsia="zh-CN"/>
              </w:rPr>
              <w:t>2）</w:t>
            </w:r>
            <w:r>
              <w:rPr>
                <w:rFonts w:ascii="Times New Roman" w:hAnsi="Times New Roman"/>
                <w:color w:val="auto"/>
                <w:kern w:val="2"/>
                <w:sz w:val="24"/>
                <w:szCs w:val="24"/>
                <w:lang w:eastAsia="zh-CN"/>
              </w:rPr>
              <w:t>废丝：本项目产生的废丝，年产生量约为原料丝的0.05%，原料丝年用量</w:t>
            </w:r>
            <w:r>
              <w:rPr>
                <w:rFonts w:hint="eastAsia" w:ascii="Times New Roman" w:hAnsi="Times New Roman"/>
                <w:color w:val="auto"/>
                <w:kern w:val="2"/>
                <w:sz w:val="24"/>
                <w:szCs w:val="24"/>
                <w:lang w:val="en-US" w:eastAsia="zh-CN"/>
              </w:rPr>
              <w:t>6000</w:t>
            </w:r>
            <w:r>
              <w:rPr>
                <w:rFonts w:ascii="Times New Roman" w:hAnsi="Times New Roman"/>
                <w:color w:val="auto"/>
                <w:kern w:val="2"/>
                <w:sz w:val="24"/>
                <w:szCs w:val="24"/>
                <w:lang w:eastAsia="zh-CN"/>
              </w:rPr>
              <w:t>t/a，约为</w:t>
            </w:r>
            <w:r>
              <w:rPr>
                <w:rFonts w:hint="eastAsia" w:ascii="Times New Roman" w:hAnsi="Times New Roman"/>
                <w:color w:val="auto"/>
                <w:kern w:val="2"/>
                <w:sz w:val="24"/>
                <w:szCs w:val="24"/>
                <w:lang w:val="en-US" w:eastAsia="zh-CN"/>
              </w:rPr>
              <w:t>3</w:t>
            </w:r>
            <w:r>
              <w:rPr>
                <w:rFonts w:ascii="Times New Roman" w:hAnsi="Times New Roman"/>
                <w:color w:val="auto"/>
                <w:kern w:val="2"/>
                <w:sz w:val="24"/>
                <w:szCs w:val="24"/>
                <w:lang w:eastAsia="zh-CN"/>
              </w:rPr>
              <w:t>t/a，经收集后外售或综合利用。</w:t>
            </w:r>
          </w:p>
          <w:p w14:paraId="65E542B3">
            <w:pPr>
              <w:pStyle w:val="231"/>
              <w:ind w:firstLine="480"/>
              <w:rPr>
                <w:rFonts w:ascii="Times New Roman" w:hAnsi="Times New Roman"/>
                <w:color w:val="auto"/>
                <w:kern w:val="2"/>
                <w:sz w:val="24"/>
                <w:szCs w:val="24"/>
                <w:lang w:eastAsia="zh-CN"/>
              </w:rPr>
            </w:pPr>
            <w:r>
              <w:rPr>
                <w:rFonts w:hint="eastAsia" w:ascii="Times New Roman" w:hAnsi="Times New Roman"/>
                <w:color w:val="auto"/>
                <w:kern w:val="2"/>
                <w:sz w:val="24"/>
                <w:szCs w:val="24"/>
                <w:lang w:val="en-US" w:eastAsia="zh-CN"/>
              </w:rPr>
              <w:t>3）</w:t>
            </w:r>
            <w:r>
              <w:rPr>
                <w:rFonts w:ascii="Times New Roman" w:hAnsi="Times New Roman"/>
                <w:color w:val="auto"/>
                <w:kern w:val="2"/>
                <w:sz w:val="24"/>
                <w:szCs w:val="24"/>
                <w:lang w:eastAsia="zh-CN"/>
              </w:rPr>
              <w:t>废布：本项目会产生一定量废布，年产生量约为原料丝的0.05%，约为</w:t>
            </w:r>
            <w:r>
              <w:rPr>
                <w:rFonts w:hint="eastAsia" w:ascii="Times New Roman" w:hAnsi="Times New Roman"/>
                <w:color w:val="auto"/>
                <w:kern w:val="2"/>
                <w:sz w:val="24"/>
                <w:szCs w:val="24"/>
                <w:lang w:val="en-US" w:eastAsia="zh-CN"/>
              </w:rPr>
              <w:t>3</w:t>
            </w:r>
            <w:r>
              <w:rPr>
                <w:rFonts w:ascii="Times New Roman" w:hAnsi="Times New Roman"/>
                <w:color w:val="auto"/>
                <w:kern w:val="2"/>
                <w:sz w:val="24"/>
                <w:szCs w:val="24"/>
                <w:lang w:eastAsia="zh-CN"/>
              </w:rPr>
              <w:t>t/a，经收集后外售或综合利用。</w:t>
            </w:r>
          </w:p>
          <w:p w14:paraId="0ECF52B2">
            <w:pPr>
              <w:pStyle w:val="231"/>
              <w:ind w:firstLine="480"/>
              <w:rPr>
                <w:rFonts w:ascii="Times New Roman" w:hAnsi="Times New Roman"/>
                <w:bCs/>
                <w:color w:val="auto"/>
                <w:sz w:val="24"/>
                <w:lang w:eastAsia="zh-CN"/>
              </w:rPr>
            </w:pPr>
            <w:r>
              <w:rPr>
                <w:rFonts w:hint="eastAsia" w:ascii="Times New Roman" w:hAnsi="Times New Roman"/>
                <w:bCs/>
                <w:color w:val="auto"/>
                <w:sz w:val="24"/>
                <w:lang w:val="en-US" w:eastAsia="zh-CN"/>
              </w:rPr>
              <w:t>4）</w:t>
            </w:r>
            <w:r>
              <w:rPr>
                <w:rFonts w:ascii="Times New Roman" w:hAnsi="Times New Roman"/>
                <w:bCs/>
                <w:color w:val="auto"/>
                <w:sz w:val="24"/>
                <w:lang w:eastAsia="zh-CN"/>
              </w:rPr>
              <w:t>废油桶：根据企业提供的资料，项目生产过程中设备维修清理需要使用到机油，使用过程中会产生废机油桶，废机油桶产生量约为0.</w:t>
            </w:r>
            <w:r>
              <w:rPr>
                <w:rFonts w:hint="eastAsia" w:ascii="Times New Roman" w:hAnsi="Times New Roman"/>
                <w:bCs/>
                <w:color w:val="auto"/>
                <w:sz w:val="24"/>
                <w:lang w:eastAsia="zh-CN"/>
              </w:rPr>
              <w:t>1</w:t>
            </w:r>
            <w:r>
              <w:rPr>
                <w:rFonts w:ascii="Times New Roman" w:hAnsi="Times New Roman"/>
                <w:bCs/>
                <w:color w:val="auto"/>
                <w:sz w:val="24"/>
                <w:lang w:eastAsia="zh-CN"/>
              </w:rPr>
              <w:t>t/a，委托有危废资质单位处置。</w:t>
            </w:r>
          </w:p>
          <w:p w14:paraId="6E009FA7">
            <w:pPr>
              <w:pStyle w:val="231"/>
              <w:ind w:firstLine="480"/>
              <w:rPr>
                <w:rFonts w:ascii="Times New Roman" w:hAnsi="Times New Roman"/>
                <w:bCs/>
                <w:color w:val="auto"/>
                <w:sz w:val="24"/>
                <w:lang w:eastAsia="zh-CN"/>
              </w:rPr>
            </w:pPr>
            <w:r>
              <w:rPr>
                <w:rFonts w:hint="eastAsia" w:ascii="Times New Roman" w:hAnsi="Times New Roman"/>
                <w:bCs/>
                <w:color w:val="auto"/>
                <w:sz w:val="24"/>
                <w:lang w:val="en-US" w:eastAsia="zh-CN"/>
              </w:rPr>
              <w:t>5）</w:t>
            </w:r>
            <w:r>
              <w:rPr>
                <w:rFonts w:ascii="Times New Roman" w:hAnsi="Times New Roman"/>
                <w:bCs/>
                <w:color w:val="auto"/>
                <w:sz w:val="24"/>
                <w:lang w:eastAsia="zh-CN"/>
              </w:rPr>
              <w:t>废机油：项目在设备检修过程中需要更换机油，废机油产生量约为0.</w:t>
            </w:r>
            <w:r>
              <w:rPr>
                <w:rFonts w:hint="eastAsia" w:ascii="Times New Roman" w:hAnsi="Times New Roman"/>
                <w:bCs/>
                <w:color w:val="auto"/>
                <w:sz w:val="24"/>
                <w:lang w:val="en-US" w:eastAsia="zh-CN"/>
              </w:rPr>
              <w:t>2</w:t>
            </w:r>
            <w:r>
              <w:rPr>
                <w:rFonts w:ascii="Times New Roman" w:hAnsi="Times New Roman"/>
                <w:bCs/>
                <w:color w:val="auto"/>
                <w:sz w:val="24"/>
                <w:lang w:eastAsia="zh-CN"/>
              </w:rPr>
              <w:t>t/a，委托有危废资质单位处置。</w:t>
            </w:r>
          </w:p>
          <w:p w14:paraId="2235E163">
            <w:pPr>
              <w:pStyle w:val="231"/>
              <w:ind w:firstLine="480"/>
              <w:rPr>
                <w:rFonts w:ascii="Times New Roman" w:hAnsi="Times New Roman"/>
                <w:bCs/>
                <w:color w:val="auto"/>
                <w:sz w:val="24"/>
                <w:lang w:eastAsia="zh-CN"/>
              </w:rPr>
            </w:pPr>
            <w:r>
              <w:rPr>
                <w:rFonts w:hint="eastAsia" w:ascii="Times New Roman" w:hAnsi="Times New Roman"/>
                <w:bCs/>
                <w:color w:val="auto"/>
                <w:sz w:val="24"/>
                <w:lang w:val="en-US" w:eastAsia="zh-CN"/>
              </w:rPr>
              <w:t>6）</w:t>
            </w:r>
            <w:r>
              <w:rPr>
                <w:rFonts w:ascii="Times New Roman" w:hAnsi="Times New Roman"/>
                <w:bCs/>
                <w:color w:val="auto"/>
                <w:sz w:val="24"/>
                <w:lang w:eastAsia="zh-CN"/>
              </w:rPr>
              <w:t>污（油）泥：项目</w:t>
            </w:r>
            <w:r>
              <w:rPr>
                <w:rFonts w:hint="eastAsia" w:ascii="Times New Roman" w:hAnsi="Times New Roman" w:eastAsia="宋体" w:cs="Times New Roman"/>
                <w:color w:val="auto"/>
                <w:sz w:val="24"/>
                <w:lang w:val="en-US" w:eastAsia="zh-CN"/>
              </w:rPr>
              <w:t>污水处理及中水回用工程</w:t>
            </w:r>
            <w:r>
              <w:rPr>
                <w:rFonts w:ascii="Times New Roman" w:hAnsi="Times New Roman"/>
                <w:bCs/>
                <w:color w:val="auto"/>
                <w:sz w:val="24"/>
                <w:lang w:eastAsia="zh-CN"/>
              </w:rPr>
              <w:t>气浮</w:t>
            </w:r>
            <w:r>
              <w:rPr>
                <w:rFonts w:hint="eastAsia" w:ascii="Times New Roman" w:hAnsi="Times New Roman"/>
                <w:bCs/>
                <w:color w:val="auto"/>
                <w:sz w:val="24"/>
                <w:lang w:eastAsia="zh-CN"/>
              </w:rPr>
              <w:t>、沉淀</w:t>
            </w:r>
            <w:r>
              <w:rPr>
                <w:rFonts w:ascii="Times New Roman" w:hAnsi="Times New Roman"/>
                <w:bCs/>
                <w:color w:val="auto"/>
                <w:sz w:val="24"/>
                <w:lang w:eastAsia="zh-CN"/>
              </w:rPr>
              <w:t>过程中会产生污（油）泥，经</w:t>
            </w:r>
            <w:r>
              <w:rPr>
                <w:rFonts w:hint="eastAsia" w:ascii="Times New Roman" w:hAnsi="Times New Roman"/>
                <w:bCs/>
                <w:color w:val="auto"/>
                <w:sz w:val="24"/>
                <w:lang w:val="en-US" w:eastAsia="zh-CN"/>
              </w:rPr>
              <w:t>核算</w:t>
            </w:r>
            <w:r>
              <w:rPr>
                <w:rFonts w:ascii="Times New Roman" w:hAnsi="Times New Roman"/>
                <w:bCs/>
                <w:color w:val="auto"/>
                <w:sz w:val="24"/>
                <w:lang w:eastAsia="zh-CN"/>
              </w:rPr>
              <w:t>，共去除石油类约</w:t>
            </w:r>
            <w:r>
              <w:rPr>
                <w:rFonts w:hint="eastAsia" w:ascii="Times New Roman" w:hAnsi="Times New Roman"/>
                <w:bCs/>
                <w:color w:val="auto"/>
                <w:sz w:val="24"/>
                <w:lang w:val="en-US" w:eastAsia="zh-CN"/>
              </w:rPr>
              <w:t>7.07</w:t>
            </w:r>
            <w:r>
              <w:rPr>
                <w:rFonts w:ascii="Times New Roman" w:hAnsi="Times New Roman"/>
                <w:bCs/>
                <w:color w:val="auto"/>
                <w:sz w:val="24"/>
                <w:lang w:eastAsia="zh-CN"/>
              </w:rPr>
              <w:t>t/a，项目使用高效污泥压滤机，类比同类项目污泥含水率约60%，故最终污（油）泥产生量（60%含水率）约为</w:t>
            </w:r>
            <w:r>
              <w:rPr>
                <w:rFonts w:hint="eastAsia" w:ascii="Times New Roman" w:hAnsi="Times New Roman"/>
                <w:bCs/>
                <w:color w:val="auto"/>
                <w:sz w:val="24"/>
                <w:lang w:val="en-US" w:eastAsia="zh-CN"/>
              </w:rPr>
              <w:t>17.675</w:t>
            </w:r>
            <w:r>
              <w:rPr>
                <w:rFonts w:ascii="Times New Roman" w:hAnsi="Times New Roman"/>
                <w:bCs/>
                <w:color w:val="auto"/>
                <w:sz w:val="24"/>
                <w:lang w:eastAsia="zh-CN"/>
              </w:rPr>
              <w:t>t/a。</w:t>
            </w:r>
          </w:p>
          <w:p w14:paraId="36BD53B7">
            <w:pPr>
              <w:pStyle w:val="231"/>
              <w:ind w:firstLine="480"/>
              <w:rPr>
                <w:rFonts w:ascii="Times New Roman" w:hAnsi="Times New Roman"/>
                <w:color w:val="auto"/>
                <w:kern w:val="2"/>
                <w:sz w:val="24"/>
                <w:szCs w:val="24"/>
                <w:lang w:eastAsia="zh-CN"/>
              </w:rPr>
            </w:pPr>
            <w:r>
              <w:rPr>
                <w:rFonts w:hint="eastAsia" w:ascii="Times New Roman" w:hAnsi="Times New Roman"/>
                <w:color w:val="auto"/>
                <w:kern w:val="2"/>
                <w:sz w:val="24"/>
                <w:szCs w:val="24"/>
                <w:lang w:val="en-US" w:eastAsia="zh-CN"/>
              </w:rPr>
              <w:t>7）</w:t>
            </w:r>
            <w:r>
              <w:rPr>
                <w:rFonts w:ascii="Times New Roman" w:hAnsi="Times New Roman"/>
                <w:color w:val="auto"/>
                <w:kern w:val="2"/>
                <w:sz w:val="24"/>
                <w:szCs w:val="24"/>
                <w:lang w:eastAsia="zh-CN"/>
              </w:rPr>
              <w:t>生化污泥：项目</w:t>
            </w:r>
            <w:r>
              <w:rPr>
                <w:rFonts w:hint="eastAsia" w:ascii="Times New Roman" w:hAnsi="Times New Roman"/>
                <w:bCs/>
                <w:color w:val="auto"/>
                <w:sz w:val="24"/>
                <w:lang w:val="en-US" w:eastAsia="zh-CN"/>
              </w:rPr>
              <w:t>依托</w:t>
            </w:r>
            <w:r>
              <w:rPr>
                <w:rFonts w:hint="eastAsia" w:ascii="Times New Roman" w:hAnsi="Times New Roman" w:eastAsia="宋体" w:cs="Times New Roman"/>
                <w:color w:val="auto"/>
                <w:sz w:val="24"/>
                <w:lang w:val="en-US" w:eastAsia="zh-CN"/>
              </w:rPr>
              <w:t>污水处理及中水回用工程</w:t>
            </w:r>
            <w:r>
              <w:rPr>
                <w:rFonts w:ascii="Times New Roman" w:hAnsi="Times New Roman"/>
                <w:color w:val="auto"/>
                <w:kern w:val="2"/>
                <w:sz w:val="24"/>
                <w:szCs w:val="24"/>
                <w:lang w:eastAsia="zh-CN"/>
              </w:rPr>
              <w:t>好氧和沉淀过程中会产生生化污泥，生产废水处理过程中产生的泥量与原水的悬浮固体及处理工艺有关。</w:t>
            </w:r>
          </w:p>
          <w:p w14:paraId="37463EE3">
            <w:pPr>
              <w:pStyle w:val="231"/>
              <w:ind w:firstLine="480"/>
              <w:rPr>
                <w:rFonts w:ascii="Times New Roman" w:hAnsi="Times New Roman"/>
                <w:color w:val="auto"/>
                <w:kern w:val="2"/>
                <w:sz w:val="24"/>
                <w:szCs w:val="24"/>
                <w:lang w:eastAsia="zh-CN"/>
              </w:rPr>
            </w:pPr>
            <w:r>
              <w:rPr>
                <w:rFonts w:ascii="Times New Roman" w:hAnsi="Times New Roman"/>
                <w:color w:val="auto"/>
                <w:kern w:val="2"/>
                <w:sz w:val="24"/>
                <w:szCs w:val="24"/>
                <w:lang w:eastAsia="zh-CN"/>
              </w:rPr>
              <w:t>参照《排污许可证申请与核发技术规范水处理（试行）》（HJ978-2018）中9.4节，污泥量计算公式如下：</w:t>
            </w:r>
          </w:p>
          <w:p w14:paraId="745E3317">
            <w:pPr>
              <w:pStyle w:val="35"/>
              <w:spacing w:line="360" w:lineRule="auto"/>
              <w:jc w:val="center"/>
              <w:rPr>
                <w:rFonts w:hint="default" w:ascii="Times New Roman" w:hAnsi="Times New Roman" w:eastAsia="宋体" w:cs="Times New Roman"/>
                <w:b w:val="0"/>
                <w:bCs/>
                <w:color w:val="auto"/>
              </w:rPr>
            </w:pPr>
            <w:r>
              <w:rPr>
                <w:rFonts w:hint="default" w:ascii="Times New Roman" w:hAnsi="Times New Roman" w:eastAsia="宋体" w:cs="Times New Roman"/>
                <w:b w:val="0"/>
                <w:bCs/>
                <w:color w:val="auto"/>
              </w:rPr>
              <w:t>E</w:t>
            </w:r>
            <w:r>
              <w:rPr>
                <w:rFonts w:hint="default" w:ascii="Times New Roman" w:hAnsi="Times New Roman" w:eastAsia="宋体" w:cs="Times New Roman"/>
                <w:b w:val="0"/>
                <w:bCs/>
                <w:color w:val="auto"/>
                <w:vertAlign w:val="subscript"/>
              </w:rPr>
              <w:t>产生量</w:t>
            </w:r>
            <w:r>
              <w:rPr>
                <w:rFonts w:hint="default" w:ascii="Times New Roman" w:hAnsi="Times New Roman" w:eastAsia="宋体" w:cs="Times New Roman"/>
                <w:b w:val="0"/>
                <w:bCs/>
                <w:color w:val="auto"/>
              </w:rPr>
              <w:t>=1.7×Q×W</w:t>
            </w:r>
            <w:r>
              <w:rPr>
                <w:rFonts w:hint="default" w:ascii="Times New Roman" w:hAnsi="Times New Roman" w:eastAsia="宋体" w:cs="Times New Roman"/>
                <w:b w:val="0"/>
                <w:bCs/>
                <w:color w:val="auto"/>
                <w:vertAlign w:val="subscript"/>
              </w:rPr>
              <w:t>深</w:t>
            </w:r>
            <w:r>
              <w:rPr>
                <w:rFonts w:hint="default" w:ascii="Times New Roman" w:hAnsi="Times New Roman" w:eastAsia="宋体" w:cs="Times New Roman"/>
                <w:b w:val="0"/>
                <w:bCs/>
                <w:color w:val="auto"/>
              </w:rPr>
              <w:t>×10</w:t>
            </w:r>
            <w:r>
              <w:rPr>
                <w:rFonts w:hint="default" w:ascii="Times New Roman" w:hAnsi="Times New Roman" w:eastAsia="宋体" w:cs="Times New Roman"/>
                <w:b w:val="0"/>
                <w:bCs/>
                <w:color w:val="auto"/>
                <w:vertAlign w:val="superscript"/>
              </w:rPr>
              <w:t>-4</w:t>
            </w:r>
          </w:p>
          <w:p w14:paraId="058A032E">
            <w:pPr>
              <w:pStyle w:val="231"/>
              <w:ind w:firstLine="480"/>
              <w:rPr>
                <w:rFonts w:ascii="Times New Roman" w:hAnsi="Times New Roman"/>
                <w:color w:val="auto"/>
                <w:kern w:val="2"/>
                <w:sz w:val="24"/>
                <w:szCs w:val="24"/>
                <w:lang w:eastAsia="zh-CN"/>
              </w:rPr>
            </w:pPr>
            <w:r>
              <w:rPr>
                <w:rFonts w:ascii="Times New Roman" w:hAnsi="Times New Roman"/>
                <w:color w:val="auto"/>
                <w:kern w:val="2"/>
                <w:sz w:val="24"/>
                <w:szCs w:val="24"/>
                <w:lang w:eastAsia="zh-CN"/>
              </w:rPr>
              <w:t>式中：</w:t>
            </w:r>
          </w:p>
          <w:p w14:paraId="36864022">
            <w:pPr>
              <w:pStyle w:val="231"/>
              <w:ind w:firstLine="480"/>
              <w:rPr>
                <w:rFonts w:ascii="Times New Roman" w:hAnsi="Times New Roman"/>
                <w:color w:val="auto"/>
                <w:kern w:val="2"/>
                <w:sz w:val="24"/>
                <w:szCs w:val="24"/>
                <w:lang w:eastAsia="zh-CN"/>
              </w:rPr>
            </w:pPr>
            <w:r>
              <w:rPr>
                <w:rFonts w:ascii="Times New Roman" w:hAnsi="Times New Roman"/>
                <w:color w:val="auto"/>
                <w:kern w:val="2"/>
                <w:sz w:val="24"/>
                <w:szCs w:val="24"/>
                <w:lang w:eastAsia="zh-CN"/>
              </w:rPr>
              <w:t>E产生量—污水处理过程中产生的污泥量，以干泥计，t；</w:t>
            </w:r>
          </w:p>
          <w:p w14:paraId="16326246">
            <w:pPr>
              <w:pStyle w:val="231"/>
              <w:ind w:firstLine="480"/>
              <w:rPr>
                <w:rFonts w:ascii="Times New Roman" w:hAnsi="Times New Roman"/>
                <w:color w:val="auto"/>
                <w:kern w:val="2"/>
                <w:sz w:val="24"/>
                <w:szCs w:val="24"/>
                <w:lang w:eastAsia="zh-CN"/>
              </w:rPr>
            </w:pPr>
            <w:r>
              <w:rPr>
                <w:rFonts w:ascii="Times New Roman" w:hAnsi="Times New Roman"/>
                <w:color w:val="auto"/>
                <w:kern w:val="2"/>
                <w:sz w:val="24"/>
                <w:szCs w:val="24"/>
                <w:lang w:eastAsia="zh-CN"/>
              </w:rPr>
              <w:t>Q—核算时段内排污单位废水排放量，m</w:t>
            </w:r>
            <w:r>
              <w:rPr>
                <w:rFonts w:ascii="Times New Roman" w:hAnsi="Times New Roman"/>
                <w:color w:val="auto"/>
                <w:kern w:val="2"/>
                <w:sz w:val="24"/>
                <w:szCs w:val="24"/>
                <w:vertAlign w:val="superscript"/>
                <w:lang w:eastAsia="zh-CN"/>
              </w:rPr>
              <w:t>3</w:t>
            </w:r>
            <w:r>
              <w:rPr>
                <w:rFonts w:ascii="Times New Roman" w:hAnsi="Times New Roman"/>
                <w:color w:val="auto"/>
                <w:kern w:val="2"/>
                <w:sz w:val="24"/>
                <w:szCs w:val="24"/>
                <w:lang w:eastAsia="zh-CN"/>
              </w:rPr>
              <w:t>，具有有效出水口实测值按实测值计，无有效出水口实测值按进水口实测值计，无有效进水口实测值按协议进水水量计；本项目取</w:t>
            </w:r>
            <w:r>
              <w:rPr>
                <w:rFonts w:hint="eastAsia" w:ascii="Times New Roman" w:hAnsi="Times New Roman"/>
                <w:color w:val="auto"/>
                <w:kern w:val="2"/>
                <w:sz w:val="24"/>
                <w:szCs w:val="24"/>
                <w:lang w:val="en-US" w:eastAsia="zh-CN"/>
              </w:rPr>
              <w:t>324000</w:t>
            </w:r>
            <w:r>
              <w:rPr>
                <w:rFonts w:ascii="Times New Roman" w:hAnsi="Times New Roman"/>
                <w:color w:val="auto"/>
                <w:kern w:val="2"/>
                <w:sz w:val="24"/>
                <w:szCs w:val="24"/>
                <w:lang w:eastAsia="zh-CN"/>
              </w:rPr>
              <w:t>m</w:t>
            </w:r>
            <w:r>
              <w:rPr>
                <w:rFonts w:ascii="Times New Roman" w:hAnsi="Times New Roman"/>
                <w:color w:val="auto"/>
                <w:kern w:val="2"/>
                <w:sz w:val="24"/>
                <w:szCs w:val="24"/>
                <w:vertAlign w:val="superscript"/>
                <w:lang w:eastAsia="zh-CN"/>
              </w:rPr>
              <w:t>3</w:t>
            </w:r>
            <w:r>
              <w:rPr>
                <w:rFonts w:ascii="Times New Roman" w:hAnsi="Times New Roman"/>
                <w:color w:val="auto"/>
                <w:kern w:val="2"/>
                <w:sz w:val="24"/>
                <w:szCs w:val="24"/>
                <w:lang w:eastAsia="zh-CN"/>
              </w:rPr>
              <w:t>/a（回用量）；</w:t>
            </w:r>
          </w:p>
          <w:p w14:paraId="40B355D8">
            <w:pPr>
              <w:pStyle w:val="231"/>
              <w:ind w:firstLine="480"/>
              <w:rPr>
                <w:rFonts w:ascii="Times New Roman" w:hAnsi="Times New Roman"/>
                <w:bCs/>
                <w:color w:val="auto"/>
                <w:sz w:val="24"/>
                <w:lang w:eastAsia="zh-CN"/>
              </w:rPr>
            </w:pPr>
            <w:r>
              <w:rPr>
                <w:rFonts w:ascii="Times New Roman" w:hAnsi="Times New Roman"/>
                <w:color w:val="auto"/>
                <w:kern w:val="2"/>
                <w:sz w:val="24"/>
                <w:szCs w:val="24"/>
                <w:lang w:eastAsia="zh-CN"/>
              </w:rPr>
              <w:t>W</w:t>
            </w:r>
            <w:r>
              <w:rPr>
                <w:rFonts w:ascii="Times New Roman" w:hAnsi="Times New Roman"/>
                <w:color w:val="auto"/>
                <w:kern w:val="2"/>
                <w:sz w:val="24"/>
                <w:szCs w:val="24"/>
                <w:vertAlign w:val="subscript"/>
                <w:lang w:eastAsia="zh-CN"/>
              </w:rPr>
              <w:t>深</w:t>
            </w:r>
            <w:r>
              <w:rPr>
                <w:rFonts w:ascii="Times New Roman" w:hAnsi="Times New Roman"/>
                <w:color w:val="auto"/>
                <w:kern w:val="2"/>
                <w:sz w:val="24"/>
                <w:szCs w:val="24"/>
                <w:lang w:eastAsia="zh-CN"/>
              </w:rPr>
              <w:t>—有深度处理工艺（添加化学药剂）时按2计，无深度处理工艺时按1计，本项目按</w:t>
            </w:r>
            <w:r>
              <w:rPr>
                <w:rFonts w:hint="eastAsia" w:ascii="Times New Roman" w:hAnsi="Times New Roman"/>
                <w:color w:val="auto"/>
                <w:kern w:val="2"/>
                <w:sz w:val="24"/>
                <w:szCs w:val="24"/>
                <w:lang w:val="en-US" w:eastAsia="zh-CN"/>
              </w:rPr>
              <w:t>2</w:t>
            </w:r>
            <w:r>
              <w:rPr>
                <w:rFonts w:ascii="Times New Roman" w:hAnsi="Times New Roman"/>
                <w:color w:val="auto"/>
                <w:kern w:val="2"/>
                <w:sz w:val="24"/>
                <w:szCs w:val="24"/>
                <w:lang w:eastAsia="zh-CN"/>
              </w:rPr>
              <w:t>计。</w:t>
            </w:r>
          </w:p>
          <w:p w14:paraId="638B727B">
            <w:pPr>
              <w:pStyle w:val="231"/>
              <w:ind w:firstLine="480"/>
              <w:rPr>
                <w:rFonts w:ascii="Times New Roman" w:hAnsi="Times New Roman"/>
                <w:bCs/>
                <w:color w:val="auto"/>
                <w:sz w:val="24"/>
                <w:lang w:eastAsia="zh-CN"/>
              </w:rPr>
            </w:pPr>
            <w:r>
              <w:rPr>
                <w:rFonts w:ascii="Times New Roman" w:hAnsi="Times New Roman"/>
                <w:bCs/>
                <w:color w:val="auto"/>
                <w:sz w:val="24"/>
                <w:lang w:eastAsia="zh-CN"/>
              </w:rPr>
              <w:t>经计算，建设项目自建</w:t>
            </w:r>
            <w:r>
              <w:rPr>
                <w:rFonts w:hint="eastAsia" w:ascii="Times New Roman" w:hAnsi="Times New Roman"/>
                <w:bCs/>
                <w:color w:val="auto"/>
                <w:sz w:val="24"/>
                <w:lang w:eastAsia="zh-CN"/>
              </w:rPr>
              <w:t>生化污泥</w:t>
            </w:r>
            <w:r>
              <w:rPr>
                <w:rFonts w:ascii="Times New Roman" w:hAnsi="Times New Roman"/>
                <w:bCs/>
                <w:color w:val="auto"/>
                <w:sz w:val="24"/>
                <w:lang w:eastAsia="zh-CN"/>
              </w:rPr>
              <w:t>产生量（以干泥计）约为</w:t>
            </w:r>
            <w:r>
              <w:rPr>
                <w:rFonts w:hint="eastAsia" w:ascii="Times New Roman" w:hAnsi="Times New Roman"/>
                <w:bCs/>
                <w:color w:val="auto"/>
                <w:sz w:val="24"/>
                <w:lang w:val="en-US" w:eastAsia="zh-CN"/>
              </w:rPr>
              <w:t>82.62</w:t>
            </w:r>
            <w:r>
              <w:rPr>
                <w:rFonts w:ascii="Times New Roman" w:hAnsi="Times New Roman"/>
                <w:bCs/>
                <w:color w:val="auto"/>
                <w:sz w:val="24"/>
                <w:lang w:eastAsia="zh-CN"/>
              </w:rPr>
              <w:t>t/a，类比同类项目污泥含水率约60%，故最终污泥量（60%含水率）约为</w:t>
            </w:r>
            <w:r>
              <w:rPr>
                <w:rFonts w:hint="eastAsia" w:ascii="Times New Roman" w:hAnsi="Times New Roman"/>
                <w:bCs/>
                <w:color w:val="auto"/>
                <w:sz w:val="24"/>
                <w:lang w:val="en-US" w:eastAsia="zh-CN"/>
              </w:rPr>
              <w:t>206.55</w:t>
            </w:r>
            <w:r>
              <w:rPr>
                <w:rFonts w:ascii="Times New Roman" w:hAnsi="Times New Roman"/>
                <w:bCs/>
                <w:color w:val="auto"/>
                <w:sz w:val="24"/>
                <w:lang w:eastAsia="zh-CN"/>
              </w:rPr>
              <w:t>t/a。</w:t>
            </w:r>
            <w:r>
              <w:rPr>
                <w:rFonts w:hint="eastAsia"/>
                <w:color w:val="auto"/>
                <w:sz w:val="24"/>
              </w:rPr>
              <w:t>生化污泥依据</w:t>
            </w:r>
            <w:r>
              <w:rPr>
                <w:rFonts w:hint="eastAsia"/>
                <w:color w:val="auto"/>
                <w:sz w:val="24"/>
                <w:lang w:eastAsia="zh-CN"/>
              </w:rPr>
              <w:t>鉴别</w:t>
            </w:r>
            <w:r>
              <w:rPr>
                <w:rFonts w:hint="eastAsia"/>
                <w:color w:val="auto"/>
                <w:sz w:val="24"/>
              </w:rPr>
              <w:t>后的固废属性进行管理，未</w:t>
            </w:r>
            <w:r>
              <w:rPr>
                <w:rFonts w:hint="eastAsia"/>
                <w:color w:val="auto"/>
                <w:sz w:val="24"/>
                <w:lang w:eastAsia="zh-CN"/>
              </w:rPr>
              <w:t>鉴别</w:t>
            </w:r>
            <w:r>
              <w:rPr>
                <w:rFonts w:hint="eastAsia"/>
                <w:color w:val="auto"/>
                <w:sz w:val="24"/>
              </w:rPr>
              <w:t>前，按危险废物从严管理</w:t>
            </w:r>
            <w:r>
              <w:rPr>
                <w:rFonts w:ascii="Times New Roman" w:hAnsi="Times New Roman"/>
                <w:bCs/>
                <w:color w:val="auto"/>
                <w:sz w:val="24"/>
                <w:lang w:eastAsia="zh-CN"/>
              </w:rPr>
              <w:t>。</w:t>
            </w:r>
          </w:p>
          <w:p w14:paraId="483E7843">
            <w:pPr>
              <w:numPr>
                <w:ilvl w:val="0"/>
                <w:numId w:val="5"/>
              </w:numPr>
              <w:tabs>
                <w:tab w:val="left" w:pos="2550"/>
              </w:tabs>
              <w:autoSpaceDE w:val="0"/>
              <w:autoSpaceDN w:val="0"/>
              <w:adjustRightInd w:val="0"/>
              <w:snapToGrid w:val="0"/>
              <w:spacing w:line="360" w:lineRule="auto"/>
              <w:ind w:firstLine="482"/>
              <w:rPr>
                <w:rFonts w:hint="eastAsia"/>
                <w:color w:val="auto"/>
                <w:lang w:eastAsia="zh-CN"/>
              </w:rPr>
            </w:pPr>
            <w:r>
              <w:rPr>
                <w:rFonts w:hint="eastAsia"/>
                <w:b w:val="0"/>
                <w:bCs w:val="0"/>
                <w:color w:val="auto"/>
                <w:kern w:val="0"/>
                <w:lang w:val="en-US" w:eastAsia="zh-CN"/>
              </w:rPr>
              <w:t>油烟净化器废油</w:t>
            </w:r>
            <w:r>
              <w:rPr>
                <w:b w:val="0"/>
                <w:bCs w:val="0"/>
                <w:color w:val="auto"/>
              </w:rPr>
              <w:t>：</w:t>
            </w:r>
            <w:r>
              <w:rPr>
                <w:color w:val="auto"/>
              </w:rPr>
              <w:t>本项目采用静电油烟净化器处理加弹过程中产生的油烟废气，根据废气源强计算，废油产生量约为</w:t>
            </w:r>
            <w:r>
              <w:rPr>
                <w:rFonts w:hint="eastAsia"/>
                <w:color w:val="auto"/>
                <w:lang w:val="en-US" w:eastAsia="zh-CN"/>
              </w:rPr>
              <w:t>2.116</w:t>
            </w:r>
            <w:r>
              <w:rPr>
                <w:color w:val="auto"/>
              </w:rPr>
              <w:t>t/a。对照《国家危险废物名录</w:t>
            </w:r>
            <w:r>
              <w:rPr>
                <w:rFonts w:hint="eastAsia"/>
                <w:color w:val="auto"/>
                <w:lang w:eastAsia="zh-CN"/>
              </w:rPr>
              <w:t>（</w:t>
            </w:r>
            <w:r>
              <w:rPr>
                <w:color w:val="auto"/>
              </w:rPr>
              <w:t>2025年版</w:t>
            </w:r>
            <w:r>
              <w:rPr>
                <w:rFonts w:hint="eastAsia"/>
                <w:color w:val="auto"/>
                <w:lang w:eastAsia="zh-CN"/>
              </w:rPr>
              <w:t>）</w:t>
            </w:r>
            <w:r>
              <w:rPr>
                <w:color w:val="auto"/>
              </w:rPr>
              <w:t>》，收集废油属于危险废物HW08，收集后</w:t>
            </w:r>
            <w:r>
              <w:rPr>
                <w:rFonts w:hint="eastAsia"/>
                <w:color w:val="auto"/>
                <w:lang w:val="en-US" w:eastAsia="zh-CN"/>
              </w:rPr>
              <w:t>安全</w:t>
            </w:r>
            <w:r>
              <w:rPr>
                <w:color w:val="auto"/>
              </w:rPr>
              <w:t>暂存于危废仓库内，定期委托有资质的单位进行处理</w:t>
            </w:r>
            <w:r>
              <w:rPr>
                <w:rFonts w:hint="eastAsia"/>
                <w:color w:val="auto"/>
                <w:lang w:eastAsia="zh-CN"/>
              </w:rPr>
              <w:t>。</w:t>
            </w:r>
          </w:p>
          <w:p w14:paraId="31515159">
            <w:pPr>
              <w:keepNext w:val="0"/>
              <w:keepLines w:val="0"/>
              <w:pageBreakBefore w:val="0"/>
              <w:widowControl/>
              <w:numPr>
                <w:ilvl w:val="0"/>
                <w:numId w:val="5"/>
              </w:numPr>
              <w:kinsoku/>
              <w:wordWrap/>
              <w:overflowPunct/>
              <w:topLinePunct/>
              <w:autoSpaceDE w:val="0"/>
              <w:autoSpaceDN/>
              <w:bidi w:val="0"/>
              <w:adjustRightInd w:val="0"/>
              <w:snapToGrid w:val="0"/>
              <w:spacing w:line="360" w:lineRule="auto"/>
              <w:ind w:left="0" w:leftChars="0" w:right="0" w:firstLine="480" w:firstLineChars="200"/>
              <w:jc w:val="both"/>
              <w:textAlignment w:val="baseline"/>
              <w:outlineLvl w:val="9"/>
              <w:rPr>
                <w:rFonts w:hint="eastAsia"/>
                <w:color w:val="auto"/>
                <w:sz w:val="24"/>
                <w:lang w:eastAsia="zh-CN"/>
              </w:rPr>
            </w:pPr>
            <w:r>
              <w:rPr>
                <w:rFonts w:hint="default" w:ascii="Times New Roman" w:hAnsi="Times New Roman" w:eastAsia="宋体" w:cs="Times New Roman"/>
                <w:b w:val="0"/>
                <w:bCs w:val="0"/>
                <w:color w:val="auto"/>
                <w:sz w:val="24"/>
                <w:szCs w:val="24"/>
              </w:rPr>
              <w:t>废过滤介质</w:t>
            </w:r>
            <w:r>
              <w:rPr>
                <w:rFonts w:hint="eastAsia"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废石英砂、废活性炭</w:t>
            </w:r>
            <w:r>
              <w:rPr>
                <w:rFonts w:hint="eastAsia"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rPr>
              <w:t>：</w:t>
            </w: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织造废水</w:t>
            </w:r>
            <w:r>
              <w:rPr>
                <w:rFonts w:hint="default" w:ascii="Times New Roman" w:hAnsi="Times New Roman" w:eastAsia="宋体" w:cs="Times New Roman"/>
                <w:color w:val="auto"/>
                <w:sz w:val="24"/>
                <w:szCs w:val="24"/>
              </w:rPr>
              <w:t>拟采用石英砂、活性炭作为过滤介质对废水进行深度过滤处理</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为保证回用水水质，过滤介质每年需更换一次，本项目</w:t>
            </w:r>
            <w:r>
              <w:rPr>
                <w:rFonts w:hint="default" w:ascii="Times New Roman" w:hAnsi="Times New Roman" w:eastAsia="宋体" w:cs="Times New Roman"/>
                <w:color w:val="auto"/>
                <w:sz w:val="24"/>
                <w:szCs w:val="24"/>
                <w:lang w:val="en-US" w:eastAsia="zh-CN"/>
              </w:rPr>
              <w:t>织造废水中水回用系统</w:t>
            </w:r>
            <w:r>
              <w:rPr>
                <w:rFonts w:hint="default" w:ascii="Times New Roman" w:hAnsi="Times New Roman" w:eastAsia="宋体" w:cs="Times New Roman"/>
                <w:color w:val="auto"/>
                <w:sz w:val="24"/>
                <w:szCs w:val="24"/>
              </w:rPr>
              <w:t>石英砂和活性炭的填充量分别为</w:t>
            </w: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eastAsia" w:cs="Times New Roman"/>
                <w:color w:val="auto"/>
                <w:sz w:val="24"/>
                <w:szCs w:val="24"/>
                <w:vertAlign w:val="superscript"/>
                <w:lang w:val="en-US" w:eastAsia="zh-CN"/>
              </w:rPr>
              <w:t>（</w:t>
            </w:r>
            <w:r>
              <w:rPr>
                <w:rFonts w:hint="default" w:ascii="Times New Roman" w:hAnsi="Times New Roman" w:eastAsia="宋体" w:cs="Times New Roman"/>
                <w:color w:val="auto"/>
                <w:sz w:val="24"/>
                <w:szCs w:val="24"/>
                <w:lang w:val="en-US" w:eastAsia="zh-CN"/>
              </w:rPr>
              <w:t>约</w:t>
            </w:r>
            <w:r>
              <w:rPr>
                <w:rFonts w:hint="eastAsia" w:ascii="Times New Roman" w:hAnsi="Times New Roman" w:eastAsia="宋体" w:cs="Times New Roman"/>
                <w:color w:val="auto"/>
                <w:sz w:val="24"/>
                <w:szCs w:val="24"/>
                <w:lang w:val="en-US" w:eastAsia="zh-CN"/>
              </w:rPr>
              <w:t>16</w:t>
            </w:r>
            <w:r>
              <w:rPr>
                <w:rFonts w:hint="default" w:ascii="Times New Roman" w:hAnsi="Times New Roman" w:eastAsia="宋体" w:cs="Times New Roman"/>
                <w:color w:val="auto"/>
                <w:sz w:val="24"/>
                <w:szCs w:val="24"/>
                <w:lang w:val="en-US" w:eastAsia="zh-CN"/>
              </w:rPr>
              <w:t>t</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eastAsia" w:cs="Times New Roman"/>
                <w:color w:val="auto"/>
                <w:sz w:val="24"/>
                <w:szCs w:val="24"/>
                <w:vertAlign w:val="superscript"/>
                <w:lang w:val="en-US" w:eastAsia="zh-CN"/>
              </w:rPr>
              <w:t>（</w:t>
            </w:r>
            <w:r>
              <w:rPr>
                <w:rFonts w:hint="default" w:ascii="Times New Roman" w:hAnsi="Times New Roman" w:eastAsia="宋体" w:cs="Times New Roman"/>
                <w:color w:val="auto"/>
                <w:sz w:val="24"/>
                <w:szCs w:val="24"/>
                <w:lang w:val="en-US" w:eastAsia="zh-CN"/>
              </w:rPr>
              <w:t>约</w:t>
            </w:r>
            <w:r>
              <w:rPr>
                <w:rFonts w:hint="eastAsia" w:ascii="Times New Roman" w:hAnsi="Times New Roman" w:eastAsia="宋体" w:cs="Times New Roman"/>
                <w:color w:val="auto"/>
                <w:sz w:val="24"/>
                <w:szCs w:val="24"/>
                <w:lang w:val="en-US" w:eastAsia="zh-CN"/>
              </w:rPr>
              <w:t>2.4</w:t>
            </w:r>
            <w:r>
              <w:rPr>
                <w:rFonts w:hint="default" w:ascii="Times New Roman" w:hAnsi="Times New Roman" w:eastAsia="宋体" w:cs="Times New Roman"/>
                <w:color w:val="auto"/>
                <w:sz w:val="24"/>
                <w:szCs w:val="24"/>
                <w:lang w:val="en-US" w:eastAsia="zh-CN"/>
              </w:rPr>
              <w:t>t</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，废过滤介质产生量总计18.4t/a</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对照《国家危险废物名录</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202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年版</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w:t>
            </w:r>
            <w:r>
              <w:rPr>
                <w:rFonts w:hint="eastAsia"/>
                <w:color w:val="auto"/>
                <w:sz w:val="24"/>
              </w:rPr>
              <w:t>废过滤介质参照生化污泥的</w:t>
            </w:r>
            <w:r>
              <w:rPr>
                <w:rFonts w:hint="eastAsia"/>
                <w:color w:val="auto"/>
                <w:sz w:val="24"/>
                <w:lang w:eastAsia="zh-CN"/>
              </w:rPr>
              <w:t>鉴别</w:t>
            </w:r>
            <w:r>
              <w:rPr>
                <w:rFonts w:hint="eastAsia"/>
                <w:color w:val="auto"/>
                <w:sz w:val="24"/>
              </w:rPr>
              <w:t>结论进行管理，未</w:t>
            </w:r>
            <w:r>
              <w:rPr>
                <w:rFonts w:hint="eastAsia"/>
                <w:color w:val="auto"/>
                <w:sz w:val="24"/>
                <w:lang w:eastAsia="zh-CN"/>
              </w:rPr>
              <w:t>鉴别</w:t>
            </w:r>
            <w:r>
              <w:rPr>
                <w:rFonts w:hint="eastAsia"/>
                <w:color w:val="auto"/>
                <w:sz w:val="24"/>
              </w:rPr>
              <w:t>前，统一按危险废物从严管理</w:t>
            </w:r>
            <w:r>
              <w:rPr>
                <w:rFonts w:hint="eastAsia"/>
                <w:color w:val="auto"/>
                <w:sz w:val="24"/>
                <w:lang w:eastAsia="zh-CN"/>
              </w:rPr>
              <w:t>。</w:t>
            </w:r>
          </w:p>
          <w:p w14:paraId="5349C757">
            <w:pPr>
              <w:snapToGrid w:val="0"/>
              <w:spacing w:line="360" w:lineRule="auto"/>
              <w:ind w:left="0" w:leftChars="0" w:firstLine="482" w:firstLineChars="200"/>
              <w:rPr>
                <w:b/>
                <w:color w:val="auto"/>
              </w:rPr>
            </w:pPr>
            <w:r>
              <w:rPr>
                <w:rFonts w:hint="eastAsia"/>
                <w:b/>
                <w:color w:val="auto"/>
              </w:rPr>
              <w:t>b.固体废物属性判定</w:t>
            </w:r>
          </w:p>
          <w:p w14:paraId="438461DD">
            <w:pPr>
              <w:snapToGrid w:val="0"/>
              <w:spacing w:line="360" w:lineRule="auto"/>
              <w:ind w:firstLine="480"/>
              <w:rPr>
                <w:b/>
                <w:bCs/>
                <w:color w:val="auto"/>
                <w:szCs w:val="22"/>
              </w:rPr>
            </w:pPr>
            <w:r>
              <w:rPr>
                <w:color w:val="auto"/>
              </w:rPr>
              <w:t>根据《中华人民共和国固体废物污染环境防治法</w:t>
            </w:r>
            <w:r>
              <w:rPr>
                <w:rFonts w:hint="eastAsia"/>
                <w:color w:val="auto"/>
                <w:lang w:eastAsia="zh-CN"/>
              </w:rPr>
              <w:t>》《</w:t>
            </w:r>
            <w:r>
              <w:rPr>
                <w:color w:val="auto"/>
              </w:rPr>
              <w:t>固体废物鉴别标准通则》（GB34330-2017），对建设项目产生的物质（除目标产物，即：产品、副产品外），依据产生来源、利用和处置过程鉴别是否属于固体废物。副产物属性判断见表4-</w:t>
            </w:r>
            <w:r>
              <w:rPr>
                <w:rFonts w:hint="eastAsia"/>
                <w:color w:val="auto"/>
                <w:lang w:val="en-US" w:eastAsia="zh-CN"/>
              </w:rPr>
              <w:t>24</w:t>
            </w:r>
            <w:r>
              <w:rPr>
                <w:color w:val="auto"/>
              </w:rPr>
              <w:t>。</w:t>
            </w:r>
          </w:p>
          <w:p w14:paraId="41D8039E">
            <w:pPr>
              <w:adjustRightInd w:val="0"/>
              <w:snapToGrid w:val="0"/>
              <w:spacing w:line="240" w:lineRule="auto"/>
              <w:ind w:firstLine="0" w:firstLineChars="0"/>
              <w:jc w:val="center"/>
              <w:rPr>
                <w:b/>
                <w:bCs/>
                <w:color w:val="auto"/>
                <w:szCs w:val="22"/>
              </w:rPr>
            </w:pPr>
            <w:r>
              <w:rPr>
                <w:b/>
                <w:bCs/>
                <w:color w:val="auto"/>
                <w:szCs w:val="22"/>
              </w:rPr>
              <w:t>表4-</w:t>
            </w:r>
            <w:r>
              <w:rPr>
                <w:rFonts w:hint="eastAsia"/>
                <w:b/>
                <w:bCs/>
                <w:color w:val="auto"/>
                <w:szCs w:val="22"/>
                <w:lang w:val="en-US" w:eastAsia="zh-CN"/>
              </w:rPr>
              <w:t>24</w:t>
            </w:r>
            <w:r>
              <w:rPr>
                <w:b/>
                <w:bCs/>
                <w:color w:val="auto"/>
                <w:szCs w:val="22"/>
              </w:rPr>
              <w:t>建设项目副产物产生情况汇总表</w:t>
            </w:r>
          </w:p>
          <w:tbl>
            <w:tblPr>
              <w:tblStyle w:val="38"/>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28"/>
              <w:gridCol w:w="1048"/>
              <w:gridCol w:w="1060"/>
              <w:gridCol w:w="427"/>
              <w:gridCol w:w="1060"/>
              <w:gridCol w:w="1216"/>
              <w:gridCol w:w="787"/>
              <w:gridCol w:w="853"/>
              <w:gridCol w:w="1943"/>
            </w:tblGrid>
            <w:tr w14:paraId="27B6A8E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vMerge w:val="restart"/>
                  <w:vAlign w:val="center"/>
                </w:tcPr>
                <w:p w14:paraId="67FB5B45">
                  <w:pPr>
                    <w:snapToGrid w:val="0"/>
                    <w:spacing w:line="240" w:lineRule="auto"/>
                    <w:ind w:firstLine="0" w:firstLineChars="0"/>
                    <w:jc w:val="center"/>
                    <w:rPr>
                      <w:b/>
                      <w:bCs/>
                      <w:color w:val="auto"/>
                      <w:sz w:val="21"/>
                      <w:szCs w:val="21"/>
                    </w:rPr>
                  </w:pPr>
                  <w:r>
                    <w:rPr>
                      <w:b/>
                      <w:bCs/>
                      <w:color w:val="auto"/>
                      <w:sz w:val="21"/>
                      <w:szCs w:val="21"/>
                    </w:rPr>
                    <w:t>序号</w:t>
                  </w:r>
                </w:p>
              </w:tc>
              <w:tc>
                <w:tcPr>
                  <w:tcW w:w="1048" w:type="dxa"/>
                  <w:vMerge w:val="restart"/>
                  <w:vAlign w:val="center"/>
                </w:tcPr>
                <w:p w14:paraId="7BC71502">
                  <w:pPr>
                    <w:snapToGrid w:val="0"/>
                    <w:spacing w:line="240" w:lineRule="auto"/>
                    <w:ind w:firstLine="0" w:firstLineChars="0"/>
                    <w:jc w:val="center"/>
                    <w:rPr>
                      <w:b/>
                      <w:bCs/>
                      <w:color w:val="auto"/>
                      <w:sz w:val="21"/>
                      <w:szCs w:val="21"/>
                    </w:rPr>
                  </w:pPr>
                  <w:r>
                    <w:rPr>
                      <w:b/>
                      <w:bCs/>
                      <w:color w:val="auto"/>
                      <w:sz w:val="21"/>
                      <w:szCs w:val="21"/>
                    </w:rPr>
                    <w:t>副产物名称</w:t>
                  </w:r>
                </w:p>
              </w:tc>
              <w:tc>
                <w:tcPr>
                  <w:tcW w:w="1060" w:type="dxa"/>
                  <w:vMerge w:val="restart"/>
                  <w:vAlign w:val="center"/>
                </w:tcPr>
                <w:p w14:paraId="1D6B6B81">
                  <w:pPr>
                    <w:snapToGrid w:val="0"/>
                    <w:spacing w:line="240" w:lineRule="auto"/>
                    <w:ind w:firstLine="0" w:firstLineChars="0"/>
                    <w:jc w:val="center"/>
                    <w:rPr>
                      <w:b/>
                      <w:bCs/>
                      <w:color w:val="auto"/>
                      <w:sz w:val="21"/>
                      <w:szCs w:val="21"/>
                    </w:rPr>
                  </w:pPr>
                  <w:r>
                    <w:rPr>
                      <w:b/>
                      <w:bCs/>
                      <w:color w:val="auto"/>
                      <w:sz w:val="21"/>
                      <w:szCs w:val="21"/>
                    </w:rPr>
                    <w:t>产生工序</w:t>
                  </w:r>
                </w:p>
              </w:tc>
              <w:tc>
                <w:tcPr>
                  <w:tcW w:w="427" w:type="dxa"/>
                  <w:vMerge w:val="restart"/>
                  <w:vAlign w:val="center"/>
                </w:tcPr>
                <w:p w14:paraId="6E55F0FC">
                  <w:pPr>
                    <w:snapToGrid w:val="0"/>
                    <w:spacing w:line="240" w:lineRule="auto"/>
                    <w:ind w:firstLine="0" w:firstLineChars="0"/>
                    <w:jc w:val="center"/>
                    <w:rPr>
                      <w:b/>
                      <w:bCs/>
                      <w:color w:val="auto"/>
                      <w:sz w:val="21"/>
                      <w:szCs w:val="21"/>
                    </w:rPr>
                  </w:pPr>
                  <w:r>
                    <w:rPr>
                      <w:b/>
                      <w:bCs/>
                      <w:color w:val="auto"/>
                      <w:sz w:val="21"/>
                      <w:szCs w:val="21"/>
                    </w:rPr>
                    <w:t>形态</w:t>
                  </w:r>
                </w:p>
              </w:tc>
              <w:tc>
                <w:tcPr>
                  <w:tcW w:w="1060" w:type="dxa"/>
                  <w:vMerge w:val="restart"/>
                  <w:vAlign w:val="center"/>
                </w:tcPr>
                <w:p w14:paraId="3332654B">
                  <w:pPr>
                    <w:snapToGrid w:val="0"/>
                    <w:spacing w:line="240" w:lineRule="auto"/>
                    <w:ind w:firstLine="0" w:firstLineChars="0"/>
                    <w:jc w:val="center"/>
                    <w:rPr>
                      <w:b/>
                      <w:bCs/>
                      <w:color w:val="auto"/>
                      <w:sz w:val="21"/>
                      <w:szCs w:val="21"/>
                    </w:rPr>
                  </w:pPr>
                  <w:r>
                    <w:rPr>
                      <w:b/>
                      <w:bCs/>
                      <w:color w:val="auto"/>
                      <w:sz w:val="21"/>
                      <w:szCs w:val="21"/>
                    </w:rPr>
                    <w:t>主要成分</w:t>
                  </w:r>
                </w:p>
              </w:tc>
              <w:tc>
                <w:tcPr>
                  <w:tcW w:w="1216" w:type="dxa"/>
                  <w:vMerge w:val="restart"/>
                  <w:vAlign w:val="center"/>
                </w:tcPr>
                <w:p w14:paraId="6EAE0007">
                  <w:pPr>
                    <w:snapToGrid w:val="0"/>
                    <w:spacing w:line="240" w:lineRule="auto"/>
                    <w:ind w:firstLine="0" w:firstLineChars="0"/>
                    <w:jc w:val="center"/>
                    <w:rPr>
                      <w:b/>
                      <w:bCs/>
                      <w:color w:val="auto"/>
                      <w:sz w:val="21"/>
                      <w:szCs w:val="21"/>
                    </w:rPr>
                  </w:pPr>
                  <w:r>
                    <w:rPr>
                      <w:b/>
                      <w:bCs/>
                      <w:color w:val="auto"/>
                      <w:sz w:val="21"/>
                      <w:szCs w:val="21"/>
                    </w:rPr>
                    <w:t>预测产生量（t/a）</w:t>
                  </w:r>
                </w:p>
              </w:tc>
              <w:tc>
                <w:tcPr>
                  <w:tcW w:w="3583" w:type="dxa"/>
                  <w:gridSpan w:val="3"/>
                  <w:vAlign w:val="center"/>
                </w:tcPr>
                <w:p w14:paraId="1246E0B3">
                  <w:pPr>
                    <w:snapToGrid w:val="0"/>
                    <w:spacing w:line="240" w:lineRule="auto"/>
                    <w:ind w:firstLine="0" w:firstLineChars="0"/>
                    <w:jc w:val="center"/>
                    <w:rPr>
                      <w:b/>
                      <w:bCs/>
                      <w:color w:val="auto"/>
                      <w:sz w:val="21"/>
                      <w:szCs w:val="21"/>
                    </w:rPr>
                  </w:pPr>
                  <w:r>
                    <w:rPr>
                      <w:b/>
                      <w:bCs/>
                      <w:color w:val="auto"/>
                      <w:sz w:val="21"/>
                      <w:szCs w:val="21"/>
                    </w:rPr>
                    <w:t>种类判断</w:t>
                  </w:r>
                </w:p>
              </w:tc>
            </w:tr>
            <w:tr w14:paraId="20640EA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vMerge w:val="continue"/>
                  <w:vAlign w:val="center"/>
                </w:tcPr>
                <w:p w14:paraId="4C07C60C">
                  <w:pPr>
                    <w:snapToGrid w:val="0"/>
                    <w:spacing w:line="240" w:lineRule="auto"/>
                    <w:ind w:firstLine="0" w:firstLineChars="0"/>
                    <w:jc w:val="center"/>
                    <w:rPr>
                      <w:b/>
                      <w:bCs/>
                      <w:color w:val="auto"/>
                      <w:sz w:val="21"/>
                      <w:szCs w:val="21"/>
                    </w:rPr>
                  </w:pPr>
                </w:p>
              </w:tc>
              <w:tc>
                <w:tcPr>
                  <w:tcW w:w="1048" w:type="dxa"/>
                  <w:vMerge w:val="continue"/>
                  <w:vAlign w:val="center"/>
                </w:tcPr>
                <w:p w14:paraId="1382F06A">
                  <w:pPr>
                    <w:snapToGrid w:val="0"/>
                    <w:spacing w:line="240" w:lineRule="auto"/>
                    <w:ind w:firstLine="0" w:firstLineChars="0"/>
                    <w:jc w:val="center"/>
                    <w:rPr>
                      <w:b/>
                      <w:bCs/>
                      <w:color w:val="auto"/>
                      <w:sz w:val="21"/>
                      <w:szCs w:val="21"/>
                    </w:rPr>
                  </w:pPr>
                </w:p>
              </w:tc>
              <w:tc>
                <w:tcPr>
                  <w:tcW w:w="1060" w:type="dxa"/>
                  <w:vMerge w:val="continue"/>
                  <w:vAlign w:val="center"/>
                </w:tcPr>
                <w:p w14:paraId="7CFD49D1">
                  <w:pPr>
                    <w:snapToGrid w:val="0"/>
                    <w:spacing w:line="240" w:lineRule="auto"/>
                    <w:ind w:firstLine="0" w:firstLineChars="0"/>
                    <w:jc w:val="center"/>
                    <w:rPr>
                      <w:b/>
                      <w:bCs/>
                      <w:color w:val="auto"/>
                      <w:sz w:val="21"/>
                      <w:szCs w:val="21"/>
                    </w:rPr>
                  </w:pPr>
                </w:p>
              </w:tc>
              <w:tc>
                <w:tcPr>
                  <w:tcW w:w="427" w:type="dxa"/>
                  <w:vMerge w:val="continue"/>
                  <w:vAlign w:val="center"/>
                </w:tcPr>
                <w:p w14:paraId="7B4DF21E">
                  <w:pPr>
                    <w:snapToGrid w:val="0"/>
                    <w:spacing w:line="240" w:lineRule="auto"/>
                    <w:ind w:firstLine="0" w:firstLineChars="0"/>
                    <w:jc w:val="center"/>
                    <w:rPr>
                      <w:b/>
                      <w:bCs/>
                      <w:color w:val="auto"/>
                      <w:sz w:val="21"/>
                      <w:szCs w:val="21"/>
                    </w:rPr>
                  </w:pPr>
                </w:p>
              </w:tc>
              <w:tc>
                <w:tcPr>
                  <w:tcW w:w="1060" w:type="dxa"/>
                  <w:vMerge w:val="continue"/>
                  <w:vAlign w:val="center"/>
                </w:tcPr>
                <w:p w14:paraId="2F9F02F2">
                  <w:pPr>
                    <w:snapToGrid w:val="0"/>
                    <w:spacing w:line="240" w:lineRule="auto"/>
                    <w:ind w:firstLine="0" w:firstLineChars="0"/>
                    <w:jc w:val="center"/>
                    <w:rPr>
                      <w:b/>
                      <w:bCs/>
                      <w:color w:val="auto"/>
                      <w:sz w:val="21"/>
                      <w:szCs w:val="21"/>
                    </w:rPr>
                  </w:pPr>
                </w:p>
              </w:tc>
              <w:tc>
                <w:tcPr>
                  <w:tcW w:w="1216" w:type="dxa"/>
                  <w:vMerge w:val="continue"/>
                  <w:vAlign w:val="center"/>
                </w:tcPr>
                <w:p w14:paraId="47FD6AC8">
                  <w:pPr>
                    <w:snapToGrid w:val="0"/>
                    <w:spacing w:line="240" w:lineRule="auto"/>
                    <w:ind w:firstLine="0" w:firstLineChars="0"/>
                    <w:jc w:val="center"/>
                    <w:rPr>
                      <w:b/>
                      <w:bCs/>
                      <w:color w:val="auto"/>
                      <w:sz w:val="21"/>
                      <w:szCs w:val="21"/>
                    </w:rPr>
                  </w:pPr>
                </w:p>
              </w:tc>
              <w:tc>
                <w:tcPr>
                  <w:tcW w:w="787" w:type="dxa"/>
                  <w:vAlign w:val="center"/>
                </w:tcPr>
                <w:p w14:paraId="29A725D0">
                  <w:pPr>
                    <w:snapToGrid w:val="0"/>
                    <w:spacing w:line="240" w:lineRule="auto"/>
                    <w:ind w:firstLine="0" w:firstLineChars="0"/>
                    <w:jc w:val="center"/>
                    <w:rPr>
                      <w:b/>
                      <w:bCs/>
                      <w:color w:val="auto"/>
                      <w:sz w:val="21"/>
                      <w:szCs w:val="21"/>
                    </w:rPr>
                  </w:pPr>
                  <w:r>
                    <w:rPr>
                      <w:b/>
                      <w:bCs/>
                      <w:color w:val="auto"/>
                      <w:sz w:val="21"/>
                      <w:szCs w:val="21"/>
                    </w:rPr>
                    <w:t>固体</w:t>
                  </w:r>
                </w:p>
                <w:p w14:paraId="61AAEAF5">
                  <w:pPr>
                    <w:snapToGrid w:val="0"/>
                    <w:spacing w:line="240" w:lineRule="auto"/>
                    <w:ind w:firstLine="0" w:firstLineChars="0"/>
                    <w:jc w:val="center"/>
                    <w:rPr>
                      <w:b/>
                      <w:bCs/>
                      <w:color w:val="auto"/>
                      <w:sz w:val="21"/>
                      <w:szCs w:val="21"/>
                    </w:rPr>
                  </w:pPr>
                  <w:r>
                    <w:rPr>
                      <w:b/>
                      <w:bCs/>
                      <w:color w:val="auto"/>
                      <w:sz w:val="21"/>
                      <w:szCs w:val="21"/>
                    </w:rPr>
                    <w:t>废物</w:t>
                  </w:r>
                </w:p>
              </w:tc>
              <w:tc>
                <w:tcPr>
                  <w:tcW w:w="853" w:type="dxa"/>
                  <w:vAlign w:val="center"/>
                </w:tcPr>
                <w:p w14:paraId="1517DCDC">
                  <w:pPr>
                    <w:snapToGrid w:val="0"/>
                    <w:spacing w:line="240" w:lineRule="auto"/>
                    <w:ind w:firstLine="0" w:firstLineChars="0"/>
                    <w:jc w:val="center"/>
                    <w:rPr>
                      <w:b/>
                      <w:bCs/>
                      <w:color w:val="auto"/>
                      <w:sz w:val="21"/>
                      <w:szCs w:val="21"/>
                    </w:rPr>
                  </w:pPr>
                  <w:r>
                    <w:rPr>
                      <w:b/>
                      <w:bCs/>
                      <w:color w:val="auto"/>
                      <w:sz w:val="21"/>
                      <w:szCs w:val="21"/>
                    </w:rPr>
                    <w:t>副产品</w:t>
                  </w:r>
                </w:p>
              </w:tc>
              <w:tc>
                <w:tcPr>
                  <w:tcW w:w="1943" w:type="dxa"/>
                  <w:vAlign w:val="center"/>
                </w:tcPr>
                <w:p w14:paraId="490ECBC6">
                  <w:pPr>
                    <w:snapToGrid w:val="0"/>
                    <w:spacing w:line="240" w:lineRule="auto"/>
                    <w:ind w:firstLine="0" w:firstLineChars="0"/>
                    <w:jc w:val="center"/>
                    <w:rPr>
                      <w:b/>
                      <w:bCs/>
                      <w:color w:val="auto"/>
                      <w:sz w:val="21"/>
                      <w:szCs w:val="21"/>
                    </w:rPr>
                  </w:pPr>
                  <w:r>
                    <w:rPr>
                      <w:b/>
                      <w:bCs/>
                      <w:color w:val="auto"/>
                      <w:sz w:val="21"/>
                      <w:szCs w:val="21"/>
                    </w:rPr>
                    <w:t>判定依据</w:t>
                  </w:r>
                </w:p>
              </w:tc>
            </w:tr>
            <w:tr w14:paraId="196660D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vAlign w:val="center"/>
                </w:tcPr>
                <w:p w14:paraId="22840084">
                  <w:pPr>
                    <w:snapToGrid w:val="0"/>
                    <w:spacing w:line="240" w:lineRule="auto"/>
                    <w:ind w:firstLine="0" w:firstLineChars="0"/>
                    <w:jc w:val="center"/>
                    <w:rPr>
                      <w:color w:val="auto"/>
                      <w:sz w:val="21"/>
                      <w:szCs w:val="21"/>
                    </w:rPr>
                  </w:pPr>
                  <w:r>
                    <w:rPr>
                      <w:color w:val="auto"/>
                      <w:sz w:val="21"/>
                      <w:szCs w:val="21"/>
                    </w:rPr>
                    <w:t>1</w:t>
                  </w:r>
                </w:p>
              </w:tc>
              <w:tc>
                <w:tcPr>
                  <w:tcW w:w="1048" w:type="dxa"/>
                  <w:vAlign w:val="center"/>
                </w:tcPr>
                <w:p w14:paraId="60A7AB44">
                  <w:pPr>
                    <w:snapToGrid w:val="0"/>
                    <w:spacing w:line="240" w:lineRule="auto"/>
                    <w:ind w:firstLine="0" w:firstLineChars="0"/>
                    <w:jc w:val="center"/>
                    <w:rPr>
                      <w:color w:val="auto"/>
                      <w:sz w:val="21"/>
                      <w:szCs w:val="21"/>
                    </w:rPr>
                  </w:pPr>
                  <w:r>
                    <w:rPr>
                      <w:color w:val="auto"/>
                      <w:sz w:val="21"/>
                      <w:szCs w:val="21"/>
                    </w:rPr>
                    <w:t>生活垃圾</w:t>
                  </w:r>
                </w:p>
              </w:tc>
              <w:tc>
                <w:tcPr>
                  <w:tcW w:w="1060" w:type="dxa"/>
                  <w:vAlign w:val="center"/>
                </w:tcPr>
                <w:p w14:paraId="48759F8A">
                  <w:pPr>
                    <w:snapToGrid w:val="0"/>
                    <w:spacing w:line="240" w:lineRule="auto"/>
                    <w:ind w:firstLine="0" w:firstLineChars="0"/>
                    <w:jc w:val="center"/>
                    <w:rPr>
                      <w:color w:val="auto"/>
                      <w:sz w:val="21"/>
                      <w:szCs w:val="21"/>
                    </w:rPr>
                  </w:pPr>
                  <w:r>
                    <w:rPr>
                      <w:color w:val="auto"/>
                      <w:sz w:val="21"/>
                      <w:szCs w:val="21"/>
                    </w:rPr>
                    <w:t>员工</w:t>
                  </w:r>
                </w:p>
                <w:p w14:paraId="063CA5CB">
                  <w:pPr>
                    <w:snapToGrid w:val="0"/>
                    <w:spacing w:line="240" w:lineRule="auto"/>
                    <w:ind w:firstLine="0" w:firstLineChars="0"/>
                    <w:jc w:val="center"/>
                    <w:rPr>
                      <w:color w:val="auto"/>
                      <w:sz w:val="21"/>
                      <w:szCs w:val="21"/>
                    </w:rPr>
                  </w:pPr>
                  <w:r>
                    <w:rPr>
                      <w:color w:val="auto"/>
                      <w:sz w:val="21"/>
                      <w:szCs w:val="21"/>
                    </w:rPr>
                    <w:t>生活</w:t>
                  </w:r>
                </w:p>
              </w:tc>
              <w:tc>
                <w:tcPr>
                  <w:tcW w:w="427" w:type="dxa"/>
                  <w:vMerge w:val="restart"/>
                  <w:vAlign w:val="center"/>
                </w:tcPr>
                <w:p w14:paraId="084D03D3">
                  <w:pPr>
                    <w:snapToGrid w:val="0"/>
                    <w:spacing w:line="240" w:lineRule="auto"/>
                    <w:ind w:firstLine="0" w:firstLineChars="0"/>
                    <w:jc w:val="center"/>
                    <w:rPr>
                      <w:color w:val="auto"/>
                      <w:sz w:val="21"/>
                      <w:szCs w:val="21"/>
                    </w:rPr>
                  </w:pPr>
                  <w:r>
                    <w:rPr>
                      <w:color w:val="auto"/>
                      <w:sz w:val="21"/>
                      <w:szCs w:val="21"/>
                    </w:rPr>
                    <w:t>固态</w:t>
                  </w:r>
                </w:p>
              </w:tc>
              <w:tc>
                <w:tcPr>
                  <w:tcW w:w="1060" w:type="dxa"/>
                  <w:vAlign w:val="center"/>
                </w:tcPr>
                <w:p w14:paraId="365AFA17">
                  <w:pPr>
                    <w:pStyle w:val="23"/>
                    <w:spacing w:line="240" w:lineRule="auto"/>
                    <w:ind w:firstLine="0" w:firstLineChars="0"/>
                    <w:jc w:val="center"/>
                    <w:rPr>
                      <w:color w:val="auto"/>
                      <w:kern w:val="2"/>
                      <w:sz w:val="21"/>
                      <w:szCs w:val="21"/>
                    </w:rPr>
                  </w:pPr>
                  <w:r>
                    <w:rPr>
                      <w:color w:val="auto"/>
                      <w:kern w:val="2"/>
                      <w:sz w:val="21"/>
                      <w:szCs w:val="21"/>
                    </w:rPr>
                    <w:t>可燃物、可堆腐物</w:t>
                  </w:r>
                </w:p>
              </w:tc>
              <w:tc>
                <w:tcPr>
                  <w:tcW w:w="1216" w:type="dxa"/>
                  <w:vAlign w:val="center"/>
                </w:tcPr>
                <w:p w14:paraId="44E42451">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7.5</w:t>
                  </w:r>
                </w:p>
              </w:tc>
              <w:tc>
                <w:tcPr>
                  <w:tcW w:w="787" w:type="dxa"/>
                  <w:vAlign w:val="center"/>
                </w:tcPr>
                <w:p w14:paraId="14212A44">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6694BA2B">
                  <w:pPr>
                    <w:snapToGrid w:val="0"/>
                    <w:spacing w:line="240" w:lineRule="auto"/>
                    <w:ind w:firstLine="0" w:firstLineChars="0"/>
                    <w:jc w:val="center"/>
                    <w:rPr>
                      <w:color w:val="auto"/>
                      <w:sz w:val="21"/>
                      <w:szCs w:val="21"/>
                    </w:rPr>
                  </w:pPr>
                  <w:r>
                    <w:rPr>
                      <w:rFonts w:hint="eastAsia"/>
                      <w:color w:val="auto"/>
                      <w:sz w:val="21"/>
                      <w:szCs w:val="21"/>
                    </w:rPr>
                    <w:t>/</w:t>
                  </w:r>
                </w:p>
              </w:tc>
              <w:tc>
                <w:tcPr>
                  <w:tcW w:w="1943" w:type="dxa"/>
                  <w:vMerge w:val="restart"/>
                  <w:vAlign w:val="center"/>
                </w:tcPr>
                <w:p w14:paraId="10130E25">
                  <w:pPr>
                    <w:snapToGrid w:val="0"/>
                    <w:spacing w:line="240" w:lineRule="auto"/>
                    <w:ind w:firstLine="0" w:firstLineChars="0"/>
                    <w:jc w:val="center"/>
                    <w:rPr>
                      <w:color w:val="auto"/>
                      <w:sz w:val="21"/>
                      <w:szCs w:val="21"/>
                    </w:rPr>
                  </w:pPr>
                  <w:r>
                    <w:rPr>
                      <w:color w:val="auto"/>
                      <w:sz w:val="21"/>
                      <w:szCs w:val="21"/>
                    </w:rPr>
                    <w:t>《固体废物鉴别</w:t>
                  </w:r>
                  <w:r>
                    <w:rPr>
                      <w:rFonts w:hint="eastAsia"/>
                      <w:color w:val="auto"/>
                      <w:sz w:val="21"/>
                      <w:szCs w:val="21"/>
                    </w:rPr>
                    <w:t>标准通则</w:t>
                  </w:r>
                  <w:r>
                    <w:rPr>
                      <w:color w:val="auto"/>
                      <w:sz w:val="21"/>
                      <w:szCs w:val="21"/>
                    </w:rPr>
                    <w:t>》</w:t>
                  </w:r>
                  <w:r>
                    <w:rPr>
                      <w:rFonts w:hint="eastAsia"/>
                      <w:color w:val="auto"/>
                      <w:sz w:val="21"/>
                      <w:szCs w:val="21"/>
                    </w:rPr>
                    <w:t>（GB34330-2017）</w:t>
                  </w:r>
                </w:p>
              </w:tc>
            </w:tr>
            <w:tr w14:paraId="25EEEC5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vAlign w:val="center"/>
                </w:tcPr>
                <w:p w14:paraId="1C005A55">
                  <w:pPr>
                    <w:snapToGrid w:val="0"/>
                    <w:spacing w:line="240" w:lineRule="auto"/>
                    <w:ind w:firstLine="0" w:firstLineChars="0"/>
                    <w:jc w:val="center"/>
                    <w:rPr>
                      <w:color w:val="auto"/>
                      <w:sz w:val="21"/>
                      <w:szCs w:val="21"/>
                    </w:rPr>
                  </w:pPr>
                  <w:r>
                    <w:rPr>
                      <w:rFonts w:hint="eastAsia"/>
                      <w:color w:val="auto"/>
                      <w:sz w:val="21"/>
                      <w:szCs w:val="21"/>
                    </w:rPr>
                    <w:t>2</w:t>
                  </w:r>
                </w:p>
              </w:tc>
              <w:tc>
                <w:tcPr>
                  <w:tcW w:w="1048" w:type="dxa"/>
                  <w:shd w:val="clear" w:color="auto" w:fill="auto"/>
                  <w:vAlign w:val="center"/>
                </w:tcPr>
                <w:p w14:paraId="50F123DA">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废丝</w:t>
                  </w:r>
                </w:p>
              </w:tc>
              <w:tc>
                <w:tcPr>
                  <w:tcW w:w="1060" w:type="dxa"/>
                  <w:shd w:val="clear" w:color="auto" w:fill="auto"/>
                  <w:vAlign w:val="center"/>
                </w:tcPr>
                <w:p w14:paraId="41ABF6D9">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
                    </w:rPr>
                  </w:pPr>
                  <w:r>
                    <w:rPr>
                      <w:rFonts w:hint="eastAsia"/>
                      <w:color w:val="auto"/>
                      <w:sz w:val="21"/>
                      <w:szCs w:val="21"/>
                      <w:lang w:eastAsia="zh-CN" w:bidi="ar"/>
                    </w:rPr>
                    <w:t>加弹、织造</w:t>
                  </w:r>
                </w:p>
              </w:tc>
              <w:tc>
                <w:tcPr>
                  <w:tcW w:w="427" w:type="dxa"/>
                  <w:vMerge w:val="continue"/>
                  <w:vAlign w:val="center"/>
                </w:tcPr>
                <w:p w14:paraId="2E1C86DC">
                  <w:pPr>
                    <w:snapToGrid w:val="0"/>
                    <w:spacing w:line="240" w:lineRule="auto"/>
                    <w:ind w:firstLine="0" w:firstLineChars="0"/>
                    <w:jc w:val="center"/>
                    <w:rPr>
                      <w:color w:val="auto"/>
                      <w:sz w:val="21"/>
                      <w:szCs w:val="21"/>
                    </w:rPr>
                  </w:pPr>
                </w:p>
              </w:tc>
              <w:tc>
                <w:tcPr>
                  <w:tcW w:w="1060" w:type="dxa"/>
                  <w:vAlign w:val="center"/>
                </w:tcPr>
                <w:p w14:paraId="07368205">
                  <w:pPr>
                    <w:adjustRightInd w:val="0"/>
                    <w:snapToGrid w:val="0"/>
                    <w:spacing w:line="240" w:lineRule="auto"/>
                    <w:ind w:firstLine="0" w:firstLineChars="0"/>
                    <w:jc w:val="center"/>
                    <w:rPr>
                      <w:color w:val="auto"/>
                      <w:kern w:val="2"/>
                      <w:sz w:val="21"/>
                      <w:szCs w:val="21"/>
                    </w:rPr>
                  </w:pPr>
                  <w:r>
                    <w:rPr>
                      <w:snapToGrid w:val="0"/>
                      <w:color w:val="auto"/>
                      <w:sz w:val="21"/>
                      <w:szCs w:val="21"/>
                    </w:rPr>
                    <w:t>纤维</w:t>
                  </w:r>
                </w:p>
              </w:tc>
              <w:tc>
                <w:tcPr>
                  <w:tcW w:w="1216" w:type="dxa"/>
                  <w:vAlign w:val="center"/>
                </w:tcPr>
                <w:p w14:paraId="43FFADC1">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w:t>
                  </w:r>
                </w:p>
              </w:tc>
              <w:tc>
                <w:tcPr>
                  <w:tcW w:w="787" w:type="dxa"/>
                  <w:vAlign w:val="center"/>
                </w:tcPr>
                <w:p w14:paraId="6B2D3AEC">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003FA98E">
                  <w:pPr>
                    <w:snapToGrid w:val="0"/>
                    <w:spacing w:line="240" w:lineRule="auto"/>
                    <w:ind w:firstLine="0" w:firstLineChars="0"/>
                    <w:jc w:val="center"/>
                    <w:rPr>
                      <w:color w:val="auto"/>
                      <w:sz w:val="21"/>
                      <w:szCs w:val="21"/>
                    </w:rPr>
                  </w:pPr>
                  <w:r>
                    <w:rPr>
                      <w:rFonts w:hint="eastAsia"/>
                      <w:color w:val="auto"/>
                      <w:sz w:val="21"/>
                      <w:szCs w:val="21"/>
                    </w:rPr>
                    <w:t>/</w:t>
                  </w:r>
                </w:p>
              </w:tc>
              <w:tc>
                <w:tcPr>
                  <w:tcW w:w="1943" w:type="dxa"/>
                  <w:vMerge w:val="continue"/>
                  <w:vAlign w:val="center"/>
                </w:tcPr>
                <w:p w14:paraId="1D57E075">
                  <w:pPr>
                    <w:snapToGrid w:val="0"/>
                    <w:spacing w:line="240" w:lineRule="auto"/>
                    <w:ind w:firstLine="0" w:firstLineChars="0"/>
                    <w:jc w:val="center"/>
                    <w:rPr>
                      <w:color w:val="auto"/>
                      <w:sz w:val="21"/>
                      <w:szCs w:val="21"/>
                    </w:rPr>
                  </w:pPr>
                </w:p>
              </w:tc>
            </w:tr>
            <w:tr w14:paraId="67AAD65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vAlign w:val="center"/>
                </w:tcPr>
                <w:p w14:paraId="7D048CE6">
                  <w:pPr>
                    <w:snapToGrid w:val="0"/>
                    <w:spacing w:line="240" w:lineRule="auto"/>
                    <w:ind w:firstLine="0" w:firstLineChars="0"/>
                    <w:jc w:val="center"/>
                    <w:rPr>
                      <w:color w:val="auto"/>
                      <w:sz w:val="21"/>
                      <w:szCs w:val="21"/>
                    </w:rPr>
                  </w:pPr>
                  <w:r>
                    <w:rPr>
                      <w:color w:val="auto"/>
                      <w:sz w:val="21"/>
                      <w:szCs w:val="21"/>
                    </w:rPr>
                    <w:t>3</w:t>
                  </w:r>
                </w:p>
              </w:tc>
              <w:tc>
                <w:tcPr>
                  <w:tcW w:w="1048" w:type="dxa"/>
                  <w:shd w:val="clear" w:color="auto" w:fill="auto"/>
                  <w:vAlign w:val="center"/>
                </w:tcPr>
                <w:p w14:paraId="6D568062">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废布</w:t>
                  </w:r>
                </w:p>
              </w:tc>
              <w:tc>
                <w:tcPr>
                  <w:tcW w:w="1060" w:type="dxa"/>
                  <w:shd w:val="clear" w:color="auto" w:fill="auto"/>
                  <w:vAlign w:val="center"/>
                </w:tcPr>
                <w:p w14:paraId="251D50B9">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
                    </w:rPr>
                  </w:pPr>
                  <w:r>
                    <w:rPr>
                      <w:color w:val="auto"/>
                      <w:sz w:val="21"/>
                      <w:szCs w:val="21"/>
                      <w:lang w:bidi="ar"/>
                    </w:rPr>
                    <w:t>检验</w:t>
                  </w:r>
                </w:p>
              </w:tc>
              <w:tc>
                <w:tcPr>
                  <w:tcW w:w="427" w:type="dxa"/>
                  <w:vMerge w:val="continue"/>
                  <w:vAlign w:val="center"/>
                </w:tcPr>
                <w:p w14:paraId="1336105D">
                  <w:pPr>
                    <w:snapToGrid w:val="0"/>
                    <w:spacing w:line="240" w:lineRule="auto"/>
                    <w:ind w:firstLine="0" w:firstLineChars="0"/>
                    <w:jc w:val="center"/>
                    <w:rPr>
                      <w:color w:val="auto"/>
                      <w:sz w:val="21"/>
                      <w:szCs w:val="21"/>
                    </w:rPr>
                  </w:pPr>
                </w:p>
              </w:tc>
              <w:tc>
                <w:tcPr>
                  <w:tcW w:w="1060" w:type="dxa"/>
                  <w:vAlign w:val="center"/>
                </w:tcPr>
                <w:p w14:paraId="35FAB438">
                  <w:pPr>
                    <w:adjustRightInd w:val="0"/>
                    <w:snapToGrid w:val="0"/>
                    <w:spacing w:line="240" w:lineRule="auto"/>
                    <w:ind w:firstLine="0" w:firstLineChars="0"/>
                    <w:jc w:val="center"/>
                    <w:rPr>
                      <w:color w:val="auto"/>
                      <w:kern w:val="2"/>
                      <w:sz w:val="21"/>
                      <w:szCs w:val="21"/>
                    </w:rPr>
                  </w:pPr>
                  <w:r>
                    <w:rPr>
                      <w:snapToGrid w:val="0"/>
                      <w:color w:val="auto"/>
                      <w:sz w:val="21"/>
                      <w:szCs w:val="21"/>
                    </w:rPr>
                    <w:t>纤维</w:t>
                  </w:r>
                </w:p>
              </w:tc>
              <w:tc>
                <w:tcPr>
                  <w:tcW w:w="1216" w:type="dxa"/>
                  <w:vAlign w:val="center"/>
                </w:tcPr>
                <w:p w14:paraId="485547CF">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w:t>
                  </w:r>
                </w:p>
              </w:tc>
              <w:tc>
                <w:tcPr>
                  <w:tcW w:w="787" w:type="dxa"/>
                  <w:vAlign w:val="center"/>
                </w:tcPr>
                <w:p w14:paraId="26128671">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2DBFF553">
                  <w:pPr>
                    <w:snapToGrid w:val="0"/>
                    <w:spacing w:line="240" w:lineRule="auto"/>
                    <w:ind w:firstLine="0" w:firstLineChars="0"/>
                    <w:jc w:val="center"/>
                    <w:rPr>
                      <w:color w:val="auto"/>
                      <w:sz w:val="21"/>
                      <w:szCs w:val="21"/>
                    </w:rPr>
                  </w:pPr>
                  <w:r>
                    <w:rPr>
                      <w:rFonts w:hint="eastAsia"/>
                      <w:color w:val="auto"/>
                      <w:sz w:val="21"/>
                      <w:szCs w:val="21"/>
                    </w:rPr>
                    <w:t>/</w:t>
                  </w:r>
                </w:p>
              </w:tc>
              <w:tc>
                <w:tcPr>
                  <w:tcW w:w="1943" w:type="dxa"/>
                  <w:vMerge w:val="continue"/>
                  <w:vAlign w:val="center"/>
                </w:tcPr>
                <w:p w14:paraId="187D930B">
                  <w:pPr>
                    <w:snapToGrid w:val="0"/>
                    <w:spacing w:line="240" w:lineRule="auto"/>
                    <w:ind w:firstLine="0" w:firstLineChars="0"/>
                    <w:jc w:val="center"/>
                    <w:rPr>
                      <w:color w:val="auto"/>
                      <w:sz w:val="21"/>
                      <w:szCs w:val="21"/>
                    </w:rPr>
                  </w:pPr>
                </w:p>
              </w:tc>
            </w:tr>
            <w:tr w14:paraId="3C6CEE0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shd w:val="clear" w:color="auto" w:fill="auto"/>
                  <w:vAlign w:val="center"/>
                </w:tcPr>
                <w:p w14:paraId="0F5076B5">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w:t>
                  </w:r>
                </w:p>
              </w:tc>
              <w:tc>
                <w:tcPr>
                  <w:tcW w:w="1048" w:type="dxa"/>
                  <w:shd w:val="clear" w:color="auto" w:fill="auto"/>
                  <w:vAlign w:val="center"/>
                </w:tcPr>
                <w:p w14:paraId="319554C4">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废油桶</w:t>
                  </w:r>
                </w:p>
              </w:tc>
              <w:tc>
                <w:tcPr>
                  <w:tcW w:w="1060" w:type="dxa"/>
                  <w:shd w:val="clear" w:color="auto" w:fill="auto"/>
                  <w:vAlign w:val="center"/>
                </w:tcPr>
                <w:p w14:paraId="50519A9B">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包装</w:t>
                  </w:r>
                </w:p>
              </w:tc>
              <w:tc>
                <w:tcPr>
                  <w:tcW w:w="427" w:type="dxa"/>
                  <w:vMerge w:val="continue"/>
                  <w:shd w:val="clear" w:color="auto" w:fill="auto"/>
                  <w:vAlign w:val="center"/>
                </w:tcPr>
                <w:p w14:paraId="2FCE6534">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c>
                <w:tcPr>
                  <w:tcW w:w="1060" w:type="dxa"/>
                  <w:shd w:val="clear" w:color="auto" w:fill="auto"/>
                  <w:vAlign w:val="center"/>
                </w:tcPr>
                <w:p w14:paraId="2CCC7112">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铁皮</w:t>
                  </w:r>
                </w:p>
              </w:tc>
              <w:tc>
                <w:tcPr>
                  <w:tcW w:w="1216" w:type="dxa"/>
                  <w:shd w:val="clear" w:color="auto" w:fill="auto"/>
                  <w:vAlign w:val="center"/>
                </w:tcPr>
                <w:p w14:paraId="05B9C891">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0.1</w:t>
                  </w:r>
                </w:p>
              </w:tc>
              <w:tc>
                <w:tcPr>
                  <w:tcW w:w="787" w:type="dxa"/>
                  <w:vAlign w:val="center"/>
                </w:tcPr>
                <w:p w14:paraId="7490DA8A">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11E8C81F">
                  <w:pPr>
                    <w:snapToGrid w:val="0"/>
                    <w:spacing w:line="240" w:lineRule="auto"/>
                    <w:ind w:firstLine="0" w:firstLineChars="0"/>
                    <w:jc w:val="center"/>
                    <w:rPr>
                      <w:rFonts w:hint="eastAsia"/>
                      <w:color w:val="auto"/>
                      <w:sz w:val="21"/>
                      <w:szCs w:val="21"/>
                    </w:rPr>
                  </w:pPr>
                  <w:r>
                    <w:rPr>
                      <w:rFonts w:hint="eastAsia"/>
                      <w:color w:val="auto"/>
                      <w:sz w:val="21"/>
                      <w:szCs w:val="21"/>
                    </w:rPr>
                    <w:t>/</w:t>
                  </w:r>
                </w:p>
              </w:tc>
              <w:tc>
                <w:tcPr>
                  <w:tcW w:w="1943" w:type="dxa"/>
                  <w:vMerge w:val="continue"/>
                  <w:vAlign w:val="center"/>
                </w:tcPr>
                <w:p w14:paraId="4BE93DD3">
                  <w:pPr>
                    <w:snapToGrid w:val="0"/>
                    <w:spacing w:line="240" w:lineRule="auto"/>
                    <w:ind w:firstLine="0" w:firstLineChars="0"/>
                    <w:jc w:val="center"/>
                    <w:rPr>
                      <w:color w:val="auto"/>
                      <w:sz w:val="21"/>
                      <w:szCs w:val="21"/>
                    </w:rPr>
                  </w:pPr>
                </w:p>
              </w:tc>
            </w:tr>
            <w:tr w14:paraId="0ACA8B5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shd w:val="clear" w:color="auto" w:fill="auto"/>
                  <w:vAlign w:val="center"/>
                </w:tcPr>
                <w:p w14:paraId="2F6D0636">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w:t>
                  </w:r>
                </w:p>
              </w:tc>
              <w:tc>
                <w:tcPr>
                  <w:tcW w:w="1048" w:type="dxa"/>
                  <w:shd w:val="clear" w:color="auto" w:fill="auto"/>
                  <w:vAlign w:val="center"/>
                </w:tcPr>
                <w:p w14:paraId="4DA226DB">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废过滤介质</w:t>
                  </w:r>
                </w:p>
              </w:tc>
              <w:tc>
                <w:tcPr>
                  <w:tcW w:w="1060" w:type="dxa"/>
                  <w:shd w:val="clear" w:color="auto" w:fill="auto"/>
                  <w:vAlign w:val="center"/>
                </w:tcPr>
                <w:p w14:paraId="04D206FD">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废水处理</w:t>
                  </w:r>
                </w:p>
              </w:tc>
              <w:tc>
                <w:tcPr>
                  <w:tcW w:w="427" w:type="dxa"/>
                  <w:vMerge w:val="continue"/>
                  <w:shd w:val="clear" w:color="auto" w:fill="auto"/>
                  <w:vAlign w:val="center"/>
                </w:tcPr>
                <w:p w14:paraId="10C9058A">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c>
                <w:tcPr>
                  <w:tcW w:w="1060" w:type="dxa"/>
                  <w:shd w:val="clear" w:color="auto" w:fill="auto"/>
                  <w:vAlign w:val="center"/>
                </w:tcPr>
                <w:p w14:paraId="06FC20E6">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废石英砂、废活性炭</w:t>
                  </w:r>
                </w:p>
              </w:tc>
              <w:tc>
                <w:tcPr>
                  <w:tcW w:w="1216" w:type="dxa"/>
                  <w:shd w:val="clear" w:color="auto" w:fill="auto"/>
                  <w:vAlign w:val="center"/>
                </w:tcPr>
                <w:p w14:paraId="7CD6249A">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18.4</w:t>
                  </w:r>
                </w:p>
              </w:tc>
              <w:tc>
                <w:tcPr>
                  <w:tcW w:w="787" w:type="dxa"/>
                  <w:shd w:val="clear" w:color="auto" w:fill="auto"/>
                  <w:vAlign w:val="center"/>
                </w:tcPr>
                <w:p w14:paraId="3A631601">
                  <w:pPr>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w:t>
                  </w:r>
                </w:p>
              </w:tc>
              <w:tc>
                <w:tcPr>
                  <w:tcW w:w="853" w:type="dxa"/>
                  <w:shd w:val="clear" w:color="auto" w:fill="auto"/>
                  <w:vAlign w:val="center"/>
                </w:tcPr>
                <w:p w14:paraId="3141A724">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w:t>
                  </w:r>
                </w:p>
              </w:tc>
              <w:tc>
                <w:tcPr>
                  <w:tcW w:w="1943" w:type="dxa"/>
                  <w:vMerge w:val="continue"/>
                  <w:vAlign w:val="center"/>
                </w:tcPr>
                <w:p w14:paraId="7AD8ACB2">
                  <w:pPr>
                    <w:snapToGrid w:val="0"/>
                    <w:spacing w:line="240" w:lineRule="auto"/>
                    <w:ind w:firstLine="0" w:firstLineChars="0"/>
                    <w:jc w:val="center"/>
                    <w:rPr>
                      <w:color w:val="auto"/>
                      <w:sz w:val="21"/>
                      <w:szCs w:val="21"/>
                    </w:rPr>
                  </w:pPr>
                </w:p>
              </w:tc>
            </w:tr>
            <w:tr w14:paraId="426FCF2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shd w:val="clear" w:color="auto" w:fill="auto"/>
                  <w:vAlign w:val="center"/>
                </w:tcPr>
                <w:p w14:paraId="131889F2">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6</w:t>
                  </w:r>
                </w:p>
              </w:tc>
              <w:tc>
                <w:tcPr>
                  <w:tcW w:w="1048" w:type="dxa"/>
                  <w:vAlign w:val="center"/>
                </w:tcPr>
                <w:p w14:paraId="301C39F5">
                  <w:pPr>
                    <w:snapToGrid w:val="0"/>
                    <w:spacing w:line="240" w:lineRule="auto"/>
                    <w:ind w:firstLine="0" w:firstLineChars="0"/>
                    <w:jc w:val="center"/>
                    <w:rPr>
                      <w:color w:val="auto"/>
                      <w:sz w:val="21"/>
                      <w:szCs w:val="21"/>
                    </w:rPr>
                  </w:pPr>
                  <w:r>
                    <w:rPr>
                      <w:rFonts w:hint="eastAsia"/>
                      <w:color w:val="auto"/>
                      <w:sz w:val="21"/>
                      <w:szCs w:val="21"/>
                    </w:rPr>
                    <w:t>废机油</w:t>
                  </w:r>
                </w:p>
              </w:tc>
              <w:tc>
                <w:tcPr>
                  <w:tcW w:w="1060" w:type="dxa"/>
                  <w:vAlign w:val="center"/>
                </w:tcPr>
                <w:p w14:paraId="6BC99BE0">
                  <w:pPr>
                    <w:pStyle w:val="23"/>
                    <w:spacing w:line="240" w:lineRule="auto"/>
                    <w:ind w:firstLine="0" w:firstLineChars="0"/>
                    <w:jc w:val="center"/>
                    <w:rPr>
                      <w:color w:val="auto"/>
                      <w:kern w:val="2"/>
                      <w:sz w:val="21"/>
                      <w:szCs w:val="21"/>
                    </w:rPr>
                  </w:pPr>
                  <w:r>
                    <w:rPr>
                      <w:rFonts w:hint="eastAsia"/>
                      <w:color w:val="auto"/>
                      <w:sz w:val="21"/>
                      <w:szCs w:val="21"/>
                    </w:rPr>
                    <w:t>设备维修保养</w:t>
                  </w:r>
                </w:p>
              </w:tc>
              <w:tc>
                <w:tcPr>
                  <w:tcW w:w="427" w:type="dxa"/>
                  <w:vMerge w:val="restart"/>
                  <w:vAlign w:val="center"/>
                </w:tcPr>
                <w:p w14:paraId="263AC79D">
                  <w:pPr>
                    <w:snapToGrid w:val="0"/>
                    <w:spacing w:line="240" w:lineRule="auto"/>
                    <w:ind w:firstLine="0" w:firstLineChars="0"/>
                    <w:jc w:val="center"/>
                    <w:rPr>
                      <w:color w:val="auto"/>
                      <w:sz w:val="21"/>
                      <w:szCs w:val="21"/>
                    </w:rPr>
                  </w:pPr>
                  <w:r>
                    <w:rPr>
                      <w:rFonts w:hint="eastAsia"/>
                      <w:color w:val="auto"/>
                      <w:sz w:val="21"/>
                      <w:szCs w:val="21"/>
                    </w:rPr>
                    <w:t>液态</w:t>
                  </w:r>
                </w:p>
              </w:tc>
              <w:tc>
                <w:tcPr>
                  <w:tcW w:w="1060" w:type="dxa"/>
                  <w:vAlign w:val="center"/>
                </w:tcPr>
                <w:p w14:paraId="26521B2E">
                  <w:pPr>
                    <w:pStyle w:val="23"/>
                    <w:spacing w:line="240" w:lineRule="auto"/>
                    <w:ind w:firstLine="0" w:firstLineChars="0"/>
                    <w:jc w:val="center"/>
                    <w:rPr>
                      <w:color w:val="auto"/>
                      <w:sz w:val="21"/>
                      <w:szCs w:val="21"/>
                    </w:rPr>
                  </w:pPr>
                  <w:r>
                    <w:rPr>
                      <w:rFonts w:hint="eastAsia"/>
                      <w:color w:val="auto"/>
                      <w:sz w:val="21"/>
                      <w:szCs w:val="21"/>
                    </w:rPr>
                    <w:t>油类物质</w:t>
                  </w:r>
                </w:p>
              </w:tc>
              <w:tc>
                <w:tcPr>
                  <w:tcW w:w="1216" w:type="dxa"/>
                  <w:vAlign w:val="center"/>
                </w:tcPr>
                <w:p w14:paraId="349BA097">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0.2</w:t>
                  </w:r>
                </w:p>
              </w:tc>
              <w:tc>
                <w:tcPr>
                  <w:tcW w:w="787" w:type="dxa"/>
                  <w:vAlign w:val="center"/>
                </w:tcPr>
                <w:p w14:paraId="732D8A26">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4A7D2D05">
                  <w:pPr>
                    <w:snapToGrid w:val="0"/>
                    <w:spacing w:line="240" w:lineRule="auto"/>
                    <w:ind w:firstLine="0" w:firstLineChars="0"/>
                    <w:jc w:val="center"/>
                    <w:rPr>
                      <w:color w:val="auto"/>
                      <w:sz w:val="21"/>
                      <w:szCs w:val="21"/>
                    </w:rPr>
                  </w:pPr>
                  <w:r>
                    <w:rPr>
                      <w:rFonts w:hint="eastAsia"/>
                      <w:color w:val="auto"/>
                      <w:sz w:val="21"/>
                      <w:szCs w:val="21"/>
                    </w:rPr>
                    <w:t>/</w:t>
                  </w:r>
                </w:p>
              </w:tc>
              <w:tc>
                <w:tcPr>
                  <w:tcW w:w="1943" w:type="dxa"/>
                  <w:vMerge w:val="continue"/>
                  <w:vAlign w:val="center"/>
                </w:tcPr>
                <w:p w14:paraId="6C268540">
                  <w:pPr>
                    <w:snapToGrid w:val="0"/>
                    <w:spacing w:line="240" w:lineRule="auto"/>
                    <w:ind w:firstLine="0" w:firstLineChars="0"/>
                    <w:jc w:val="center"/>
                    <w:rPr>
                      <w:color w:val="auto"/>
                      <w:sz w:val="21"/>
                      <w:szCs w:val="21"/>
                    </w:rPr>
                  </w:pPr>
                </w:p>
              </w:tc>
            </w:tr>
            <w:tr w14:paraId="5916694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shd w:val="clear" w:color="auto" w:fill="auto"/>
                  <w:vAlign w:val="center"/>
                </w:tcPr>
                <w:p w14:paraId="63D6B6D7">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w:t>
                  </w:r>
                </w:p>
              </w:tc>
              <w:tc>
                <w:tcPr>
                  <w:tcW w:w="1048" w:type="dxa"/>
                  <w:vAlign w:val="center"/>
                </w:tcPr>
                <w:p w14:paraId="366543D3">
                  <w:pPr>
                    <w:snapToGrid w:val="0"/>
                    <w:spacing w:line="240" w:lineRule="auto"/>
                    <w:ind w:firstLine="0" w:firstLineChars="0"/>
                    <w:jc w:val="center"/>
                    <w:rPr>
                      <w:rFonts w:hint="default"/>
                      <w:color w:val="auto"/>
                      <w:sz w:val="21"/>
                      <w:szCs w:val="21"/>
                      <w:lang w:val="en-US" w:eastAsia="zh-CN"/>
                    </w:rPr>
                  </w:pPr>
                  <w:r>
                    <w:rPr>
                      <w:rFonts w:hint="eastAsia"/>
                      <w:b w:val="0"/>
                      <w:bCs w:val="0"/>
                      <w:color w:val="auto"/>
                      <w:kern w:val="0"/>
                      <w:sz w:val="21"/>
                      <w:szCs w:val="21"/>
                      <w:lang w:val="en-US" w:eastAsia="zh-CN"/>
                    </w:rPr>
                    <w:t>油烟净化器废油</w:t>
                  </w:r>
                </w:p>
              </w:tc>
              <w:tc>
                <w:tcPr>
                  <w:tcW w:w="1060" w:type="dxa"/>
                  <w:vAlign w:val="center"/>
                </w:tcPr>
                <w:p w14:paraId="3AC7CD62">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废气处理</w:t>
                  </w:r>
                </w:p>
              </w:tc>
              <w:tc>
                <w:tcPr>
                  <w:tcW w:w="427" w:type="dxa"/>
                  <w:vMerge w:val="continue"/>
                  <w:vAlign w:val="center"/>
                </w:tcPr>
                <w:p w14:paraId="7E5FB6CF">
                  <w:pPr>
                    <w:snapToGrid w:val="0"/>
                    <w:spacing w:line="240" w:lineRule="auto"/>
                    <w:ind w:firstLine="0" w:firstLineChars="0"/>
                    <w:jc w:val="center"/>
                    <w:rPr>
                      <w:rFonts w:hint="default"/>
                      <w:color w:val="auto"/>
                      <w:sz w:val="21"/>
                      <w:szCs w:val="21"/>
                      <w:lang w:val="en-US" w:eastAsia="zh-CN"/>
                    </w:rPr>
                  </w:pPr>
                </w:p>
              </w:tc>
              <w:tc>
                <w:tcPr>
                  <w:tcW w:w="1060" w:type="dxa"/>
                  <w:vAlign w:val="center"/>
                </w:tcPr>
                <w:p w14:paraId="15AB81D9">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油类物质</w:t>
                  </w:r>
                </w:p>
              </w:tc>
              <w:tc>
                <w:tcPr>
                  <w:tcW w:w="1216" w:type="dxa"/>
                  <w:vAlign w:val="center"/>
                </w:tcPr>
                <w:p w14:paraId="69BEAB17">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2.116</w:t>
                  </w:r>
                </w:p>
              </w:tc>
              <w:tc>
                <w:tcPr>
                  <w:tcW w:w="787" w:type="dxa"/>
                  <w:vAlign w:val="center"/>
                </w:tcPr>
                <w:p w14:paraId="0A5AE6B5">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70017CDC">
                  <w:pPr>
                    <w:snapToGrid w:val="0"/>
                    <w:spacing w:line="240" w:lineRule="auto"/>
                    <w:ind w:firstLine="0" w:firstLineChars="0"/>
                    <w:jc w:val="center"/>
                    <w:rPr>
                      <w:rFonts w:hint="eastAsia"/>
                      <w:color w:val="auto"/>
                      <w:sz w:val="21"/>
                      <w:szCs w:val="21"/>
                    </w:rPr>
                  </w:pPr>
                  <w:r>
                    <w:rPr>
                      <w:rFonts w:hint="eastAsia"/>
                      <w:color w:val="auto"/>
                      <w:sz w:val="21"/>
                      <w:szCs w:val="21"/>
                    </w:rPr>
                    <w:t>/</w:t>
                  </w:r>
                </w:p>
              </w:tc>
              <w:tc>
                <w:tcPr>
                  <w:tcW w:w="1943" w:type="dxa"/>
                  <w:vMerge w:val="continue"/>
                  <w:vAlign w:val="center"/>
                </w:tcPr>
                <w:p w14:paraId="3568B411">
                  <w:pPr>
                    <w:snapToGrid w:val="0"/>
                    <w:spacing w:line="240" w:lineRule="auto"/>
                    <w:ind w:firstLine="0" w:firstLineChars="0"/>
                    <w:jc w:val="center"/>
                    <w:rPr>
                      <w:color w:val="auto"/>
                      <w:sz w:val="21"/>
                      <w:szCs w:val="21"/>
                    </w:rPr>
                  </w:pPr>
                </w:p>
              </w:tc>
            </w:tr>
            <w:tr w14:paraId="04F3DD0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shd w:val="clear" w:color="auto" w:fill="auto"/>
                  <w:vAlign w:val="center"/>
                </w:tcPr>
                <w:p w14:paraId="2D7A1844">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8</w:t>
                  </w:r>
                </w:p>
              </w:tc>
              <w:tc>
                <w:tcPr>
                  <w:tcW w:w="1048" w:type="dxa"/>
                  <w:vAlign w:val="center"/>
                </w:tcPr>
                <w:p w14:paraId="7BEE7CB9">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污（油）泥</w:t>
                  </w:r>
                </w:p>
              </w:tc>
              <w:tc>
                <w:tcPr>
                  <w:tcW w:w="1060" w:type="dxa"/>
                  <w:vAlign w:val="center"/>
                </w:tcPr>
                <w:p w14:paraId="644BC038">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废水处理</w:t>
                  </w:r>
                </w:p>
              </w:tc>
              <w:tc>
                <w:tcPr>
                  <w:tcW w:w="427" w:type="dxa"/>
                  <w:vMerge w:val="restart"/>
                  <w:vAlign w:val="center"/>
                </w:tcPr>
                <w:p w14:paraId="0EDA3C99">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半固态</w:t>
                  </w:r>
                </w:p>
              </w:tc>
              <w:tc>
                <w:tcPr>
                  <w:tcW w:w="1060" w:type="dxa"/>
                  <w:vAlign w:val="center"/>
                </w:tcPr>
                <w:p w14:paraId="501A1DB2">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污泥</w:t>
                  </w:r>
                </w:p>
              </w:tc>
              <w:tc>
                <w:tcPr>
                  <w:tcW w:w="1216" w:type="dxa"/>
                  <w:vAlign w:val="center"/>
                </w:tcPr>
                <w:p w14:paraId="38C5E0BF">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17.675</w:t>
                  </w:r>
                </w:p>
              </w:tc>
              <w:tc>
                <w:tcPr>
                  <w:tcW w:w="787" w:type="dxa"/>
                  <w:vAlign w:val="center"/>
                </w:tcPr>
                <w:p w14:paraId="76A0D3A7">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3B196C8D">
                  <w:pPr>
                    <w:snapToGrid w:val="0"/>
                    <w:spacing w:line="240" w:lineRule="auto"/>
                    <w:ind w:firstLine="0" w:firstLineChars="0"/>
                    <w:jc w:val="center"/>
                    <w:rPr>
                      <w:rFonts w:hint="eastAsia"/>
                      <w:color w:val="auto"/>
                      <w:sz w:val="21"/>
                      <w:szCs w:val="21"/>
                    </w:rPr>
                  </w:pPr>
                  <w:r>
                    <w:rPr>
                      <w:rFonts w:hint="eastAsia"/>
                      <w:color w:val="auto"/>
                      <w:sz w:val="21"/>
                      <w:szCs w:val="21"/>
                    </w:rPr>
                    <w:t>/</w:t>
                  </w:r>
                </w:p>
              </w:tc>
              <w:tc>
                <w:tcPr>
                  <w:tcW w:w="1943" w:type="dxa"/>
                  <w:vMerge w:val="continue"/>
                  <w:vAlign w:val="center"/>
                </w:tcPr>
                <w:p w14:paraId="20F3E58B">
                  <w:pPr>
                    <w:snapToGrid w:val="0"/>
                    <w:spacing w:line="240" w:lineRule="auto"/>
                    <w:ind w:firstLine="0" w:firstLineChars="0"/>
                    <w:jc w:val="center"/>
                    <w:rPr>
                      <w:color w:val="auto"/>
                      <w:sz w:val="21"/>
                      <w:szCs w:val="21"/>
                    </w:rPr>
                  </w:pPr>
                </w:p>
              </w:tc>
            </w:tr>
            <w:tr w14:paraId="67B42A7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9" w:hRule="atLeast"/>
                <w:jc w:val="center"/>
              </w:trPr>
              <w:tc>
                <w:tcPr>
                  <w:tcW w:w="428" w:type="dxa"/>
                  <w:shd w:val="clear" w:color="auto" w:fill="auto"/>
                  <w:vAlign w:val="center"/>
                </w:tcPr>
                <w:p w14:paraId="0E5059EC">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9</w:t>
                  </w:r>
                </w:p>
              </w:tc>
              <w:tc>
                <w:tcPr>
                  <w:tcW w:w="1048" w:type="dxa"/>
                  <w:vAlign w:val="center"/>
                </w:tcPr>
                <w:p w14:paraId="4D0E2D11">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生化污泥</w:t>
                  </w:r>
                </w:p>
              </w:tc>
              <w:tc>
                <w:tcPr>
                  <w:tcW w:w="1060" w:type="dxa"/>
                  <w:vAlign w:val="center"/>
                </w:tcPr>
                <w:p w14:paraId="72B8352C">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废水处理</w:t>
                  </w:r>
                </w:p>
              </w:tc>
              <w:tc>
                <w:tcPr>
                  <w:tcW w:w="427" w:type="dxa"/>
                  <w:vMerge w:val="continue"/>
                  <w:vAlign w:val="center"/>
                </w:tcPr>
                <w:p w14:paraId="0DD8F911">
                  <w:pPr>
                    <w:snapToGrid w:val="0"/>
                    <w:spacing w:line="240" w:lineRule="auto"/>
                    <w:ind w:firstLine="0" w:firstLineChars="0"/>
                    <w:jc w:val="center"/>
                    <w:rPr>
                      <w:rFonts w:hint="eastAsia"/>
                      <w:color w:val="auto"/>
                      <w:sz w:val="21"/>
                      <w:szCs w:val="21"/>
                      <w:lang w:val="en-US" w:eastAsia="zh-CN"/>
                    </w:rPr>
                  </w:pPr>
                </w:p>
              </w:tc>
              <w:tc>
                <w:tcPr>
                  <w:tcW w:w="1060" w:type="dxa"/>
                  <w:vAlign w:val="center"/>
                </w:tcPr>
                <w:p w14:paraId="5860D1B8">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污泥</w:t>
                  </w:r>
                </w:p>
              </w:tc>
              <w:tc>
                <w:tcPr>
                  <w:tcW w:w="1216" w:type="dxa"/>
                  <w:vAlign w:val="center"/>
                </w:tcPr>
                <w:p w14:paraId="0E7F8F22">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206.55</w:t>
                  </w:r>
                </w:p>
              </w:tc>
              <w:tc>
                <w:tcPr>
                  <w:tcW w:w="787" w:type="dxa"/>
                  <w:vAlign w:val="center"/>
                </w:tcPr>
                <w:p w14:paraId="26314EF6">
                  <w:pPr>
                    <w:snapToGrid w:val="0"/>
                    <w:spacing w:line="240" w:lineRule="auto"/>
                    <w:ind w:firstLine="0" w:firstLineChars="0"/>
                    <w:jc w:val="center"/>
                    <w:rPr>
                      <w:color w:val="auto"/>
                      <w:sz w:val="21"/>
                      <w:szCs w:val="21"/>
                    </w:rPr>
                  </w:pPr>
                  <w:r>
                    <w:rPr>
                      <w:color w:val="auto"/>
                      <w:sz w:val="21"/>
                      <w:szCs w:val="21"/>
                    </w:rPr>
                    <w:t>√</w:t>
                  </w:r>
                </w:p>
              </w:tc>
              <w:tc>
                <w:tcPr>
                  <w:tcW w:w="853" w:type="dxa"/>
                  <w:vAlign w:val="center"/>
                </w:tcPr>
                <w:p w14:paraId="494FDE20">
                  <w:pPr>
                    <w:snapToGrid w:val="0"/>
                    <w:spacing w:line="240" w:lineRule="auto"/>
                    <w:ind w:firstLine="0" w:firstLineChars="0"/>
                    <w:jc w:val="center"/>
                    <w:rPr>
                      <w:rFonts w:hint="eastAsia"/>
                      <w:color w:val="auto"/>
                      <w:sz w:val="21"/>
                      <w:szCs w:val="21"/>
                    </w:rPr>
                  </w:pPr>
                  <w:r>
                    <w:rPr>
                      <w:rFonts w:hint="eastAsia"/>
                      <w:color w:val="auto"/>
                      <w:sz w:val="21"/>
                      <w:szCs w:val="21"/>
                    </w:rPr>
                    <w:t>/</w:t>
                  </w:r>
                </w:p>
              </w:tc>
              <w:tc>
                <w:tcPr>
                  <w:tcW w:w="1943" w:type="dxa"/>
                  <w:vMerge w:val="continue"/>
                  <w:vAlign w:val="center"/>
                </w:tcPr>
                <w:p w14:paraId="3F029693">
                  <w:pPr>
                    <w:snapToGrid w:val="0"/>
                    <w:spacing w:line="240" w:lineRule="auto"/>
                    <w:ind w:firstLine="0" w:firstLineChars="0"/>
                    <w:jc w:val="center"/>
                    <w:rPr>
                      <w:color w:val="auto"/>
                      <w:sz w:val="21"/>
                      <w:szCs w:val="21"/>
                    </w:rPr>
                  </w:pPr>
                </w:p>
              </w:tc>
            </w:tr>
          </w:tbl>
          <w:p w14:paraId="3D85FB03">
            <w:pPr>
              <w:snapToGrid w:val="0"/>
              <w:spacing w:before="120" w:beforeLines="50" w:line="360" w:lineRule="auto"/>
              <w:ind w:firstLine="480"/>
              <w:rPr>
                <w:color w:val="auto"/>
              </w:rPr>
            </w:pPr>
            <w:r>
              <w:rPr>
                <w:color w:val="auto"/>
              </w:rPr>
              <w:t>根据《国家危险废物名录（202</w:t>
            </w:r>
            <w:r>
              <w:rPr>
                <w:rFonts w:hint="eastAsia"/>
                <w:color w:val="auto"/>
                <w:lang w:val="en-US" w:eastAsia="zh-CN"/>
              </w:rPr>
              <w:t>5</w:t>
            </w:r>
            <w:r>
              <w:rPr>
                <w:rFonts w:hint="eastAsia"/>
                <w:color w:val="auto"/>
              </w:rPr>
              <w:t>年</w:t>
            </w:r>
            <w:r>
              <w:rPr>
                <w:color w:val="auto"/>
              </w:rPr>
              <w:t>版）》及《危险废物鉴别标准通则》</w:t>
            </w:r>
            <w:r>
              <w:rPr>
                <w:rFonts w:hint="eastAsia"/>
                <w:color w:val="auto"/>
              </w:rPr>
              <w:t>（GB5085.7-20</w:t>
            </w:r>
            <w:r>
              <w:rPr>
                <w:color w:val="auto"/>
              </w:rPr>
              <w:t>19</w:t>
            </w:r>
            <w:r>
              <w:rPr>
                <w:rFonts w:hint="eastAsia"/>
                <w:color w:val="auto"/>
              </w:rPr>
              <w:t>）</w:t>
            </w:r>
            <w:r>
              <w:rPr>
                <w:color w:val="auto"/>
              </w:rPr>
              <w:t>，判定建设项目的固体废物是否属于危险废物，具体判定结果见表4-</w:t>
            </w:r>
            <w:r>
              <w:rPr>
                <w:rFonts w:hint="eastAsia"/>
                <w:color w:val="auto"/>
                <w:lang w:val="en-US" w:eastAsia="zh-CN"/>
              </w:rPr>
              <w:t>25</w:t>
            </w:r>
            <w:r>
              <w:rPr>
                <w:color w:val="auto"/>
              </w:rPr>
              <w:t>。</w:t>
            </w:r>
          </w:p>
          <w:p w14:paraId="30DDC58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auto"/>
              </w:rPr>
            </w:pPr>
            <w:r>
              <w:rPr>
                <w:b/>
                <w:bCs/>
                <w:color w:val="auto"/>
              </w:rPr>
              <w:t>表4-</w:t>
            </w:r>
            <w:r>
              <w:rPr>
                <w:rFonts w:hint="eastAsia"/>
                <w:b/>
                <w:bCs/>
                <w:color w:val="auto"/>
                <w:lang w:val="en-US" w:eastAsia="zh-CN"/>
              </w:rPr>
              <w:t>25</w:t>
            </w:r>
            <w:r>
              <w:rPr>
                <w:b/>
                <w:bCs/>
                <w:color w:val="auto"/>
              </w:rPr>
              <w:t>项目营运期固体废物分析结果汇总表</w:t>
            </w:r>
          </w:p>
          <w:tbl>
            <w:tblPr>
              <w:tblStyle w:val="38"/>
              <w:tblpPr w:leftFromText="180" w:rightFromText="180" w:vertAnchor="text" w:horzAnchor="margin" w:tblpY="213"/>
              <w:tblOverlap w:val="never"/>
              <w:tblW w:w="8868"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28"/>
              <w:gridCol w:w="3"/>
              <w:gridCol w:w="757"/>
              <w:gridCol w:w="365"/>
              <w:gridCol w:w="488"/>
              <w:gridCol w:w="658"/>
              <w:gridCol w:w="493"/>
              <w:gridCol w:w="1117"/>
              <w:gridCol w:w="964"/>
              <w:gridCol w:w="648"/>
              <w:gridCol w:w="885"/>
              <w:gridCol w:w="1321"/>
              <w:gridCol w:w="841"/>
            </w:tblGrid>
            <w:tr w14:paraId="3CCDF8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tcMar>
                    <w:top w:w="0" w:type="dxa"/>
                    <w:left w:w="0" w:type="dxa"/>
                    <w:bottom w:w="0" w:type="dxa"/>
                    <w:right w:w="0" w:type="dxa"/>
                  </w:tcMar>
                  <w:vAlign w:val="center"/>
                </w:tcPr>
                <w:p w14:paraId="43E90A34">
                  <w:pPr>
                    <w:adjustRightInd w:val="0"/>
                    <w:snapToGrid w:val="0"/>
                    <w:spacing w:line="240" w:lineRule="auto"/>
                    <w:ind w:firstLine="0" w:firstLineChars="0"/>
                    <w:jc w:val="center"/>
                    <w:rPr>
                      <w:b/>
                      <w:bCs/>
                      <w:color w:val="auto"/>
                      <w:sz w:val="21"/>
                      <w:szCs w:val="21"/>
                    </w:rPr>
                  </w:pPr>
                  <w:r>
                    <w:rPr>
                      <w:rFonts w:hint="eastAsia"/>
                      <w:b/>
                      <w:bCs/>
                      <w:color w:val="auto"/>
                      <w:sz w:val="21"/>
                      <w:szCs w:val="21"/>
                    </w:rPr>
                    <w:t>序</w:t>
                  </w:r>
                  <w:r>
                    <w:rPr>
                      <w:b/>
                      <w:bCs/>
                      <w:color w:val="auto"/>
                      <w:sz w:val="21"/>
                      <w:szCs w:val="21"/>
                    </w:rPr>
                    <w:t>号</w:t>
                  </w:r>
                </w:p>
              </w:tc>
              <w:tc>
                <w:tcPr>
                  <w:tcW w:w="428" w:type="pct"/>
                  <w:gridSpan w:val="2"/>
                  <w:tcMar>
                    <w:top w:w="0" w:type="dxa"/>
                    <w:left w:w="0" w:type="dxa"/>
                    <w:bottom w:w="0" w:type="dxa"/>
                    <w:right w:w="0" w:type="dxa"/>
                  </w:tcMar>
                  <w:vAlign w:val="center"/>
                </w:tcPr>
                <w:p w14:paraId="5091F149">
                  <w:pPr>
                    <w:adjustRightInd w:val="0"/>
                    <w:snapToGrid w:val="0"/>
                    <w:spacing w:line="240" w:lineRule="auto"/>
                    <w:ind w:firstLine="0" w:firstLineChars="0"/>
                    <w:jc w:val="center"/>
                    <w:rPr>
                      <w:b/>
                      <w:bCs/>
                      <w:color w:val="auto"/>
                      <w:sz w:val="21"/>
                      <w:szCs w:val="21"/>
                    </w:rPr>
                  </w:pPr>
                  <w:r>
                    <w:rPr>
                      <w:b/>
                      <w:bCs/>
                      <w:color w:val="auto"/>
                      <w:sz w:val="21"/>
                      <w:szCs w:val="21"/>
                    </w:rPr>
                    <w:t>固体废物名称</w:t>
                  </w:r>
                </w:p>
              </w:tc>
              <w:tc>
                <w:tcPr>
                  <w:tcW w:w="480" w:type="pct"/>
                  <w:gridSpan w:val="2"/>
                  <w:tcMar>
                    <w:top w:w="0" w:type="dxa"/>
                    <w:left w:w="0" w:type="dxa"/>
                    <w:bottom w:w="0" w:type="dxa"/>
                    <w:right w:w="0" w:type="dxa"/>
                  </w:tcMar>
                  <w:vAlign w:val="center"/>
                </w:tcPr>
                <w:p w14:paraId="0342A687">
                  <w:pPr>
                    <w:adjustRightInd w:val="0"/>
                    <w:snapToGrid w:val="0"/>
                    <w:spacing w:line="240" w:lineRule="auto"/>
                    <w:ind w:firstLine="0" w:firstLineChars="0"/>
                    <w:jc w:val="center"/>
                    <w:rPr>
                      <w:b/>
                      <w:bCs/>
                      <w:color w:val="auto"/>
                      <w:sz w:val="21"/>
                      <w:szCs w:val="21"/>
                    </w:rPr>
                  </w:pPr>
                  <w:r>
                    <w:rPr>
                      <w:b/>
                      <w:bCs/>
                      <w:color w:val="auto"/>
                      <w:sz w:val="21"/>
                      <w:szCs w:val="21"/>
                    </w:rPr>
                    <w:t>属性</w:t>
                  </w:r>
                </w:p>
              </w:tc>
              <w:tc>
                <w:tcPr>
                  <w:tcW w:w="370" w:type="pct"/>
                  <w:tcMar>
                    <w:top w:w="0" w:type="dxa"/>
                    <w:left w:w="0" w:type="dxa"/>
                    <w:bottom w:w="0" w:type="dxa"/>
                    <w:right w:w="0" w:type="dxa"/>
                  </w:tcMar>
                  <w:vAlign w:val="center"/>
                </w:tcPr>
                <w:p w14:paraId="4DB81D2D">
                  <w:pPr>
                    <w:adjustRightInd w:val="0"/>
                    <w:snapToGrid w:val="0"/>
                    <w:spacing w:line="240" w:lineRule="auto"/>
                    <w:ind w:firstLine="0" w:firstLineChars="0"/>
                    <w:jc w:val="center"/>
                    <w:rPr>
                      <w:b/>
                      <w:bCs/>
                      <w:color w:val="auto"/>
                      <w:sz w:val="21"/>
                      <w:szCs w:val="21"/>
                    </w:rPr>
                  </w:pPr>
                  <w:r>
                    <w:rPr>
                      <w:b/>
                      <w:bCs/>
                      <w:color w:val="auto"/>
                      <w:sz w:val="21"/>
                      <w:szCs w:val="21"/>
                    </w:rPr>
                    <w:t>产生工序</w:t>
                  </w:r>
                </w:p>
              </w:tc>
              <w:tc>
                <w:tcPr>
                  <w:tcW w:w="277" w:type="pct"/>
                  <w:tcMar>
                    <w:top w:w="0" w:type="dxa"/>
                    <w:left w:w="0" w:type="dxa"/>
                    <w:bottom w:w="0" w:type="dxa"/>
                    <w:right w:w="0" w:type="dxa"/>
                  </w:tcMar>
                  <w:vAlign w:val="center"/>
                </w:tcPr>
                <w:p w14:paraId="00402073">
                  <w:pPr>
                    <w:adjustRightInd w:val="0"/>
                    <w:snapToGrid w:val="0"/>
                    <w:spacing w:line="240" w:lineRule="auto"/>
                    <w:ind w:firstLine="0" w:firstLineChars="0"/>
                    <w:jc w:val="center"/>
                    <w:rPr>
                      <w:b/>
                      <w:bCs/>
                      <w:color w:val="auto"/>
                      <w:sz w:val="21"/>
                      <w:szCs w:val="21"/>
                    </w:rPr>
                  </w:pPr>
                  <w:r>
                    <w:rPr>
                      <w:b/>
                      <w:bCs/>
                      <w:color w:val="auto"/>
                      <w:sz w:val="21"/>
                      <w:szCs w:val="21"/>
                    </w:rPr>
                    <w:t>形态</w:t>
                  </w:r>
                </w:p>
              </w:tc>
              <w:tc>
                <w:tcPr>
                  <w:tcW w:w="629" w:type="pct"/>
                  <w:tcMar>
                    <w:top w:w="0" w:type="dxa"/>
                    <w:left w:w="0" w:type="dxa"/>
                    <w:bottom w:w="0" w:type="dxa"/>
                    <w:right w:w="0" w:type="dxa"/>
                  </w:tcMar>
                  <w:vAlign w:val="center"/>
                </w:tcPr>
                <w:p w14:paraId="2E2D683E">
                  <w:pPr>
                    <w:adjustRightInd w:val="0"/>
                    <w:snapToGrid w:val="0"/>
                    <w:spacing w:line="240" w:lineRule="auto"/>
                    <w:ind w:firstLine="0" w:firstLineChars="0"/>
                    <w:jc w:val="center"/>
                    <w:rPr>
                      <w:b/>
                      <w:bCs/>
                      <w:color w:val="auto"/>
                      <w:sz w:val="21"/>
                      <w:szCs w:val="21"/>
                    </w:rPr>
                  </w:pPr>
                  <w:r>
                    <w:rPr>
                      <w:b/>
                      <w:bCs/>
                      <w:color w:val="auto"/>
                      <w:sz w:val="21"/>
                      <w:szCs w:val="21"/>
                    </w:rPr>
                    <w:t>主要成分</w:t>
                  </w:r>
                </w:p>
              </w:tc>
              <w:tc>
                <w:tcPr>
                  <w:tcW w:w="543" w:type="pct"/>
                  <w:tcMar>
                    <w:top w:w="0" w:type="dxa"/>
                    <w:left w:w="0" w:type="dxa"/>
                    <w:bottom w:w="0" w:type="dxa"/>
                    <w:right w:w="0" w:type="dxa"/>
                  </w:tcMar>
                  <w:vAlign w:val="center"/>
                </w:tcPr>
                <w:p w14:paraId="77139DDD">
                  <w:pPr>
                    <w:adjustRightInd w:val="0"/>
                    <w:snapToGrid w:val="0"/>
                    <w:spacing w:line="240" w:lineRule="auto"/>
                    <w:ind w:firstLine="0" w:firstLineChars="0"/>
                    <w:jc w:val="center"/>
                    <w:rPr>
                      <w:b/>
                      <w:bCs/>
                      <w:color w:val="auto"/>
                      <w:sz w:val="21"/>
                      <w:szCs w:val="21"/>
                    </w:rPr>
                  </w:pPr>
                  <w:r>
                    <w:rPr>
                      <w:b/>
                      <w:bCs/>
                      <w:color w:val="auto"/>
                      <w:sz w:val="21"/>
                      <w:szCs w:val="21"/>
                    </w:rPr>
                    <w:t>危险特性鉴别方法</w:t>
                  </w:r>
                </w:p>
              </w:tc>
              <w:tc>
                <w:tcPr>
                  <w:tcW w:w="365" w:type="pct"/>
                  <w:tcMar>
                    <w:top w:w="0" w:type="dxa"/>
                    <w:left w:w="0" w:type="dxa"/>
                    <w:bottom w:w="0" w:type="dxa"/>
                    <w:right w:w="0" w:type="dxa"/>
                  </w:tcMar>
                  <w:vAlign w:val="center"/>
                </w:tcPr>
                <w:p w14:paraId="23CA67A3">
                  <w:pPr>
                    <w:adjustRightInd w:val="0"/>
                    <w:snapToGrid w:val="0"/>
                    <w:spacing w:line="240" w:lineRule="auto"/>
                    <w:ind w:firstLine="0" w:firstLineChars="0"/>
                    <w:jc w:val="center"/>
                    <w:rPr>
                      <w:b/>
                      <w:bCs/>
                      <w:color w:val="auto"/>
                      <w:sz w:val="21"/>
                      <w:szCs w:val="21"/>
                    </w:rPr>
                  </w:pPr>
                  <w:r>
                    <w:rPr>
                      <w:b/>
                      <w:bCs/>
                      <w:color w:val="auto"/>
                      <w:sz w:val="21"/>
                      <w:szCs w:val="21"/>
                    </w:rPr>
                    <w:t>危险特性</w:t>
                  </w:r>
                </w:p>
              </w:tc>
              <w:tc>
                <w:tcPr>
                  <w:tcW w:w="498" w:type="pct"/>
                  <w:tcMar>
                    <w:top w:w="0" w:type="dxa"/>
                    <w:left w:w="0" w:type="dxa"/>
                    <w:bottom w:w="0" w:type="dxa"/>
                    <w:right w:w="0" w:type="dxa"/>
                  </w:tcMar>
                  <w:vAlign w:val="center"/>
                </w:tcPr>
                <w:p w14:paraId="3124DA0E">
                  <w:pPr>
                    <w:adjustRightInd w:val="0"/>
                    <w:snapToGrid w:val="0"/>
                    <w:spacing w:line="240" w:lineRule="auto"/>
                    <w:ind w:firstLine="0" w:firstLineChars="0"/>
                    <w:jc w:val="center"/>
                    <w:rPr>
                      <w:b/>
                      <w:bCs/>
                      <w:color w:val="auto"/>
                      <w:sz w:val="21"/>
                      <w:szCs w:val="21"/>
                    </w:rPr>
                  </w:pPr>
                  <w:r>
                    <w:rPr>
                      <w:b/>
                      <w:bCs/>
                      <w:color w:val="auto"/>
                      <w:sz w:val="21"/>
                      <w:szCs w:val="21"/>
                    </w:rPr>
                    <w:t>废物</w:t>
                  </w:r>
                </w:p>
                <w:p w14:paraId="5A75FE0D">
                  <w:pPr>
                    <w:adjustRightInd w:val="0"/>
                    <w:snapToGrid w:val="0"/>
                    <w:spacing w:line="240" w:lineRule="auto"/>
                    <w:ind w:firstLine="0" w:firstLineChars="0"/>
                    <w:jc w:val="center"/>
                    <w:rPr>
                      <w:b/>
                      <w:bCs/>
                      <w:color w:val="auto"/>
                      <w:sz w:val="21"/>
                      <w:szCs w:val="21"/>
                    </w:rPr>
                  </w:pPr>
                  <w:r>
                    <w:rPr>
                      <w:b/>
                      <w:bCs/>
                      <w:color w:val="auto"/>
                      <w:sz w:val="21"/>
                      <w:szCs w:val="21"/>
                    </w:rPr>
                    <w:t>类别</w:t>
                  </w:r>
                </w:p>
              </w:tc>
              <w:tc>
                <w:tcPr>
                  <w:tcW w:w="744" w:type="pct"/>
                  <w:tcMar>
                    <w:top w:w="0" w:type="dxa"/>
                    <w:left w:w="0" w:type="dxa"/>
                    <w:bottom w:w="0" w:type="dxa"/>
                    <w:right w:w="0" w:type="dxa"/>
                  </w:tcMar>
                  <w:vAlign w:val="center"/>
                </w:tcPr>
                <w:p w14:paraId="467F388A">
                  <w:pPr>
                    <w:adjustRightInd w:val="0"/>
                    <w:snapToGrid w:val="0"/>
                    <w:spacing w:line="240" w:lineRule="auto"/>
                    <w:ind w:firstLine="0" w:firstLineChars="0"/>
                    <w:jc w:val="center"/>
                    <w:rPr>
                      <w:b/>
                      <w:bCs/>
                      <w:color w:val="auto"/>
                      <w:sz w:val="21"/>
                      <w:szCs w:val="21"/>
                    </w:rPr>
                  </w:pPr>
                  <w:r>
                    <w:rPr>
                      <w:b/>
                      <w:bCs/>
                      <w:color w:val="auto"/>
                      <w:sz w:val="21"/>
                      <w:szCs w:val="21"/>
                    </w:rPr>
                    <w:t>废物代码</w:t>
                  </w:r>
                </w:p>
              </w:tc>
              <w:tc>
                <w:tcPr>
                  <w:tcW w:w="474" w:type="pct"/>
                  <w:tcMar>
                    <w:top w:w="0" w:type="dxa"/>
                    <w:left w:w="0" w:type="dxa"/>
                    <w:bottom w:w="0" w:type="dxa"/>
                    <w:right w:w="0" w:type="dxa"/>
                  </w:tcMar>
                  <w:vAlign w:val="center"/>
                </w:tcPr>
                <w:p w14:paraId="77BC01CC">
                  <w:pPr>
                    <w:adjustRightInd w:val="0"/>
                    <w:snapToGrid w:val="0"/>
                    <w:spacing w:line="240" w:lineRule="auto"/>
                    <w:ind w:firstLine="0" w:firstLineChars="0"/>
                    <w:jc w:val="center"/>
                    <w:rPr>
                      <w:b/>
                      <w:bCs/>
                      <w:color w:val="auto"/>
                      <w:sz w:val="21"/>
                      <w:szCs w:val="21"/>
                    </w:rPr>
                  </w:pPr>
                  <w:r>
                    <w:rPr>
                      <w:b/>
                      <w:bCs/>
                      <w:color w:val="auto"/>
                      <w:sz w:val="21"/>
                      <w:szCs w:val="21"/>
                    </w:rPr>
                    <w:t>产生量</w:t>
                  </w:r>
                </w:p>
                <w:p w14:paraId="446F9F35">
                  <w:pPr>
                    <w:adjustRightInd w:val="0"/>
                    <w:snapToGrid w:val="0"/>
                    <w:spacing w:line="240" w:lineRule="auto"/>
                    <w:ind w:firstLine="0" w:firstLineChars="0"/>
                    <w:jc w:val="center"/>
                    <w:rPr>
                      <w:b/>
                      <w:bCs/>
                      <w:color w:val="auto"/>
                      <w:sz w:val="21"/>
                      <w:szCs w:val="21"/>
                    </w:rPr>
                  </w:pPr>
                  <w:r>
                    <w:rPr>
                      <w:b/>
                      <w:bCs/>
                      <w:color w:val="auto"/>
                      <w:sz w:val="21"/>
                      <w:szCs w:val="21"/>
                    </w:rPr>
                    <w:t>（吨/年）</w:t>
                  </w:r>
                </w:p>
              </w:tc>
            </w:tr>
            <w:tr w14:paraId="64E7D4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tcMar>
                    <w:top w:w="0" w:type="dxa"/>
                    <w:left w:w="0" w:type="dxa"/>
                    <w:bottom w:w="0" w:type="dxa"/>
                    <w:right w:w="0" w:type="dxa"/>
                  </w:tcMar>
                  <w:vAlign w:val="center"/>
                </w:tcPr>
                <w:p w14:paraId="70E1E37C">
                  <w:pPr>
                    <w:snapToGrid w:val="0"/>
                    <w:spacing w:line="240" w:lineRule="auto"/>
                    <w:ind w:firstLine="0" w:firstLineChars="0"/>
                    <w:jc w:val="center"/>
                    <w:rPr>
                      <w:color w:val="auto"/>
                      <w:sz w:val="21"/>
                      <w:szCs w:val="21"/>
                    </w:rPr>
                  </w:pPr>
                  <w:r>
                    <w:rPr>
                      <w:color w:val="auto"/>
                      <w:sz w:val="21"/>
                      <w:szCs w:val="21"/>
                    </w:rPr>
                    <w:t>1</w:t>
                  </w:r>
                </w:p>
              </w:tc>
              <w:tc>
                <w:tcPr>
                  <w:tcW w:w="428" w:type="pct"/>
                  <w:gridSpan w:val="2"/>
                  <w:tcMar>
                    <w:top w:w="0" w:type="dxa"/>
                    <w:left w:w="0" w:type="dxa"/>
                    <w:bottom w:w="0" w:type="dxa"/>
                    <w:right w:w="0" w:type="dxa"/>
                  </w:tcMar>
                  <w:vAlign w:val="center"/>
                </w:tcPr>
                <w:p w14:paraId="5A442B88">
                  <w:pPr>
                    <w:snapToGrid w:val="0"/>
                    <w:spacing w:line="240" w:lineRule="auto"/>
                    <w:ind w:firstLine="0" w:firstLineChars="0"/>
                    <w:jc w:val="center"/>
                    <w:rPr>
                      <w:color w:val="auto"/>
                      <w:sz w:val="21"/>
                      <w:szCs w:val="21"/>
                    </w:rPr>
                  </w:pPr>
                  <w:r>
                    <w:rPr>
                      <w:color w:val="auto"/>
                      <w:sz w:val="21"/>
                      <w:szCs w:val="21"/>
                    </w:rPr>
                    <w:t>生活</w:t>
                  </w:r>
                </w:p>
                <w:p w14:paraId="666D6DE9">
                  <w:pPr>
                    <w:snapToGrid w:val="0"/>
                    <w:spacing w:line="240" w:lineRule="auto"/>
                    <w:ind w:firstLine="0" w:firstLineChars="0"/>
                    <w:jc w:val="center"/>
                    <w:rPr>
                      <w:color w:val="auto"/>
                      <w:sz w:val="21"/>
                      <w:szCs w:val="21"/>
                    </w:rPr>
                  </w:pPr>
                  <w:r>
                    <w:rPr>
                      <w:color w:val="auto"/>
                      <w:sz w:val="21"/>
                      <w:szCs w:val="21"/>
                    </w:rPr>
                    <w:t>垃圾</w:t>
                  </w:r>
                </w:p>
              </w:tc>
              <w:tc>
                <w:tcPr>
                  <w:tcW w:w="480" w:type="pct"/>
                  <w:gridSpan w:val="2"/>
                  <w:tcMar>
                    <w:top w:w="0" w:type="dxa"/>
                    <w:left w:w="0" w:type="dxa"/>
                    <w:bottom w:w="0" w:type="dxa"/>
                    <w:right w:w="0" w:type="dxa"/>
                  </w:tcMar>
                  <w:vAlign w:val="center"/>
                </w:tcPr>
                <w:p w14:paraId="1D376988">
                  <w:pPr>
                    <w:snapToGrid w:val="0"/>
                    <w:spacing w:line="240" w:lineRule="auto"/>
                    <w:ind w:firstLine="0" w:firstLineChars="0"/>
                    <w:jc w:val="center"/>
                    <w:rPr>
                      <w:color w:val="auto"/>
                      <w:sz w:val="21"/>
                      <w:szCs w:val="21"/>
                    </w:rPr>
                  </w:pPr>
                  <w:r>
                    <w:rPr>
                      <w:rFonts w:hint="eastAsia"/>
                      <w:color w:val="auto"/>
                      <w:sz w:val="21"/>
                      <w:szCs w:val="21"/>
                    </w:rPr>
                    <w:t>/</w:t>
                  </w:r>
                </w:p>
              </w:tc>
              <w:tc>
                <w:tcPr>
                  <w:tcW w:w="370" w:type="pct"/>
                  <w:shd w:val="clear" w:color="auto" w:fill="auto"/>
                  <w:tcMar>
                    <w:top w:w="0" w:type="dxa"/>
                    <w:left w:w="0" w:type="dxa"/>
                    <w:bottom w:w="0" w:type="dxa"/>
                    <w:right w:w="0" w:type="dxa"/>
                  </w:tcMar>
                  <w:vAlign w:val="center"/>
                </w:tcPr>
                <w:p w14:paraId="44E6344E">
                  <w:pPr>
                    <w:snapToGrid w:val="0"/>
                    <w:spacing w:line="240" w:lineRule="auto"/>
                    <w:ind w:firstLine="0" w:firstLineChars="0"/>
                    <w:jc w:val="center"/>
                    <w:rPr>
                      <w:color w:val="auto"/>
                      <w:sz w:val="21"/>
                      <w:szCs w:val="21"/>
                    </w:rPr>
                  </w:pPr>
                  <w:r>
                    <w:rPr>
                      <w:color w:val="auto"/>
                      <w:sz w:val="21"/>
                      <w:szCs w:val="21"/>
                    </w:rPr>
                    <w:t>员工</w:t>
                  </w:r>
                </w:p>
                <w:p w14:paraId="685293B1">
                  <w:pPr>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生活</w:t>
                  </w:r>
                </w:p>
              </w:tc>
              <w:tc>
                <w:tcPr>
                  <w:tcW w:w="277" w:type="pct"/>
                  <w:vMerge w:val="restart"/>
                  <w:tcMar>
                    <w:top w:w="0" w:type="dxa"/>
                    <w:left w:w="0" w:type="dxa"/>
                    <w:bottom w:w="0" w:type="dxa"/>
                    <w:right w:w="0" w:type="dxa"/>
                  </w:tcMar>
                  <w:vAlign w:val="center"/>
                </w:tcPr>
                <w:p w14:paraId="289F195B">
                  <w:pPr>
                    <w:pStyle w:val="23"/>
                    <w:spacing w:line="240" w:lineRule="auto"/>
                    <w:ind w:firstLine="0" w:firstLineChars="0"/>
                    <w:jc w:val="center"/>
                    <w:rPr>
                      <w:color w:val="auto"/>
                      <w:kern w:val="2"/>
                      <w:sz w:val="21"/>
                      <w:szCs w:val="21"/>
                    </w:rPr>
                  </w:pPr>
                  <w:r>
                    <w:rPr>
                      <w:color w:val="auto"/>
                      <w:kern w:val="2"/>
                      <w:sz w:val="21"/>
                      <w:szCs w:val="21"/>
                    </w:rPr>
                    <w:t>固态</w:t>
                  </w:r>
                </w:p>
              </w:tc>
              <w:tc>
                <w:tcPr>
                  <w:tcW w:w="629" w:type="pct"/>
                  <w:shd w:val="clear" w:color="auto" w:fill="auto"/>
                  <w:tcMar>
                    <w:top w:w="0" w:type="dxa"/>
                    <w:left w:w="0" w:type="dxa"/>
                    <w:bottom w:w="0" w:type="dxa"/>
                    <w:right w:w="0" w:type="dxa"/>
                  </w:tcMar>
                  <w:vAlign w:val="center"/>
                </w:tcPr>
                <w:p w14:paraId="3533DC4A">
                  <w:pPr>
                    <w:pStyle w:val="23"/>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kern w:val="2"/>
                      <w:sz w:val="21"/>
                      <w:szCs w:val="21"/>
                    </w:rPr>
                    <w:t>可燃物、可堆腐物</w:t>
                  </w:r>
                </w:p>
              </w:tc>
              <w:tc>
                <w:tcPr>
                  <w:tcW w:w="543" w:type="pct"/>
                  <w:vMerge w:val="restart"/>
                  <w:tcMar>
                    <w:top w:w="0" w:type="dxa"/>
                    <w:left w:w="0" w:type="dxa"/>
                    <w:bottom w:w="0" w:type="dxa"/>
                    <w:right w:w="0" w:type="dxa"/>
                  </w:tcMar>
                  <w:vAlign w:val="center"/>
                </w:tcPr>
                <w:p w14:paraId="611600FD">
                  <w:pPr>
                    <w:pStyle w:val="23"/>
                    <w:spacing w:line="240" w:lineRule="auto"/>
                    <w:ind w:firstLine="0" w:firstLineChars="0"/>
                    <w:jc w:val="center"/>
                    <w:rPr>
                      <w:color w:val="auto"/>
                      <w:kern w:val="2"/>
                      <w:sz w:val="21"/>
                      <w:szCs w:val="21"/>
                    </w:rPr>
                  </w:pPr>
                  <w:r>
                    <w:rPr>
                      <w:color w:val="auto"/>
                      <w:kern w:val="2"/>
                      <w:sz w:val="21"/>
                      <w:szCs w:val="21"/>
                    </w:rPr>
                    <w:t>《国家危险废物名录（202</w:t>
                  </w:r>
                  <w:r>
                    <w:rPr>
                      <w:rFonts w:hint="eastAsia"/>
                      <w:color w:val="auto"/>
                      <w:kern w:val="2"/>
                      <w:sz w:val="21"/>
                      <w:szCs w:val="21"/>
                      <w:lang w:val="en-US" w:eastAsia="zh-CN"/>
                    </w:rPr>
                    <w:t>5</w:t>
                  </w:r>
                  <w:r>
                    <w:rPr>
                      <w:color w:val="auto"/>
                      <w:kern w:val="2"/>
                      <w:sz w:val="21"/>
                      <w:szCs w:val="21"/>
                    </w:rPr>
                    <w:t>年版）》</w:t>
                  </w:r>
                  <w:r>
                    <w:rPr>
                      <w:rFonts w:hint="eastAsia"/>
                      <w:color w:val="auto"/>
                      <w:kern w:val="2"/>
                      <w:sz w:val="21"/>
                      <w:szCs w:val="21"/>
                    </w:rPr>
                    <w:t>《危险废物鉴别标准通则》（GB5085.7-2019）</w:t>
                  </w:r>
                </w:p>
              </w:tc>
              <w:tc>
                <w:tcPr>
                  <w:tcW w:w="365" w:type="pct"/>
                  <w:tcMar>
                    <w:top w:w="0" w:type="dxa"/>
                    <w:left w:w="0" w:type="dxa"/>
                    <w:bottom w:w="0" w:type="dxa"/>
                    <w:right w:w="0" w:type="dxa"/>
                  </w:tcMar>
                  <w:vAlign w:val="center"/>
                </w:tcPr>
                <w:p w14:paraId="0C1DA3E5">
                  <w:pPr>
                    <w:snapToGrid w:val="0"/>
                    <w:spacing w:line="240" w:lineRule="auto"/>
                    <w:ind w:firstLine="0" w:firstLineChars="0"/>
                    <w:jc w:val="center"/>
                    <w:rPr>
                      <w:color w:val="auto"/>
                      <w:sz w:val="21"/>
                      <w:szCs w:val="21"/>
                    </w:rPr>
                  </w:pPr>
                  <w:r>
                    <w:rPr>
                      <w:color w:val="auto"/>
                      <w:sz w:val="21"/>
                      <w:szCs w:val="21"/>
                    </w:rPr>
                    <w:t>/</w:t>
                  </w:r>
                </w:p>
              </w:tc>
              <w:tc>
                <w:tcPr>
                  <w:tcW w:w="498" w:type="pct"/>
                  <w:tcMar>
                    <w:top w:w="0" w:type="dxa"/>
                    <w:left w:w="0" w:type="dxa"/>
                    <w:bottom w:w="0" w:type="dxa"/>
                    <w:right w:w="0" w:type="dxa"/>
                  </w:tcMar>
                  <w:vAlign w:val="center"/>
                </w:tcPr>
                <w:p w14:paraId="2A008CE9">
                  <w:pPr>
                    <w:snapToGrid w:val="0"/>
                    <w:spacing w:line="240" w:lineRule="auto"/>
                    <w:ind w:firstLine="0" w:firstLineChars="0"/>
                    <w:jc w:val="center"/>
                    <w:rPr>
                      <w:color w:val="auto"/>
                      <w:sz w:val="21"/>
                      <w:szCs w:val="21"/>
                    </w:rPr>
                  </w:pPr>
                  <w:r>
                    <w:rPr>
                      <w:color w:val="auto"/>
                      <w:sz w:val="21"/>
                      <w:szCs w:val="21"/>
                    </w:rPr>
                    <w:t>/</w:t>
                  </w:r>
                </w:p>
              </w:tc>
              <w:tc>
                <w:tcPr>
                  <w:tcW w:w="744" w:type="pct"/>
                  <w:tcMar>
                    <w:top w:w="0" w:type="dxa"/>
                    <w:left w:w="0" w:type="dxa"/>
                    <w:bottom w:w="0" w:type="dxa"/>
                    <w:right w:w="0" w:type="dxa"/>
                  </w:tcMar>
                  <w:vAlign w:val="center"/>
                </w:tcPr>
                <w:p w14:paraId="049DD1D3">
                  <w:pPr>
                    <w:snapToGrid w:val="0"/>
                    <w:spacing w:line="240" w:lineRule="auto"/>
                    <w:ind w:firstLine="0" w:firstLineChars="0"/>
                    <w:jc w:val="center"/>
                    <w:rPr>
                      <w:color w:val="auto"/>
                      <w:sz w:val="21"/>
                      <w:szCs w:val="21"/>
                    </w:rPr>
                  </w:pPr>
                  <w:r>
                    <w:rPr>
                      <w:color w:val="auto"/>
                      <w:sz w:val="21"/>
                      <w:szCs w:val="21"/>
                    </w:rPr>
                    <w:t>/</w:t>
                  </w:r>
                </w:p>
              </w:tc>
              <w:tc>
                <w:tcPr>
                  <w:tcW w:w="474" w:type="pct"/>
                  <w:shd w:val="clear" w:color="auto" w:fill="auto"/>
                  <w:tcMar>
                    <w:top w:w="0" w:type="dxa"/>
                    <w:left w:w="0" w:type="dxa"/>
                    <w:bottom w:w="0" w:type="dxa"/>
                    <w:right w:w="0" w:type="dxa"/>
                  </w:tcMar>
                  <w:vAlign w:val="center"/>
                </w:tcPr>
                <w:p w14:paraId="6BBFD820">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7.5</w:t>
                  </w:r>
                </w:p>
              </w:tc>
            </w:tr>
            <w:tr w14:paraId="637EF2A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tcMar>
                    <w:top w:w="0" w:type="dxa"/>
                    <w:left w:w="0" w:type="dxa"/>
                    <w:bottom w:w="0" w:type="dxa"/>
                    <w:right w:w="0" w:type="dxa"/>
                  </w:tcMar>
                  <w:vAlign w:val="center"/>
                </w:tcPr>
                <w:p w14:paraId="4896D468">
                  <w:pPr>
                    <w:snapToGrid w:val="0"/>
                    <w:spacing w:line="240" w:lineRule="auto"/>
                    <w:ind w:firstLine="0" w:firstLineChars="0"/>
                    <w:jc w:val="center"/>
                    <w:rPr>
                      <w:color w:val="auto"/>
                      <w:sz w:val="21"/>
                      <w:szCs w:val="21"/>
                    </w:rPr>
                  </w:pPr>
                  <w:r>
                    <w:rPr>
                      <w:rFonts w:hint="eastAsia"/>
                      <w:color w:val="auto"/>
                      <w:sz w:val="21"/>
                      <w:szCs w:val="21"/>
                    </w:rPr>
                    <w:t>2</w:t>
                  </w:r>
                </w:p>
              </w:tc>
              <w:tc>
                <w:tcPr>
                  <w:tcW w:w="428" w:type="pct"/>
                  <w:gridSpan w:val="2"/>
                  <w:shd w:val="clear" w:color="auto" w:fill="auto"/>
                  <w:tcMar>
                    <w:top w:w="0" w:type="dxa"/>
                    <w:left w:w="0" w:type="dxa"/>
                    <w:bottom w:w="0" w:type="dxa"/>
                    <w:right w:w="0" w:type="dxa"/>
                  </w:tcMar>
                  <w:vAlign w:val="center"/>
                </w:tcPr>
                <w:p w14:paraId="7F6D3872">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废丝</w:t>
                  </w:r>
                </w:p>
              </w:tc>
              <w:tc>
                <w:tcPr>
                  <w:tcW w:w="480" w:type="pct"/>
                  <w:gridSpan w:val="2"/>
                  <w:vMerge w:val="restart"/>
                  <w:shd w:val="clear" w:color="auto" w:fill="auto"/>
                  <w:tcMar>
                    <w:top w:w="0" w:type="dxa"/>
                    <w:left w:w="0" w:type="dxa"/>
                    <w:bottom w:w="0" w:type="dxa"/>
                    <w:right w:w="0" w:type="dxa"/>
                  </w:tcMar>
                  <w:vAlign w:val="center"/>
                </w:tcPr>
                <w:p w14:paraId="09F98360">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
                    </w:rPr>
                  </w:pPr>
                  <w:r>
                    <w:rPr>
                      <w:rFonts w:hint="eastAsia" w:ascii="Times New Roman" w:hAnsi="Times New Roman" w:eastAsia="宋体" w:cs="Times New Roman"/>
                      <w:color w:val="auto"/>
                      <w:kern w:val="2"/>
                      <w:sz w:val="21"/>
                      <w:szCs w:val="21"/>
                      <w:lang w:val="en-US" w:eastAsia="zh-CN" w:bidi="ar"/>
                    </w:rPr>
                    <w:t>一般固废</w:t>
                  </w:r>
                </w:p>
              </w:tc>
              <w:tc>
                <w:tcPr>
                  <w:tcW w:w="370" w:type="pct"/>
                  <w:shd w:val="clear" w:color="auto" w:fill="auto"/>
                  <w:tcMar>
                    <w:top w:w="0" w:type="dxa"/>
                    <w:left w:w="0" w:type="dxa"/>
                    <w:bottom w:w="0" w:type="dxa"/>
                    <w:right w:w="0" w:type="dxa"/>
                  </w:tcMar>
                  <w:vAlign w:val="center"/>
                </w:tcPr>
                <w:p w14:paraId="4D372117">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
                    </w:rPr>
                  </w:pPr>
                  <w:r>
                    <w:rPr>
                      <w:rFonts w:hint="eastAsia"/>
                      <w:color w:val="auto"/>
                      <w:sz w:val="21"/>
                      <w:szCs w:val="21"/>
                      <w:lang w:eastAsia="zh-CN" w:bidi="ar"/>
                    </w:rPr>
                    <w:t>加弹、织造</w:t>
                  </w:r>
                </w:p>
              </w:tc>
              <w:tc>
                <w:tcPr>
                  <w:tcW w:w="277" w:type="pct"/>
                  <w:vMerge w:val="continue"/>
                  <w:tcMar>
                    <w:top w:w="0" w:type="dxa"/>
                    <w:left w:w="0" w:type="dxa"/>
                    <w:bottom w:w="0" w:type="dxa"/>
                    <w:right w:w="0" w:type="dxa"/>
                  </w:tcMar>
                  <w:vAlign w:val="center"/>
                </w:tcPr>
                <w:p w14:paraId="43BD567C">
                  <w:pPr>
                    <w:pStyle w:val="23"/>
                    <w:spacing w:line="240" w:lineRule="auto"/>
                    <w:ind w:firstLine="0" w:firstLineChars="0"/>
                    <w:jc w:val="center"/>
                    <w:rPr>
                      <w:color w:val="auto"/>
                      <w:kern w:val="2"/>
                      <w:sz w:val="21"/>
                      <w:szCs w:val="21"/>
                    </w:rPr>
                  </w:pPr>
                </w:p>
              </w:tc>
              <w:tc>
                <w:tcPr>
                  <w:tcW w:w="629" w:type="pct"/>
                  <w:shd w:val="clear" w:color="auto" w:fill="auto"/>
                  <w:tcMar>
                    <w:top w:w="0" w:type="dxa"/>
                    <w:left w:w="0" w:type="dxa"/>
                    <w:bottom w:w="0" w:type="dxa"/>
                    <w:right w:w="0" w:type="dxa"/>
                  </w:tcMar>
                  <w:vAlign w:val="center"/>
                </w:tcPr>
                <w:p w14:paraId="270106AB">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snapToGrid w:val="0"/>
                      <w:color w:val="auto"/>
                      <w:sz w:val="21"/>
                      <w:szCs w:val="21"/>
                    </w:rPr>
                    <w:t>纤维</w:t>
                  </w:r>
                </w:p>
              </w:tc>
              <w:tc>
                <w:tcPr>
                  <w:tcW w:w="543" w:type="pct"/>
                  <w:vMerge w:val="continue"/>
                  <w:tcMar>
                    <w:top w:w="0" w:type="dxa"/>
                    <w:left w:w="0" w:type="dxa"/>
                    <w:bottom w:w="0" w:type="dxa"/>
                    <w:right w:w="0" w:type="dxa"/>
                  </w:tcMar>
                  <w:vAlign w:val="center"/>
                </w:tcPr>
                <w:p w14:paraId="0F2AD0E1">
                  <w:pPr>
                    <w:pStyle w:val="23"/>
                    <w:spacing w:line="240" w:lineRule="auto"/>
                    <w:ind w:firstLine="0" w:firstLineChars="0"/>
                    <w:jc w:val="center"/>
                    <w:rPr>
                      <w:color w:val="auto"/>
                      <w:kern w:val="2"/>
                      <w:sz w:val="21"/>
                      <w:szCs w:val="21"/>
                    </w:rPr>
                  </w:pPr>
                </w:p>
              </w:tc>
              <w:tc>
                <w:tcPr>
                  <w:tcW w:w="365" w:type="pct"/>
                  <w:tcMar>
                    <w:top w:w="0" w:type="dxa"/>
                    <w:left w:w="0" w:type="dxa"/>
                    <w:bottom w:w="0" w:type="dxa"/>
                    <w:right w:w="0" w:type="dxa"/>
                  </w:tcMar>
                  <w:vAlign w:val="center"/>
                </w:tcPr>
                <w:p w14:paraId="3024EB96">
                  <w:pPr>
                    <w:spacing w:line="240" w:lineRule="auto"/>
                    <w:ind w:left="0" w:leftChars="0" w:firstLine="0" w:firstLineChars="0"/>
                    <w:jc w:val="center"/>
                    <w:rPr>
                      <w:color w:val="auto"/>
                      <w:sz w:val="21"/>
                      <w:szCs w:val="21"/>
                    </w:rPr>
                  </w:pPr>
                  <w:r>
                    <w:rPr>
                      <w:color w:val="auto"/>
                      <w:sz w:val="21"/>
                      <w:szCs w:val="21"/>
                    </w:rPr>
                    <w:t>/</w:t>
                  </w:r>
                </w:p>
              </w:tc>
              <w:tc>
                <w:tcPr>
                  <w:tcW w:w="498" w:type="pct"/>
                  <w:tcMar>
                    <w:top w:w="0" w:type="dxa"/>
                    <w:left w:w="0" w:type="dxa"/>
                    <w:bottom w:w="0" w:type="dxa"/>
                    <w:right w:w="0" w:type="dxa"/>
                  </w:tcMar>
                  <w:vAlign w:val="center"/>
                </w:tcPr>
                <w:p w14:paraId="18DD1957">
                  <w:pPr>
                    <w:spacing w:line="240" w:lineRule="auto"/>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SW14</w:t>
                  </w:r>
                </w:p>
              </w:tc>
              <w:tc>
                <w:tcPr>
                  <w:tcW w:w="744" w:type="pct"/>
                  <w:tcMar>
                    <w:top w:w="0" w:type="dxa"/>
                    <w:left w:w="0" w:type="dxa"/>
                    <w:bottom w:w="0" w:type="dxa"/>
                    <w:right w:w="0" w:type="dxa"/>
                  </w:tcMar>
                  <w:vAlign w:val="center"/>
                </w:tcPr>
                <w:p w14:paraId="4DC75F77">
                  <w:pPr>
                    <w:spacing w:line="240" w:lineRule="auto"/>
                    <w:ind w:left="0" w:leftChars="0" w:firstLine="0" w:firstLineChars="0"/>
                    <w:jc w:val="center"/>
                    <w:rPr>
                      <w:rFonts w:hint="default" w:eastAsia="宋体"/>
                      <w:color w:val="auto"/>
                      <w:kern w:val="2"/>
                      <w:sz w:val="21"/>
                      <w:szCs w:val="21"/>
                      <w:lang w:val="en-US" w:eastAsia="zh-CN"/>
                    </w:rPr>
                  </w:pPr>
                  <w:r>
                    <w:rPr>
                      <w:rFonts w:hint="eastAsia"/>
                      <w:color w:val="auto"/>
                      <w:kern w:val="2"/>
                      <w:sz w:val="21"/>
                      <w:szCs w:val="21"/>
                      <w:lang w:val="en-US" w:eastAsia="zh-CN"/>
                    </w:rPr>
                    <w:t>900-099-S14</w:t>
                  </w:r>
                </w:p>
              </w:tc>
              <w:tc>
                <w:tcPr>
                  <w:tcW w:w="474" w:type="pct"/>
                  <w:shd w:val="clear" w:color="auto" w:fill="auto"/>
                  <w:tcMar>
                    <w:top w:w="0" w:type="dxa"/>
                    <w:left w:w="0" w:type="dxa"/>
                    <w:bottom w:w="0" w:type="dxa"/>
                    <w:right w:w="0" w:type="dxa"/>
                  </w:tcMar>
                  <w:vAlign w:val="center"/>
                </w:tcPr>
                <w:p w14:paraId="78502DAB">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r>
            <w:tr w14:paraId="26F47C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shd w:val="clear" w:color="auto" w:fill="auto"/>
                  <w:tcMar>
                    <w:top w:w="0" w:type="dxa"/>
                    <w:left w:w="0" w:type="dxa"/>
                    <w:bottom w:w="0" w:type="dxa"/>
                    <w:right w:w="0" w:type="dxa"/>
                  </w:tcMar>
                  <w:vAlign w:val="center"/>
                </w:tcPr>
                <w:p w14:paraId="1A7DC5D7">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c>
                <w:tcPr>
                  <w:tcW w:w="428" w:type="pct"/>
                  <w:gridSpan w:val="2"/>
                  <w:shd w:val="clear" w:color="auto" w:fill="auto"/>
                  <w:tcMar>
                    <w:top w:w="0" w:type="dxa"/>
                    <w:left w:w="0" w:type="dxa"/>
                    <w:bottom w:w="0" w:type="dxa"/>
                    <w:right w:w="0" w:type="dxa"/>
                  </w:tcMar>
                  <w:vAlign w:val="center"/>
                </w:tcPr>
                <w:p w14:paraId="66710CA3">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废布</w:t>
                  </w:r>
                </w:p>
              </w:tc>
              <w:tc>
                <w:tcPr>
                  <w:tcW w:w="480" w:type="pct"/>
                  <w:gridSpan w:val="2"/>
                  <w:vMerge w:val="continue"/>
                  <w:shd w:val="clear" w:color="auto" w:fill="auto"/>
                  <w:tcMar>
                    <w:top w:w="0" w:type="dxa"/>
                    <w:left w:w="0" w:type="dxa"/>
                    <w:bottom w:w="0" w:type="dxa"/>
                    <w:right w:w="0" w:type="dxa"/>
                  </w:tcMar>
                  <w:vAlign w:val="center"/>
                </w:tcPr>
                <w:p w14:paraId="34339B3B">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
                    </w:rPr>
                  </w:pPr>
                </w:p>
              </w:tc>
              <w:tc>
                <w:tcPr>
                  <w:tcW w:w="370" w:type="pct"/>
                  <w:shd w:val="clear" w:color="auto" w:fill="auto"/>
                  <w:tcMar>
                    <w:top w:w="0" w:type="dxa"/>
                    <w:left w:w="0" w:type="dxa"/>
                    <w:bottom w:w="0" w:type="dxa"/>
                    <w:right w:w="0" w:type="dxa"/>
                  </w:tcMar>
                  <w:vAlign w:val="center"/>
                </w:tcPr>
                <w:p w14:paraId="7B1B49B5">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
                    </w:rPr>
                  </w:pPr>
                  <w:r>
                    <w:rPr>
                      <w:color w:val="auto"/>
                      <w:sz w:val="21"/>
                      <w:szCs w:val="21"/>
                      <w:lang w:bidi="ar"/>
                    </w:rPr>
                    <w:t>检验</w:t>
                  </w:r>
                </w:p>
              </w:tc>
              <w:tc>
                <w:tcPr>
                  <w:tcW w:w="277" w:type="pct"/>
                  <w:vMerge w:val="continue"/>
                  <w:tcMar>
                    <w:top w:w="0" w:type="dxa"/>
                    <w:left w:w="0" w:type="dxa"/>
                    <w:bottom w:w="0" w:type="dxa"/>
                    <w:right w:w="0" w:type="dxa"/>
                  </w:tcMar>
                  <w:vAlign w:val="center"/>
                </w:tcPr>
                <w:p w14:paraId="5211E36D">
                  <w:pPr>
                    <w:pStyle w:val="23"/>
                    <w:spacing w:line="240" w:lineRule="auto"/>
                    <w:ind w:firstLine="0" w:firstLineChars="0"/>
                    <w:jc w:val="center"/>
                    <w:rPr>
                      <w:color w:val="auto"/>
                      <w:kern w:val="2"/>
                      <w:sz w:val="21"/>
                      <w:szCs w:val="21"/>
                    </w:rPr>
                  </w:pPr>
                </w:p>
              </w:tc>
              <w:tc>
                <w:tcPr>
                  <w:tcW w:w="629" w:type="pct"/>
                  <w:shd w:val="clear" w:color="auto" w:fill="auto"/>
                  <w:tcMar>
                    <w:top w:w="0" w:type="dxa"/>
                    <w:left w:w="0" w:type="dxa"/>
                    <w:bottom w:w="0" w:type="dxa"/>
                    <w:right w:w="0" w:type="dxa"/>
                  </w:tcMar>
                  <w:vAlign w:val="center"/>
                </w:tcPr>
                <w:p w14:paraId="11D82AFC">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snapToGrid w:val="0"/>
                      <w:color w:val="auto"/>
                      <w:sz w:val="21"/>
                      <w:szCs w:val="21"/>
                    </w:rPr>
                    <w:t>纤维</w:t>
                  </w:r>
                </w:p>
              </w:tc>
              <w:tc>
                <w:tcPr>
                  <w:tcW w:w="543" w:type="pct"/>
                  <w:vMerge w:val="continue"/>
                  <w:tcMar>
                    <w:top w:w="0" w:type="dxa"/>
                    <w:left w:w="0" w:type="dxa"/>
                    <w:bottom w:w="0" w:type="dxa"/>
                    <w:right w:w="0" w:type="dxa"/>
                  </w:tcMar>
                  <w:vAlign w:val="center"/>
                </w:tcPr>
                <w:p w14:paraId="036E07C0">
                  <w:pPr>
                    <w:pStyle w:val="23"/>
                    <w:spacing w:line="240" w:lineRule="auto"/>
                    <w:ind w:firstLine="0" w:firstLineChars="0"/>
                    <w:jc w:val="center"/>
                    <w:rPr>
                      <w:color w:val="auto"/>
                      <w:kern w:val="2"/>
                      <w:sz w:val="21"/>
                      <w:szCs w:val="21"/>
                    </w:rPr>
                  </w:pPr>
                </w:p>
              </w:tc>
              <w:tc>
                <w:tcPr>
                  <w:tcW w:w="365" w:type="pct"/>
                  <w:tcMar>
                    <w:top w:w="0" w:type="dxa"/>
                    <w:left w:w="0" w:type="dxa"/>
                    <w:bottom w:w="0" w:type="dxa"/>
                    <w:right w:w="0" w:type="dxa"/>
                  </w:tcMar>
                  <w:vAlign w:val="center"/>
                </w:tcPr>
                <w:p w14:paraId="042930B8">
                  <w:pPr>
                    <w:spacing w:line="240" w:lineRule="auto"/>
                    <w:ind w:left="0" w:leftChars="0" w:firstLine="0" w:firstLineChars="0"/>
                    <w:jc w:val="center"/>
                    <w:rPr>
                      <w:color w:val="auto"/>
                      <w:sz w:val="21"/>
                      <w:szCs w:val="21"/>
                    </w:rPr>
                  </w:pPr>
                  <w:r>
                    <w:rPr>
                      <w:color w:val="auto"/>
                      <w:sz w:val="21"/>
                      <w:szCs w:val="21"/>
                    </w:rPr>
                    <w:t>/</w:t>
                  </w:r>
                </w:p>
              </w:tc>
              <w:tc>
                <w:tcPr>
                  <w:tcW w:w="498" w:type="pct"/>
                  <w:tcMar>
                    <w:top w:w="0" w:type="dxa"/>
                    <w:left w:w="0" w:type="dxa"/>
                    <w:bottom w:w="0" w:type="dxa"/>
                    <w:right w:w="0" w:type="dxa"/>
                  </w:tcMar>
                  <w:vAlign w:val="center"/>
                </w:tcPr>
                <w:p w14:paraId="25A22862">
                  <w:pPr>
                    <w:spacing w:line="240" w:lineRule="auto"/>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SW14</w:t>
                  </w:r>
                </w:p>
              </w:tc>
              <w:tc>
                <w:tcPr>
                  <w:tcW w:w="744" w:type="pct"/>
                  <w:tcMar>
                    <w:top w:w="0" w:type="dxa"/>
                    <w:left w:w="0" w:type="dxa"/>
                    <w:bottom w:w="0" w:type="dxa"/>
                    <w:right w:w="0" w:type="dxa"/>
                  </w:tcMar>
                  <w:vAlign w:val="center"/>
                </w:tcPr>
                <w:p w14:paraId="40C2A651">
                  <w:pPr>
                    <w:spacing w:line="240" w:lineRule="auto"/>
                    <w:ind w:left="0" w:leftChars="0" w:firstLine="0" w:firstLineChars="0"/>
                    <w:jc w:val="center"/>
                    <w:rPr>
                      <w:color w:val="auto"/>
                      <w:kern w:val="2"/>
                      <w:sz w:val="21"/>
                      <w:szCs w:val="21"/>
                    </w:rPr>
                  </w:pPr>
                  <w:r>
                    <w:rPr>
                      <w:rFonts w:hint="eastAsia"/>
                      <w:color w:val="auto"/>
                      <w:kern w:val="2"/>
                      <w:sz w:val="21"/>
                      <w:szCs w:val="21"/>
                      <w:lang w:val="en-US" w:eastAsia="zh-CN"/>
                    </w:rPr>
                    <w:t>900-099-S14</w:t>
                  </w:r>
                </w:p>
              </w:tc>
              <w:tc>
                <w:tcPr>
                  <w:tcW w:w="474" w:type="pct"/>
                  <w:shd w:val="clear" w:color="auto" w:fill="auto"/>
                  <w:tcMar>
                    <w:top w:w="0" w:type="dxa"/>
                    <w:left w:w="0" w:type="dxa"/>
                    <w:bottom w:w="0" w:type="dxa"/>
                    <w:right w:w="0" w:type="dxa"/>
                  </w:tcMar>
                  <w:vAlign w:val="center"/>
                </w:tcPr>
                <w:p w14:paraId="129BBA60">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r>
            <w:tr w14:paraId="18338C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shd w:val="clear" w:color="auto" w:fill="auto"/>
                  <w:tcMar>
                    <w:top w:w="0" w:type="dxa"/>
                    <w:left w:w="0" w:type="dxa"/>
                    <w:bottom w:w="0" w:type="dxa"/>
                    <w:right w:w="0" w:type="dxa"/>
                  </w:tcMar>
                  <w:vAlign w:val="center"/>
                </w:tcPr>
                <w:p w14:paraId="0CAA60FA">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w:t>
                  </w:r>
                </w:p>
              </w:tc>
              <w:tc>
                <w:tcPr>
                  <w:tcW w:w="428" w:type="pct"/>
                  <w:gridSpan w:val="2"/>
                  <w:shd w:val="clear" w:color="auto" w:fill="auto"/>
                  <w:tcMar>
                    <w:top w:w="0" w:type="dxa"/>
                    <w:left w:w="0" w:type="dxa"/>
                    <w:bottom w:w="0" w:type="dxa"/>
                    <w:right w:w="0" w:type="dxa"/>
                  </w:tcMar>
                  <w:vAlign w:val="center"/>
                </w:tcPr>
                <w:p w14:paraId="244B139C">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废油桶</w:t>
                  </w:r>
                </w:p>
              </w:tc>
              <w:tc>
                <w:tcPr>
                  <w:tcW w:w="480" w:type="pct"/>
                  <w:gridSpan w:val="2"/>
                  <w:vMerge w:val="restart"/>
                  <w:tcMar>
                    <w:top w:w="0" w:type="dxa"/>
                    <w:left w:w="0" w:type="dxa"/>
                    <w:bottom w:w="0" w:type="dxa"/>
                    <w:right w:w="0" w:type="dxa"/>
                  </w:tcMar>
                  <w:vAlign w:val="center"/>
                </w:tcPr>
                <w:p w14:paraId="21285692">
                  <w:pPr>
                    <w:snapToGrid w:val="0"/>
                    <w:spacing w:line="240" w:lineRule="auto"/>
                    <w:ind w:firstLine="0" w:firstLineChars="0"/>
                    <w:jc w:val="center"/>
                    <w:rPr>
                      <w:color w:val="auto"/>
                      <w:sz w:val="21"/>
                      <w:szCs w:val="21"/>
                    </w:rPr>
                  </w:pPr>
                  <w:r>
                    <w:rPr>
                      <w:rFonts w:hint="eastAsia"/>
                      <w:color w:val="auto"/>
                      <w:sz w:val="21"/>
                      <w:szCs w:val="21"/>
                    </w:rPr>
                    <w:t>危险</w:t>
                  </w:r>
                  <w:r>
                    <w:rPr>
                      <w:color w:val="auto"/>
                      <w:sz w:val="21"/>
                      <w:szCs w:val="21"/>
                    </w:rPr>
                    <w:t>废物</w:t>
                  </w:r>
                </w:p>
              </w:tc>
              <w:tc>
                <w:tcPr>
                  <w:tcW w:w="370" w:type="pct"/>
                  <w:shd w:val="clear" w:color="auto" w:fill="auto"/>
                  <w:tcMar>
                    <w:top w:w="0" w:type="dxa"/>
                    <w:left w:w="0" w:type="dxa"/>
                    <w:bottom w:w="0" w:type="dxa"/>
                    <w:right w:w="0" w:type="dxa"/>
                  </w:tcMar>
                  <w:vAlign w:val="center"/>
                </w:tcPr>
                <w:p w14:paraId="0EEAF546">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包装</w:t>
                  </w:r>
                </w:p>
              </w:tc>
              <w:tc>
                <w:tcPr>
                  <w:tcW w:w="277" w:type="pct"/>
                  <w:vMerge w:val="continue"/>
                  <w:tcMar>
                    <w:top w:w="0" w:type="dxa"/>
                    <w:left w:w="0" w:type="dxa"/>
                    <w:bottom w:w="0" w:type="dxa"/>
                    <w:right w:w="0" w:type="dxa"/>
                  </w:tcMar>
                  <w:vAlign w:val="center"/>
                </w:tcPr>
                <w:p w14:paraId="0E76DF8A">
                  <w:pPr>
                    <w:pStyle w:val="23"/>
                    <w:spacing w:line="240" w:lineRule="auto"/>
                    <w:ind w:firstLine="0" w:firstLineChars="0"/>
                    <w:jc w:val="center"/>
                    <w:rPr>
                      <w:color w:val="auto"/>
                      <w:kern w:val="2"/>
                      <w:sz w:val="21"/>
                      <w:szCs w:val="21"/>
                    </w:rPr>
                  </w:pPr>
                </w:p>
              </w:tc>
              <w:tc>
                <w:tcPr>
                  <w:tcW w:w="629" w:type="pct"/>
                  <w:shd w:val="clear" w:color="auto" w:fill="auto"/>
                  <w:tcMar>
                    <w:top w:w="0" w:type="dxa"/>
                    <w:left w:w="0" w:type="dxa"/>
                    <w:bottom w:w="0" w:type="dxa"/>
                    <w:right w:w="0" w:type="dxa"/>
                  </w:tcMar>
                  <w:vAlign w:val="center"/>
                </w:tcPr>
                <w:p w14:paraId="58E85886">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油类物质、铁皮</w:t>
                  </w:r>
                </w:p>
              </w:tc>
              <w:tc>
                <w:tcPr>
                  <w:tcW w:w="543" w:type="pct"/>
                  <w:vMerge w:val="continue"/>
                  <w:tcMar>
                    <w:top w:w="0" w:type="dxa"/>
                    <w:left w:w="0" w:type="dxa"/>
                    <w:bottom w:w="0" w:type="dxa"/>
                    <w:right w:w="0" w:type="dxa"/>
                  </w:tcMar>
                  <w:vAlign w:val="center"/>
                </w:tcPr>
                <w:p w14:paraId="006AD838">
                  <w:pPr>
                    <w:pStyle w:val="23"/>
                    <w:spacing w:line="240" w:lineRule="auto"/>
                    <w:ind w:firstLine="0" w:firstLineChars="0"/>
                    <w:jc w:val="center"/>
                    <w:rPr>
                      <w:color w:val="auto"/>
                      <w:kern w:val="2"/>
                      <w:sz w:val="21"/>
                      <w:szCs w:val="21"/>
                    </w:rPr>
                  </w:pPr>
                </w:p>
              </w:tc>
              <w:tc>
                <w:tcPr>
                  <w:tcW w:w="365" w:type="pct"/>
                  <w:shd w:val="clear" w:color="auto" w:fill="auto"/>
                  <w:tcMar>
                    <w:top w:w="0" w:type="dxa"/>
                    <w:left w:w="0" w:type="dxa"/>
                    <w:bottom w:w="0" w:type="dxa"/>
                    <w:right w:w="0" w:type="dxa"/>
                  </w:tcMar>
                  <w:vAlign w:val="center"/>
                </w:tcPr>
                <w:p w14:paraId="7464A761">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498" w:type="pct"/>
                  <w:shd w:val="clear" w:color="auto" w:fill="auto"/>
                  <w:tcMar>
                    <w:top w:w="0" w:type="dxa"/>
                    <w:left w:w="0" w:type="dxa"/>
                    <w:bottom w:w="0" w:type="dxa"/>
                    <w:right w:w="0" w:type="dxa"/>
                  </w:tcMar>
                  <w:vAlign w:val="center"/>
                </w:tcPr>
                <w:p w14:paraId="07D43D66">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744" w:type="pct"/>
                  <w:shd w:val="clear" w:color="auto" w:fill="auto"/>
                  <w:tcMar>
                    <w:top w:w="0" w:type="dxa"/>
                    <w:left w:w="0" w:type="dxa"/>
                    <w:bottom w:w="0" w:type="dxa"/>
                    <w:right w:w="0" w:type="dxa"/>
                  </w:tcMar>
                  <w:vAlign w:val="center"/>
                </w:tcPr>
                <w:p w14:paraId="7AF24AF4">
                  <w:pPr>
                    <w:pStyle w:val="167"/>
                    <w:spacing w:before="0" w:beforeLines="0" w:after="0" w:afterLines="0" w:line="240" w:lineRule="auto"/>
                    <w:ind w:firstLine="0" w:firstLineChars="0"/>
                    <w:jc w:val="center"/>
                    <w:rPr>
                      <w:rFonts w:ascii="Times New Roman" w:hAnsi="Times New Roman" w:eastAsia="宋体" w:cs="Times New Roman"/>
                      <w:color w:val="auto"/>
                      <w:kern w:val="0"/>
                      <w:sz w:val="21"/>
                      <w:szCs w:val="21"/>
                      <w:lang w:val="en-US" w:eastAsia="zh-CN" w:bidi="ar-SA"/>
                    </w:rPr>
                  </w:pPr>
                  <w:r>
                    <w:rPr>
                      <w:color w:val="auto"/>
                      <w:szCs w:val="21"/>
                    </w:rPr>
                    <w:t>900-249-08</w:t>
                  </w:r>
                </w:p>
              </w:tc>
              <w:tc>
                <w:tcPr>
                  <w:tcW w:w="474" w:type="pct"/>
                  <w:shd w:val="clear" w:color="auto" w:fill="auto"/>
                  <w:tcMar>
                    <w:top w:w="0" w:type="dxa"/>
                    <w:left w:w="0" w:type="dxa"/>
                    <w:bottom w:w="0" w:type="dxa"/>
                    <w:right w:w="0" w:type="dxa"/>
                  </w:tcMar>
                  <w:vAlign w:val="center"/>
                </w:tcPr>
                <w:p w14:paraId="6D147A00">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0.1</w:t>
                  </w:r>
                </w:p>
              </w:tc>
            </w:tr>
            <w:tr w14:paraId="50091E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shd w:val="clear" w:color="auto" w:fill="auto"/>
                  <w:tcMar>
                    <w:top w:w="0" w:type="dxa"/>
                    <w:left w:w="0" w:type="dxa"/>
                    <w:bottom w:w="0" w:type="dxa"/>
                    <w:right w:w="0" w:type="dxa"/>
                  </w:tcMar>
                  <w:vAlign w:val="center"/>
                </w:tcPr>
                <w:p w14:paraId="247E8398">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w:t>
                  </w:r>
                </w:p>
              </w:tc>
              <w:tc>
                <w:tcPr>
                  <w:tcW w:w="428" w:type="pct"/>
                  <w:gridSpan w:val="2"/>
                  <w:shd w:val="clear" w:color="auto" w:fill="auto"/>
                  <w:tcMar>
                    <w:top w:w="0" w:type="dxa"/>
                    <w:left w:w="0" w:type="dxa"/>
                    <w:bottom w:w="0" w:type="dxa"/>
                    <w:right w:w="0" w:type="dxa"/>
                  </w:tcMar>
                  <w:vAlign w:val="center"/>
                </w:tcPr>
                <w:p w14:paraId="1E96AEDF">
                  <w:pPr>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废机油</w:t>
                  </w:r>
                </w:p>
              </w:tc>
              <w:tc>
                <w:tcPr>
                  <w:tcW w:w="480" w:type="pct"/>
                  <w:gridSpan w:val="2"/>
                  <w:vMerge w:val="continue"/>
                  <w:tcMar>
                    <w:top w:w="0" w:type="dxa"/>
                    <w:left w:w="0" w:type="dxa"/>
                    <w:bottom w:w="0" w:type="dxa"/>
                    <w:right w:w="0" w:type="dxa"/>
                  </w:tcMar>
                  <w:vAlign w:val="center"/>
                </w:tcPr>
                <w:p w14:paraId="6843E6BA">
                  <w:pPr>
                    <w:snapToGrid w:val="0"/>
                    <w:spacing w:line="240" w:lineRule="auto"/>
                    <w:ind w:firstLine="0" w:firstLineChars="0"/>
                    <w:jc w:val="center"/>
                    <w:rPr>
                      <w:color w:val="auto"/>
                      <w:sz w:val="21"/>
                      <w:szCs w:val="21"/>
                    </w:rPr>
                  </w:pPr>
                </w:p>
              </w:tc>
              <w:tc>
                <w:tcPr>
                  <w:tcW w:w="370" w:type="pct"/>
                  <w:shd w:val="clear" w:color="auto" w:fill="auto"/>
                  <w:tcMar>
                    <w:top w:w="0" w:type="dxa"/>
                    <w:left w:w="0" w:type="dxa"/>
                    <w:bottom w:w="0" w:type="dxa"/>
                    <w:right w:w="0" w:type="dxa"/>
                  </w:tcMar>
                  <w:vAlign w:val="center"/>
                </w:tcPr>
                <w:p w14:paraId="5CE603A9">
                  <w:pPr>
                    <w:pStyle w:val="23"/>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设备维修保养</w:t>
                  </w:r>
                </w:p>
              </w:tc>
              <w:tc>
                <w:tcPr>
                  <w:tcW w:w="277" w:type="pct"/>
                  <w:vMerge w:val="restart"/>
                  <w:tcMar>
                    <w:top w:w="0" w:type="dxa"/>
                    <w:left w:w="0" w:type="dxa"/>
                    <w:bottom w:w="0" w:type="dxa"/>
                    <w:right w:w="0" w:type="dxa"/>
                  </w:tcMar>
                  <w:vAlign w:val="center"/>
                </w:tcPr>
                <w:p w14:paraId="345C69AE">
                  <w:pPr>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液态</w:t>
                  </w:r>
                </w:p>
              </w:tc>
              <w:tc>
                <w:tcPr>
                  <w:tcW w:w="629" w:type="pct"/>
                  <w:shd w:val="clear" w:color="auto" w:fill="auto"/>
                  <w:tcMar>
                    <w:top w:w="0" w:type="dxa"/>
                    <w:left w:w="0" w:type="dxa"/>
                    <w:bottom w:w="0" w:type="dxa"/>
                    <w:right w:w="0" w:type="dxa"/>
                  </w:tcMar>
                  <w:vAlign w:val="center"/>
                </w:tcPr>
                <w:p w14:paraId="6EFF2E86">
                  <w:pPr>
                    <w:pStyle w:val="23"/>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油类物质</w:t>
                  </w:r>
                </w:p>
              </w:tc>
              <w:tc>
                <w:tcPr>
                  <w:tcW w:w="543" w:type="pct"/>
                  <w:vMerge w:val="continue"/>
                  <w:tcMar>
                    <w:top w:w="0" w:type="dxa"/>
                    <w:left w:w="0" w:type="dxa"/>
                    <w:bottom w:w="0" w:type="dxa"/>
                    <w:right w:w="0" w:type="dxa"/>
                  </w:tcMar>
                  <w:vAlign w:val="center"/>
                </w:tcPr>
                <w:p w14:paraId="36C2D25D">
                  <w:pPr>
                    <w:snapToGrid w:val="0"/>
                    <w:spacing w:line="240" w:lineRule="auto"/>
                    <w:ind w:firstLine="0" w:firstLineChars="0"/>
                    <w:jc w:val="center"/>
                    <w:rPr>
                      <w:color w:val="auto"/>
                      <w:sz w:val="21"/>
                      <w:szCs w:val="21"/>
                    </w:rPr>
                  </w:pPr>
                </w:p>
              </w:tc>
              <w:tc>
                <w:tcPr>
                  <w:tcW w:w="365" w:type="pct"/>
                  <w:shd w:val="clear" w:color="auto" w:fill="auto"/>
                  <w:tcMar>
                    <w:top w:w="0" w:type="dxa"/>
                    <w:left w:w="0" w:type="dxa"/>
                    <w:bottom w:w="0" w:type="dxa"/>
                    <w:right w:w="0" w:type="dxa"/>
                  </w:tcMar>
                  <w:vAlign w:val="center"/>
                </w:tcPr>
                <w:p w14:paraId="29B0C6FD">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498" w:type="pct"/>
                  <w:shd w:val="clear" w:color="auto" w:fill="auto"/>
                  <w:tcMar>
                    <w:top w:w="0" w:type="dxa"/>
                    <w:left w:w="0" w:type="dxa"/>
                    <w:bottom w:w="0" w:type="dxa"/>
                    <w:right w:w="0" w:type="dxa"/>
                  </w:tcMar>
                  <w:vAlign w:val="center"/>
                </w:tcPr>
                <w:p w14:paraId="07C738CF">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744" w:type="pct"/>
                  <w:shd w:val="clear" w:color="auto" w:fill="auto"/>
                  <w:tcMar>
                    <w:top w:w="0" w:type="dxa"/>
                    <w:left w:w="0" w:type="dxa"/>
                    <w:bottom w:w="0" w:type="dxa"/>
                    <w:right w:w="0" w:type="dxa"/>
                  </w:tcMar>
                  <w:vAlign w:val="center"/>
                </w:tcPr>
                <w:p w14:paraId="7586CDDE">
                  <w:pPr>
                    <w:pStyle w:val="167"/>
                    <w:spacing w:before="0" w:beforeLines="0" w:after="0" w:afterLines="0" w:line="240" w:lineRule="auto"/>
                    <w:ind w:firstLine="0" w:firstLineChars="0"/>
                    <w:jc w:val="center"/>
                    <w:rPr>
                      <w:rFonts w:ascii="Times New Roman" w:hAnsi="Times New Roman" w:eastAsia="宋体" w:cs="Times New Roman"/>
                      <w:color w:val="auto"/>
                      <w:kern w:val="0"/>
                      <w:sz w:val="21"/>
                      <w:szCs w:val="21"/>
                      <w:lang w:val="en-US" w:eastAsia="zh-CN" w:bidi="ar-SA"/>
                    </w:rPr>
                  </w:pPr>
                  <w:r>
                    <w:rPr>
                      <w:color w:val="auto"/>
                      <w:szCs w:val="21"/>
                    </w:rPr>
                    <w:t>900-217-08</w:t>
                  </w:r>
                </w:p>
              </w:tc>
              <w:tc>
                <w:tcPr>
                  <w:tcW w:w="474" w:type="pct"/>
                  <w:shd w:val="clear" w:color="auto" w:fill="auto"/>
                  <w:tcMar>
                    <w:top w:w="0" w:type="dxa"/>
                    <w:left w:w="0" w:type="dxa"/>
                    <w:bottom w:w="0" w:type="dxa"/>
                    <w:right w:w="0" w:type="dxa"/>
                  </w:tcMar>
                  <w:vAlign w:val="center"/>
                </w:tcPr>
                <w:p w14:paraId="47B70C24">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w:t>
                  </w:r>
                </w:p>
              </w:tc>
            </w:tr>
            <w:tr w14:paraId="389CCE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tcMar>
                    <w:top w:w="0" w:type="dxa"/>
                    <w:left w:w="0" w:type="dxa"/>
                    <w:bottom w:w="0" w:type="dxa"/>
                    <w:right w:w="0" w:type="dxa"/>
                  </w:tcMar>
                  <w:vAlign w:val="center"/>
                </w:tcPr>
                <w:p w14:paraId="2A2689C7">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6</w:t>
                  </w:r>
                </w:p>
              </w:tc>
              <w:tc>
                <w:tcPr>
                  <w:tcW w:w="428" w:type="pct"/>
                  <w:gridSpan w:val="2"/>
                  <w:shd w:val="clear" w:color="auto" w:fill="auto"/>
                  <w:tcMar>
                    <w:top w:w="0" w:type="dxa"/>
                    <w:left w:w="0" w:type="dxa"/>
                    <w:bottom w:w="0" w:type="dxa"/>
                    <w:right w:w="0" w:type="dxa"/>
                  </w:tcMar>
                  <w:vAlign w:val="center"/>
                </w:tcPr>
                <w:p w14:paraId="09A16A50">
                  <w:pPr>
                    <w:snapToGrid w:val="0"/>
                    <w:spacing w:line="240" w:lineRule="auto"/>
                    <w:ind w:firstLine="0" w:firstLineChars="0"/>
                    <w:jc w:val="center"/>
                    <w:rPr>
                      <w:rFonts w:hint="default" w:ascii="Times New Roman" w:hAnsi="Times New Roman" w:eastAsia="宋体" w:cs="Times New Roman"/>
                      <w:color w:val="auto"/>
                      <w:kern w:val="2"/>
                      <w:sz w:val="18"/>
                      <w:szCs w:val="18"/>
                      <w:lang w:val="en-US" w:eastAsia="zh-CN" w:bidi="ar-SA"/>
                    </w:rPr>
                  </w:pPr>
                  <w:r>
                    <w:rPr>
                      <w:rFonts w:hint="eastAsia"/>
                      <w:b w:val="0"/>
                      <w:bCs w:val="0"/>
                      <w:color w:val="auto"/>
                      <w:kern w:val="0"/>
                      <w:sz w:val="21"/>
                      <w:szCs w:val="21"/>
                      <w:lang w:val="en-US" w:eastAsia="zh-CN"/>
                    </w:rPr>
                    <w:t>油烟净化器废油</w:t>
                  </w:r>
                </w:p>
              </w:tc>
              <w:tc>
                <w:tcPr>
                  <w:tcW w:w="480" w:type="pct"/>
                  <w:gridSpan w:val="2"/>
                  <w:vMerge w:val="continue"/>
                  <w:tcMar>
                    <w:top w:w="0" w:type="dxa"/>
                    <w:left w:w="0" w:type="dxa"/>
                    <w:bottom w:w="0" w:type="dxa"/>
                    <w:right w:w="0" w:type="dxa"/>
                  </w:tcMar>
                  <w:vAlign w:val="center"/>
                </w:tcPr>
                <w:p w14:paraId="72FC46FD">
                  <w:pPr>
                    <w:snapToGrid w:val="0"/>
                    <w:spacing w:line="240" w:lineRule="auto"/>
                    <w:ind w:firstLine="0" w:firstLineChars="0"/>
                    <w:jc w:val="center"/>
                    <w:rPr>
                      <w:color w:val="auto"/>
                      <w:sz w:val="21"/>
                      <w:szCs w:val="21"/>
                    </w:rPr>
                  </w:pPr>
                </w:p>
              </w:tc>
              <w:tc>
                <w:tcPr>
                  <w:tcW w:w="370" w:type="pct"/>
                  <w:shd w:val="clear" w:color="auto" w:fill="auto"/>
                  <w:tcMar>
                    <w:top w:w="0" w:type="dxa"/>
                    <w:left w:w="0" w:type="dxa"/>
                    <w:bottom w:w="0" w:type="dxa"/>
                    <w:right w:w="0" w:type="dxa"/>
                  </w:tcMar>
                  <w:vAlign w:val="center"/>
                </w:tcPr>
                <w:p w14:paraId="67E9E383">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废气处理</w:t>
                  </w:r>
                </w:p>
              </w:tc>
              <w:tc>
                <w:tcPr>
                  <w:tcW w:w="277" w:type="pct"/>
                  <w:vMerge w:val="continue"/>
                  <w:tcMar>
                    <w:top w:w="0" w:type="dxa"/>
                    <w:left w:w="0" w:type="dxa"/>
                    <w:bottom w:w="0" w:type="dxa"/>
                    <w:right w:w="0" w:type="dxa"/>
                  </w:tcMar>
                  <w:vAlign w:val="center"/>
                </w:tcPr>
                <w:p w14:paraId="5A1F5764">
                  <w:pPr>
                    <w:snapToGrid w:val="0"/>
                    <w:spacing w:line="240" w:lineRule="auto"/>
                    <w:ind w:firstLine="0" w:firstLineChars="0"/>
                    <w:jc w:val="center"/>
                    <w:rPr>
                      <w:rFonts w:hint="default" w:eastAsia="宋体"/>
                      <w:color w:val="auto"/>
                      <w:sz w:val="21"/>
                      <w:szCs w:val="21"/>
                      <w:lang w:val="en-US" w:eastAsia="zh-CN"/>
                    </w:rPr>
                  </w:pPr>
                </w:p>
              </w:tc>
              <w:tc>
                <w:tcPr>
                  <w:tcW w:w="629" w:type="pct"/>
                  <w:shd w:val="clear" w:color="auto" w:fill="auto"/>
                  <w:tcMar>
                    <w:top w:w="0" w:type="dxa"/>
                    <w:left w:w="0" w:type="dxa"/>
                    <w:bottom w:w="0" w:type="dxa"/>
                    <w:right w:w="0" w:type="dxa"/>
                  </w:tcMar>
                  <w:vAlign w:val="center"/>
                </w:tcPr>
                <w:p w14:paraId="5600DCD2">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油类物质</w:t>
                  </w:r>
                </w:p>
              </w:tc>
              <w:tc>
                <w:tcPr>
                  <w:tcW w:w="543" w:type="pct"/>
                  <w:vMerge w:val="continue"/>
                  <w:tcMar>
                    <w:top w:w="0" w:type="dxa"/>
                    <w:left w:w="0" w:type="dxa"/>
                    <w:bottom w:w="0" w:type="dxa"/>
                    <w:right w:w="0" w:type="dxa"/>
                  </w:tcMar>
                  <w:vAlign w:val="center"/>
                </w:tcPr>
                <w:p w14:paraId="70D3A1DB">
                  <w:pPr>
                    <w:snapToGrid w:val="0"/>
                    <w:spacing w:line="240" w:lineRule="auto"/>
                    <w:ind w:firstLine="0" w:firstLineChars="0"/>
                    <w:jc w:val="center"/>
                    <w:rPr>
                      <w:color w:val="auto"/>
                      <w:sz w:val="21"/>
                      <w:szCs w:val="21"/>
                    </w:rPr>
                  </w:pPr>
                </w:p>
              </w:tc>
              <w:tc>
                <w:tcPr>
                  <w:tcW w:w="365" w:type="pct"/>
                  <w:shd w:val="clear" w:color="auto" w:fill="auto"/>
                  <w:tcMar>
                    <w:top w:w="0" w:type="dxa"/>
                    <w:left w:w="0" w:type="dxa"/>
                    <w:bottom w:w="0" w:type="dxa"/>
                    <w:right w:w="0" w:type="dxa"/>
                  </w:tcMar>
                  <w:vAlign w:val="center"/>
                </w:tcPr>
                <w:p w14:paraId="6D319E4A">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498" w:type="pct"/>
                  <w:shd w:val="clear" w:color="auto" w:fill="auto"/>
                  <w:tcMar>
                    <w:top w:w="0" w:type="dxa"/>
                    <w:left w:w="0" w:type="dxa"/>
                    <w:bottom w:w="0" w:type="dxa"/>
                    <w:right w:w="0" w:type="dxa"/>
                  </w:tcMar>
                  <w:vAlign w:val="center"/>
                </w:tcPr>
                <w:p w14:paraId="28B431F9">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744" w:type="pct"/>
                  <w:shd w:val="clear" w:color="auto" w:fill="auto"/>
                  <w:tcMar>
                    <w:top w:w="0" w:type="dxa"/>
                    <w:left w:w="0" w:type="dxa"/>
                    <w:bottom w:w="0" w:type="dxa"/>
                    <w:right w:w="0" w:type="dxa"/>
                  </w:tcMar>
                  <w:vAlign w:val="center"/>
                </w:tcPr>
                <w:p w14:paraId="06F82583">
                  <w:pPr>
                    <w:pStyle w:val="167"/>
                    <w:spacing w:before="0" w:beforeLines="0" w:after="0" w:afterLines="0" w:line="240" w:lineRule="auto"/>
                    <w:ind w:firstLine="0" w:firstLineChars="0"/>
                    <w:jc w:val="center"/>
                    <w:rPr>
                      <w:rFonts w:ascii="Times New Roman" w:hAnsi="Times New Roman" w:eastAsia="宋体" w:cs="Times New Roman"/>
                      <w:color w:val="auto"/>
                      <w:kern w:val="0"/>
                      <w:sz w:val="21"/>
                      <w:szCs w:val="21"/>
                      <w:lang w:val="en-US" w:eastAsia="zh-CN" w:bidi="ar-SA"/>
                    </w:rPr>
                  </w:pPr>
                  <w:r>
                    <w:rPr>
                      <w:color w:val="auto"/>
                      <w:szCs w:val="21"/>
                    </w:rPr>
                    <w:t>900-249-08</w:t>
                  </w:r>
                </w:p>
              </w:tc>
              <w:tc>
                <w:tcPr>
                  <w:tcW w:w="474" w:type="pct"/>
                  <w:shd w:val="clear" w:color="auto" w:fill="auto"/>
                  <w:tcMar>
                    <w:top w:w="0" w:type="dxa"/>
                    <w:left w:w="0" w:type="dxa"/>
                    <w:bottom w:w="0" w:type="dxa"/>
                    <w:right w:w="0" w:type="dxa"/>
                  </w:tcMar>
                  <w:vAlign w:val="center"/>
                </w:tcPr>
                <w:p w14:paraId="5019D749">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w:t>
                  </w:r>
                </w:p>
              </w:tc>
            </w:tr>
            <w:tr w14:paraId="0052C1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4" w:type="pct"/>
                  <w:tcMar>
                    <w:top w:w="0" w:type="dxa"/>
                    <w:left w:w="0" w:type="dxa"/>
                    <w:bottom w:w="0" w:type="dxa"/>
                    <w:right w:w="0" w:type="dxa"/>
                  </w:tcMar>
                  <w:vAlign w:val="center"/>
                </w:tcPr>
                <w:p w14:paraId="1616AE2E">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7</w:t>
                  </w:r>
                </w:p>
              </w:tc>
              <w:tc>
                <w:tcPr>
                  <w:tcW w:w="428" w:type="pct"/>
                  <w:gridSpan w:val="2"/>
                  <w:shd w:val="clear" w:color="auto" w:fill="auto"/>
                  <w:tcMar>
                    <w:top w:w="0" w:type="dxa"/>
                    <w:left w:w="0" w:type="dxa"/>
                    <w:bottom w:w="0" w:type="dxa"/>
                    <w:right w:w="0" w:type="dxa"/>
                  </w:tcMar>
                  <w:vAlign w:val="center"/>
                </w:tcPr>
                <w:p w14:paraId="0669C703">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污（油）泥</w:t>
                  </w:r>
                </w:p>
              </w:tc>
              <w:tc>
                <w:tcPr>
                  <w:tcW w:w="480" w:type="pct"/>
                  <w:gridSpan w:val="2"/>
                  <w:vMerge w:val="continue"/>
                  <w:tcMar>
                    <w:top w:w="0" w:type="dxa"/>
                    <w:left w:w="0" w:type="dxa"/>
                    <w:bottom w:w="0" w:type="dxa"/>
                    <w:right w:w="0" w:type="dxa"/>
                  </w:tcMar>
                  <w:vAlign w:val="center"/>
                </w:tcPr>
                <w:p w14:paraId="64C780A3">
                  <w:pPr>
                    <w:snapToGrid w:val="0"/>
                    <w:spacing w:line="240" w:lineRule="auto"/>
                    <w:ind w:firstLine="0" w:firstLineChars="0"/>
                    <w:jc w:val="center"/>
                    <w:rPr>
                      <w:color w:val="auto"/>
                      <w:sz w:val="21"/>
                      <w:szCs w:val="21"/>
                    </w:rPr>
                  </w:pPr>
                </w:p>
              </w:tc>
              <w:tc>
                <w:tcPr>
                  <w:tcW w:w="370" w:type="pct"/>
                  <w:shd w:val="clear" w:color="auto" w:fill="auto"/>
                  <w:tcMar>
                    <w:top w:w="0" w:type="dxa"/>
                    <w:left w:w="0" w:type="dxa"/>
                    <w:bottom w:w="0" w:type="dxa"/>
                    <w:right w:w="0" w:type="dxa"/>
                  </w:tcMar>
                  <w:vAlign w:val="center"/>
                </w:tcPr>
                <w:p w14:paraId="1D190B41">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废水处理</w:t>
                  </w:r>
                </w:p>
              </w:tc>
              <w:tc>
                <w:tcPr>
                  <w:tcW w:w="277" w:type="pct"/>
                  <w:tcMar>
                    <w:top w:w="0" w:type="dxa"/>
                    <w:left w:w="0" w:type="dxa"/>
                    <w:bottom w:w="0" w:type="dxa"/>
                    <w:right w:w="0" w:type="dxa"/>
                  </w:tcMar>
                  <w:vAlign w:val="center"/>
                </w:tcPr>
                <w:p w14:paraId="0CE8365D">
                  <w:pPr>
                    <w:snapToGrid w:val="0"/>
                    <w:spacing w:line="240" w:lineRule="auto"/>
                    <w:ind w:firstLine="0" w:firstLineChars="0"/>
                    <w:jc w:val="center"/>
                    <w:rPr>
                      <w:color w:val="auto"/>
                      <w:sz w:val="21"/>
                      <w:szCs w:val="21"/>
                    </w:rPr>
                  </w:pPr>
                  <w:r>
                    <w:rPr>
                      <w:rFonts w:hint="eastAsia"/>
                      <w:color w:val="auto"/>
                      <w:sz w:val="21"/>
                      <w:szCs w:val="21"/>
                      <w:lang w:val="en-US" w:eastAsia="zh-CN"/>
                    </w:rPr>
                    <w:t>半固态</w:t>
                  </w:r>
                </w:p>
              </w:tc>
              <w:tc>
                <w:tcPr>
                  <w:tcW w:w="629" w:type="pct"/>
                  <w:shd w:val="clear" w:color="auto" w:fill="auto"/>
                  <w:tcMar>
                    <w:top w:w="0" w:type="dxa"/>
                    <w:left w:w="0" w:type="dxa"/>
                    <w:bottom w:w="0" w:type="dxa"/>
                    <w:right w:w="0" w:type="dxa"/>
                  </w:tcMar>
                  <w:vAlign w:val="center"/>
                </w:tcPr>
                <w:p w14:paraId="74521264">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污泥</w:t>
                  </w:r>
                </w:p>
              </w:tc>
              <w:tc>
                <w:tcPr>
                  <w:tcW w:w="543" w:type="pct"/>
                  <w:vMerge w:val="continue"/>
                  <w:tcMar>
                    <w:top w:w="0" w:type="dxa"/>
                    <w:left w:w="0" w:type="dxa"/>
                    <w:bottom w:w="0" w:type="dxa"/>
                    <w:right w:w="0" w:type="dxa"/>
                  </w:tcMar>
                  <w:vAlign w:val="center"/>
                </w:tcPr>
                <w:p w14:paraId="0EBD18B9">
                  <w:pPr>
                    <w:snapToGrid w:val="0"/>
                    <w:spacing w:line="240" w:lineRule="auto"/>
                    <w:ind w:firstLine="0" w:firstLineChars="0"/>
                    <w:jc w:val="center"/>
                    <w:rPr>
                      <w:color w:val="auto"/>
                      <w:sz w:val="21"/>
                      <w:szCs w:val="21"/>
                    </w:rPr>
                  </w:pPr>
                </w:p>
              </w:tc>
              <w:tc>
                <w:tcPr>
                  <w:tcW w:w="365" w:type="pct"/>
                  <w:shd w:val="clear" w:color="auto" w:fill="auto"/>
                  <w:tcMar>
                    <w:top w:w="0" w:type="dxa"/>
                    <w:left w:w="0" w:type="dxa"/>
                    <w:bottom w:w="0" w:type="dxa"/>
                    <w:right w:w="0" w:type="dxa"/>
                  </w:tcMar>
                  <w:vAlign w:val="center"/>
                </w:tcPr>
                <w:p w14:paraId="62D2B5F2">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498" w:type="pct"/>
                  <w:shd w:val="clear" w:color="auto" w:fill="auto"/>
                  <w:tcMar>
                    <w:top w:w="0" w:type="dxa"/>
                    <w:left w:w="0" w:type="dxa"/>
                    <w:bottom w:w="0" w:type="dxa"/>
                    <w:right w:w="0" w:type="dxa"/>
                  </w:tcMar>
                  <w:vAlign w:val="center"/>
                </w:tcPr>
                <w:p w14:paraId="726B987C">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744" w:type="pct"/>
                  <w:shd w:val="clear" w:color="auto" w:fill="auto"/>
                  <w:tcMar>
                    <w:top w:w="0" w:type="dxa"/>
                    <w:left w:w="0" w:type="dxa"/>
                    <w:bottom w:w="0" w:type="dxa"/>
                    <w:right w:w="0" w:type="dxa"/>
                  </w:tcMar>
                  <w:vAlign w:val="center"/>
                </w:tcPr>
                <w:p w14:paraId="5E3D3F5A">
                  <w:pPr>
                    <w:pStyle w:val="167"/>
                    <w:spacing w:before="0" w:beforeLines="0" w:after="0" w:afterLines="0" w:line="240" w:lineRule="auto"/>
                    <w:ind w:firstLine="0" w:firstLineChars="0"/>
                    <w:jc w:val="center"/>
                    <w:rPr>
                      <w:rFonts w:ascii="Times New Roman" w:hAnsi="Times New Roman" w:eastAsia="宋体" w:cs="Times New Roman"/>
                      <w:color w:val="auto"/>
                      <w:kern w:val="0"/>
                      <w:sz w:val="21"/>
                      <w:szCs w:val="21"/>
                      <w:lang w:val="en-US" w:eastAsia="zh-CN" w:bidi="ar-SA"/>
                    </w:rPr>
                  </w:pPr>
                  <w:r>
                    <w:rPr>
                      <w:color w:val="auto"/>
                      <w:szCs w:val="21"/>
                    </w:rPr>
                    <w:t>900-210-08</w:t>
                  </w:r>
                </w:p>
              </w:tc>
              <w:tc>
                <w:tcPr>
                  <w:tcW w:w="474" w:type="pct"/>
                  <w:shd w:val="clear" w:color="auto" w:fill="auto"/>
                  <w:tcMar>
                    <w:top w:w="0" w:type="dxa"/>
                    <w:left w:w="0" w:type="dxa"/>
                    <w:bottom w:w="0" w:type="dxa"/>
                    <w:right w:w="0" w:type="dxa"/>
                  </w:tcMar>
                  <w:vAlign w:val="center"/>
                </w:tcPr>
                <w:p w14:paraId="629EF16F">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17.675</w:t>
                  </w:r>
                </w:p>
              </w:tc>
            </w:tr>
            <w:tr w14:paraId="43D1887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7" w:hRule="atLeast"/>
              </w:trPr>
              <w:tc>
                <w:tcPr>
                  <w:tcW w:w="186" w:type="pct"/>
                  <w:gridSpan w:val="2"/>
                  <w:vMerge w:val="restart"/>
                  <w:vAlign w:val="center"/>
                </w:tcPr>
                <w:p w14:paraId="6824E58C">
                  <w:pPr>
                    <w:snapToGrid w:val="0"/>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8</w:t>
                  </w:r>
                </w:p>
              </w:tc>
              <w:tc>
                <w:tcPr>
                  <w:tcW w:w="426" w:type="pct"/>
                  <w:vMerge w:val="restart"/>
                  <w:shd w:val="clear" w:color="auto" w:fill="auto"/>
                  <w:vAlign w:val="center"/>
                </w:tcPr>
                <w:p w14:paraId="50B4C05B">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生化污泥</w:t>
                  </w:r>
                </w:p>
              </w:tc>
              <w:tc>
                <w:tcPr>
                  <w:tcW w:w="205" w:type="pct"/>
                  <w:vMerge w:val="restart"/>
                  <w:vAlign w:val="center"/>
                </w:tcPr>
                <w:p w14:paraId="41D00F17">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待鉴别</w:t>
                  </w:r>
                </w:p>
              </w:tc>
              <w:tc>
                <w:tcPr>
                  <w:tcW w:w="275" w:type="pct"/>
                  <w:vAlign w:val="center"/>
                </w:tcPr>
                <w:p w14:paraId="527A48B0">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危废</w:t>
                  </w:r>
                </w:p>
              </w:tc>
              <w:tc>
                <w:tcPr>
                  <w:tcW w:w="370" w:type="pct"/>
                  <w:vMerge w:val="restart"/>
                  <w:shd w:val="clear" w:color="auto" w:fill="auto"/>
                  <w:vAlign w:val="center"/>
                </w:tcPr>
                <w:p w14:paraId="332DF96E">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废水处理</w:t>
                  </w:r>
                </w:p>
              </w:tc>
              <w:tc>
                <w:tcPr>
                  <w:tcW w:w="277" w:type="pct"/>
                  <w:vMerge w:val="restart"/>
                  <w:vAlign w:val="center"/>
                </w:tcPr>
                <w:p w14:paraId="5FAD0B04">
                  <w:pPr>
                    <w:snapToGrid w:val="0"/>
                    <w:spacing w:line="240" w:lineRule="auto"/>
                    <w:ind w:firstLine="0" w:firstLineChars="0"/>
                    <w:jc w:val="center"/>
                    <w:rPr>
                      <w:color w:val="auto"/>
                      <w:sz w:val="21"/>
                      <w:szCs w:val="21"/>
                    </w:rPr>
                  </w:pPr>
                </w:p>
              </w:tc>
              <w:tc>
                <w:tcPr>
                  <w:tcW w:w="629" w:type="pct"/>
                  <w:vMerge w:val="restart"/>
                  <w:shd w:val="clear" w:color="auto" w:fill="auto"/>
                  <w:vAlign w:val="center"/>
                </w:tcPr>
                <w:p w14:paraId="0A9870B3">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污泥</w:t>
                  </w:r>
                </w:p>
              </w:tc>
              <w:tc>
                <w:tcPr>
                  <w:tcW w:w="543" w:type="pct"/>
                  <w:vMerge w:val="restart"/>
                  <w:vAlign w:val="center"/>
                </w:tcPr>
                <w:p w14:paraId="23CE9FFE">
                  <w:pPr>
                    <w:snapToGrid w:val="0"/>
                    <w:spacing w:line="240" w:lineRule="auto"/>
                    <w:ind w:firstLine="0" w:firstLineChars="0"/>
                    <w:jc w:val="center"/>
                    <w:rPr>
                      <w:color w:val="auto"/>
                      <w:sz w:val="21"/>
                      <w:szCs w:val="21"/>
                    </w:rPr>
                  </w:pPr>
                </w:p>
              </w:tc>
              <w:tc>
                <w:tcPr>
                  <w:tcW w:w="365" w:type="pct"/>
                  <w:vAlign w:val="center"/>
                </w:tcPr>
                <w:p w14:paraId="4E0A0AF5">
                  <w:pPr>
                    <w:pStyle w:val="23"/>
                    <w:spacing w:line="240" w:lineRule="auto"/>
                    <w:ind w:firstLine="0" w:firstLineChars="0"/>
                    <w:jc w:val="center"/>
                    <w:rPr>
                      <w:rFonts w:hint="default" w:eastAsia="宋体"/>
                      <w:color w:val="auto"/>
                      <w:kern w:val="2"/>
                      <w:sz w:val="21"/>
                      <w:szCs w:val="21"/>
                      <w:lang w:val="en-US" w:eastAsia="zh-CN"/>
                    </w:rPr>
                  </w:pPr>
                  <w:r>
                    <w:rPr>
                      <w:rFonts w:hint="eastAsia"/>
                      <w:color w:val="auto"/>
                      <w:kern w:val="2"/>
                      <w:sz w:val="21"/>
                      <w:szCs w:val="21"/>
                      <w:lang w:val="en-US" w:eastAsia="zh-CN"/>
                    </w:rPr>
                    <w:t>T, In</w:t>
                  </w:r>
                </w:p>
              </w:tc>
              <w:tc>
                <w:tcPr>
                  <w:tcW w:w="498" w:type="pct"/>
                  <w:vAlign w:val="center"/>
                </w:tcPr>
                <w:p w14:paraId="6720FB37">
                  <w:pPr>
                    <w:pStyle w:val="23"/>
                    <w:spacing w:line="240" w:lineRule="auto"/>
                    <w:ind w:firstLine="0" w:firstLineChars="0"/>
                    <w:jc w:val="center"/>
                    <w:rPr>
                      <w:rFonts w:hint="default"/>
                      <w:color w:val="auto"/>
                      <w:kern w:val="2"/>
                      <w:sz w:val="21"/>
                      <w:szCs w:val="21"/>
                      <w:lang w:val="en-US" w:eastAsia="zh-CN"/>
                    </w:rPr>
                  </w:pPr>
                  <w:r>
                    <w:rPr>
                      <w:rFonts w:hint="eastAsia"/>
                      <w:color w:val="auto"/>
                      <w:kern w:val="2"/>
                      <w:sz w:val="21"/>
                      <w:szCs w:val="21"/>
                      <w:lang w:val="en-US" w:eastAsia="zh-CN"/>
                    </w:rPr>
                    <w:t>HW49</w:t>
                  </w:r>
                </w:p>
              </w:tc>
              <w:tc>
                <w:tcPr>
                  <w:tcW w:w="744" w:type="pct"/>
                  <w:vAlign w:val="center"/>
                </w:tcPr>
                <w:p w14:paraId="305F3C47">
                  <w:pPr>
                    <w:pStyle w:val="23"/>
                    <w:spacing w:line="240" w:lineRule="auto"/>
                    <w:ind w:firstLine="0" w:firstLineChars="0"/>
                    <w:jc w:val="center"/>
                    <w:rPr>
                      <w:rFonts w:hint="default"/>
                      <w:color w:val="auto"/>
                      <w:kern w:val="2"/>
                      <w:sz w:val="21"/>
                      <w:szCs w:val="21"/>
                      <w:lang w:val="en-US" w:eastAsia="zh-CN"/>
                    </w:rPr>
                  </w:pPr>
                  <w:r>
                    <w:rPr>
                      <w:rFonts w:hint="eastAsia"/>
                      <w:color w:val="auto"/>
                      <w:kern w:val="2"/>
                      <w:sz w:val="21"/>
                      <w:szCs w:val="21"/>
                      <w:lang w:val="en-US" w:eastAsia="zh-CN"/>
                    </w:rPr>
                    <w:t>772-006-49</w:t>
                  </w:r>
                </w:p>
              </w:tc>
              <w:tc>
                <w:tcPr>
                  <w:tcW w:w="474" w:type="pct"/>
                  <w:vMerge w:val="restart"/>
                  <w:shd w:val="clear" w:color="auto" w:fill="auto"/>
                  <w:vAlign w:val="center"/>
                </w:tcPr>
                <w:p w14:paraId="0E128B84">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206.55</w:t>
                  </w:r>
                </w:p>
              </w:tc>
            </w:tr>
            <w:tr w14:paraId="385C78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7" w:hRule="atLeast"/>
              </w:trPr>
              <w:tc>
                <w:tcPr>
                  <w:tcW w:w="186" w:type="pct"/>
                  <w:gridSpan w:val="2"/>
                  <w:vMerge w:val="continue"/>
                  <w:vAlign w:val="center"/>
                </w:tcPr>
                <w:p w14:paraId="4B186433">
                  <w:pPr>
                    <w:pStyle w:val="23"/>
                    <w:spacing w:line="240" w:lineRule="auto"/>
                    <w:ind w:firstLine="0" w:firstLineChars="0"/>
                    <w:jc w:val="center"/>
                  </w:pPr>
                </w:p>
              </w:tc>
              <w:tc>
                <w:tcPr>
                  <w:tcW w:w="426" w:type="pct"/>
                  <w:vMerge w:val="continue"/>
                  <w:shd w:val="clear" w:color="auto" w:fill="auto"/>
                  <w:vAlign w:val="center"/>
                </w:tcPr>
                <w:p w14:paraId="07D825A1">
                  <w:pPr>
                    <w:pStyle w:val="23"/>
                    <w:spacing w:line="240" w:lineRule="auto"/>
                    <w:ind w:firstLine="0" w:firstLineChars="0"/>
                    <w:jc w:val="center"/>
                  </w:pPr>
                </w:p>
              </w:tc>
              <w:tc>
                <w:tcPr>
                  <w:tcW w:w="205" w:type="pct"/>
                  <w:vMerge w:val="continue"/>
                  <w:vAlign w:val="center"/>
                </w:tcPr>
                <w:p w14:paraId="500F72CD">
                  <w:pPr>
                    <w:snapToGrid w:val="0"/>
                    <w:spacing w:line="240" w:lineRule="auto"/>
                    <w:ind w:firstLine="0" w:firstLineChars="0"/>
                    <w:jc w:val="center"/>
                    <w:rPr>
                      <w:rFonts w:hint="eastAsia"/>
                      <w:color w:val="auto"/>
                      <w:sz w:val="21"/>
                      <w:szCs w:val="21"/>
                      <w:lang w:val="en-US" w:eastAsia="zh-CN"/>
                    </w:rPr>
                  </w:pPr>
                </w:p>
              </w:tc>
              <w:tc>
                <w:tcPr>
                  <w:tcW w:w="275" w:type="pct"/>
                  <w:vAlign w:val="center"/>
                </w:tcPr>
                <w:p w14:paraId="7D2EC103">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固废</w:t>
                  </w:r>
                </w:p>
              </w:tc>
              <w:tc>
                <w:tcPr>
                  <w:tcW w:w="370" w:type="pct"/>
                  <w:vMerge w:val="continue"/>
                  <w:shd w:val="clear" w:color="auto" w:fill="auto"/>
                  <w:vAlign w:val="center"/>
                </w:tcPr>
                <w:p w14:paraId="416E8D02">
                  <w:pPr>
                    <w:pStyle w:val="23"/>
                    <w:spacing w:line="240" w:lineRule="auto"/>
                    <w:ind w:firstLine="0" w:firstLineChars="0"/>
                    <w:jc w:val="center"/>
                  </w:pPr>
                </w:p>
              </w:tc>
              <w:tc>
                <w:tcPr>
                  <w:tcW w:w="277" w:type="pct"/>
                  <w:vMerge w:val="continue"/>
                  <w:vAlign w:val="center"/>
                </w:tcPr>
                <w:p w14:paraId="2CFED56D">
                  <w:pPr>
                    <w:pStyle w:val="23"/>
                    <w:spacing w:line="240" w:lineRule="auto"/>
                    <w:ind w:firstLine="0" w:firstLineChars="0"/>
                    <w:jc w:val="center"/>
                  </w:pPr>
                </w:p>
              </w:tc>
              <w:tc>
                <w:tcPr>
                  <w:tcW w:w="629" w:type="pct"/>
                  <w:vMerge w:val="continue"/>
                  <w:shd w:val="clear" w:color="auto" w:fill="auto"/>
                  <w:vAlign w:val="center"/>
                </w:tcPr>
                <w:p w14:paraId="21420A36">
                  <w:pPr>
                    <w:pStyle w:val="23"/>
                    <w:spacing w:line="240" w:lineRule="auto"/>
                    <w:ind w:firstLine="0" w:firstLineChars="0"/>
                    <w:jc w:val="center"/>
                  </w:pPr>
                </w:p>
              </w:tc>
              <w:tc>
                <w:tcPr>
                  <w:tcW w:w="543" w:type="pct"/>
                  <w:vMerge w:val="continue"/>
                  <w:vAlign w:val="center"/>
                </w:tcPr>
                <w:p w14:paraId="28BB60F9">
                  <w:pPr>
                    <w:pStyle w:val="23"/>
                    <w:spacing w:line="240" w:lineRule="auto"/>
                    <w:ind w:firstLine="0" w:firstLineChars="0"/>
                    <w:jc w:val="center"/>
                  </w:pPr>
                </w:p>
              </w:tc>
              <w:tc>
                <w:tcPr>
                  <w:tcW w:w="365" w:type="pct"/>
                  <w:vAlign w:val="center"/>
                </w:tcPr>
                <w:p w14:paraId="4FF174DE">
                  <w:pPr>
                    <w:pStyle w:val="23"/>
                    <w:spacing w:line="240" w:lineRule="auto"/>
                    <w:ind w:firstLine="0" w:firstLineChars="0"/>
                    <w:jc w:val="center"/>
                    <w:rPr>
                      <w:rFonts w:hint="eastAsia" w:eastAsia="宋体"/>
                      <w:lang w:val="en-US" w:eastAsia="zh-CN"/>
                    </w:rPr>
                  </w:pPr>
                  <w:r>
                    <w:rPr>
                      <w:rFonts w:hint="eastAsia"/>
                      <w:lang w:val="en-US" w:eastAsia="zh-CN"/>
                    </w:rPr>
                    <w:t>/</w:t>
                  </w:r>
                </w:p>
              </w:tc>
              <w:tc>
                <w:tcPr>
                  <w:tcW w:w="498" w:type="pct"/>
                  <w:vAlign w:val="center"/>
                </w:tcPr>
                <w:p w14:paraId="2F8AC049">
                  <w:pPr>
                    <w:pStyle w:val="23"/>
                    <w:spacing w:line="240" w:lineRule="auto"/>
                    <w:ind w:firstLine="0" w:firstLineChars="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HW07</w:t>
                  </w:r>
                </w:p>
              </w:tc>
              <w:tc>
                <w:tcPr>
                  <w:tcW w:w="744" w:type="pct"/>
                  <w:vAlign w:val="center"/>
                </w:tcPr>
                <w:p w14:paraId="569B5501">
                  <w:pPr>
                    <w:pStyle w:val="23"/>
                    <w:spacing w:line="240" w:lineRule="auto"/>
                    <w:ind w:firstLine="0" w:firstLineChars="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170-001-S07</w:t>
                  </w:r>
                </w:p>
              </w:tc>
              <w:tc>
                <w:tcPr>
                  <w:tcW w:w="474" w:type="pct"/>
                  <w:vMerge w:val="continue"/>
                  <w:shd w:val="clear" w:color="auto" w:fill="auto"/>
                  <w:vAlign w:val="center"/>
                </w:tcPr>
                <w:p w14:paraId="214B4578">
                  <w:pPr>
                    <w:pStyle w:val="23"/>
                    <w:spacing w:line="240" w:lineRule="auto"/>
                    <w:ind w:firstLine="0" w:firstLineChars="0"/>
                    <w:jc w:val="center"/>
                  </w:pPr>
                </w:p>
              </w:tc>
            </w:tr>
            <w:tr w14:paraId="42D797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7" w:hRule="atLeast"/>
              </w:trPr>
              <w:tc>
                <w:tcPr>
                  <w:tcW w:w="184" w:type="pct"/>
                  <w:vMerge w:val="restart"/>
                  <w:vAlign w:val="center"/>
                </w:tcPr>
                <w:p w14:paraId="0A51400E">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9</w:t>
                  </w:r>
                </w:p>
              </w:tc>
              <w:tc>
                <w:tcPr>
                  <w:tcW w:w="428" w:type="pct"/>
                  <w:gridSpan w:val="2"/>
                  <w:vMerge w:val="restart"/>
                  <w:shd w:val="clear" w:color="auto" w:fill="auto"/>
                  <w:vAlign w:val="center"/>
                </w:tcPr>
                <w:p w14:paraId="45E3ACC5">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废过滤介质</w:t>
                  </w:r>
                </w:p>
              </w:tc>
              <w:tc>
                <w:tcPr>
                  <w:tcW w:w="205" w:type="pct"/>
                  <w:vMerge w:val="restart"/>
                  <w:vAlign w:val="center"/>
                </w:tcPr>
                <w:p w14:paraId="1DA299D0">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待鉴别</w:t>
                  </w:r>
                </w:p>
              </w:tc>
              <w:tc>
                <w:tcPr>
                  <w:tcW w:w="275" w:type="pct"/>
                  <w:vAlign w:val="center"/>
                </w:tcPr>
                <w:p w14:paraId="3C007CFE">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危废</w:t>
                  </w:r>
                </w:p>
              </w:tc>
              <w:tc>
                <w:tcPr>
                  <w:tcW w:w="370" w:type="pct"/>
                  <w:vMerge w:val="restart"/>
                  <w:shd w:val="clear" w:color="auto" w:fill="auto"/>
                  <w:vAlign w:val="center"/>
                </w:tcPr>
                <w:p w14:paraId="4ED3CB29">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废水处理</w:t>
                  </w:r>
                </w:p>
              </w:tc>
              <w:tc>
                <w:tcPr>
                  <w:tcW w:w="277" w:type="pct"/>
                  <w:vMerge w:val="restart"/>
                  <w:vAlign w:val="center"/>
                </w:tcPr>
                <w:p w14:paraId="42EA39DC">
                  <w:pPr>
                    <w:snapToGrid w:val="0"/>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固态</w:t>
                  </w:r>
                </w:p>
              </w:tc>
              <w:tc>
                <w:tcPr>
                  <w:tcW w:w="629" w:type="pct"/>
                  <w:vMerge w:val="restart"/>
                  <w:shd w:val="clear" w:color="auto" w:fill="auto"/>
                  <w:vAlign w:val="center"/>
                </w:tcPr>
                <w:p w14:paraId="6345EF7B">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废石英砂、废活性炭</w:t>
                  </w:r>
                </w:p>
              </w:tc>
              <w:tc>
                <w:tcPr>
                  <w:tcW w:w="543" w:type="pct"/>
                  <w:vMerge w:val="restart"/>
                  <w:vAlign w:val="center"/>
                </w:tcPr>
                <w:p w14:paraId="58D3B61D">
                  <w:pPr>
                    <w:snapToGrid w:val="0"/>
                    <w:spacing w:line="240" w:lineRule="auto"/>
                    <w:ind w:firstLine="0" w:firstLineChars="0"/>
                    <w:jc w:val="center"/>
                    <w:rPr>
                      <w:color w:val="auto"/>
                      <w:sz w:val="21"/>
                      <w:szCs w:val="21"/>
                    </w:rPr>
                  </w:pPr>
                </w:p>
              </w:tc>
              <w:tc>
                <w:tcPr>
                  <w:tcW w:w="365" w:type="pct"/>
                  <w:vAlign w:val="center"/>
                </w:tcPr>
                <w:p w14:paraId="27B69EDF">
                  <w:pPr>
                    <w:pStyle w:val="23"/>
                    <w:spacing w:line="240" w:lineRule="auto"/>
                    <w:ind w:firstLine="0" w:firstLineChars="0"/>
                    <w:jc w:val="center"/>
                    <w:rPr>
                      <w:rFonts w:hint="default"/>
                      <w:color w:val="auto"/>
                      <w:kern w:val="2"/>
                      <w:sz w:val="21"/>
                      <w:szCs w:val="21"/>
                      <w:lang w:val="en-US" w:eastAsia="zh-CN"/>
                    </w:rPr>
                  </w:pPr>
                  <w:r>
                    <w:rPr>
                      <w:rFonts w:hint="eastAsia"/>
                      <w:color w:val="auto"/>
                      <w:kern w:val="2"/>
                      <w:sz w:val="21"/>
                      <w:szCs w:val="21"/>
                      <w:lang w:val="en-US" w:eastAsia="zh-CN"/>
                    </w:rPr>
                    <w:t>T, In</w:t>
                  </w:r>
                </w:p>
              </w:tc>
              <w:tc>
                <w:tcPr>
                  <w:tcW w:w="498" w:type="pct"/>
                  <w:vAlign w:val="center"/>
                </w:tcPr>
                <w:p w14:paraId="4783FC19">
                  <w:pPr>
                    <w:pStyle w:val="23"/>
                    <w:spacing w:line="240" w:lineRule="auto"/>
                    <w:ind w:firstLine="0" w:firstLineChars="0"/>
                    <w:jc w:val="center"/>
                    <w:rPr>
                      <w:rFonts w:hint="eastAsia"/>
                      <w:color w:val="auto"/>
                      <w:kern w:val="2"/>
                      <w:sz w:val="21"/>
                      <w:szCs w:val="21"/>
                      <w:lang w:val="en-US" w:eastAsia="zh-CN"/>
                    </w:rPr>
                  </w:pPr>
                  <w:r>
                    <w:rPr>
                      <w:rFonts w:hint="eastAsia"/>
                      <w:color w:val="auto"/>
                      <w:kern w:val="2"/>
                      <w:sz w:val="21"/>
                      <w:szCs w:val="21"/>
                      <w:lang w:val="en-US" w:eastAsia="zh-CN"/>
                    </w:rPr>
                    <w:t>HW49</w:t>
                  </w:r>
                </w:p>
              </w:tc>
              <w:tc>
                <w:tcPr>
                  <w:tcW w:w="744" w:type="pct"/>
                  <w:vAlign w:val="center"/>
                </w:tcPr>
                <w:p w14:paraId="67E92205">
                  <w:pPr>
                    <w:pStyle w:val="23"/>
                    <w:spacing w:line="240" w:lineRule="auto"/>
                    <w:ind w:firstLine="0" w:firstLineChars="0"/>
                    <w:jc w:val="center"/>
                    <w:rPr>
                      <w:rFonts w:hint="default"/>
                      <w:color w:val="auto"/>
                      <w:kern w:val="2"/>
                      <w:sz w:val="21"/>
                      <w:szCs w:val="21"/>
                      <w:lang w:val="en-US" w:eastAsia="zh-CN"/>
                    </w:rPr>
                  </w:pPr>
                  <w:r>
                    <w:rPr>
                      <w:rFonts w:hint="eastAsia"/>
                      <w:color w:val="auto"/>
                      <w:kern w:val="2"/>
                      <w:sz w:val="21"/>
                      <w:szCs w:val="21"/>
                      <w:lang w:val="en-US" w:eastAsia="zh-CN"/>
                    </w:rPr>
                    <w:t>900-041-49</w:t>
                  </w:r>
                </w:p>
              </w:tc>
              <w:tc>
                <w:tcPr>
                  <w:tcW w:w="474" w:type="pct"/>
                  <w:vMerge w:val="restart"/>
                  <w:shd w:val="clear" w:color="auto" w:fill="auto"/>
                  <w:vAlign w:val="center"/>
                </w:tcPr>
                <w:p w14:paraId="47987CD4">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18.4</w:t>
                  </w:r>
                </w:p>
              </w:tc>
            </w:tr>
            <w:tr w14:paraId="286896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7" w:hRule="atLeast"/>
              </w:trPr>
              <w:tc>
                <w:tcPr>
                  <w:tcW w:w="184" w:type="pct"/>
                  <w:vMerge w:val="continue"/>
                  <w:vAlign w:val="center"/>
                </w:tcPr>
                <w:p w14:paraId="1196F130">
                  <w:pPr>
                    <w:pStyle w:val="23"/>
                    <w:spacing w:line="240" w:lineRule="auto"/>
                    <w:ind w:firstLine="0" w:firstLineChars="0"/>
                    <w:jc w:val="center"/>
                  </w:pPr>
                </w:p>
              </w:tc>
              <w:tc>
                <w:tcPr>
                  <w:tcW w:w="428" w:type="pct"/>
                  <w:gridSpan w:val="2"/>
                  <w:vMerge w:val="continue"/>
                  <w:shd w:val="clear" w:color="auto" w:fill="auto"/>
                  <w:vAlign w:val="center"/>
                </w:tcPr>
                <w:p w14:paraId="1B1E530D">
                  <w:pPr>
                    <w:pStyle w:val="23"/>
                    <w:spacing w:line="240" w:lineRule="auto"/>
                    <w:ind w:firstLine="0" w:firstLineChars="0"/>
                    <w:jc w:val="center"/>
                  </w:pPr>
                </w:p>
              </w:tc>
              <w:tc>
                <w:tcPr>
                  <w:tcW w:w="205" w:type="pct"/>
                  <w:vMerge w:val="continue"/>
                  <w:vAlign w:val="center"/>
                </w:tcPr>
                <w:p w14:paraId="5F6F29FA">
                  <w:pPr>
                    <w:snapToGrid w:val="0"/>
                    <w:spacing w:line="240" w:lineRule="auto"/>
                    <w:ind w:firstLine="0" w:firstLineChars="0"/>
                    <w:jc w:val="center"/>
                    <w:rPr>
                      <w:rFonts w:hint="eastAsia"/>
                      <w:color w:val="auto"/>
                      <w:sz w:val="21"/>
                      <w:szCs w:val="21"/>
                      <w:lang w:val="en-US" w:eastAsia="zh-CN"/>
                    </w:rPr>
                  </w:pPr>
                </w:p>
              </w:tc>
              <w:tc>
                <w:tcPr>
                  <w:tcW w:w="275" w:type="pct"/>
                  <w:vAlign w:val="center"/>
                </w:tcPr>
                <w:p w14:paraId="461A7A5D">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固废</w:t>
                  </w:r>
                </w:p>
              </w:tc>
              <w:tc>
                <w:tcPr>
                  <w:tcW w:w="370" w:type="pct"/>
                  <w:vMerge w:val="continue"/>
                  <w:shd w:val="clear" w:color="auto" w:fill="auto"/>
                  <w:vAlign w:val="center"/>
                </w:tcPr>
                <w:p w14:paraId="516000B4">
                  <w:pPr>
                    <w:pStyle w:val="23"/>
                    <w:spacing w:line="240" w:lineRule="auto"/>
                    <w:ind w:firstLine="0" w:firstLineChars="0"/>
                    <w:jc w:val="center"/>
                  </w:pPr>
                </w:p>
              </w:tc>
              <w:tc>
                <w:tcPr>
                  <w:tcW w:w="277" w:type="pct"/>
                  <w:vMerge w:val="continue"/>
                  <w:vAlign w:val="center"/>
                </w:tcPr>
                <w:p w14:paraId="2A172F95">
                  <w:pPr>
                    <w:pStyle w:val="23"/>
                    <w:spacing w:line="240" w:lineRule="auto"/>
                    <w:ind w:firstLine="0" w:firstLineChars="0"/>
                    <w:jc w:val="center"/>
                  </w:pPr>
                </w:p>
              </w:tc>
              <w:tc>
                <w:tcPr>
                  <w:tcW w:w="629" w:type="pct"/>
                  <w:vMerge w:val="continue"/>
                  <w:shd w:val="clear" w:color="auto" w:fill="auto"/>
                  <w:vAlign w:val="center"/>
                </w:tcPr>
                <w:p w14:paraId="4BD03A9C">
                  <w:pPr>
                    <w:pStyle w:val="23"/>
                    <w:spacing w:line="240" w:lineRule="auto"/>
                    <w:ind w:firstLine="0" w:firstLineChars="0"/>
                    <w:jc w:val="center"/>
                  </w:pPr>
                </w:p>
              </w:tc>
              <w:tc>
                <w:tcPr>
                  <w:tcW w:w="543" w:type="pct"/>
                  <w:vMerge w:val="continue"/>
                  <w:vAlign w:val="center"/>
                </w:tcPr>
                <w:p w14:paraId="61639CFD">
                  <w:pPr>
                    <w:pStyle w:val="23"/>
                    <w:spacing w:line="240" w:lineRule="auto"/>
                    <w:ind w:firstLine="0" w:firstLineChars="0"/>
                    <w:jc w:val="center"/>
                  </w:pPr>
                </w:p>
              </w:tc>
              <w:tc>
                <w:tcPr>
                  <w:tcW w:w="365" w:type="pct"/>
                  <w:vAlign w:val="center"/>
                </w:tcPr>
                <w:p w14:paraId="79FBADE6">
                  <w:pPr>
                    <w:pStyle w:val="23"/>
                    <w:spacing w:line="240" w:lineRule="auto"/>
                    <w:ind w:firstLine="0" w:firstLineChars="0"/>
                    <w:jc w:val="center"/>
                    <w:rPr>
                      <w:rFonts w:hint="eastAsia" w:eastAsia="宋体"/>
                      <w:lang w:val="en-US" w:eastAsia="zh-CN"/>
                    </w:rPr>
                  </w:pPr>
                  <w:r>
                    <w:rPr>
                      <w:rFonts w:hint="eastAsia"/>
                      <w:lang w:val="en-US" w:eastAsia="zh-CN"/>
                    </w:rPr>
                    <w:t>/</w:t>
                  </w:r>
                </w:p>
              </w:tc>
              <w:tc>
                <w:tcPr>
                  <w:tcW w:w="498" w:type="pct"/>
                  <w:vAlign w:val="center"/>
                </w:tcPr>
                <w:p w14:paraId="335D92B9">
                  <w:pPr>
                    <w:pStyle w:val="23"/>
                    <w:spacing w:line="240" w:lineRule="auto"/>
                    <w:ind w:firstLine="0" w:firstLineChars="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SW59</w:t>
                  </w:r>
                </w:p>
              </w:tc>
              <w:tc>
                <w:tcPr>
                  <w:tcW w:w="744" w:type="pct"/>
                  <w:vAlign w:val="center"/>
                </w:tcPr>
                <w:p w14:paraId="6C7042D8">
                  <w:pPr>
                    <w:pStyle w:val="23"/>
                    <w:spacing w:line="240" w:lineRule="auto"/>
                    <w:ind w:firstLine="0" w:firstLineChars="0"/>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eastAsia="宋体" w:cs="Times New Roman"/>
                      <w:color w:val="auto"/>
                      <w:kern w:val="2"/>
                      <w:sz w:val="21"/>
                      <w:szCs w:val="21"/>
                      <w:lang w:val="en-US" w:eastAsia="zh-CN"/>
                    </w:rPr>
                    <w:t>900-009-S59</w:t>
                  </w:r>
                </w:p>
              </w:tc>
              <w:tc>
                <w:tcPr>
                  <w:tcW w:w="474" w:type="pct"/>
                  <w:vMerge w:val="continue"/>
                  <w:shd w:val="clear" w:color="auto" w:fill="auto"/>
                  <w:vAlign w:val="center"/>
                </w:tcPr>
                <w:p w14:paraId="58A5CA6E">
                  <w:pPr>
                    <w:pStyle w:val="23"/>
                    <w:spacing w:line="240" w:lineRule="auto"/>
                    <w:ind w:firstLine="0" w:firstLineChars="0"/>
                    <w:jc w:val="center"/>
                  </w:pPr>
                </w:p>
              </w:tc>
            </w:tr>
          </w:tbl>
          <w:p w14:paraId="0AA30041">
            <w:pPr>
              <w:pStyle w:val="231"/>
              <w:ind w:firstLine="480"/>
              <w:rPr>
                <w:rFonts w:hint="default" w:ascii="Times New Roman" w:hAnsi="Times New Roman"/>
                <w:bCs/>
                <w:color w:val="000000" w:themeColor="text1"/>
                <w:sz w:val="21"/>
                <w:szCs w:val="22"/>
                <w:lang w:val="en-US" w:eastAsia="zh-CN"/>
                <w14:textFill>
                  <w14:solidFill>
                    <w14:schemeClr w14:val="tx1"/>
                  </w14:solidFill>
                </w14:textFill>
              </w:rPr>
            </w:pPr>
            <w:r>
              <w:rPr>
                <w:rFonts w:hint="eastAsia"/>
                <w:b w:val="0"/>
                <w:bCs/>
                <w:color w:val="000000" w:themeColor="text1"/>
                <w:sz w:val="21"/>
                <w:szCs w:val="21"/>
                <w:lang w:val="en-US" w:eastAsia="zh-CN"/>
                <w14:textFill>
                  <w14:solidFill>
                    <w14:schemeClr w14:val="tx1"/>
                  </w14:solidFill>
                </w14:textFill>
              </w:rPr>
              <w:t>注：因生化污泥含有总锑、可能含有废油，因此需要鉴别，</w:t>
            </w:r>
            <w:r>
              <w:rPr>
                <w:rFonts w:hint="eastAsia" w:ascii="Times New Roman" w:hAnsi="Times New Roman"/>
                <w:bCs/>
                <w:color w:val="000000" w:themeColor="text1"/>
                <w:sz w:val="21"/>
                <w:szCs w:val="22"/>
                <w:lang w:val="en-US" w:eastAsia="zh-CN"/>
                <w14:textFill>
                  <w14:solidFill>
                    <w14:schemeClr w14:val="tx1"/>
                  </w14:solidFill>
                </w14:textFill>
              </w:rPr>
              <w:t>鉴别依据《固体废物鉴别标准通则》（GB34330-2017）确认生化污泥和废过滤介质属性。</w:t>
            </w:r>
            <w:r>
              <w:rPr>
                <w:rFonts w:hint="eastAsia" w:ascii="Times New Roman" w:hAnsi="Times New Roman"/>
                <w:bCs/>
                <w:color w:val="000000" w:themeColor="text1"/>
                <w:sz w:val="21"/>
                <w:szCs w:val="22"/>
                <w:lang w:eastAsia="zh-CN"/>
                <w14:textFill>
                  <w14:solidFill>
                    <w14:schemeClr w14:val="tx1"/>
                  </w14:solidFill>
                </w14:textFill>
              </w:rPr>
              <w:t>未列入名录的固体废物需检测‌腐蚀性、毒性、易燃性、反应性‌等危险特性。检测标准包括：GB 5085系列标准（如GB 5085.1-7）涵盖具体检测方法，例如：腐蚀性通过pH值或钢材腐蚀速率判定；毒性采用急性毒性初筛实验；易燃性通过燃烧实验测定；反应性包含爆炸性、遇水反应性等指标。</w:t>
            </w:r>
            <w:r>
              <w:rPr>
                <w:rFonts w:hint="eastAsia" w:ascii="Times New Roman" w:hAnsi="Times New Roman"/>
                <w:bCs/>
                <w:color w:val="000000" w:themeColor="text1"/>
                <w:sz w:val="21"/>
                <w:szCs w:val="22"/>
                <w:lang w:val="en-US" w:eastAsia="zh-CN"/>
                <w14:textFill>
                  <w14:solidFill>
                    <w14:schemeClr w14:val="tx1"/>
                  </w14:solidFill>
                </w14:textFill>
              </w:rPr>
              <w:t>鉴别前按照危废从严管理，鉴别后按照固废属性进行分类管理。</w:t>
            </w:r>
          </w:p>
          <w:p w14:paraId="53291F16">
            <w:pPr>
              <w:adjustRightInd w:val="0"/>
              <w:snapToGrid w:val="0"/>
              <w:spacing w:line="240" w:lineRule="auto"/>
              <w:ind w:firstLine="0" w:firstLineChars="0"/>
              <w:jc w:val="center"/>
              <w:rPr>
                <w:b/>
                <w:color w:val="auto"/>
              </w:rPr>
            </w:pPr>
            <w:r>
              <w:rPr>
                <w:b/>
                <w:color w:val="auto"/>
              </w:rPr>
              <w:t>表4-</w:t>
            </w:r>
            <w:r>
              <w:rPr>
                <w:rFonts w:hint="eastAsia"/>
                <w:b/>
                <w:color w:val="auto"/>
                <w:lang w:val="en-US" w:eastAsia="zh-CN"/>
              </w:rPr>
              <w:t>26</w:t>
            </w:r>
            <w:r>
              <w:rPr>
                <w:b/>
                <w:color w:val="auto"/>
              </w:rPr>
              <w:t>项目危险废物汇总表</w:t>
            </w:r>
          </w:p>
          <w:tbl>
            <w:tblPr>
              <w:tblStyle w:val="3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5"/>
              <w:gridCol w:w="1081"/>
              <w:gridCol w:w="1033"/>
              <w:gridCol w:w="956"/>
              <w:gridCol w:w="1044"/>
              <w:gridCol w:w="579"/>
              <w:gridCol w:w="1028"/>
              <w:gridCol w:w="659"/>
              <w:gridCol w:w="737"/>
              <w:gridCol w:w="1210"/>
            </w:tblGrid>
            <w:tr w14:paraId="6A185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rPr>
              <w:tc>
                <w:tcPr>
                  <w:tcW w:w="280" w:type="pct"/>
                  <w:vAlign w:val="center"/>
                </w:tcPr>
                <w:p w14:paraId="7983886B">
                  <w:pPr>
                    <w:pStyle w:val="23"/>
                    <w:spacing w:line="320" w:lineRule="exact"/>
                    <w:ind w:leftChars="-7" w:hanging="17" w:hangingChars="8"/>
                    <w:jc w:val="center"/>
                    <w:rPr>
                      <w:b/>
                      <w:bCs/>
                      <w:color w:val="auto"/>
                      <w:kern w:val="2"/>
                      <w:sz w:val="21"/>
                      <w:szCs w:val="21"/>
                    </w:rPr>
                  </w:pPr>
                  <w:r>
                    <w:rPr>
                      <w:b/>
                      <w:bCs/>
                      <w:color w:val="auto"/>
                      <w:kern w:val="2"/>
                      <w:sz w:val="21"/>
                      <w:szCs w:val="21"/>
                    </w:rPr>
                    <w:t>序号</w:t>
                  </w:r>
                </w:p>
              </w:tc>
              <w:tc>
                <w:tcPr>
                  <w:tcW w:w="612" w:type="pct"/>
                  <w:tcBorders>
                    <w:bottom w:val="single" w:color="auto" w:sz="4" w:space="0"/>
                  </w:tcBorders>
                  <w:vAlign w:val="center"/>
                </w:tcPr>
                <w:p w14:paraId="5A0B223E">
                  <w:pPr>
                    <w:pStyle w:val="23"/>
                    <w:spacing w:line="320" w:lineRule="exact"/>
                    <w:ind w:leftChars="-7" w:hanging="17" w:hangingChars="8"/>
                    <w:jc w:val="center"/>
                    <w:rPr>
                      <w:b/>
                      <w:bCs/>
                      <w:color w:val="auto"/>
                      <w:kern w:val="2"/>
                      <w:sz w:val="21"/>
                      <w:szCs w:val="21"/>
                    </w:rPr>
                  </w:pPr>
                  <w:r>
                    <w:rPr>
                      <w:b/>
                      <w:bCs/>
                      <w:color w:val="auto"/>
                      <w:kern w:val="2"/>
                      <w:sz w:val="21"/>
                      <w:szCs w:val="21"/>
                    </w:rPr>
                    <w:t>危险废物名称</w:t>
                  </w:r>
                </w:p>
              </w:tc>
              <w:tc>
                <w:tcPr>
                  <w:tcW w:w="585" w:type="pct"/>
                  <w:tcBorders>
                    <w:bottom w:val="single" w:color="auto" w:sz="4" w:space="0"/>
                  </w:tcBorders>
                  <w:vAlign w:val="center"/>
                </w:tcPr>
                <w:p w14:paraId="669019DA">
                  <w:pPr>
                    <w:pStyle w:val="23"/>
                    <w:spacing w:line="320" w:lineRule="exact"/>
                    <w:ind w:leftChars="-7" w:hanging="17" w:hangingChars="8"/>
                    <w:jc w:val="center"/>
                    <w:rPr>
                      <w:b/>
                      <w:bCs/>
                      <w:color w:val="auto"/>
                      <w:kern w:val="2"/>
                      <w:sz w:val="21"/>
                      <w:szCs w:val="21"/>
                    </w:rPr>
                  </w:pPr>
                  <w:r>
                    <w:rPr>
                      <w:b/>
                      <w:bCs/>
                      <w:color w:val="auto"/>
                      <w:kern w:val="2"/>
                      <w:sz w:val="21"/>
                      <w:szCs w:val="21"/>
                    </w:rPr>
                    <w:t>危险废物类别</w:t>
                  </w:r>
                </w:p>
              </w:tc>
              <w:tc>
                <w:tcPr>
                  <w:tcW w:w="541" w:type="pct"/>
                  <w:vAlign w:val="center"/>
                </w:tcPr>
                <w:p w14:paraId="54A8D851">
                  <w:pPr>
                    <w:pStyle w:val="23"/>
                    <w:spacing w:line="320" w:lineRule="exact"/>
                    <w:ind w:leftChars="-7" w:hanging="17" w:hangingChars="8"/>
                    <w:jc w:val="center"/>
                    <w:rPr>
                      <w:b/>
                      <w:bCs/>
                      <w:color w:val="auto"/>
                      <w:kern w:val="2"/>
                      <w:sz w:val="21"/>
                      <w:szCs w:val="21"/>
                    </w:rPr>
                  </w:pPr>
                  <w:r>
                    <w:rPr>
                      <w:b/>
                      <w:bCs/>
                      <w:color w:val="auto"/>
                      <w:kern w:val="2"/>
                      <w:sz w:val="21"/>
                      <w:szCs w:val="21"/>
                    </w:rPr>
                    <w:t>产生量（t/a）</w:t>
                  </w:r>
                </w:p>
              </w:tc>
              <w:tc>
                <w:tcPr>
                  <w:tcW w:w="591" w:type="pct"/>
                  <w:vAlign w:val="center"/>
                </w:tcPr>
                <w:p w14:paraId="4810816F">
                  <w:pPr>
                    <w:pStyle w:val="23"/>
                    <w:spacing w:line="320" w:lineRule="exact"/>
                    <w:ind w:leftChars="-7" w:hanging="17" w:hangingChars="8"/>
                    <w:jc w:val="center"/>
                    <w:rPr>
                      <w:b/>
                      <w:bCs/>
                      <w:color w:val="auto"/>
                      <w:kern w:val="2"/>
                      <w:sz w:val="21"/>
                      <w:szCs w:val="21"/>
                    </w:rPr>
                  </w:pPr>
                  <w:r>
                    <w:rPr>
                      <w:b/>
                      <w:bCs/>
                      <w:color w:val="auto"/>
                      <w:kern w:val="2"/>
                      <w:sz w:val="21"/>
                      <w:szCs w:val="21"/>
                    </w:rPr>
                    <w:t>产生工序及装置</w:t>
                  </w:r>
                </w:p>
              </w:tc>
              <w:tc>
                <w:tcPr>
                  <w:tcW w:w="328" w:type="pct"/>
                  <w:vAlign w:val="center"/>
                </w:tcPr>
                <w:p w14:paraId="37510C3A">
                  <w:pPr>
                    <w:pStyle w:val="23"/>
                    <w:spacing w:line="320" w:lineRule="exact"/>
                    <w:ind w:leftChars="-7" w:hanging="17" w:hangingChars="8"/>
                    <w:jc w:val="center"/>
                    <w:rPr>
                      <w:b/>
                      <w:bCs/>
                      <w:color w:val="auto"/>
                      <w:kern w:val="2"/>
                      <w:sz w:val="21"/>
                      <w:szCs w:val="21"/>
                    </w:rPr>
                  </w:pPr>
                  <w:r>
                    <w:rPr>
                      <w:b/>
                      <w:bCs/>
                      <w:color w:val="auto"/>
                      <w:kern w:val="2"/>
                      <w:sz w:val="21"/>
                      <w:szCs w:val="21"/>
                    </w:rPr>
                    <w:t>形态</w:t>
                  </w:r>
                </w:p>
              </w:tc>
              <w:tc>
                <w:tcPr>
                  <w:tcW w:w="582" w:type="pct"/>
                  <w:vAlign w:val="center"/>
                </w:tcPr>
                <w:p w14:paraId="08E09AA6">
                  <w:pPr>
                    <w:pStyle w:val="23"/>
                    <w:spacing w:line="320" w:lineRule="exact"/>
                    <w:ind w:leftChars="-7" w:hanging="17" w:hangingChars="8"/>
                    <w:jc w:val="center"/>
                    <w:rPr>
                      <w:b/>
                      <w:bCs/>
                      <w:color w:val="auto"/>
                      <w:kern w:val="2"/>
                      <w:sz w:val="21"/>
                      <w:szCs w:val="21"/>
                    </w:rPr>
                  </w:pPr>
                  <w:r>
                    <w:rPr>
                      <w:b/>
                      <w:bCs/>
                      <w:color w:val="auto"/>
                      <w:kern w:val="2"/>
                      <w:sz w:val="21"/>
                      <w:szCs w:val="21"/>
                    </w:rPr>
                    <w:t>主要成分</w:t>
                  </w:r>
                </w:p>
              </w:tc>
              <w:tc>
                <w:tcPr>
                  <w:tcW w:w="373" w:type="pct"/>
                  <w:vAlign w:val="center"/>
                </w:tcPr>
                <w:p w14:paraId="0A245BB3">
                  <w:pPr>
                    <w:pStyle w:val="23"/>
                    <w:spacing w:line="320" w:lineRule="exact"/>
                    <w:ind w:leftChars="-7" w:hanging="17" w:hangingChars="8"/>
                    <w:jc w:val="center"/>
                    <w:rPr>
                      <w:b/>
                      <w:bCs/>
                      <w:color w:val="auto"/>
                      <w:kern w:val="2"/>
                      <w:sz w:val="21"/>
                      <w:szCs w:val="21"/>
                    </w:rPr>
                  </w:pPr>
                  <w:r>
                    <w:rPr>
                      <w:b/>
                      <w:bCs/>
                      <w:color w:val="auto"/>
                      <w:kern w:val="2"/>
                      <w:sz w:val="21"/>
                      <w:szCs w:val="21"/>
                    </w:rPr>
                    <w:t>产废周期</w:t>
                  </w:r>
                </w:p>
              </w:tc>
              <w:tc>
                <w:tcPr>
                  <w:tcW w:w="417" w:type="pct"/>
                  <w:vAlign w:val="center"/>
                </w:tcPr>
                <w:p w14:paraId="680D671E">
                  <w:pPr>
                    <w:pStyle w:val="23"/>
                    <w:spacing w:line="320" w:lineRule="exact"/>
                    <w:ind w:leftChars="-7" w:hanging="17" w:hangingChars="8"/>
                    <w:jc w:val="center"/>
                    <w:rPr>
                      <w:b/>
                      <w:bCs/>
                      <w:color w:val="auto"/>
                      <w:kern w:val="2"/>
                      <w:sz w:val="21"/>
                      <w:szCs w:val="21"/>
                    </w:rPr>
                  </w:pPr>
                  <w:r>
                    <w:rPr>
                      <w:b/>
                      <w:bCs/>
                      <w:color w:val="auto"/>
                      <w:kern w:val="2"/>
                      <w:sz w:val="21"/>
                      <w:szCs w:val="21"/>
                    </w:rPr>
                    <w:t>危险特性</w:t>
                  </w:r>
                </w:p>
              </w:tc>
              <w:tc>
                <w:tcPr>
                  <w:tcW w:w="685" w:type="pct"/>
                  <w:vAlign w:val="center"/>
                </w:tcPr>
                <w:p w14:paraId="3D8192D9">
                  <w:pPr>
                    <w:pStyle w:val="23"/>
                    <w:spacing w:line="320" w:lineRule="exact"/>
                    <w:ind w:leftChars="-7" w:hanging="17" w:hangingChars="8"/>
                    <w:jc w:val="center"/>
                    <w:rPr>
                      <w:b/>
                      <w:bCs/>
                      <w:color w:val="auto"/>
                      <w:kern w:val="2"/>
                      <w:sz w:val="21"/>
                      <w:szCs w:val="21"/>
                    </w:rPr>
                  </w:pPr>
                  <w:r>
                    <w:rPr>
                      <w:b/>
                      <w:bCs/>
                      <w:color w:val="auto"/>
                      <w:kern w:val="2"/>
                      <w:sz w:val="21"/>
                      <w:szCs w:val="21"/>
                    </w:rPr>
                    <w:t>污染防治措施</w:t>
                  </w:r>
                </w:p>
              </w:tc>
            </w:tr>
            <w:tr w14:paraId="1606B0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 w:type="pct"/>
                  <w:vAlign w:val="center"/>
                </w:tcPr>
                <w:p w14:paraId="203C4ACB">
                  <w:pPr>
                    <w:pStyle w:val="23"/>
                    <w:spacing w:line="320" w:lineRule="exact"/>
                    <w:ind w:leftChars="-7" w:hanging="16" w:hangingChars="8"/>
                    <w:jc w:val="center"/>
                    <w:rPr>
                      <w:color w:val="auto"/>
                      <w:kern w:val="2"/>
                      <w:sz w:val="21"/>
                      <w:szCs w:val="21"/>
                    </w:rPr>
                  </w:pPr>
                  <w:r>
                    <w:rPr>
                      <w:rFonts w:hint="eastAsia"/>
                      <w:color w:val="auto"/>
                      <w:kern w:val="2"/>
                      <w:sz w:val="21"/>
                      <w:szCs w:val="21"/>
                    </w:rPr>
                    <w:t>1</w:t>
                  </w:r>
                </w:p>
              </w:tc>
              <w:tc>
                <w:tcPr>
                  <w:tcW w:w="612" w:type="pct"/>
                  <w:shd w:val="clear" w:color="auto" w:fill="auto"/>
                  <w:vAlign w:val="center"/>
                </w:tcPr>
                <w:p w14:paraId="220D1B8E">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废油桶</w:t>
                  </w:r>
                </w:p>
              </w:tc>
              <w:tc>
                <w:tcPr>
                  <w:tcW w:w="585" w:type="pct"/>
                  <w:shd w:val="clear" w:color="auto" w:fill="auto"/>
                  <w:vAlign w:val="center"/>
                </w:tcPr>
                <w:p w14:paraId="27AD3F67">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541" w:type="pct"/>
                  <w:shd w:val="clear" w:color="auto" w:fill="auto"/>
                  <w:vAlign w:val="center"/>
                </w:tcPr>
                <w:p w14:paraId="46FE21E0">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0.1</w:t>
                  </w:r>
                </w:p>
              </w:tc>
              <w:tc>
                <w:tcPr>
                  <w:tcW w:w="591" w:type="pct"/>
                  <w:shd w:val="clear" w:color="auto" w:fill="auto"/>
                  <w:vAlign w:val="center"/>
                </w:tcPr>
                <w:p w14:paraId="082D221B">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包装</w:t>
                  </w:r>
                </w:p>
              </w:tc>
              <w:tc>
                <w:tcPr>
                  <w:tcW w:w="328" w:type="pct"/>
                  <w:vAlign w:val="center"/>
                </w:tcPr>
                <w:p w14:paraId="63EC1076">
                  <w:pPr>
                    <w:pStyle w:val="23"/>
                    <w:spacing w:line="320" w:lineRule="exact"/>
                    <w:ind w:leftChars="-7" w:hanging="16" w:hangingChars="8"/>
                    <w:jc w:val="center"/>
                    <w:rPr>
                      <w:color w:val="auto"/>
                      <w:kern w:val="2"/>
                      <w:sz w:val="21"/>
                      <w:szCs w:val="21"/>
                    </w:rPr>
                  </w:pPr>
                  <w:r>
                    <w:rPr>
                      <w:rFonts w:hint="eastAsia"/>
                      <w:color w:val="auto"/>
                      <w:sz w:val="21"/>
                      <w:szCs w:val="21"/>
                    </w:rPr>
                    <w:t>固态</w:t>
                  </w:r>
                </w:p>
              </w:tc>
              <w:tc>
                <w:tcPr>
                  <w:tcW w:w="582" w:type="pct"/>
                  <w:shd w:val="clear" w:color="auto" w:fill="auto"/>
                  <w:vAlign w:val="center"/>
                </w:tcPr>
                <w:p w14:paraId="539B3829">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油类物质、铁皮</w:t>
                  </w:r>
                </w:p>
              </w:tc>
              <w:tc>
                <w:tcPr>
                  <w:tcW w:w="373" w:type="pct"/>
                  <w:vAlign w:val="center"/>
                </w:tcPr>
                <w:p w14:paraId="796449A8">
                  <w:pPr>
                    <w:pStyle w:val="23"/>
                    <w:spacing w:line="320" w:lineRule="exact"/>
                    <w:ind w:leftChars="-7" w:hanging="16" w:hangingChars="8"/>
                    <w:jc w:val="center"/>
                    <w:rPr>
                      <w:rFonts w:hint="eastAsia" w:eastAsia="宋体"/>
                      <w:color w:val="auto"/>
                      <w:kern w:val="2"/>
                      <w:sz w:val="21"/>
                      <w:szCs w:val="21"/>
                      <w:lang w:eastAsia="zh-CN"/>
                    </w:rPr>
                  </w:pPr>
                  <w:r>
                    <w:rPr>
                      <w:rFonts w:hint="eastAsia"/>
                      <w:color w:val="auto"/>
                      <w:kern w:val="2"/>
                      <w:sz w:val="21"/>
                      <w:szCs w:val="21"/>
                      <w:lang w:val="en-US" w:eastAsia="zh-CN"/>
                    </w:rPr>
                    <w:t>年</w:t>
                  </w:r>
                </w:p>
              </w:tc>
              <w:tc>
                <w:tcPr>
                  <w:tcW w:w="417" w:type="pct"/>
                  <w:shd w:val="clear" w:color="auto" w:fill="auto"/>
                  <w:vAlign w:val="center"/>
                </w:tcPr>
                <w:p w14:paraId="1F5D8A70">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685" w:type="pct"/>
                  <w:vMerge w:val="restart"/>
                  <w:vAlign w:val="center"/>
                </w:tcPr>
                <w:p w14:paraId="61A0DB81">
                  <w:pPr>
                    <w:pStyle w:val="8"/>
                    <w:spacing w:line="280" w:lineRule="exact"/>
                    <w:ind w:left="-17" w:leftChars="-7" w:firstLine="0" w:firstLineChars="0"/>
                    <w:jc w:val="center"/>
                    <w:rPr>
                      <w:rFonts w:hint="eastAsia" w:eastAsia="宋体"/>
                      <w:color w:val="auto"/>
                      <w:sz w:val="21"/>
                      <w:szCs w:val="21"/>
                      <w:lang w:val="en-US" w:eastAsia="zh-CN"/>
                    </w:rPr>
                  </w:pPr>
                  <w:r>
                    <w:rPr>
                      <w:color w:val="auto"/>
                      <w:sz w:val="21"/>
                      <w:szCs w:val="21"/>
                    </w:rPr>
                    <w:t>委托有资质单位安全处置</w:t>
                  </w:r>
                </w:p>
              </w:tc>
            </w:tr>
            <w:tr w14:paraId="3206E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 w:type="pct"/>
                  <w:vAlign w:val="center"/>
                </w:tcPr>
                <w:p w14:paraId="4956C41E">
                  <w:pPr>
                    <w:pStyle w:val="23"/>
                    <w:spacing w:line="320" w:lineRule="exact"/>
                    <w:ind w:leftChars="-7" w:hanging="16" w:hangingChars="8"/>
                    <w:jc w:val="center"/>
                    <w:rPr>
                      <w:color w:val="auto"/>
                      <w:kern w:val="2"/>
                      <w:sz w:val="21"/>
                      <w:szCs w:val="21"/>
                    </w:rPr>
                  </w:pPr>
                  <w:r>
                    <w:rPr>
                      <w:rFonts w:hint="eastAsia"/>
                      <w:color w:val="auto"/>
                      <w:kern w:val="2"/>
                      <w:sz w:val="21"/>
                      <w:szCs w:val="21"/>
                    </w:rPr>
                    <w:t>2</w:t>
                  </w:r>
                </w:p>
              </w:tc>
              <w:tc>
                <w:tcPr>
                  <w:tcW w:w="612" w:type="pct"/>
                  <w:shd w:val="clear" w:color="auto" w:fill="auto"/>
                  <w:vAlign w:val="center"/>
                </w:tcPr>
                <w:p w14:paraId="6DF596EA">
                  <w:pPr>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废机油</w:t>
                  </w:r>
                </w:p>
              </w:tc>
              <w:tc>
                <w:tcPr>
                  <w:tcW w:w="585" w:type="pct"/>
                  <w:shd w:val="clear" w:color="auto" w:fill="auto"/>
                  <w:vAlign w:val="center"/>
                </w:tcPr>
                <w:p w14:paraId="64A7433A">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541" w:type="pct"/>
                  <w:shd w:val="clear" w:color="auto" w:fill="auto"/>
                  <w:vAlign w:val="center"/>
                </w:tcPr>
                <w:p w14:paraId="204F127B">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w:t>
                  </w:r>
                </w:p>
              </w:tc>
              <w:tc>
                <w:tcPr>
                  <w:tcW w:w="591" w:type="pct"/>
                  <w:shd w:val="clear" w:color="auto" w:fill="auto"/>
                  <w:vAlign w:val="center"/>
                </w:tcPr>
                <w:p w14:paraId="6513F9B4">
                  <w:pPr>
                    <w:pStyle w:val="23"/>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设备维修保养</w:t>
                  </w:r>
                </w:p>
              </w:tc>
              <w:tc>
                <w:tcPr>
                  <w:tcW w:w="328" w:type="pct"/>
                  <w:vAlign w:val="center"/>
                </w:tcPr>
                <w:p w14:paraId="344E8200">
                  <w:pPr>
                    <w:pStyle w:val="23"/>
                    <w:spacing w:line="320" w:lineRule="exact"/>
                    <w:ind w:leftChars="-7" w:hanging="16" w:hangingChars="8"/>
                    <w:jc w:val="center"/>
                    <w:rPr>
                      <w:rFonts w:hint="eastAsia" w:eastAsia="宋体"/>
                      <w:color w:val="auto"/>
                      <w:kern w:val="2"/>
                      <w:sz w:val="21"/>
                      <w:szCs w:val="21"/>
                      <w:lang w:val="en-US" w:eastAsia="zh-CN"/>
                    </w:rPr>
                  </w:pPr>
                  <w:r>
                    <w:rPr>
                      <w:rFonts w:hint="eastAsia"/>
                      <w:color w:val="auto"/>
                      <w:kern w:val="2"/>
                      <w:sz w:val="21"/>
                      <w:szCs w:val="21"/>
                      <w:lang w:val="en-US" w:eastAsia="zh-CN"/>
                    </w:rPr>
                    <w:t>液态</w:t>
                  </w:r>
                </w:p>
              </w:tc>
              <w:tc>
                <w:tcPr>
                  <w:tcW w:w="582" w:type="pct"/>
                  <w:shd w:val="clear" w:color="auto" w:fill="auto"/>
                  <w:vAlign w:val="center"/>
                </w:tcPr>
                <w:p w14:paraId="7484DD12">
                  <w:pPr>
                    <w:pStyle w:val="23"/>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hint="eastAsia"/>
                      <w:color w:val="auto"/>
                      <w:sz w:val="21"/>
                      <w:szCs w:val="21"/>
                    </w:rPr>
                    <w:t>油类物质</w:t>
                  </w:r>
                </w:p>
              </w:tc>
              <w:tc>
                <w:tcPr>
                  <w:tcW w:w="373" w:type="pct"/>
                  <w:vAlign w:val="center"/>
                </w:tcPr>
                <w:p w14:paraId="3FF4DED2">
                  <w:pPr>
                    <w:pStyle w:val="23"/>
                    <w:spacing w:line="320" w:lineRule="exact"/>
                    <w:ind w:left="-1" w:leftChars="-7" w:hanging="16" w:hangingChars="8"/>
                    <w:jc w:val="center"/>
                    <w:rPr>
                      <w:rFonts w:hint="eastAsia" w:eastAsia="宋体"/>
                      <w:color w:val="auto"/>
                      <w:kern w:val="2"/>
                      <w:sz w:val="21"/>
                      <w:szCs w:val="21"/>
                      <w:lang w:eastAsia="zh-CN"/>
                    </w:rPr>
                  </w:pPr>
                  <w:r>
                    <w:rPr>
                      <w:rFonts w:hint="eastAsia"/>
                      <w:color w:val="auto"/>
                      <w:kern w:val="2"/>
                      <w:sz w:val="21"/>
                      <w:szCs w:val="21"/>
                      <w:lang w:val="en-US" w:eastAsia="zh-CN"/>
                    </w:rPr>
                    <w:t>年</w:t>
                  </w:r>
                </w:p>
              </w:tc>
              <w:tc>
                <w:tcPr>
                  <w:tcW w:w="417" w:type="pct"/>
                  <w:shd w:val="clear" w:color="auto" w:fill="auto"/>
                  <w:vAlign w:val="center"/>
                </w:tcPr>
                <w:p w14:paraId="4357FC08">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685" w:type="pct"/>
                  <w:vMerge w:val="continue"/>
                  <w:vAlign w:val="center"/>
                </w:tcPr>
                <w:p w14:paraId="2312A3EA">
                  <w:pPr>
                    <w:pStyle w:val="8"/>
                    <w:spacing w:line="280" w:lineRule="exact"/>
                    <w:ind w:left="-17" w:leftChars="-7" w:firstLine="0" w:firstLineChars="0"/>
                    <w:jc w:val="center"/>
                    <w:rPr>
                      <w:color w:val="auto"/>
                      <w:sz w:val="21"/>
                      <w:szCs w:val="21"/>
                    </w:rPr>
                  </w:pPr>
                </w:p>
              </w:tc>
            </w:tr>
            <w:tr w14:paraId="58715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 w:type="pct"/>
                  <w:vAlign w:val="center"/>
                </w:tcPr>
                <w:p w14:paraId="3CFB4267">
                  <w:pPr>
                    <w:pStyle w:val="23"/>
                    <w:spacing w:line="320" w:lineRule="exact"/>
                    <w:ind w:leftChars="-7" w:hanging="16" w:hangingChars="8"/>
                    <w:jc w:val="center"/>
                    <w:rPr>
                      <w:rFonts w:hint="eastAsia" w:eastAsia="宋体"/>
                      <w:color w:val="auto"/>
                      <w:kern w:val="2"/>
                      <w:sz w:val="21"/>
                      <w:szCs w:val="21"/>
                      <w:lang w:eastAsia="zh-CN"/>
                    </w:rPr>
                  </w:pPr>
                  <w:r>
                    <w:rPr>
                      <w:rFonts w:hint="eastAsia"/>
                      <w:color w:val="auto"/>
                      <w:kern w:val="2"/>
                      <w:sz w:val="21"/>
                      <w:szCs w:val="21"/>
                      <w:lang w:val="en-US" w:eastAsia="zh-CN"/>
                    </w:rPr>
                    <w:t>3</w:t>
                  </w:r>
                </w:p>
              </w:tc>
              <w:tc>
                <w:tcPr>
                  <w:tcW w:w="612" w:type="pct"/>
                  <w:shd w:val="clear" w:color="auto" w:fill="auto"/>
                  <w:vAlign w:val="center"/>
                </w:tcPr>
                <w:p w14:paraId="50618A18">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b w:val="0"/>
                      <w:bCs w:val="0"/>
                      <w:color w:val="auto"/>
                      <w:kern w:val="0"/>
                      <w:sz w:val="21"/>
                      <w:szCs w:val="21"/>
                      <w:lang w:val="en-US" w:eastAsia="zh-CN"/>
                    </w:rPr>
                    <w:t>油烟净化器废油</w:t>
                  </w:r>
                </w:p>
              </w:tc>
              <w:tc>
                <w:tcPr>
                  <w:tcW w:w="585" w:type="pct"/>
                  <w:shd w:val="clear" w:color="auto" w:fill="auto"/>
                  <w:vAlign w:val="center"/>
                </w:tcPr>
                <w:p w14:paraId="278AA259">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541" w:type="pct"/>
                  <w:shd w:val="clear" w:color="auto" w:fill="auto"/>
                  <w:vAlign w:val="center"/>
                </w:tcPr>
                <w:p w14:paraId="4D9E3749">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w:t>
                  </w:r>
                </w:p>
              </w:tc>
              <w:tc>
                <w:tcPr>
                  <w:tcW w:w="591" w:type="pct"/>
                  <w:shd w:val="clear" w:color="auto" w:fill="auto"/>
                  <w:vAlign w:val="center"/>
                </w:tcPr>
                <w:p w14:paraId="7BDC2384">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废气处理</w:t>
                  </w:r>
                </w:p>
              </w:tc>
              <w:tc>
                <w:tcPr>
                  <w:tcW w:w="328" w:type="pct"/>
                  <w:vMerge w:val="restart"/>
                  <w:vAlign w:val="center"/>
                </w:tcPr>
                <w:p w14:paraId="74337D0D">
                  <w:pPr>
                    <w:pStyle w:val="23"/>
                    <w:spacing w:line="320" w:lineRule="exact"/>
                    <w:ind w:leftChars="-7" w:hanging="16" w:hangingChars="8"/>
                    <w:jc w:val="center"/>
                    <w:rPr>
                      <w:rFonts w:hint="eastAsia" w:eastAsia="宋体"/>
                      <w:color w:val="auto"/>
                      <w:kern w:val="2"/>
                      <w:sz w:val="21"/>
                      <w:szCs w:val="21"/>
                      <w:lang w:val="en-US" w:eastAsia="zh-CN"/>
                    </w:rPr>
                  </w:pPr>
                  <w:r>
                    <w:rPr>
                      <w:rFonts w:hint="eastAsia"/>
                      <w:color w:val="auto"/>
                      <w:kern w:val="2"/>
                      <w:sz w:val="21"/>
                      <w:szCs w:val="21"/>
                      <w:lang w:val="en-US" w:eastAsia="zh-CN"/>
                    </w:rPr>
                    <w:t>半固态</w:t>
                  </w:r>
                </w:p>
              </w:tc>
              <w:tc>
                <w:tcPr>
                  <w:tcW w:w="582" w:type="pct"/>
                  <w:shd w:val="clear" w:color="auto" w:fill="auto"/>
                  <w:vAlign w:val="center"/>
                </w:tcPr>
                <w:p w14:paraId="1D1ACB14">
                  <w:pPr>
                    <w:pStyle w:val="23"/>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油类物质</w:t>
                  </w:r>
                </w:p>
              </w:tc>
              <w:tc>
                <w:tcPr>
                  <w:tcW w:w="373" w:type="pct"/>
                  <w:vAlign w:val="center"/>
                </w:tcPr>
                <w:p w14:paraId="2BC6213C">
                  <w:pPr>
                    <w:pStyle w:val="23"/>
                    <w:spacing w:line="320" w:lineRule="exact"/>
                    <w:ind w:leftChars="-7" w:hanging="16" w:hangingChars="8"/>
                    <w:jc w:val="center"/>
                    <w:rPr>
                      <w:rFonts w:hint="default" w:eastAsia="宋体"/>
                      <w:color w:val="auto"/>
                      <w:kern w:val="2"/>
                      <w:sz w:val="21"/>
                      <w:szCs w:val="21"/>
                      <w:lang w:val="en-US" w:eastAsia="zh-CN"/>
                    </w:rPr>
                  </w:pPr>
                  <w:r>
                    <w:rPr>
                      <w:rFonts w:hint="eastAsia"/>
                      <w:color w:val="auto"/>
                      <w:kern w:val="2"/>
                      <w:sz w:val="21"/>
                      <w:szCs w:val="21"/>
                      <w:lang w:val="en-US" w:eastAsia="zh-CN"/>
                    </w:rPr>
                    <w:t>每天</w:t>
                  </w:r>
                </w:p>
              </w:tc>
              <w:tc>
                <w:tcPr>
                  <w:tcW w:w="417" w:type="pct"/>
                  <w:shd w:val="clear" w:color="auto" w:fill="auto"/>
                  <w:vAlign w:val="center"/>
                </w:tcPr>
                <w:p w14:paraId="7B167763">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685" w:type="pct"/>
                  <w:vMerge w:val="continue"/>
                  <w:vAlign w:val="center"/>
                </w:tcPr>
                <w:p w14:paraId="7AAD3A69">
                  <w:pPr>
                    <w:pStyle w:val="8"/>
                    <w:spacing w:line="280" w:lineRule="exact"/>
                    <w:ind w:left="-17" w:leftChars="-7" w:firstLine="0" w:firstLineChars="0"/>
                    <w:jc w:val="center"/>
                    <w:rPr>
                      <w:color w:val="auto"/>
                      <w:sz w:val="21"/>
                      <w:szCs w:val="21"/>
                    </w:rPr>
                  </w:pPr>
                </w:p>
              </w:tc>
            </w:tr>
            <w:tr w14:paraId="37BFC0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 w:type="pct"/>
                  <w:vAlign w:val="center"/>
                </w:tcPr>
                <w:p w14:paraId="10643274">
                  <w:pPr>
                    <w:pStyle w:val="23"/>
                    <w:spacing w:line="320" w:lineRule="exact"/>
                    <w:ind w:leftChars="-7" w:hanging="16" w:hangingChars="8"/>
                    <w:jc w:val="center"/>
                    <w:rPr>
                      <w:rFonts w:hint="eastAsia" w:eastAsia="宋体"/>
                      <w:color w:val="auto"/>
                      <w:kern w:val="2"/>
                      <w:sz w:val="21"/>
                      <w:szCs w:val="21"/>
                      <w:lang w:val="en-US" w:eastAsia="zh-CN"/>
                    </w:rPr>
                  </w:pPr>
                  <w:r>
                    <w:rPr>
                      <w:rFonts w:hint="eastAsia"/>
                      <w:color w:val="auto"/>
                      <w:kern w:val="2"/>
                      <w:sz w:val="21"/>
                      <w:szCs w:val="21"/>
                      <w:lang w:val="en-US" w:eastAsia="zh-CN"/>
                    </w:rPr>
                    <w:t>4</w:t>
                  </w:r>
                </w:p>
              </w:tc>
              <w:tc>
                <w:tcPr>
                  <w:tcW w:w="612" w:type="pct"/>
                  <w:shd w:val="clear" w:color="auto" w:fill="auto"/>
                  <w:vAlign w:val="center"/>
                </w:tcPr>
                <w:p w14:paraId="1966C683">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污（油）泥</w:t>
                  </w:r>
                </w:p>
              </w:tc>
              <w:tc>
                <w:tcPr>
                  <w:tcW w:w="585" w:type="pct"/>
                  <w:shd w:val="clear" w:color="auto" w:fill="auto"/>
                  <w:vAlign w:val="center"/>
                </w:tcPr>
                <w:p w14:paraId="7A00B710">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HW08</w:t>
                  </w:r>
                </w:p>
              </w:tc>
              <w:tc>
                <w:tcPr>
                  <w:tcW w:w="541" w:type="pct"/>
                  <w:shd w:val="clear" w:color="auto" w:fill="auto"/>
                  <w:vAlign w:val="center"/>
                </w:tcPr>
                <w:p w14:paraId="16D52F5B">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17.675</w:t>
                  </w:r>
                </w:p>
              </w:tc>
              <w:tc>
                <w:tcPr>
                  <w:tcW w:w="591" w:type="pct"/>
                  <w:shd w:val="clear" w:color="auto" w:fill="auto"/>
                  <w:vAlign w:val="center"/>
                </w:tcPr>
                <w:p w14:paraId="5FCF8C71">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废水处理</w:t>
                  </w:r>
                </w:p>
              </w:tc>
              <w:tc>
                <w:tcPr>
                  <w:tcW w:w="328" w:type="pct"/>
                  <w:vMerge w:val="continue"/>
                  <w:vAlign w:val="center"/>
                </w:tcPr>
                <w:p w14:paraId="066ADA07">
                  <w:pPr>
                    <w:pStyle w:val="23"/>
                    <w:spacing w:line="320" w:lineRule="exact"/>
                    <w:ind w:leftChars="-7" w:hanging="16" w:hangingChars="8"/>
                    <w:jc w:val="center"/>
                    <w:rPr>
                      <w:color w:val="auto"/>
                      <w:kern w:val="2"/>
                      <w:sz w:val="21"/>
                      <w:szCs w:val="21"/>
                    </w:rPr>
                  </w:pPr>
                </w:p>
              </w:tc>
              <w:tc>
                <w:tcPr>
                  <w:tcW w:w="582" w:type="pct"/>
                  <w:shd w:val="clear" w:color="auto" w:fill="auto"/>
                  <w:vAlign w:val="center"/>
                </w:tcPr>
                <w:p w14:paraId="70443565">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污泥</w:t>
                  </w:r>
                </w:p>
              </w:tc>
              <w:tc>
                <w:tcPr>
                  <w:tcW w:w="373" w:type="pct"/>
                  <w:vAlign w:val="center"/>
                </w:tcPr>
                <w:p w14:paraId="193A5142">
                  <w:pPr>
                    <w:pStyle w:val="23"/>
                    <w:spacing w:line="320" w:lineRule="exact"/>
                    <w:ind w:leftChars="-7" w:hanging="16" w:hangingChars="8"/>
                    <w:jc w:val="center"/>
                    <w:rPr>
                      <w:rFonts w:hint="eastAsia" w:eastAsia="宋体"/>
                      <w:color w:val="auto"/>
                      <w:kern w:val="2"/>
                      <w:sz w:val="21"/>
                      <w:szCs w:val="21"/>
                      <w:lang w:val="en-US" w:eastAsia="zh-CN"/>
                    </w:rPr>
                  </w:pPr>
                  <w:r>
                    <w:rPr>
                      <w:rFonts w:hint="eastAsia"/>
                      <w:color w:val="auto"/>
                      <w:kern w:val="2"/>
                      <w:sz w:val="21"/>
                      <w:szCs w:val="21"/>
                      <w:lang w:val="en-US" w:eastAsia="zh-CN"/>
                    </w:rPr>
                    <w:t>每天</w:t>
                  </w:r>
                </w:p>
              </w:tc>
              <w:tc>
                <w:tcPr>
                  <w:tcW w:w="417" w:type="pct"/>
                  <w:shd w:val="clear" w:color="auto" w:fill="auto"/>
                  <w:vAlign w:val="center"/>
                </w:tcPr>
                <w:p w14:paraId="3D13CC9E">
                  <w:pPr>
                    <w:adjustRightInd w:val="0"/>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color w:val="auto"/>
                      <w:sz w:val="21"/>
                      <w:szCs w:val="21"/>
                    </w:rPr>
                    <w:t>T</w:t>
                  </w:r>
                  <w:r>
                    <w:rPr>
                      <w:rFonts w:hint="eastAsia"/>
                      <w:color w:val="auto"/>
                      <w:sz w:val="21"/>
                      <w:szCs w:val="21"/>
                      <w:lang w:eastAsia="zh-CN"/>
                    </w:rPr>
                    <w:t xml:space="preserve">, </w:t>
                  </w:r>
                  <w:r>
                    <w:rPr>
                      <w:color w:val="auto"/>
                      <w:sz w:val="21"/>
                      <w:szCs w:val="21"/>
                    </w:rPr>
                    <w:t>I</w:t>
                  </w:r>
                </w:p>
              </w:tc>
              <w:tc>
                <w:tcPr>
                  <w:tcW w:w="685" w:type="pct"/>
                  <w:vMerge w:val="continue"/>
                  <w:vAlign w:val="center"/>
                </w:tcPr>
                <w:p w14:paraId="79E3DEAF">
                  <w:pPr>
                    <w:pStyle w:val="8"/>
                    <w:spacing w:line="280" w:lineRule="exact"/>
                    <w:ind w:left="-17" w:leftChars="-7" w:firstLine="0" w:firstLineChars="0"/>
                    <w:jc w:val="center"/>
                    <w:rPr>
                      <w:color w:val="auto"/>
                      <w:sz w:val="21"/>
                      <w:szCs w:val="21"/>
                    </w:rPr>
                  </w:pPr>
                </w:p>
              </w:tc>
            </w:tr>
            <w:tr w14:paraId="43CC8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 w:type="pct"/>
                  <w:vAlign w:val="center"/>
                </w:tcPr>
                <w:p w14:paraId="48135B03">
                  <w:pPr>
                    <w:pStyle w:val="23"/>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eastAsia" w:eastAsia="宋体"/>
                      <w:color w:val="auto"/>
                      <w:kern w:val="2"/>
                      <w:sz w:val="21"/>
                      <w:szCs w:val="21"/>
                      <w:lang w:val="en-US" w:eastAsia="zh-CN"/>
                    </w:rPr>
                  </w:pPr>
                  <w:r>
                    <w:rPr>
                      <w:rFonts w:hint="eastAsia"/>
                      <w:color w:val="auto"/>
                      <w:kern w:val="2"/>
                      <w:sz w:val="21"/>
                      <w:szCs w:val="21"/>
                      <w:lang w:val="en-US" w:eastAsia="zh-CN"/>
                    </w:rPr>
                    <w:t>5</w:t>
                  </w:r>
                </w:p>
              </w:tc>
              <w:tc>
                <w:tcPr>
                  <w:tcW w:w="612" w:type="pct"/>
                  <w:shd w:val="clear" w:color="auto" w:fill="auto"/>
                  <w:vAlign w:val="center"/>
                </w:tcPr>
                <w:p w14:paraId="2177D099">
                  <w:pPr>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生化污泥</w:t>
                  </w:r>
                </w:p>
              </w:tc>
              <w:tc>
                <w:tcPr>
                  <w:tcW w:w="585" w:type="pct"/>
                  <w:vAlign w:val="center"/>
                </w:tcPr>
                <w:p w14:paraId="21581B42">
                  <w:pPr>
                    <w:pStyle w:val="23"/>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待鉴别，鉴别前参照HW49</w:t>
                  </w:r>
                </w:p>
              </w:tc>
              <w:tc>
                <w:tcPr>
                  <w:tcW w:w="541" w:type="pct"/>
                  <w:shd w:val="clear" w:color="auto" w:fill="auto"/>
                  <w:vAlign w:val="center"/>
                </w:tcPr>
                <w:p w14:paraId="52A014C2">
                  <w:pPr>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206.55</w:t>
                  </w:r>
                </w:p>
              </w:tc>
              <w:tc>
                <w:tcPr>
                  <w:tcW w:w="591" w:type="pct"/>
                  <w:shd w:val="clear" w:color="auto" w:fill="auto"/>
                  <w:vAlign w:val="center"/>
                </w:tcPr>
                <w:p w14:paraId="4328D3EF">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废水处理</w:t>
                  </w:r>
                </w:p>
              </w:tc>
              <w:tc>
                <w:tcPr>
                  <w:tcW w:w="328" w:type="pct"/>
                  <w:vMerge w:val="continue"/>
                </w:tcPr>
                <w:p w14:paraId="0E71C0EC">
                  <w:pPr>
                    <w:pStyle w:val="23"/>
                    <w:spacing w:line="320" w:lineRule="exact"/>
                    <w:ind w:leftChars="-7" w:hanging="16" w:hangingChars="8"/>
                    <w:jc w:val="center"/>
                    <w:rPr>
                      <w:color w:val="auto"/>
                      <w:kern w:val="2"/>
                      <w:sz w:val="21"/>
                      <w:szCs w:val="21"/>
                    </w:rPr>
                  </w:pPr>
                </w:p>
              </w:tc>
              <w:tc>
                <w:tcPr>
                  <w:tcW w:w="582" w:type="pct"/>
                  <w:shd w:val="clear" w:color="auto" w:fill="auto"/>
                  <w:vAlign w:val="center"/>
                </w:tcPr>
                <w:p w14:paraId="0351C3A0">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污泥</w:t>
                  </w:r>
                </w:p>
              </w:tc>
              <w:tc>
                <w:tcPr>
                  <w:tcW w:w="373" w:type="pct"/>
                  <w:vAlign w:val="center"/>
                </w:tcPr>
                <w:p w14:paraId="46D348E0">
                  <w:pPr>
                    <w:pStyle w:val="23"/>
                    <w:spacing w:line="320" w:lineRule="exact"/>
                    <w:ind w:leftChars="-7" w:hanging="16" w:hangingChars="8"/>
                    <w:jc w:val="center"/>
                    <w:rPr>
                      <w:rFonts w:hint="eastAsia" w:eastAsia="宋体"/>
                      <w:color w:val="auto"/>
                      <w:kern w:val="2"/>
                      <w:sz w:val="21"/>
                      <w:szCs w:val="21"/>
                      <w:lang w:val="en-US" w:eastAsia="zh-CN"/>
                    </w:rPr>
                  </w:pPr>
                  <w:r>
                    <w:rPr>
                      <w:rFonts w:hint="eastAsia"/>
                      <w:color w:val="auto"/>
                      <w:kern w:val="2"/>
                      <w:sz w:val="21"/>
                      <w:szCs w:val="21"/>
                      <w:lang w:val="en-US" w:eastAsia="zh-CN"/>
                    </w:rPr>
                    <w:t>每天</w:t>
                  </w:r>
                </w:p>
              </w:tc>
              <w:tc>
                <w:tcPr>
                  <w:tcW w:w="417" w:type="pct"/>
                  <w:shd w:val="clear" w:color="auto" w:fill="auto"/>
                  <w:vAlign w:val="center"/>
                </w:tcPr>
                <w:p w14:paraId="1F2F09F4">
                  <w:pPr>
                    <w:spacing w:line="320" w:lineRule="exact"/>
                    <w:ind w:left="0" w:leftChars="0" w:firstLine="0" w:firstLineChars="0"/>
                    <w:jc w:val="both"/>
                    <w:rPr>
                      <w:rFonts w:hint="eastAsia" w:ascii="Times New Roman" w:hAnsi="Times New Roman" w:eastAsia="宋体" w:cs="Times New Roman"/>
                      <w:bCs/>
                      <w:color w:val="auto"/>
                      <w:kern w:val="0"/>
                      <w:sz w:val="21"/>
                      <w:szCs w:val="21"/>
                      <w:lang w:val="en-US" w:eastAsia="zh-CN" w:bidi="ar-SA"/>
                    </w:rPr>
                  </w:pPr>
                  <w:r>
                    <w:rPr>
                      <w:rFonts w:hint="eastAsia"/>
                      <w:color w:val="auto"/>
                      <w:kern w:val="2"/>
                      <w:sz w:val="21"/>
                      <w:szCs w:val="21"/>
                      <w:lang w:val="en-US" w:eastAsia="zh-CN"/>
                    </w:rPr>
                    <w:t>T, In</w:t>
                  </w:r>
                </w:p>
              </w:tc>
              <w:tc>
                <w:tcPr>
                  <w:tcW w:w="685" w:type="pct"/>
                  <w:vMerge w:val="continue"/>
                  <w:vAlign w:val="center"/>
                </w:tcPr>
                <w:p w14:paraId="6E5FF912">
                  <w:pPr>
                    <w:pStyle w:val="8"/>
                    <w:spacing w:line="280" w:lineRule="exact"/>
                    <w:ind w:left="-17" w:leftChars="-7" w:firstLine="0" w:firstLineChars="0"/>
                    <w:jc w:val="center"/>
                    <w:rPr>
                      <w:rFonts w:hint="eastAsia" w:eastAsia="宋体"/>
                      <w:color w:val="auto"/>
                      <w:sz w:val="21"/>
                      <w:szCs w:val="21"/>
                      <w:lang w:val="en-US" w:eastAsia="zh-CN"/>
                    </w:rPr>
                  </w:pPr>
                </w:p>
              </w:tc>
            </w:tr>
            <w:tr w14:paraId="0858E4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0" w:type="pct"/>
                  <w:vAlign w:val="center"/>
                </w:tcPr>
                <w:p w14:paraId="23A2E44B">
                  <w:pPr>
                    <w:pStyle w:val="23"/>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default"/>
                      <w:color w:val="auto"/>
                      <w:kern w:val="2"/>
                      <w:sz w:val="21"/>
                      <w:szCs w:val="21"/>
                      <w:lang w:val="en-US" w:eastAsia="zh-CN"/>
                    </w:rPr>
                  </w:pPr>
                  <w:r>
                    <w:rPr>
                      <w:rFonts w:hint="eastAsia"/>
                      <w:color w:val="auto"/>
                      <w:kern w:val="2"/>
                      <w:sz w:val="21"/>
                      <w:szCs w:val="21"/>
                      <w:lang w:val="en-US" w:eastAsia="zh-CN"/>
                    </w:rPr>
                    <w:t>6</w:t>
                  </w:r>
                </w:p>
              </w:tc>
              <w:tc>
                <w:tcPr>
                  <w:tcW w:w="612" w:type="pct"/>
                  <w:shd w:val="clear" w:color="auto" w:fill="auto"/>
                  <w:vAlign w:val="center"/>
                </w:tcPr>
                <w:p w14:paraId="1197755D">
                  <w:pPr>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废过滤介质</w:t>
                  </w:r>
                </w:p>
              </w:tc>
              <w:tc>
                <w:tcPr>
                  <w:tcW w:w="585" w:type="pct"/>
                  <w:vAlign w:val="center"/>
                </w:tcPr>
                <w:p w14:paraId="28661100">
                  <w:pPr>
                    <w:pStyle w:val="23"/>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待鉴别，鉴别前参照HW49</w:t>
                  </w:r>
                </w:p>
              </w:tc>
              <w:tc>
                <w:tcPr>
                  <w:tcW w:w="541" w:type="pct"/>
                  <w:shd w:val="clear" w:color="auto" w:fill="auto"/>
                  <w:vAlign w:val="center"/>
                </w:tcPr>
                <w:p w14:paraId="0942E085">
                  <w:pPr>
                    <w:keepNext w:val="0"/>
                    <w:keepLines w:val="0"/>
                    <w:pageBreakBefore w:val="0"/>
                    <w:widowControl w:val="0"/>
                    <w:kinsoku/>
                    <w:wordWrap/>
                    <w:overflowPunct/>
                    <w:topLinePunct w:val="0"/>
                    <w:autoSpaceDE/>
                    <w:autoSpaceDN/>
                    <w:bidi w:val="0"/>
                    <w:adjustRightInd w:val="0"/>
                    <w:snapToGrid w:val="0"/>
                    <w:spacing w:line="240" w:lineRule="auto"/>
                    <w:ind w:leftChars="0"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18.4</w:t>
                  </w:r>
                </w:p>
              </w:tc>
              <w:tc>
                <w:tcPr>
                  <w:tcW w:w="591" w:type="pct"/>
                  <w:shd w:val="clear" w:color="auto" w:fill="auto"/>
                  <w:vAlign w:val="center"/>
                </w:tcPr>
                <w:p w14:paraId="4F734B07">
                  <w:pPr>
                    <w:pStyle w:val="23"/>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废水处理</w:t>
                  </w:r>
                </w:p>
              </w:tc>
              <w:tc>
                <w:tcPr>
                  <w:tcW w:w="328" w:type="pct"/>
                </w:tcPr>
                <w:p w14:paraId="4232D04A">
                  <w:pPr>
                    <w:pStyle w:val="23"/>
                    <w:spacing w:line="320" w:lineRule="exact"/>
                    <w:ind w:leftChars="-7" w:hanging="16" w:hangingChars="8"/>
                    <w:jc w:val="center"/>
                    <w:rPr>
                      <w:rFonts w:hint="eastAsia" w:eastAsia="宋体"/>
                      <w:color w:val="auto"/>
                      <w:kern w:val="2"/>
                      <w:sz w:val="21"/>
                      <w:szCs w:val="21"/>
                      <w:lang w:val="en-US" w:eastAsia="zh-CN"/>
                    </w:rPr>
                  </w:pPr>
                  <w:r>
                    <w:rPr>
                      <w:rFonts w:hint="eastAsia"/>
                      <w:color w:val="auto"/>
                      <w:kern w:val="2"/>
                      <w:sz w:val="21"/>
                      <w:szCs w:val="21"/>
                      <w:lang w:val="en-US" w:eastAsia="zh-CN"/>
                    </w:rPr>
                    <w:t>固态</w:t>
                  </w:r>
                </w:p>
              </w:tc>
              <w:tc>
                <w:tcPr>
                  <w:tcW w:w="582" w:type="pct"/>
                  <w:shd w:val="clear" w:color="auto" w:fill="auto"/>
                  <w:vAlign w:val="center"/>
                </w:tcPr>
                <w:p w14:paraId="25ECEDBF">
                  <w:pPr>
                    <w:pStyle w:val="23"/>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olor w:val="auto"/>
                      <w:sz w:val="21"/>
                      <w:szCs w:val="21"/>
                      <w:lang w:val="en-US" w:eastAsia="zh-CN"/>
                    </w:rPr>
                    <w:t>废石英砂、废活性炭</w:t>
                  </w:r>
                </w:p>
              </w:tc>
              <w:tc>
                <w:tcPr>
                  <w:tcW w:w="373" w:type="pct"/>
                  <w:vAlign w:val="center"/>
                </w:tcPr>
                <w:p w14:paraId="55846E34">
                  <w:pPr>
                    <w:pStyle w:val="23"/>
                    <w:spacing w:line="320" w:lineRule="exact"/>
                    <w:ind w:leftChars="-7" w:hanging="16" w:hangingChars="8"/>
                    <w:jc w:val="center"/>
                    <w:rPr>
                      <w:rFonts w:hint="default"/>
                      <w:color w:val="auto"/>
                      <w:kern w:val="2"/>
                      <w:sz w:val="21"/>
                      <w:szCs w:val="21"/>
                      <w:lang w:val="en-US" w:eastAsia="zh-CN"/>
                    </w:rPr>
                  </w:pPr>
                  <w:r>
                    <w:rPr>
                      <w:rFonts w:hint="eastAsia"/>
                      <w:color w:val="auto"/>
                      <w:kern w:val="2"/>
                      <w:sz w:val="21"/>
                      <w:szCs w:val="21"/>
                      <w:lang w:val="en-US" w:eastAsia="zh-CN"/>
                    </w:rPr>
                    <w:t>年</w:t>
                  </w:r>
                </w:p>
              </w:tc>
              <w:tc>
                <w:tcPr>
                  <w:tcW w:w="417" w:type="pct"/>
                  <w:shd w:val="clear" w:color="auto" w:fill="auto"/>
                  <w:vAlign w:val="center"/>
                </w:tcPr>
                <w:p w14:paraId="6469688F">
                  <w:pPr>
                    <w:spacing w:line="320" w:lineRule="exact"/>
                    <w:ind w:left="0" w:leftChars="0" w:firstLine="0" w:firstLineChars="0"/>
                    <w:jc w:val="both"/>
                    <w:rPr>
                      <w:rFonts w:hint="default"/>
                      <w:bCs/>
                      <w:color w:val="auto"/>
                      <w:sz w:val="21"/>
                      <w:szCs w:val="21"/>
                      <w:lang w:val="en-US" w:eastAsia="zh-CN"/>
                    </w:rPr>
                  </w:pPr>
                  <w:r>
                    <w:rPr>
                      <w:rFonts w:hint="eastAsia"/>
                      <w:color w:val="auto"/>
                      <w:kern w:val="2"/>
                      <w:sz w:val="21"/>
                      <w:szCs w:val="21"/>
                      <w:lang w:val="en-US" w:eastAsia="zh-CN"/>
                    </w:rPr>
                    <w:t>T, In</w:t>
                  </w:r>
                </w:p>
              </w:tc>
              <w:tc>
                <w:tcPr>
                  <w:tcW w:w="685" w:type="pct"/>
                  <w:vMerge w:val="continue"/>
                  <w:vAlign w:val="center"/>
                </w:tcPr>
                <w:p w14:paraId="41E45F7C">
                  <w:pPr>
                    <w:pStyle w:val="8"/>
                    <w:spacing w:line="280" w:lineRule="exact"/>
                    <w:ind w:left="-17" w:leftChars="-7" w:firstLine="0" w:firstLineChars="0"/>
                    <w:jc w:val="center"/>
                    <w:rPr>
                      <w:rFonts w:hint="eastAsia" w:eastAsia="宋体"/>
                      <w:color w:val="auto"/>
                      <w:sz w:val="21"/>
                      <w:szCs w:val="21"/>
                      <w:lang w:val="en-US" w:eastAsia="zh-CN"/>
                    </w:rPr>
                  </w:pPr>
                </w:p>
              </w:tc>
            </w:tr>
          </w:tbl>
          <w:p w14:paraId="67387B78">
            <w:pPr>
              <w:widowControl/>
              <w:spacing w:line="360" w:lineRule="auto"/>
              <w:ind w:firstLine="482"/>
              <w:jc w:val="left"/>
              <w:rPr>
                <w:rFonts w:hint="default" w:ascii="Times New Roman" w:hAnsi="Times New Roman" w:eastAsia="宋体" w:cs="Times New Roman"/>
                <w:color w:val="auto"/>
                <w:kern w:val="0"/>
                <w:szCs w:val="28"/>
              </w:rPr>
            </w:pPr>
            <w:r>
              <w:rPr>
                <w:rFonts w:hint="default" w:ascii="Times New Roman" w:hAnsi="Times New Roman" w:eastAsia="宋体" w:cs="Times New Roman"/>
                <w:b/>
                <w:bCs/>
                <w:color w:val="auto"/>
                <w:kern w:val="0"/>
                <w:szCs w:val="28"/>
              </w:rPr>
              <w:t>（2）固废影响分析</w:t>
            </w:r>
          </w:p>
          <w:p w14:paraId="3A7629C7">
            <w:pPr>
              <w:snapToGrid w:val="0"/>
              <w:spacing w:line="360" w:lineRule="auto"/>
              <w:ind w:firstLine="480"/>
              <w:rPr>
                <w:rFonts w:hint="default" w:ascii="Times New Roman" w:hAnsi="Times New Roman" w:eastAsia="宋体" w:cs="Times New Roman"/>
                <w:color w:val="auto"/>
                <w:lang w:bidi="ar"/>
              </w:rPr>
            </w:pPr>
            <w:r>
              <w:rPr>
                <w:rFonts w:hint="default" w:ascii="Times New Roman" w:hAnsi="Times New Roman" w:eastAsia="宋体" w:cs="Times New Roman"/>
                <w:color w:val="auto"/>
                <w:lang w:bidi="ar"/>
              </w:rPr>
              <w:t>一般工业固废暂存库</w:t>
            </w:r>
          </w:p>
          <w:p w14:paraId="57A43C92">
            <w:pPr>
              <w:snapToGrid w:val="0"/>
              <w:spacing w:line="360" w:lineRule="auto"/>
              <w:ind w:firstLine="480"/>
              <w:rPr>
                <w:rFonts w:hint="default" w:ascii="Times New Roman" w:hAnsi="Times New Roman" w:eastAsia="宋体" w:cs="Times New Roman"/>
                <w:color w:val="auto"/>
                <w:lang w:bidi="ar"/>
              </w:rPr>
            </w:pPr>
            <w:r>
              <w:rPr>
                <w:rFonts w:hint="default" w:ascii="Times New Roman" w:hAnsi="Times New Roman" w:eastAsia="宋体" w:cs="Times New Roman"/>
                <w:color w:val="auto"/>
                <w:lang w:bidi="ar"/>
              </w:rPr>
              <w:t>企业建设</w:t>
            </w:r>
            <w:r>
              <w:rPr>
                <w:rFonts w:hint="eastAsia" w:cs="Times New Roman"/>
                <w:color w:val="auto"/>
                <w:lang w:val="en-US" w:eastAsia="zh-CN" w:bidi="ar"/>
              </w:rPr>
              <w:t>5</w:t>
            </w:r>
            <w:r>
              <w:rPr>
                <w:rFonts w:hint="default" w:ascii="Times New Roman" w:hAnsi="Times New Roman" w:eastAsia="宋体" w:cs="Times New Roman"/>
                <w:color w:val="auto"/>
                <w:lang w:bidi="ar"/>
              </w:rPr>
              <w:t>0</w:t>
            </w:r>
            <w:r>
              <w:rPr>
                <w:rFonts w:hint="eastAsia" w:cs="Times New Roman"/>
                <w:color w:val="auto"/>
                <w:lang w:val="en-US" w:eastAsia="zh-CN" w:bidi="ar"/>
              </w:rPr>
              <w:t>m</w:t>
            </w:r>
            <w:r>
              <w:rPr>
                <w:rFonts w:hint="eastAsia" w:cs="Times New Roman"/>
                <w:color w:val="auto"/>
                <w:vertAlign w:val="superscript"/>
                <w:lang w:val="en-US" w:eastAsia="zh-CN" w:bidi="ar"/>
              </w:rPr>
              <w:t>2</w:t>
            </w:r>
            <w:r>
              <w:rPr>
                <w:rFonts w:hint="default" w:ascii="Times New Roman" w:hAnsi="Times New Roman" w:eastAsia="宋体" w:cs="Times New Roman"/>
                <w:color w:val="auto"/>
                <w:lang w:bidi="ar"/>
              </w:rPr>
              <w:t>一般固废暂存区，用于暂存本项目产生的一般工业固废。一般工业暂存区可做到“防扬散、防流失、防渗漏”，符合《一般工业固体废物贮存和填埋污染控制标准》</w:t>
            </w:r>
            <w:r>
              <w:rPr>
                <w:rFonts w:hint="eastAsia" w:cs="Times New Roman"/>
                <w:color w:val="auto"/>
                <w:lang w:eastAsia="zh-CN" w:bidi="ar"/>
              </w:rPr>
              <w:t>（</w:t>
            </w:r>
            <w:r>
              <w:rPr>
                <w:rFonts w:hint="default" w:ascii="Times New Roman" w:hAnsi="Times New Roman" w:eastAsia="宋体" w:cs="Times New Roman"/>
                <w:color w:val="auto"/>
                <w:lang w:bidi="ar"/>
              </w:rPr>
              <w:t>GB18599-2020</w:t>
            </w:r>
            <w:r>
              <w:rPr>
                <w:rFonts w:hint="eastAsia" w:cs="Times New Roman"/>
                <w:color w:val="auto"/>
                <w:lang w:eastAsia="zh-CN" w:bidi="ar"/>
              </w:rPr>
              <w:t>）</w:t>
            </w:r>
            <w:r>
              <w:rPr>
                <w:rFonts w:hint="default" w:ascii="Times New Roman" w:hAnsi="Times New Roman" w:eastAsia="宋体" w:cs="Times New Roman"/>
                <w:color w:val="auto"/>
                <w:lang w:bidi="ar"/>
              </w:rPr>
              <w:t>相关要求。</w:t>
            </w:r>
          </w:p>
          <w:p w14:paraId="459FEAA8">
            <w:pPr>
              <w:snapToGrid w:val="0"/>
              <w:spacing w:line="360" w:lineRule="auto"/>
              <w:ind w:firstLine="480"/>
              <w:rPr>
                <w:rFonts w:hint="default" w:ascii="Times New Roman" w:hAnsi="Times New Roman" w:eastAsia="宋体" w:cs="Times New Roman"/>
                <w:color w:val="auto"/>
              </w:rPr>
            </w:pPr>
            <w:r>
              <w:rPr>
                <w:rFonts w:hint="default" w:ascii="Times New Roman" w:hAnsi="Times New Roman" w:eastAsia="宋体" w:cs="Times New Roman"/>
                <w:color w:val="auto"/>
                <w:lang w:bidi="ar"/>
              </w:rPr>
              <w:t>危险废物贮存场所</w:t>
            </w:r>
            <w:r>
              <w:rPr>
                <w:rFonts w:hint="eastAsia" w:cs="Times New Roman"/>
                <w:color w:val="auto"/>
                <w:lang w:eastAsia="zh-CN" w:bidi="ar"/>
              </w:rPr>
              <w:t>（</w:t>
            </w:r>
            <w:r>
              <w:rPr>
                <w:rFonts w:hint="default" w:ascii="Times New Roman" w:hAnsi="Times New Roman" w:eastAsia="宋体" w:cs="Times New Roman"/>
                <w:color w:val="auto"/>
                <w:lang w:bidi="ar"/>
              </w:rPr>
              <w:t>设施</w:t>
            </w:r>
            <w:r>
              <w:rPr>
                <w:rFonts w:hint="eastAsia" w:cs="Times New Roman"/>
                <w:color w:val="auto"/>
                <w:lang w:eastAsia="zh-CN" w:bidi="ar"/>
              </w:rPr>
              <w:t>）</w:t>
            </w:r>
          </w:p>
          <w:p w14:paraId="12271F06">
            <w:pPr>
              <w:adjustRightInd w:val="0"/>
              <w:snapToGrid w:val="0"/>
              <w:spacing w:line="360" w:lineRule="auto"/>
              <w:ind w:firstLine="480"/>
              <w:rPr>
                <w:rFonts w:hint="default" w:ascii="Times New Roman" w:hAnsi="Times New Roman" w:eastAsia="宋体" w:cs="Times New Roman"/>
                <w:b/>
                <w:bCs/>
                <w:color w:val="auto"/>
                <w:lang w:bidi="ar"/>
              </w:rPr>
            </w:pPr>
            <w:r>
              <w:rPr>
                <w:rFonts w:hint="default" w:ascii="Times New Roman" w:hAnsi="Times New Roman" w:eastAsia="宋体" w:cs="Times New Roman"/>
                <w:color w:val="auto"/>
                <w:lang w:bidi="ar"/>
              </w:rPr>
              <w:t>本项目建设</w:t>
            </w:r>
            <w:r>
              <w:rPr>
                <w:rFonts w:hint="eastAsia" w:cs="Times New Roman"/>
                <w:color w:val="auto"/>
                <w:lang w:val="en-US" w:eastAsia="zh-CN" w:bidi="ar"/>
              </w:rPr>
              <w:t>4</w:t>
            </w:r>
            <w:r>
              <w:rPr>
                <w:rFonts w:hint="default" w:ascii="Times New Roman" w:hAnsi="Times New Roman" w:eastAsia="宋体" w:cs="Times New Roman"/>
                <w:color w:val="auto"/>
                <w:lang w:bidi="ar"/>
              </w:rPr>
              <w:t>0</w:t>
            </w:r>
            <w:r>
              <w:rPr>
                <w:rFonts w:hint="eastAsia" w:cs="Times New Roman"/>
                <w:color w:val="auto"/>
                <w:lang w:val="en-US" w:eastAsia="zh-CN" w:bidi="ar"/>
              </w:rPr>
              <w:t>m</w:t>
            </w:r>
            <w:r>
              <w:rPr>
                <w:rFonts w:hint="eastAsia" w:cs="Times New Roman"/>
                <w:color w:val="auto"/>
                <w:vertAlign w:val="superscript"/>
                <w:lang w:val="en-US" w:eastAsia="zh-CN" w:bidi="ar"/>
              </w:rPr>
              <w:t>2</w:t>
            </w:r>
            <w:r>
              <w:rPr>
                <w:rFonts w:hint="default" w:ascii="Times New Roman" w:hAnsi="Times New Roman" w:eastAsia="宋体" w:cs="Times New Roman"/>
                <w:color w:val="auto"/>
                <w:lang w:bidi="ar"/>
              </w:rPr>
              <w:t>危废库，用于暂存本项目产生的危险废物，</w:t>
            </w:r>
            <w:r>
              <w:rPr>
                <w:rFonts w:hint="default" w:ascii="Times New Roman" w:hAnsi="Times New Roman" w:eastAsia="宋体" w:cs="Times New Roman"/>
                <w:color w:val="auto"/>
                <w:spacing w:val="-3"/>
              </w:rPr>
              <w:t>现场张贴有相应标识标牌，</w:t>
            </w:r>
            <w:r>
              <w:rPr>
                <w:rFonts w:hint="default" w:ascii="Times New Roman" w:hAnsi="Times New Roman" w:eastAsia="宋体" w:cs="Times New Roman"/>
                <w:color w:val="auto"/>
                <w:spacing w:val="-2"/>
              </w:rPr>
              <w:t>已经做好防雨淋工作，地面涂有环氧树脂并设有导流沟，</w:t>
            </w:r>
            <w:r>
              <w:rPr>
                <w:rFonts w:hint="default" w:ascii="Times New Roman" w:hAnsi="Times New Roman" w:eastAsia="宋体" w:cs="Times New Roman"/>
                <w:color w:val="auto"/>
                <w:lang w:bidi="ar"/>
              </w:rPr>
              <w:t>配备废气收集处理装置。</w:t>
            </w:r>
          </w:p>
          <w:p w14:paraId="0EECEA8D">
            <w:pPr>
              <w:pStyle w:val="30"/>
              <w:widowControl w:val="0"/>
              <w:spacing w:before="0" w:beforeAutospacing="0" w:after="0" w:afterAutospacing="0"/>
              <w:ind w:firstLine="482"/>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kern w:val="2"/>
                <w:szCs w:val="24"/>
                <w:lang w:bidi="ar"/>
              </w:rPr>
              <w:t>表4-</w:t>
            </w:r>
            <w:r>
              <w:rPr>
                <w:rFonts w:hint="eastAsia" w:ascii="Times New Roman" w:hAnsi="Times New Roman" w:cs="Times New Roman"/>
                <w:b/>
                <w:bCs/>
                <w:color w:val="auto"/>
                <w:kern w:val="2"/>
                <w:szCs w:val="24"/>
                <w:lang w:val="en-US" w:eastAsia="zh-CN" w:bidi="ar"/>
              </w:rPr>
              <w:t>27</w:t>
            </w:r>
            <w:r>
              <w:rPr>
                <w:rFonts w:hint="default" w:ascii="Times New Roman" w:hAnsi="Times New Roman" w:eastAsia="宋体" w:cs="Times New Roman"/>
                <w:b/>
                <w:bCs/>
                <w:color w:val="auto"/>
                <w:kern w:val="2"/>
                <w:szCs w:val="24"/>
                <w:lang w:bidi="ar"/>
              </w:rPr>
              <w:t>本项目建成后全厂危险废物暂存情况一览表</w:t>
            </w:r>
          </w:p>
          <w:tbl>
            <w:tblPr>
              <w:tblStyle w:val="3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419"/>
              <w:gridCol w:w="1257"/>
              <w:gridCol w:w="1398"/>
              <w:gridCol w:w="1101"/>
              <w:gridCol w:w="992"/>
              <w:gridCol w:w="1091"/>
              <w:gridCol w:w="997"/>
            </w:tblGrid>
            <w:tr w14:paraId="16E8F9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585" w:hRule="exact"/>
                <w:jc w:val="center"/>
              </w:trPr>
              <w:tc>
                <w:tcPr>
                  <w:tcW w:w="321" w:type="pct"/>
                  <w:vAlign w:val="center"/>
                </w:tcPr>
                <w:p w14:paraId="732F8619">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序号</w:t>
                  </w:r>
                </w:p>
              </w:tc>
              <w:tc>
                <w:tcPr>
                  <w:tcW w:w="804" w:type="pct"/>
                  <w:vAlign w:val="center"/>
                </w:tcPr>
                <w:p w14:paraId="663017FC">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危险废物名称</w:t>
                  </w:r>
                </w:p>
              </w:tc>
              <w:tc>
                <w:tcPr>
                  <w:tcW w:w="712" w:type="pct"/>
                  <w:vAlign w:val="center"/>
                </w:tcPr>
                <w:p w14:paraId="7BFF8EA6">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危险废物类别</w:t>
                  </w:r>
                </w:p>
              </w:tc>
              <w:tc>
                <w:tcPr>
                  <w:tcW w:w="792" w:type="pct"/>
                  <w:vAlign w:val="center"/>
                </w:tcPr>
                <w:p w14:paraId="64577940">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危险废物代码</w:t>
                  </w:r>
                </w:p>
              </w:tc>
              <w:tc>
                <w:tcPr>
                  <w:tcW w:w="624" w:type="pct"/>
                  <w:vAlign w:val="center"/>
                </w:tcPr>
                <w:p w14:paraId="3BEA63C7">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占地面积</w:t>
                  </w:r>
                  <w:r>
                    <w:rPr>
                      <w:rFonts w:hint="default" w:ascii="Times New Roman" w:hAnsi="Times New Roman" w:eastAsia="宋体" w:cs="Times New Roman"/>
                      <w:bCs/>
                      <w:color w:val="auto"/>
                      <w:sz w:val="21"/>
                      <w:szCs w:val="21"/>
                      <w:lang w:bidi="ar"/>
                    </w:rPr>
                    <w:t>m</w:t>
                  </w:r>
                  <w:r>
                    <w:rPr>
                      <w:rFonts w:hint="default" w:ascii="Times New Roman" w:hAnsi="Times New Roman" w:eastAsia="宋体" w:cs="Times New Roman"/>
                      <w:bCs/>
                      <w:color w:val="auto"/>
                      <w:sz w:val="21"/>
                      <w:szCs w:val="21"/>
                      <w:vertAlign w:val="superscript"/>
                      <w:lang w:bidi="ar"/>
                    </w:rPr>
                    <w:t>2</w:t>
                  </w:r>
                </w:p>
              </w:tc>
              <w:tc>
                <w:tcPr>
                  <w:tcW w:w="562" w:type="pct"/>
                  <w:vAlign w:val="center"/>
                </w:tcPr>
                <w:p w14:paraId="6D8B7333">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lang w:bidi="ar"/>
                    </w:rPr>
                  </w:pPr>
                  <w:r>
                    <w:rPr>
                      <w:rFonts w:hint="default" w:ascii="Times New Roman" w:hAnsi="Times New Roman" w:eastAsia="宋体" w:cs="Times New Roman"/>
                      <w:b/>
                      <w:color w:val="auto"/>
                      <w:sz w:val="21"/>
                      <w:szCs w:val="21"/>
                      <w:lang w:bidi="ar"/>
                    </w:rPr>
                    <w:t>产生量</w:t>
                  </w:r>
                  <w:r>
                    <w:rPr>
                      <w:rFonts w:hint="eastAsia" w:ascii="Times New Roman" w:hAnsi="Times New Roman" w:cs="Times New Roman"/>
                      <w:b/>
                      <w:color w:val="auto"/>
                      <w:sz w:val="21"/>
                      <w:szCs w:val="21"/>
                      <w:lang w:val="en-US" w:eastAsia="zh-CN" w:bidi="ar"/>
                    </w:rPr>
                    <w:t>t</w:t>
                  </w:r>
                  <w:r>
                    <w:rPr>
                      <w:rFonts w:hint="default" w:ascii="Times New Roman" w:hAnsi="Times New Roman" w:eastAsia="宋体" w:cs="Times New Roman"/>
                      <w:b/>
                      <w:color w:val="auto"/>
                      <w:sz w:val="21"/>
                      <w:szCs w:val="21"/>
                      <w:lang w:bidi="ar"/>
                    </w:rPr>
                    <w:t>/a</w:t>
                  </w:r>
                </w:p>
              </w:tc>
              <w:tc>
                <w:tcPr>
                  <w:tcW w:w="618" w:type="pct"/>
                  <w:vAlign w:val="center"/>
                </w:tcPr>
                <w:p w14:paraId="1AACC5A7">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最大</w:t>
                  </w:r>
                  <w:r>
                    <w:rPr>
                      <w:rFonts w:hint="eastAsia" w:ascii="Times New Roman" w:hAnsi="Times New Roman" w:cs="Times New Roman"/>
                      <w:b/>
                      <w:color w:val="auto"/>
                      <w:sz w:val="21"/>
                      <w:szCs w:val="21"/>
                      <w:lang w:val="en-US" w:eastAsia="zh-CN" w:bidi="ar"/>
                    </w:rPr>
                    <w:t>贮存量</w:t>
                  </w:r>
                  <w:r>
                    <w:rPr>
                      <w:rFonts w:hint="default" w:ascii="Times New Roman" w:hAnsi="Times New Roman" w:eastAsia="宋体" w:cs="Times New Roman"/>
                      <w:b/>
                      <w:color w:val="auto"/>
                      <w:sz w:val="21"/>
                      <w:szCs w:val="21"/>
                      <w:lang w:bidi="ar"/>
                    </w:rPr>
                    <w:t>t</w:t>
                  </w:r>
                </w:p>
              </w:tc>
              <w:tc>
                <w:tcPr>
                  <w:tcW w:w="565" w:type="pct"/>
                  <w:vAlign w:val="center"/>
                </w:tcPr>
                <w:p w14:paraId="1D0739BD">
                  <w:pPr>
                    <w:pStyle w:val="30"/>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bidi="ar"/>
                    </w:rPr>
                    <w:t>贮存</w:t>
                  </w:r>
                  <w:r>
                    <w:rPr>
                      <w:rFonts w:hint="eastAsia" w:ascii="Times New Roman" w:hAnsi="Times New Roman" w:cs="Times New Roman"/>
                      <w:b/>
                      <w:color w:val="auto"/>
                      <w:sz w:val="21"/>
                      <w:szCs w:val="21"/>
                      <w:lang w:val="en-US" w:eastAsia="zh-CN" w:bidi="ar"/>
                    </w:rPr>
                    <w:t>时长</w:t>
                  </w:r>
                </w:p>
                <w:p w14:paraId="62003EB4">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bidi="ar"/>
                    </w:rPr>
                    <w:t>周期</w:t>
                  </w:r>
                </w:p>
              </w:tc>
            </w:tr>
            <w:tr w14:paraId="5D3A9E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321" w:type="pct"/>
                  <w:vAlign w:val="center"/>
                </w:tcPr>
                <w:p w14:paraId="772A725F">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1</w:t>
                  </w:r>
                </w:p>
              </w:tc>
              <w:tc>
                <w:tcPr>
                  <w:tcW w:w="804" w:type="pct"/>
                  <w:shd w:val="clear" w:color="auto" w:fill="auto"/>
                  <w:vAlign w:val="center"/>
                </w:tcPr>
                <w:p w14:paraId="11C5EE0A">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废油桶</w:t>
                  </w:r>
                </w:p>
              </w:tc>
              <w:tc>
                <w:tcPr>
                  <w:tcW w:w="712" w:type="pct"/>
                  <w:shd w:val="clear" w:color="auto" w:fill="auto"/>
                  <w:vAlign w:val="center"/>
                </w:tcPr>
                <w:p w14:paraId="5C841A27">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HW08</w:t>
                  </w:r>
                </w:p>
              </w:tc>
              <w:tc>
                <w:tcPr>
                  <w:tcW w:w="792" w:type="pct"/>
                  <w:shd w:val="clear" w:color="auto" w:fill="auto"/>
                  <w:vAlign w:val="center"/>
                </w:tcPr>
                <w:p w14:paraId="53499AB3">
                  <w:pPr>
                    <w:pStyle w:val="167"/>
                    <w:spacing w:before="0" w:beforeLines="0" w:after="0" w:afterLines="0"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color w:val="auto"/>
                      <w:szCs w:val="21"/>
                    </w:rPr>
                    <w:t>900-249-08</w:t>
                  </w:r>
                </w:p>
              </w:tc>
              <w:tc>
                <w:tcPr>
                  <w:tcW w:w="624" w:type="pct"/>
                  <w:vAlign w:val="center"/>
                </w:tcPr>
                <w:p w14:paraId="55D86352">
                  <w:pPr>
                    <w:pStyle w:val="30"/>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bCs/>
                      <w:color w:val="auto"/>
                      <w:sz w:val="21"/>
                      <w:szCs w:val="21"/>
                      <w:lang w:eastAsia="zh-CN" w:bidi="ar"/>
                    </w:rPr>
                  </w:pPr>
                  <w:r>
                    <w:rPr>
                      <w:rFonts w:hint="eastAsia" w:ascii="Times New Roman" w:hAnsi="Times New Roman" w:cs="Times New Roman"/>
                      <w:bCs/>
                      <w:color w:val="auto"/>
                      <w:sz w:val="21"/>
                      <w:szCs w:val="21"/>
                      <w:lang w:val="en-US" w:eastAsia="zh-CN" w:bidi="ar"/>
                    </w:rPr>
                    <w:t>4</w:t>
                  </w:r>
                </w:p>
              </w:tc>
              <w:tc>
                <w:tcPr>
                  <w:tcW w:w="562" w:type="pct"/>
                  <w:shd w:val="clear" w:color="auto" w:fill="auto"/>
                  <w:vAlign w:val="center"/>
                </w:tcPr>
                <w:p w14:paraId="4886264F">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0.1</w:t>
                  </w:r>
                </w:p>
              </w:tc>
              <w:tc>
                <w:tcPr>
                  <w:tcW w:w="618" w:type="pct"/>
                  <w:vAlign w:val="center"/>
                </w:tcPr>
                <w:p w14:paraId="781D0C0D">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0.1</w:t>
                  </w:r>
                </w:p>
              </w:tc>
              <w:tc>
                <w:tcPr>
                  <w:tcW w:w="565" w:type="pct"/>
                  <w:vAlign w:val="center"/>
                </w:tcPr>
                <w:p w14:paraId="14A70911">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rPr>
                    <w:t>3个月</w:t>
                  </w:r>
                </w:p>
              </w:tc>
            </w:tr>
            <w:tr w14:paraId="254E57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321" w:type="pct"/>
                  <w:vAlign w:val="center"/>
                </w:tcPr>
                <w:p w14:paraId="321B4688">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2</w:t>
                  </w:r>
                </w:p>
              </w:tc>
              <w:tc>
                <w:tcPr>
                  <w:tcW w:w="804" w:type="pct"/>
                  <w:shd w:val="clear" w:color="auto" w:fill="auto"/>
                  <w:vAlign w:val="center"/>
                </w:tcPr>
                <w:p w14:paraId="3C43691D">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废机油</w:t>
                  </w:r>
                </w:p>
              </w:tc>
              <w:tc>
                <w:tcPr>
                  <w:tcW w:w="712" w:type="pct"/>
                  <w:shd w:val="clear" w:color="auto" w:fill="auto"/>
                  <w:vAlign w:val="center"/>
                </w:tcPr>
                <w:p w14:paraId="3DAA202B">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HW08</w:t>
                  </w:r>
                </w:p>
              </w:tc>
              <w:tc>
                <w:tcPr>
                  <w:tcW w:w="792" w:type="pct"/>
                  <w:shd w:val="clear" w:color="auto" w:fill="auto"/>
                  <w:vAlign w:val="center"/>
                </w:tcPr>
                <w:p w14:paraId="5042E4B6">
                  <w:pPr>
                    <w:pStyle w:val="167"/>
                    <w:spacing w:before="0" w:beforeLines="0" w:after="0" w:afterLines="0"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color w:val="auto"/>
                      <w:szCs w:val="21"/>
                    </w:rPr>
                    <w:t>900-217-08</w:t>
                  </w:r>
                </w:p>
              </w:tc>
              <w:tc>
                <w:tcPr>
                  <w:tcW w:w="624" w:type="pct"/>
                  <w:vAlign w:val="center"/>
                </w:tcPr>
                <w:p w14:paraId="75151E6A">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1</w:t>
                  </w:r>
                </w:p>
              </w:tc>
              <w:tc>
                <w:tcPr>
                  <w:tcW w:w="562" w:type="pct"/>
                  <w:shd w:val="clear" w:color="auto" w:fill="auto"/>
                  <w:vAlign w:val="center"/>
                </w:tcPr>
                <w:p w14:paraId="5748CA02">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w:t>
                  </w:r>
                </w:p>
              </w:tc>
              <w:tc>
                <w:tcPr>
                  <w:tcW w:w="618" w:type="pct"/>
                  <w:vAlign w:val="center"/>
                </w:tcPr>
                <w:p w14:paraId="4F3B8C3F">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0.2</w:t>
                  </w:r>
                </w:p>
              </w:tc>
              <w:tc>
                <w:tcPr>
                  <w:tcW w:w="565" w:type="pct"/>
                  <w:vAlign w:val="center"/>
                </w:tcPr>
                <w:p w14:paraId="71850605">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bidi="ar"/>
                    </w:rPr>
                  </w:pPr>
                  <w:r>
                    <w:rPr>
                      <w:rFonts w:hint="eastAsia" w:ascii="Times New Roman" w:hAnsi="Times New Roman" w:cs="Times New Roman"/>
                      <w:bCs/>
                      <w:color w:val="auto"/>
                      <w:sz w:val="21"/>
                      <w:szCs w:val="21"/>
                      <w:lang w:val="en-US" w:eastAsia="zh-CN"/>
                    </w:rPr>
                    <w:t>3个月</w:t>
                  </w:r>
                </w:p>
              </w:tc>
            </w:tr>
            <w:tr w14:paraId="29F04C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84" w:hRule="exact"/>
                <w:jc w:val="center"/>
              </w:trPr>
              <w:tc>
                <w:tcPr>
                  <w:tcW w:w="321" w:type="pct"/>
                  <w:vAlign w:val="center"/>
                </w:tcPr>
                <w:p w14:paraId="7DFEC49A">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bidi="ar"/>
                    </w:rPr>
                  </w:pPr>
                  <w:r>
                    <w:rPr>
                      <w:rFonts w:hint="default" w:ascii="Times New Roman" w:hAnsi="Times New Roman" w:eastAsia="宋体" w:cs="Times New Roman"/>
                      <w:bCs/>
                      <w:color w:val="auto"/>
                      <w:sz w:val="21"/>
                      <w:szCs w:val="21"/>
                      <w:lang w:bidi="ar"/>
                    </w:rPr>
                    <w:t>3</w:t>
                  </w:r>
                </w:p>
              </w:tc>
              <w:tc>
                <w:tcPr>
                  <w:tcW w:w="804" w:type="pct"/>
                  <w:shd w:val="clear" w:color="auto" w:fill="auto"/>
                  <w:vAlign w:val="center"/>
                </w:tcPr>
                <w:p w14:paraId="3C8DF2E2">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b w:val="0"/>
                      <w:bCs w:val="0"/>
                      <w:color w:val="auto"/>
                      <w:kern w:val="0"/>
                      <w:sz w:val="21"/>
                      <w:szCs w:val="21"/>
                      <w:lang w:val="en-US" w:eastAsia="zh-CN"/>
                    </w:rPr>
                    <w:t>油烟净化器废油</w:t>
                  </w:r>
                </w:p>
              </w:tc>
              <w:tc>
                <w:tcPr>
                  <w:tcW w:w="712" w:type="pct"/>
                  <w:shd w:val="clear" w:color="auto" w:fill="auto"/>
                  <w:vAlign w:val="center"/>
                </w:tcPr>
                <w:p w14:paraId="0D3A742D">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HW08</w:t>
                  </w:r>
                </w:p>
              </w:tc>
              <w:tc>
                <w:tcPr>
                  <w:tcW w:w="792" w:type="pct"/>
                  <w:shd w:val="clear" w:color="auto" w:fill="auto"/>
                  <w:vAlign w:val="center"/>
                </w:tcPr>
                <w:p w14:paraId="4AEEAB08">
                  <w:pPr>
                    <w:pStyle w:val="167"/>
                    <w:spacing w:before="0" w:beforeLines="0" w:after="0" w:afterLines="0"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color w:val="auto"/>
                      <w:szCs w:val="21"/>
                    </w:rPr>
                    <w:t>900-249-08</w:t>
                  </w:r>
                </w:p>
              </w:tc>
              <w:tc>
                <w:tcPr>
                  <w:tcW w:w="624" w:type="pct"/>
                  <w:vAlign w:val="center"/>
                </w:tcPr>
                <w:p w14:paraId="2432DA7D">
                  <w:pPr>
                    <w:pStyle w:val="30"/>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bCs/>
                      <w:color w:val="auto"/>
                      <w:sz w:val="21"/>
                      <w:szCs w:val="21"/>
                      <w:lang w:eastAsia="zh-CN" w:bidi="ar"/>
                    </w:rPr>
                  </w:pPr>
                  <w:r>
                    <w:rPr>
                      <w:rFonts w:hint="eastAsia" w:ascii="Times New Roman" w:hAnsi="Times New Roman" w:cs="Times New Roman"/>
                      <w:bCs/>
                      <w:color w:val="auto"/>
                      <w:sz w:val="21"/>
                      <w:szCs w:val="21"/>
                      <w:lang w:val="en-US" w:eastAsia="zh-CN" w:bidi="ar"/>
                    </w:rPr>
                    <w:t>2</w:t>
                  </w:r>
                </w:p>
              </w:tc>
              <w:tc>
                <w:tcPr>
                  <w:tcW w:w="562" w:type="pct"/>
                  <w:shd w:val="clear" w:color="auto" w:fill="auto"/>
                  <w:vAlign w:val="center"/>
                </w:tcPr>
                <w:p w14:paraId="37A67E2D">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2.116</w:t>
                  </w:r>
                </w:p>
              </w:tc>
              <w:tc>
                <w:tcPr>
                  <w:tcW w:w="618" w:type="pct"/>
                  <w:vAlign w:val="center"/>
                </w:tcPr>
                <w:p w14:paraId="75EE9EF9">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2.116</w:t>
                  </w:r>
                </w:p>
              </w:tc>
              <w:tc>
                <w:tcPr>
                  <w:tcW w:w="565" w:type="pct"/>
                  <w:vAlign w:val="center"/>
                </w:tcPr>
                <w:p w14:paraId="1894AE0C">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rPr>
                  </w:pPr>
                  <w:r>
                    <w:rPr>
                      <w:rFonts w:hint="eastAsia" w:ascii="Times New Roman" w:hAnsi="Times New Roman" w:cs="Times New Roman"/>
                      <w:bCs/>
                      <w:color w:val="auto"/>
                      <w:sz w:val="21"/>
                      <w:szCs w:val="21"/>
                      <w:lang w:val="en-US" w:eastAsia="zh-CN"/>
                    </w:rPr>
                    <w:t>3个月</w:t>
                  </w:r>
                </w:p>
              </w:tc>
            </w:tr>
            <w:tr w14:paraId="0CC83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321" w:type="pct"/>
                  <w:vAlign w:val="center"/>
                </w:tcPr>
                <w:p w14:paraId="651EDECD">
                  <w:pPr>
                    <w:pStyle w:val="30"/>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4</w:t>
                  </w:r>
                </w:p>
              </w:tc>
              <w:tc>
                <w:tcPr>
                  <w:tcW w:w="804" w:type="pct"/>
                  <w:shd w:val="clear" w:color="auto" w:fill="auto"/>
                  <w:vAlign w:val="center"/>
                </w:tcPr>
                <w:p w14:paraId="772A3364">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污（油）泥</w:t>
                  </w:r>
                </w:p>
              </w:tc>
              <w:tc>
                <w:tcPr>
                  <w:tcW w:w="712" w:type="pct"/>
                  <w:shd w:val="clear" w:color="auto" w:fill="auto"/>
                  <w:vAlign w:val="center"/>
                </w:tcPr>
                <w:p w14:paraId="0E76F25F">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HW08</w:t>
                  </w:r>
                </w:p>
              </w:tc>
              <w:tc>
                <w:tcPr>
                  <w:tcW w:w="792" w:type="pct"/>
                  <w:shd w:val="clear" w:color="auto" w:fill="auto"/>
                  <w:vAlign w:val="center"/>
                </w:tcPr>
                <w:p w14:paraId="71CC6A1A">
                  <w:pPr>
                    <w:pStyle w:val="167"/>
                    <w:spacing w:before="0" w:beforeLines="0" w:after="0" w:afterLines="0"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color w:val="auto"/>
                      <w:szCs w:val="21"/>
                    </w:rPr>
                    <w:t>900-210-08</w:t>
                  </w:r>
                </w:p>
              </w:tc>
              <w:tc>
                <w:tcPr>
                  <w:tcW w:w="624" w:type="pct"/>
                  <w:vAlign w:val="center"/>
                </w:tcPr>
                <w:p w14:paraId="5B0154A7">
                  <w:pPr>
                    <w:pStyle w:val="30"/>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2</w:t>
                  </w:r>
                </w:p>
              </w:tc>
              <w:tc>
                <w:tcPr>
                  <w:tcW w:w="562" w:type="pct"/>
                  <w:shd w:val="clear" w:color="auto" w:fill="auto"/>
                  <w:vAlign w:val="center"/>
                </w:tcPr>
                <w:p w14:paraId="43C9000D">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17.675</w:t>
                  </w:r>
                </w:p>
              </w:tc>
              <w:tc>
                <w:tcPr>
                  <w:tcW w:w="618" w:type="pct"/>
                  <w:vAlign w:val="center"/>
                </w:tcPr>
                <w:p w14:paraId="5777791B">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2</w:t>
                  </w:r>
                </w:p>
              </w:tc>
              <w:tc>
                <w:tcPr>
                  <w:tcW w:w="565" w:type="pct"/>
                  <w:vAlign w:val="center"/>
                </w:tcPr>
                <w:p w14:paraId="7DC3293C">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3个月</w:t>
                  </w:r>
                </w:p>
              </w:tc>
            </w:tr>
            <w:tr w14:paraId="4F7F44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321" w:type="pct"/>
                  <w:vMerge w:val="restart"/>
                  <w:vAlign w:val="center"/>
                </w:tcPr>
                <w:p w14:paraId="56D8553F">
                  <w:pPr>
                    <w:pStyle w:val="30"/>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5</w:t>
                  </w:r>
                </w:p>
              </w:tc>
              <w:tc>
                <w:tcPr>
                  <w:tcW w:w="804" w:type="pct"/>
                  <w:vMerge w:val="restart"/>
                  <w:shd w:val="clear" w:color="auto" w:fill="auto"/>
                  <w:vAlign w:val="center"/>
                </w:tcPr>
                <w:p w14:paraId="34CF3CBE">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生化污泥</w:t>
                  </w:r>
                </w:p>
              </w:tc>
              <w:tc>
                <w:tcPr>
                  <w:tcW w:w="712" w:type="pct"/>
                  <w:shd w:val="clear" w:color="auto" w:fill="auto"/>
                  <w:vAlign w:val="center"/>
                </w:tcPr>
                <w:p w14:paraId="1CD1C4A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鉴别前参照危废HW49</w:t>
                  </w:r>
                </w:p>
              </w:tc>
              <w:tc>
                <w:tcPr>
                  <w:tcW w:w="792" w:type="pct"/>
                  <w:shd w:val="clear" w:color="auto" w:fill="auto"/>
                  <w:vAlign w:val="center"/>
                </w:tcPr>
                <w:p w14:paraId="7E3EAE4E">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772-006-49</w:t>
                  </w:r>
                </w:p>
              </w:tc>
              <w:tc>
                <w:tcPr>
                  <w:tcW w:w="624" w:type="pct"/>
                  <w:vMerge w:val="restart"/>
                  <w:vAlign w:val="center"/>
                </w:tcPr>
                <w:p w14:paraId="669258B1">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12</w:t>
                  </w:r>
                </w:p>
              </w:tc>
              <w:tc>
                <w:tcPr>
                  <w:tcW w:w="562" w:type="pct"/>
                  <w:vMerge w:val="restart"/>
                  <w:shd w:val="clear" w:color="auto" w:fill="auto"/>
                  <w:vAlign w:val="center"/>
                </w:tcPr>
                <w:p w14:paraId="7BE91211">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206.55</w:t>
                  </w:r>
                </w:p>
              </w:tc>
              <w:tc>
                <w:tcPr>
                  <w:tcW w:w="618" w:type="pct"/>
                  <w:vMerge w:val="restart"/>
                  <w:vAlign w:val="center"/>
                </w:tcPr>
                <w:p w14:paraId="3E1D14DC">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12</w:t>
                  </w:r>
                </w:p>
              </w:tc>
              <w:tc>
                <w:tcPr>
                  <w:tcW w:w="565" w:type="pct"/>
                  <w:vMerge w:val="restart"/>
                  <w:shd w:val="clear" w:color="auto" w:fill="auto"/>
                  <w:vAlign w:val="center"/>
                </w:tcPr>
                <w:p w14:paraId="7F4349D8">
                  <w:pPr>
                    <w:pStyle w:val="3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cs="Times New Roman"/>
                      <w:bCs/>
                      <w:color w:val="auto"/>
                      <w:sz w:val="21"/>
                      <w:szCs w:val="21"/>
                      <w:lang w:val="en-US" w:eastAsia="zh-CN"/>
                    </w:rPr>
                    <w:t>半个月</w:t>
                  </w:r>
                </w:p>
              </w:tc>
            </w:tr>
            <w:tr w14:paraId="7C332E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21" w:type="pct"/>
                  <w:vMerge w:val="continue"/>
                  <w:vAlign w:val="center"/>
                </w:tcPr>
                <w:p w14:paraId="695FFB7D">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pPr>
                </w:p>
              </w:tc>
              <w:tc>
                <w:tcPr>
                  <w:tcW w:w="804" w:type="pct"/>
                  <w:vMerge w:val="continue"/>
                  <w:shd w:val="clear" w:color="auto" w:fill="auto"/>
                  <w:vAlign w:val="center"/>
                </w:tcPr>
                <w:p w14:paraId="194DA201">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pPr>
                </w:p>
              </w:tc>
              <w:tc>
                <w:tcPr>
                  <w:tcW w:w="712" w:type="pct"/>
                  <w:shd w:val="clear" w:color="auto" w:fill="auto"/>
                  <w:vAlign w:val="center"/>
                </w:tcPr>
                <w:p w14:paraId="47D3A4C2">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鉴别后根据固废属性，若为一般固废，参照S07</w:t>
                  </w:r>
                </w:p>
              </w:tc>
              <w:tc>
                <w:tcPr>
                  <w:tcW w:w="792" w:type="pct"/>
                  <w:shd w:val="clear" w:color="auto" w:fill="auto"/>
                  <w:vAlign w:val="center"/>
                </w:tcPr>
                <w:p w14:paraId="36D43FF1">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bCs/>
                      <w:color w:val="auto"/>
                      <w:sz w:val="21"/>
                      <w:szCs w:val="21"/>
                      <w:lang w:val="en-US" w:eastAsia="zh-CN"/>
                    </w:rPr>
                  </w:pPr>
                  <w:r>
                    <w:rPr>
                      <w:rFonts w:hint="eastAsia"/>
                      <w:bCs/>
                      <w:color w:val="auto"/>
                      <w:sz w:val="21"/>
                      <w:szCs w:val="21"/>
                      <w:lang w:val="en-US" w:eastAsia="zh-CN"/>
                    </w:rPr>
                    <w:t>170-001-S07</w:t>
                  </w:r>
                </w:p>
              </w:tc>
              <w:tc>
                <w:tcPr>
                  <w:tcW w:w="624" w:type="pct"/>
                  <w:vMerge w:val="continue"/>
                  <w:vAlign w:val="center"/>
                </w:tcPr>
                <w:p w14:paraId="01D18844">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c>
                <w:tcPr>
                  <w:tcW w:w="562" w:type="pct"/>
                  <w:vMerge w:val="continue"/>
                  <w:shd w:val="clear" w:color="auto" w:fill="auto"/>
                  <w:vAlign w:val="center"/>
                </w:tcPr>
                <w:p w14:paraId="6D3890B6">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c>
                <w:tcPr>
                  <w:tcW w:w="618" w:type="pct"/>
                  <w:vMerge w:val="continue"/>
                  <w:vAlign w:val="center"/>
                </w:tcPr>
                <w:p w14:paraId="59AA8138">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c>
                <w:tcPr>
                  <w:tcW w:w="565" w:type="pct"/>
                  <w:vMerge w:val="continue"/>
                  <w:shd w:val="clear" w:color="auto" w:fill="auto"/>
                  <w:vAlign w:val="center"/>
                </w:tcPr>
                <w:p w14:paraId="10D97D0E">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r>
            <w:tr w14:paraId="4132EE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321" w:type="pct"/>
                  <w:vMerge w:val="restart"/>
                  <w:vAlign w:val="center"/>
                </w:tcPr>
                <w:p w14:paraId="2D210F64">
                  <w:pPr>
                    <w:pStyle w:val="30"/>
                    <w:adjustRightInd w:val="0"/>
                    <w:snapToGrid w:val="0"/>
                    <w:spacing w:before="0" w:beforeAutospacing="0" w:after="0" w:afterAutospacing="0" w:line="240" w:lineRule="auto"/>
                    <w:ind w:firstLine="0" w:firstLineChars="0"/>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6</w:t>
                  </w:r>
                </w:p>
              </w:tc>
              <w:tc>
                <w:tcPr>
                  <w:tcW w:w="804" w:type="pct"/>
                  <w:vMerge w:val="restart"/>
                  <w:shd w:val="clear" w:color="auto" w:fill="auto"/>
                  <w:vAlign w:val="center"/>
                </w:tcPr>
                <w:p w14:paraId="1B4EC7D3">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废过滤介质</w:t>
                  </w:r>
                </w:p>
              </w:tc>
              <w:tc>
                <w:tcPr>
                  <w:tcW w:w="712" w:type="pct"/>
                  <w:shd w:val="clear" w:color="auto" w:fill="auto"/>
                  <w:vAlign w:val="center"/>
                </w:tcPr>
                <w:p w14:paraId="4548BB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鉴别前参照危废HW49</w:t>
                  </w:r>
                </w:p>
              </w:tc>
              <w:tc>
                <w:tcPr>
                  <w:tcW w:w="792" w:type="pct"/>
                  <w:shd w:val="clear" w:color="auto" w:fill="auto"/>
                  <w:vAlign w:val="center"/>
                </w:tcPr>
                <w:p w14:paraId="111D7DF8">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bCs/>
                      <w:color w:val="auto"/>
                      <w:sz w:val="21"/>
                      <w:szCs w:val="21"/>
                      <w:lang w:val="en-US" w:eastAsia="zh-CN"/>
                    </w:rPr>
                  </w:pPr>
                  <w:r>
                    <w:rPr>
                      <w:rFonts w:hint="eastAsia"/>
                      <w:bCs/>
                      <w:color w:val="auto"/>
                      <w:sz w:val="21"/>
                      <w:szCs w:val="21"/>
                      <w:lang w:val="en-US" w:eastAsia="zh-CN"/>
                    </w:rPr>
                    <w:t>900-041-49</w:t>
                  </w:r>
                </w:p>
              </w:tc>
              <w:tc>
                <w:tcPr>
                  <w:tcW w:w="624" w:type="pct"/>
                  <w:vMerge w:val="restart"/>
                  <w:vAlign w:val="center"/>
                </w:tcPr>
                <w:p w14:paraId="23DB2CE3">
                  <w:pPr>
                    <w:pStyle w:val="30"/>
                    <w:adjustRightInd w:val="0"/>
                    <w:snapToGrid w:val="0"/>
                    <w:spacing w:before="0" w:beforeAutospacing="0" w:after="0" w:afterAutospacing="0" w:line="240" w:lineRule="auto"/>
                    <w:ind w:firstLine="0" w:firstLineChars="0"/>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16</w:t>
                  </w:r>
                </w:p>
              </w:tc>
              <w:tc>
                <w:tcPr>
                  <w:tcW w:w="562" w:type="pct"/>
                  <w:vMerge w:val="restart"/>
                  <w:shd w:val="clear" w:color="auto" w:fill="auto"/>
                  <w:vAlign w:val="center"/>
                </w:tcPr>
                <w:p w14:paraId="2DBF8F93">
                  <w:pPr>
                    <w:pStyle w:val="30"/>
                    <w:adjustRightInd w:val="0"/>
                    <w:snapToGrid w:val="0"/>
                    <w:spacing w:before="0" w:beforeAutospacing="0" w:after="0" w:afterAutospacing="0" w:line="240" w:lineRule="auto"/>
                    <w:ind w:firstLine="0" w:firstLineChars="0"/>
                    <w:jc w:val="center"/>
                    <w:rPr>
                      <w:rFonts w:hint="eastAsia" w:ascii="Times New Roman" w:hAnsi="Times New Roman" w:eastAsia="宋体" w:cs="Times New Roman"/>
                      <w:bCs/>
                      <w:color w:val="auto"/>
                      <w:kern w:val="0"/>
                      <w:sz w:val="21"/>
                      <w:szCs w:val="21"/>
                      <w:lang w:val="en-US" w:eastAsia="zh-CN" w:bidi="ar"/>
                    </w:rPr>
                  </w:pPr>
                  <w:r>
                    <w:rPr>
                      <w:rFonts w:hint="eastAsia" w:ascii="Times New Roman" w:hAnsi="Times New Roman" w:cs="Times New Roman"/>
                      <w:bCs/>
                      <w:color w:val="auto"/>
                      <w:sz w:val="21"/>
                      <w:szCs w:val="21"/>
                      <w:lang w:val="en-US" w:eastAsia="zh-CN" w:bidi="ar"/>
                    </w:rPr>
                    <w:t>18.4</w:t>
                  </w:r>
                </w:p>
              </w:tc>
              <w:tc>
                <w:tcPr>
                  <w:tcW w:w="618" w:type="pct"/>
                  <w:vMerge w:val="restart"/>
                  <w:vAlign w:val="center"/>
                </w:tcPr>
                <w:p w14:paraId="4CEFACE4">
                  <w:pPr>
                    <w:pStyle w:val="30"/>
                    <w:adjustRightInd w:val="0"/>
                    <w:snapToGrid w:val="0"/>
                    <w:spacing w:before="0" w:beforeAutospacing="0" w:after="0" w:afterAutospacing="0" w:line="240" w:lineRule="auto"/>
                    <w:ind w:firstLine="0" w:firstLineChars="0"/>
                    <w:jc w:val="center"/>
                    <w:rPr>
                      <w:rFonts w:hint="default" w:ascii="Times New Roman" w:hAnsi="Times New Roman" w:cs="Times New Roman"/>
                      <w:bCs/>
                      <w:color w:val="auto"/>
                      <w:sz w:val="21"/>
                      <w:szCs w:val="21"/>
                      <w:lang w:val="en-US" w:eastAsia="zh-CN" w:bidi="ar"/>
                    </w:rPr>
                  </w:pPr>
                  <w:r>
                    <w:rPr>
                      <w:rFonts w:hint="eastAsia" w:ascii="Times New Roman" w:hAnsi="Times New Roman" w:cs="Times New Roman"/>
                      <w:bCs/>
                      <w:color w:val="auto"/>
                      <w:sz w:val="21"/>
                      <w:szCs w:val="21"/>
                      <w:lang w:val="en-US" w:eastAsia="zh-CN" w:bidi="ar"/>
                    </w:rPr>
                    <w:t>18.4</w:t>
                  </w:r>
                </w:p>
              </w:tc>
              <w:tc>
                <w:tcPr>
                  <w:tcW w:w="565" w:type="pct"/>
                  <w:vMerge w:val="restart"/>
                  <w:shd w:val="clear" w:color="auto" w:fill="auto"/>
                  <w:vAlign w:val="center"/>
                </w:tcPr>
                <w:p w14:paraId="5D9830BB">
                  <w:pPr>
                    <w:pStyle w:val="30"/>
                    <w:adjustRightInd w:val="0"/>
                    <w:snapToGrid w:val="0"/>
                    <w:spacing w:before="0" w:beforeAutospacing="0" w:after="0" w:afterAutospacing="0" w:line="240" w:lineRule="auto"/>
                    <w:ind w:firstLine="0" w:firstLineChars="0"/>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3个月</w:t>
                  </w:r>
                </w:p>
              </w:tc>
            </w:tr>
            <w:tr w14:paraId="76F229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321" w:type="pct"/>
                  <w:vMerge w:val="continue"/>
                  <w:vAlign w:val="center"/>
                </w:tcPr>
                <w:p w14:paraId="0ACA777F">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pPr>
                </w:p>
              </w:tc>
              <w:tc>
                <w:tcPr>
                  <w:tcW w:w="804" w:type="pct"/>
                  <w:vMerge w:val="continue"/>
                  <w:shd w:val="clear" w:color="auto" w:fill="auto"/>
                  <w:vAlign w:val="center"/>
                </w:tcPr>
                <w:p w14:paraId="12B462BE">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pPr>
                </w:p>
              </w:tc>
              <w:tc>
                <w:tcPr>
                  <w:tcW w:w="712" w:type="pct"/>
                  <w:shd w:val="clear" w:color="auto" w:fill="auto"/>
                  <w:vAlign w:val="center"/>
                </w:tcPr>
                <w:p w14:paraId="35984561">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鉴别后根据固废属性，若为一般固废，参照SW59</w:t>
                  </w:r>
                </w:p>
              </w:tc>
              <w:tc>
                <w:tcPr>
                  <w:tcW w:w="792" w:type="pct"/>
                  <w:shd w:val="clear" w:color="auto" w:fill="auto"/>
                  <w:vAlign w:val="center"/>
                </w:tcPr>
                <w:p w14:paraId="7AA0D728">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default"/>
                      <w:bCs/>
                      <w:color w:val="auto"/>
                      <w:sz w:val="21"/>
                      <w:szCs w:val="21"/>
                      <w:lang w:val="en-US" w:eastAsia="zh-CN"/>
                    </w:rPr>
                  </w:pPr>
                  <w:r>
                    <w:rPr>
                      <w:rFonts w:hint="eastAsia"/>
                      <w:bCs/>
                      <w:color w:val="auto"/>
                      <w:sz w:val="21"/>
                      <w:szCs w:val="21"/>
                      <w:lang w:val="en-US" w:eastAsia="zh-CN"/>
                    </w:rPr>
                    <w:t>900-009-S59</w:t>
                  </w:r>
                </w:p>
              </w:tc>
              <w:tc>
                <w:tcPr>
                  <w:tcW w:w="624" w:type="pct"/>
                  <w:vMerge w:val="continue"/>
                  <w:vAlign w:val="center"/>
                </w:tcPr>
                <w:p w14:paraId="4FB74FEC">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c>
                <w:tcPr>
                  <w:tcW w:w="562" w:type="pct"/>
                  <w:vMerge w:val="continue"/>
                  <w:shd w:val="clear" w:color="auto" w:fill="auto"/>
                  <w:vAlign w:val="center"/>
                </w:tcPr>
                <w:p w14:paraId="39D3E376">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c>
                <w:tcPr>
                  <w:tcW w:w="618" w:type="pct"/>
                  <w:vMerge w:val="continue"/>
                  <w:vAlign w:val="center"/>
                </w:tcPr>
                <w:p w14:paraId="7EDE736F">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c>
                <w:tcPr>
                  <w:tcW w:w="565" w:type="pct"/>
                  <w:vMerge w:val="continue"/>
                  <w:shd w:val="clear" w:color="auto" w:fill="auto"/>
                  <w:vAlign w:val="center"/>
                </w:tcPr>
                <w:p w14:paraId="6CDEA9EF">
                  <w:pPr>
                    <w:keepNext w:val="0"/>
                    <w:keepLines w:val="0"/>
                    <w:pageBreakBefore w:val="0"/>
                    <w:widowControl w:val="0"/>
                    <w:kinsoku/>
                    <w:wordWrap/>
                    <w:overflowPunct/>
                    <w:topLinePunct w:val="0"/>
                    <w:autoSpaceDE/>
                    <w:autoSpaceDN/>
                    <w:bidi w:val="0"/>
                    <w:adjustRightInd w:val="0"/>
                    <w:snapToGrid w:val="0"/>
                    <w:spacing w:before="0" w:after="0" w:line="240" w:lineRule="auto"/>
                    <w:ind w:firstLine="0" w:firstLineChars="0"/>
                    <w:jc w:val="center"/>
                    <w:textAlignment w:val="auto"/>
                    <w:rPr>
                      <w:rFonts w:hint="eastAsia"/>
                      <w:bCs/>
                      <w:color w:val="auto"/>
                      <w:sz w:val="21"/>
                      <w:szCs w:val="21"/>
                      <w:lang w:val="en-US" w:eastAsia="zh-CN"/>
                    </w:rPr>
                  </w:pPr>
                </w:p>
              </w:tc>
            </w:tr>
            <w:tr w14:paraId="70EA8C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exact"/>
                <w:jc w:val="center"/>
              </w:trPr>
              <w:tc>
                <w:tcPr>
                  <w:tcW w:w="2630" w:type="pct"/>
                  <w:gridSpan w:val="4"/>
                  <w:vAlign w:val="center"/>
                </w:tcPr>
                <w:p w14:paraId="74F7A538">
                  <w:pPr>
                    <w:pStyle w:val="167"/>
                    <w:spacing w:before="0" w:beforeLines="0" w:after="0" w:afterLines="0" w:line="240"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624" w:type="pct"/>
                  <w:vAlign w:val="center"/>
                </w:tcPr>
                <w:p w14:paraId="63C9CAB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38</w:t>
                  </w:r>
                </w:p>
              </w:tc>
              <w:tc>
                <w:tcPr>
                  <w:tcW w:w="562" w:type="pct"/>
                  <w:vAlign w:val="center"/>
                </w:tcPr>
                <w:p w14:paraId="0E6BD76F">
                  <w:pPr>
                    <w:pStyle w:val="23"/>
                    <w:widowControl/>
                    <w:adjustRightInd w:val="0"/>
                    <w:spacing w:line="240" w:lineRule="auto"/>
                    <w:ind w:firstLine="0" w:firstLineChars="0"/>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245.041</w:t>
                  </w:r>
                </w:p>
              </w:tc>
              <w:tc>
                <w:tcPr>
                  <w:tcW w:w="618" w:type="pct"/>
                  <w:vAlign w:val="center"/>
                </w:tcPr>
                <w:p w14:paraId="77D13157">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none"/>
                      <w:lang w:val="en-US" w:eastAsia="zh-CN" w:bidi="ar"/>
                    </w:rPr>
                  </w:pPr>
                  <w:r>
                    <w:rPr>
                      <w:rFonts w:hint="eastAsia" w:cs="Times New Roman"/>
                      <w:color w:val="auto"/>
                      <w:sz w:val="21"/>
                      <w:szCs w:val="21"/>
                      <w:highlight w:val="none"/>
                      <w:lang w:val="en-US" w:eastAsia="zh-CN" w:bidi="ar"/>
                    </w:rPr>
                    <w:t>34.816</w:t>
                  </w:r>
                </w:p>
              </w:tc>
              <w:tc>
                <w:tcPr>
                  <w:tcW w:w="565" w:type="pct"/>
                  <w:vAlign w:val="center"/>
                </w:tcPr>
                <w:p w14:paraId="7263AEF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bl>
          <w:p w14:paraId="0C3796C8">
            <w:pPr>
              <w:snapToGrid w:val="0"/>
              <w:spacing w:line="360" w:lineRule="auto"/>
              <w:ind w:firstLine="480"/>
              <w:rPr>
                <w:rFonts w:hint="default" w:ascii="Times New Roman" w:hAnsi="Times New Roman" w:eastAsia="宋体" w:cs="Times New Roman"/>
                <w:color w:val="auto"/>
                <w:lang w:bidi="ar"/>
              </w:rPr>
            </w:pPr>
            <w:r>
              <w:rPr>
                <w:rFonts w:hint="default" w:ascii="Times New Roman" w:hAnsi="Times New Roman" w:eastAsia="宋体" w:cs="Times New Roman"/>
                <w:color w:val="auto"/>
                <w:lang w:bidi="ar"/>
              </w:rPr>
              <w:t>结合上表，</w:t>
            </w:r>
            <w:r>
              <w:rPr>
                <w:rFonts w:hint="eastAsia" w:cs="Times New Roman"/>
                <w:color w:val="auto"/>
                <w:lang w:val="en-US" w:eastAsia="zh-CN" w:bidi="ar"/>
              </w:rPr>
              <w:t>4</w:t>
            </w:r>
            <w:r>
              <w:rPr>
                <w:rFonts w:hint="default" w:ascii="Times New Roman" w:hAnsi="Times New Roman" w:eastAsia="宋体" w:cs="Times New Roman"/>
                <w:color w:val="auto"/>
                <w:lang w:bidi="ar"/>
              </w:rPr>
              <w:t>0</w:t>
            </w:r>
            <w:r>
              <w:rPr>
                <w:rFonts w:hint="eastAsia" w:cs="Times New Roman"/>
                <w:color w:val="auto"/>
                <w:lang w:val="en-US" w:eastAsia="zh-CN" w:bidi="ar"/>
              </w:rPr>
              <w:t>m</w:t>
            </w:r>
            <w:r>
              <w:rPr>
                <w:rFonts w:hint="eastAsia" w:cs="Times New Roman"/>
                <w:color w:val="auto"/>
                <w:vertAlign w:val="superscript"/>
                <w:lang w:val="en-US" w:eastAsia="zh-CN" w:bidi="ar"/>
              </w:rPr>
              <w:t>2</w:t>
            </w:r>
            <w:r>
              <w:rPr>
                <w:rFonts w:hint="default" w:ascii="Times New Roman" w:hAnsi="Times New Roman" w:eastAsia="宋体" w:cs="Times New Roman"/>
                <w:color w:val="auto"/>
                <w:lang w:bidi="ar"/>
              </w:rPr>
              <w:t>危废暂</w:t>
            </w:r>
            <w:r>
              <w:rPr>
                <w:rFonts w:hint="eastAsia" w:cs="Times New Roman"/>
                <w:color w:val="auto"/>
                <w:lang w:val="en-US" w:eastAsia="zh-CN" w:bidi="ar"/>
              </w:rPr>
              <w:t>仓</w:t>
            </w:r>
            <w:r>
              <w:rPr>
                <w:rFonts w:hint="default" w:ascii="Times New Roman" w:hAnsi="Times New Roman" w:eastAsia="宋体" w:cs="Times New Roman"/>
                <w:color w:val="auto"/>
                <w:lang w:bidi="ar"/>
              </w:rPr>
              <w:t>库容积充足，</w:t>
            </w:r>
            <w:r>
              <w:rPr>
                <w:rFonts w:hint="eastAsia" w:cs="Times New Roman"/>
                <w:color w:val="auto"/>
                <w:lang w:eastAsia="zh-CN" w:bidi="ar"/>
              </w:rPr>
              <w:t>可以</w:t>
            </w:r>
            <w:r>
              <w:rPr>
                <w:rFonts w:hint="default" w:ascii="Times New Roman" w:hAnsi="Times New Roman" w:eastAsia="宋体" w:cs="Times New Roman"/>
                <w:color w:val="auto"/>
                <w:lang w:bidi="ar"/>
              </w:rPr>
              <w:t>满足全厂危险废物的临时存储。</w:t>
            </w:r>
          </w:p>
          <w:p w14:paraId="064A12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eastAsiaTheme="majorEastAsia"/>
                <w:b/>
                <w:bCs/>
                <w:color w:val="auto"/>
                <w:sz w:val="24"/>
              </w:rPr>
            </w:pPr>
            <w:r>
              <w:rPr>
                <w:rFonts w:hint="eastAsia" w:eastAsiaTheme="majorEastAsia"/>
                <w:b/>
                <w:bCs/>
                <w:color w:val="auto"/>
                <w:sz w:val="24"/>
                <w:lang w:eastAsia="zh-CN"/>
              </w:rPr>
              <w:t>2.</w:t>
            </w:r>
            <w:r>
              <w:rPr>
                <w:rFonts w:hint="default" w:eastAsiaTheme="majorEastAsia"/>
                <w:b/>
                <w:bCs/>
                <w:color w:val="auto"/>
                <w:sz w:val="24"/>
              </w:rPr>
              <w:t>固体废物利用处置措施及管理要求</w:t>
            </w:r>
          </w:p>
          <w:p w14:paraId="34C8F52B">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default"/>
                <w:color w:val="auto"/>
                <w:sz w:val="24"/>
              </w:rPr>
              <w:t>本项目固废</w:t>
            </w:r>
            <w:r>
              <w:rPr>
                <w:rFonts w:hint="eastAsia"/>
                <w:color w:val="auto"/>
                <w:sz w:val="24"/>
                <w:lang w:val="en-US" w:eastAsia="zh-CN"/>
              </w:rPr>
              <w:t>及产生量</w:t>
            </w:r>
            <w:r>
              <w:rPr>
                <w:rFonts w:hint="default"/>
                <w:color w:val="auto"/>
                <w:sz w:val="24"/>
              </w:rPr>
              <w:t>主要为生活垃圾</w:t>
            </w:r>
            <w:r>
              <w:rPr>
                <w:rFonts w:hint="eastAsia"/>
                <w:color w:val="auto"/>
                <w:sz w:val="24"/>
                <w:lang w:val="en-US" w:eastAsia="zh-CN"/>
              </w:rPr>
              <w:t>约7.5t/a</w:t>
            </w:r>
            <w:r>
              <w:rPr>
                <w:rFonts w:hint="default"/>
                <w:color w:val="auto"/>
                <w:sz w:val="24"/>
              </w:rPr>
              <w:t>、</w:t>
            </w:r>
            <w:r>
              <w:rPr>
                <w:rFonts w:hint="eastAsia"/>
                <w:color w:val="auto"/>
                <w:sz w:val="24"/>
                <w:lang w:val="en-US" w:eastAsia="zh-CN"/>
              </w:rPr>
              <w:t>一般固废废丝、废布约6t/a</w:t>
            </w:r>
            <w:r>
              <w:rPr>
                <w:rFonts w:hint="default"/>
                <w:color w:val="auto"/>
                <w:sz w:val="24"/>
              </w:rPr>
              <w:t>、</w:t>
            </w:r>
            <w:r>
              <w:rPr>
                <w:rFonts w:hint="eastAsia"/>
                <w:color w:val="auto"/>
                <w:sz w:val="24"/>
                <w:lang w:val="en-US" w:eastAsia="zh-CN"/>
              </w:rPr>
              <w:t>危险废物废油桶、废机油、油烟净化器废油、污（油）泥、生化污泥、废过滤介质</w:t>
            </w:r>
            <w:r>
              <w:rPr>
                <w:rFonts w:hint="default"/>
                <w:color w:val="auto"/>
                <w:sz w:val="24"/>
              </w:rPr>
              <w:t>等</w:t>
            </w:r>
            <w:r>
              <w:rPr>
                <w:rFonts w:hint="eastAsia"/>
                <w:color w:val="auto"/>
                <w:sz w:val="24"/>
                <w:lang w:val="en-US" w:eastAsia="zh-CN"/>
              </w:rPr>
              <w:t>约</w:t>
            </w:r>
            <w:r>
              <w:rPr>
                <w:rFonts w:hint="eastAsia"/>
                <w:color w:val="auto"/>
                <w:sz w:val="24"/>
                <w:highlight w:val="none"/>
                <w:lang w:val="en-US" w:eastAsia="zh-CN"/>
              </w:rPr>
              <w:t>245.041t/a</w:t>
            </w:r>
            <w:r>
              <w:rPr>
                <w:rFonts w:hint="default"/>
                <w:color w:val="auto"/>
                <w:sz w:val="24"/>
              </w:rPr>
              <w:t>。项目固废均得到合理妥善处置，不会对环境造成二次污染，处理措施如下：</w:t>
            </w:r>
          </w:p>
          <w:p w14:paraId="4E596E51">
            <w:pPr>
              <w:keepNext w:val="0"/>
              <w:keepLines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auto"/>
                <w:sz w:val="24"/>
                <w:lang w:val="en-US" w:eastAsia="zh-CN"/>
              </w:rPr>
            </w:pPr>
            <w:r>
              <w:rPr>
                <w:rFonts w:hint="eastAsia" w:ascii="宋体" w:hAnsi="宋体" w:cs="宋体"/>
                <w:b/>
                <w:bCs/>
                <w:color w:val="auto"/>
                <w:sz w:val="24"/>
              </w:rPr>
              <w:t>（1）危险废物管理要求</w:t>
            </w:r>
          </w:p>
          <w:p w14:paraId="1348EF00">
            <w:pPr>
              <w:keepNext w:val="0"/>
              <w:keepLines w:val="0"/>
              <w:suppressLineNumbers w:val="0"/>
              <w:spacing w:before="0" w:beforeAutospacing="0" w:after="0" w:afterAutospacing="0" w:line="360" w:lineRule="auto"/>
              <w:ind w:left="0" w:right="0" w:firstLine="482" w:firstLineChars="200"/>
              <w:rPr>
                <w:rFonts w:hint="default"/>
                <w:color w:val="auto"/>
                <w:sz w:val="24"/>
              </w:rPr>
            </w:pPr>
            <w:r>
              <w:rPr>
                <w:rFonts w:hint="default"/>
                <w:b/>
                <w:bCs/>
                <w:color w:val="auto"/>
                <w:sz w:val="24"/>
              </w:rPr>
              <w:t>①收集过程要求</w:t>
            </w:r>
          </w:p>
          <w:p w14:paraId="26911782">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default"/>
                <w:color w:val="auto"/>
                <w:sz w:val="24"/>
              </w:rPr>
              <w:t>固体废物应分类分质收集。危险废物在收集时，应清楚废物的类别及主要成分，以方便委托处理单位处理。根据危险废物的性质和形态，可采用不同大小和不同材质的容器进行包装，所有包装容器应足够安全，并经过周密检查，严防在装载、搬移或运输途中出现渗漏、溢出、抛洒或挥发等情况。最后按照对危险废物交换和转移管理工作的有关要求，对危险废物进行安全包装，并在包装的明显位置附上危险废物标签。</w:t>
            </w:r>
          </w:p>
          <w:p w14:paraId="731F7742">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②危险废物贮存场所（设施）要求</w:t>
            </w:r>
          </w:p>
          <w:p w14:paraId="33EB923D">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default"/>
                <w:color w:val="auto"/>
                <w:sz w:val="24"/>
              </w:rPr>
              <w:t>本次环评要求企业按照《危险废物贮存污染控制标准》（GB18597-2023）等文件要求开展危险废物暂存库的建设，并重点做到以下几点：</w:t>
            </w:r>
          </w:p>
          <w:p w14:paraId="43369EF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I</w:t>
            </w:r>
            <w:r>
              <w:rPr>
                <w:rFonts w:hint="eastAsia" w:cs="Times New Roman"/>
                <w:color w:val="auto"/>
                <w:sz w:val="24"/>
                <w:lang w:eastAsia="zh-CN"/>
              </w:rPr>
              <w:t>.</w:t>
            </w:r>
            <w:r>
              <w:rPr>
                <w:rFonts w:hint="default" w:ascii="Times New Roman" w:hAnsi="Times New Roman" w:cs="Times New Roman"/>
                <w:color w:val="auto"/>
                <w:sz w:val="24"/>
              </w:rPr>
              <w:t>贮存设施应根据危险废物的形态、物理化学性质、包装形式和污染物迁移途径，采取必要的防风、防晒、防雨、防漏、防渗、防腐以及其他环境污染防治措施，不应露天堆放危险废物。</w:t>
            </w:r>
          </w:p>
          <w:p w14:paraId="10162F5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eastAsia="zh-CN"/>
              </w:rPr>
              <w:t>Ⅱ</w:t>
            </w:r>
            <w:r>
              <w:rPr>
                <w:rFonts w:hint="default" w:ascii="Times New Roman" w:hAnsi="Times New Roman" w:cs="Times New Roman"/>
                <w:color w:val="auto"/>
                <w:sz w:val="24"/>
              </w:rPr>
              <w:t>、贮存设施应根据危险废物的类别、数量、形态、物理化学性质和污染防治等要求设置必要的贮存分区，避免不相容的危险废物接触、混合。</w:t>
            </w:r>
          </w:p>
          <w:p w14:paraId="724E030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eastAsia="zh-CN"/>
              </w:rPr>
              <w:t>Ⅲ</w:t>
            </w:r>
            <w:r>
              <w:rPr>
                <w:rFonts w:hint="default" w:ascii="Times New Roman" w:hAnsi="Times New Roman" w:cs="Times New Roman"/>
                <w:color w:val="auto"/>
                <w:sz w:val="24"/>
              </w:rPr>
              <w:t>、贮存设施或贮存分区内地面、墙面</w:t>
            </w:r>
            <w:r>
              <w:rPr>
                <w:rFonts w:hint="eastAsia" w:cs="Times New Roman"/>
                <w:color w:val="auto"/>
                <w:sz w:val="24"/>
                <w:lang w:eastAsia="zh-CN"/>
              </w:rPr>
              <w:t>裙角</w:t>
            </w:r>
            <w:r>
              <w:rPr>
                <w:rFonts w:hint="default" w:ascii="Times New Roman" w:hAnsi="Times New Roman" w:cs="Times New Roman"/>
                <w:color w:val="auto"/>
                <w:sz w:val="24"/>
              </w:rPr>
              <w:t>、堵截泄漏的围堰、接触危险废物的隔板和墙体等应采用坚固的材料建造，表面无裂缝。</w:t>
            </w:r>
          </w:p>
          <w:p w14:paraId="323C2D4A">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default" w:ascii="Times New Roman" w:hAnsi="Times New Roman" w:cs="Times New Roman"/>
                <w:color w:val="auto"/>
                <w:sz w:val="24"/>
                <w:lang w:eastAsia="zh-CN"/>
              </w:rPr>
              <w:t>Ⅳ</w:t>
            </w:r>
            <w:r>
              <w:rPr>
                <w:rFonts w:hint="default" w:ascii="Times New Roman" w:hAnsi="Times New Roman" w:cs="Times New Roman"/>
                <w:color w:val="auto"/>
                <w:sz w:val="24"/>
              </w:rPr>
              <w:t>、</w:t>
            </w:r>
            <w:r>
              <w:rPr>
                <w:rFonts w:hint="default"/>
                <w:color w:val="auto"/>
                <w:sz w:val="24"/>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eastAsia"/>
                <w:color w:val="auto"/>
                <w:sz w:val="24"/>
                <w:lang w:eastAsia="zh-CN"/>
              </w:rPr>
              <w:t>～</w:t>
            </w:r>
            <w:r>
              <w:rPr>
                <w:rFonts w:hint="default"/>
                <w:color w:val="auto"/>
                <w:sz w:val="24"/>
                <w:vertAlign w:val="superscript"/>
              </w:rPr>
              <w:t>10</w:t>
            </w:r>
            <w:r>
              <w:rPr>
                <w:rFonts w:hint="default"/>
                <w:color w:val="auto"/>
                <w:sz w:val="24"/>
              </w:rPr>
              <w:t>cm/s），或至少2mm厚高密度聚乙烯膜等人工防渗材料（渗透系数不大于10</w:t>
            </w:r>
            <w:r>
              <w:rPr>
                <w:rFonts w:hint="eastAsia"/>
                <w:color w:val="auto"/>
                <w:sz w:val="24"/>
                <w:lang w:eastAsia="zh-CN"/>
              </w:rPr>
              <w:t>～</w:t>
            </w:r>
            <w:r>
              <w:rPr>
                <w:rFonts w:hint="default"/>
                <w:color w:val="auto"/>
                <w:sz w:val="24"/>
                <w:vertAlign w:val="superscript"/>
              </w:rPr>
              <w:t>10</w:t>
            </w:r>
            <w:r>
              <w:rPr>
                <w:rFonts w:hint="default"/>
                <w:color w:val="auto"/>
                <w:sz w:val="24"/>
              </w:rPr>
              <w:t>cm/s），或其他防渗性能等效的材料。</w:t>
            </w:r>
          </w:p>
          <w:p w14:paraId="2D24ABA6">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default"/>
                <w:color w:val="auto"/>
                <w:sz w:val="24"/>
              </w:rPr>
              <w:t>V</w:t>
            </w:r>
            <w:r>
              <w:rPr>
                <w:rFonts w:hint="eastAsia"/>
                <w:color w:val="auto"/>
                <w:sz w:val="24"/>
                <w:lang w:eastAsia="zh-CN"/>
              </w:rPr>
              <w:t>.</w:t>
            </w:r>
            <w:r>
              <w:rPr>
                <w:rFonts w:hint="default"/>
                <w:color w:val="auto"/>
                <w:sz w:val="24"/>
              </w:rPr>
              <w:t>同一贮存设施宜采用相同的防渗、防腐工艺（包括防渗、防腐结构或材料），防渗、防腐材料应覆盖所有可能与废物及其渗滤液、渗漏液等接触的构筑物表面；采用不同防渗、防腐工艺应分别建设贮存分区。</w:t>
            </w:r>
          </w:p>
          <w:p w14:paraId="606BABAC">
            <w:pPr>
              <w:keepNext w:val="0"/>
              <w:keepLines w:val="0"/>
              <w:suppressLineNumbers w:val="0"/>
              <w:spacing w:before="0" w:beforeAutospacing="0" w:after="0" w:afterAutospacing="0" w:line="360" w:lineRule="auto"/>
              <w:ind w:left="0" w:right="0" w:firstLine="480" w:firstLineChars="200"/>
              <w:rPr>
                <w:rFonts w:hint="default" w:eastAsia="宋体"/>
                <w:color w:val="auto"/>
                <w:sz w:val="24"/>
                <w:lang w:val="en-US" w:eastAsia="zh-CN"/>
              </w:rPr>
            </w:pPr>
            <w:r>
              <w:rPr>
                <w:rFonts w:hint="default"/>
                <w:color w:val="auto"/>
                <w:sz w:val="24"/>
              </w:rPr>
              <w:t>VI、贮存库内不同贮存分区之间应采取隔离措施。隔离措施可根据危险废物特性采用过道、隔板或隔墙等方式；在贮存库内或通过贮存分区方式贮存液态危险废物的，应具有液体泄漏堵截设施，堵截设施最小容积不应低于对应贮存区域最大液态废物容器容积或液态废物总储量1/5（二者取较大者）；用于贮存可能产生渗滤液的危险废物的贮存库或贮存分区应设计渗滤液收集设施，收集设施容积应满足渗滤液的收集要求。</w:t>
            </w:r>
            <w:r>
              <w:rPr>
                <w:rFonts w:hint="eastAsia"/>
                <w:color w:val="auto"/>
                <w:sz w:val="24"/>
                <w:lang w:val="en-US" w:eastAsia="zh-CN"/>
              </w:rPr>
              <w:t>在危废库内设置导流沟和集液槽，当有液体泄漏时，通过导流沟进入集液槽内暂存，后委托有资质单位处置。</w:t>
            </w:r>
          </w:p>
          <w:p w14:paraId="4505CC56">
            <w:pPr>
              <w:keepNext w:val="0"/>
              <w:keepLines w:val="0"/>
              <w:suppressLineNumbers w:val="0"/>
              <w:spacing w:before="0" w:beforeAutospacing="0" w:after="0" w:afterAutospacing="0" w:line="360" w:lineRule="auto"/>
              <w:ind w:left="0" w:right="0" w:firstLine="480" w:firstLineChars="200"/>
              <w:rPr>
                <w:rFonts w:hint="default"/>
                <w:color w:val="auto"/>
              </w:rPr>
            </w:pPr>
            <w:r>
              <w:rPr>
                <w:rFonts w:hint="default"/>
                <w:color w:val="auto"/>
                <w:sz w:val="24"/>
              </w:rPr>
              <w:t>本项目拟在</w:t>
            </w:r>
            <w:r>
              <w:rPr>
                <w:rFonts w:hint="eastAsia"/>
                <w:color w:val="auto"/>
                <w:sz w:val="24"/>
                <w:lang w:val="en-US" w:eastAsia="zh-CN"/>
              </w:rPr>
              <w:t>厂房东南</w:t>
            </w:r>
            <w:r>
              <w:rPr>
                <w:rFonts w:hint="default"/>
                <w:color w:val="auto"/>
                <w:sz w:val="24"/>
              </w:rPr>
              <w:t>侧设置1座</w:t>
            </w:r>
            <w:r>
              <w:rPr>
                <w:rFonts w:hint="eastAsia"/>
                <w:color w:val="auto"/>
                <w:sz w:val="24"/>
                <w:lang w:val="en-US" w:eastAsia="zh-CN"/>
              </w:rPr>
              <w:t>4</w:t>
            </w:r>
            <w:r>
              <w:rPr>
                <w:rFonts w:hint="default"/>
                <w:color w:val="auto"/>
                <w:sz w:val="24"/>
              </w:rPr>
              <w:t>0m</w:t>
            </w:r>
            <w:r>
              <w:rPr>
                <w:rFonts w:hint="default"/>
                <w:color w:val="auto"/>
                <w:sz w:val="24"/>
                <w:vertAlign w:val="superscript"/>
              </w:rPr>
              <w:t>2</w:t>
            </w:r>
            <w:r>
              <w:rPr>
                <w:rFonts w:hint="default"/>
                <w:color w:val="auto"/>
                <w:sz w:val="24"/>
              </w:rPr>
              <w:t>危废暂存库，根据危险废物的种类、性质进行分区暂存，将本项目产生的各种危废分开存放。上述危险废物产生量共计</w:t>
            </w:r>
            <w:r>
              <w:rPr>
                <w:rFonts w:hint="eastAsia"/>
                <w:color w:val="auto"/>
                <w:sz w:val="24"/>
                <w:highlight w:val="none"/>
                <w:lang w:val="en-US" w:eastAsia="zh-CN"/>
              </w:rPr>
              <w:t>245.041</w:t>
            </w:r>
            <w:r>
              <w:rPr>
                <w:rFonts w:hint="default"/>
                <w:color w:val="auto"/>
                <w:sz w:val="24"/>
                <w:highlight w:val="none"/>
              </w:rPr>
              <w:t>t/a，按照暂存库废物每</w:t>
            </w:r>
            <w:r>
              <w:rPr>
                <w:rFonts w:hint="eastAsia"/>
                <w:color w:val="auto"/>
                <w:sz w:val="24"/>
                <w:highlight w:val="none"/>
                <w:lang w:eastAsia="zh-CN"/>
              </w:rPr>
              <w:t>季度</w:t>
            </w:r>
            <w:r>
              <w:rPr>
                <w:rFonts w:hint="default"/>
                <w:color w:val="auto"/>
                <w:sz w:val="24"/>
                <w:highlight w:val="none"/>
              </w:rPr>
              <w:t>转移一次，考虑</w:t>
            </w:r>
            <w:r>
              <w:rPr>
                <w:rFonts w:hint="eastAsia"/>
                <w:color w:val="auto"/>
                <w:sz w:val="24"/>
                <w:highlight w:val="none"/>
                <w:lang w:val="en-US" w:eastAsia="zh-CN"/>
              </w:rPr>
              <w:t>废过滤介质</w:t>
            </w:r>
            <w:r>
              <w:rPr>
                <w:rFonts w:hint="default"/>
                <w:color w:val="auto"/>
                <w:sz w:val="24"/>
                <w:highlight w:val="none"/>
              </w:rPr>
              <w:t>一次性更换，厂内实际最高暂存量为</w:t>
            </w:r>
            <w:r>
              <w:rPr>
                <w:rFonts w:hint="eastAsia"/>
                <w:color w:val="auto"/>
                <w:sz w:val="24"/>
                <w:highlight w:val="none"/>
                <w:lang w:val="en-US" w:eastAsia="zh-CN"/>
              </w:rPr>
              <w:t>34.816</w:t>
            </w:r>
            <w:r>
              <w:rPr>
                <w:rFonts w:hint="default"/>
                <w:color w:val="auto"/>
                <w:sz w:val="24"/>
                <w:highlight w:val="none"/>
              </w:rPr>
              <w:t>t/a，</w:t>
            </w:r>
            <w:r>
              <w:rPr>
                <w:rFonts w:hint="default"/>
                <w:color w:val="auto"/>
                <w:sz w:val="24"/>
              </w:rPr>
              <w:t>本项目设置的</w:t>
            </w:r>
            <w:r>
              <w:rPr>
                <w:rFonts w:hint="eastAsia"/>
                <w:color w:val="auto"/>
                <w:sz w:val="24"/>
                <w:lang w:val="en-US" w:eastAsia="zh-CN"/>
              </w:rPr>
              <w:t>40</w:t>
            </w:r>
            <w:r>
              <w:rPr>
                <w:rFonts w:hint="default"/>
                <w:color w:val="auto"/>
                <w:sz w:val="24"/>
              </w:rPr>
              <w:t>m</w:t>
            </w:r>
            <w:r>
              <w:rPr>
                <w:rFonts w:hint="default"/>
                <w:color w:val="auto"/>
                <w:sz w:val="24"/>
                <w:vertAlign w:val="superscript"/>
              </w:rPr>
              <w:t>2</w:t>
            </w:r>
            <w:r>
              <w:rPr>
                <w:rFonts w:hint="eastAsia"/>
                <w:color w:val="auto"/>
                <w:sz w:val="24"/>
                <w:vertAlign w:val="baseline"/>
                <w:lang w:val="en-US" w:eastAsia="zh-CN"/>
              </w:rPr>
              <w:t>危废</w:t>
            </w:r>
            <w:r>
              <w:rPr>
                <w:rFonts w:hint="default"/>
                <w:color w:val="auto"/>
                <w:sz w:val="24"/>
              </w:rPr>
              <w:t>暂存库，容积能够满足暂存能力。贮存场按照标准的要求，采用地面防渗，暂存库外围设围堰，避免危废临时贮存场因意外情况产生的废液排入地表或厂区雨污水排水系统。</w:t>
            </w:r>
          </w:p>
          <w:p w14:paraId="67E8F393">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bCs/>
                <w:color w:val="auto"/>
                <w:sz w:val="24"/>
              </w:rPr>
            </w:pPr>
            <w:r>
              <w:rPr>
                <w:rFonts w:hint="default"/>
                <w:b/>
                <w:bCs/>
                <w:color w:val="auto"/>
                <w:sz w:val="24"/>
              </w:rPr>
              <w:t>③转移过程要求</w:t>
            </w:r>
          </w:p>
          <w:p w14:paraId="6BAEA0D8">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color w:val="auto"/>
                <w:sz w:val="24"/>
              </w:rPr>
            </w:pPr>
            <w:r>
              <w:rPr>
                <w:rFonts w:hint="default"/>
                <w:color w:val="auto"/>
                <w:sz w:val="24"/>
              </w:rPr>
              <w:t>承担本项目固体废物处置的单位为有资质的危废处置单位。固体废物均由对应的处置单位承担包装及运输工作。固态危废采用金属桶、编织袋包装，统一由危废委托处置单位的专门转运车辆负责运输。危险废物在运输过程前需进行以下检查：</w:t>
            </w:r>
          </w:p>
          <w:p w14:paraId="54FB1EB2">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color w:val="auto"/>
                <w:sz w:val="24"/>
              </w:rPr>
            </w:pPr>
            <w:r>
              <w:rPr>
                <w:rFonts w:hint="default"/>
                <w:color w:val="auto"/>
                <w:sz w:val="24"/>
              </w:rPr>
              <w:t>I</w:t>
            </w:r>
            <w:r>
              <w:rPr>
                <w:rFonts w:hint="eastAsia"/>
                <w:color w:val="auto"/>
                <w:sz w:val="24"/>
                <w:lang w:eastAsia="zh-CN"/>
              </w:rPr>
              <w:t>.</w:t>
            </w:r>
            <w:r>
              <w:rPr>
                <w:rFonts w:hint="default"/>
                <w:color w:val="auto"/>
                <w:sz w:val="24"/>
              </w:rPr>
              <w:t>装车前检查包装状态，避免包装破损造成跑冒滴漏；</w:t>
            </w:r>
          </w:p>
          <w:p w14:paraId="55AD5724">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color w:val="auto"/>
                <w:sz w:val="24"/>
              </w:rPr>
            </w:pPr>
            <w:r>
              <w:rPr>
                <w:rFonts w:hint="default" w:ascii="Times New Roman" w:hAnsi="Times New Roman" w:cs="Times New Roman"/>
                <w:color w:val="auto"/>
                <w:sz w:val="24"/>
                <w:lang w:eastAsia="zh-CN"/>
              </w:rPr>
              <w:t>Ⅱ</w:t>
            </w:r>
            <w:r>
              <w:rPr>
                <w:rFonts w:hint="default" w:ascii="Times New Roman" w:hAnsi="Times New Roman" w:cs="Times New Roman"/>
                <w:color w:val="auto"/>
                <w:sz w:val="24"/>
              </w:rPr>
              <w:t>、</w:t>
            </w:r>
            <w:r>
              <w:rPr>
                <w:rFonts w:hint="default"/>
                <w:color w:val="auto"/>
                <w:sz w:val="24"/>
              </w:rPr>
              <w:t>对车辆实行定期检查，确保转运车辆车厢完好，避免转运途中抛洒、泄漏等。在采取上述措施的情况下，包装、运输过程中不会出现固体废物抛洒、泄漏现象；</w:t>
            </w:r>
          </w:p>
          <w:p w14:paraId="347DB51F">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bCs/>
                <w:color w:val="auto"/>
                <w:sz w:val="24"/>
              </w:rPr>
            </w:pPr>
            <w:r>
              <w:rPr>
                <w:rFonts w:hint="default"/>
                <w:b/>
                <w:bCs/>
                <w:color w:val="auto"/>
                <w:sz w:val="24"/>
              </w:rPr>
              <w:t>④委托利用或者处置要求</w:t>
            </w:r>
          </w:p>
          <w:p w14:paraId="2479BAA0">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color w:val="auto"/>
                <w:sz w:val="24"/>
              </w:rPr>
            </w:pPr>
            <w:r>
              <w:rPr>
                <w:rFonts w:hint="default"/>
                <w:color w:val="auto"/>
                <w:sz w:val="24"/>
              </w:rPr>
              <w:t>本项目</w:t>
            </w:r>
            <w:r>
              <w:rPr>
                <w:rFonts w:hint="eastAsia"/>
                <w:color w:val="auto"/>
                <w:sz w:val="24"/>
                <w:lang w:val="en-US" w:eastAsia="zh-CN"/>
              </w:rPr>
              <w:t>废油桶、废机油、油烟净化器废油、污（油）泥</w:t>
            </w:r>
            <w:r>
              <w:rPr>
                <w:rFonts w:hint="default"/>
                <w:color w:val="auto"/>
                <w:sz w:val="24"/>
              </w:rPr>
              <w:t>（HW08）、</w:t>
            </w:r>
            <w:r>
              <w:rPr>
                <w:rFonts w:hint="eastAsia"/>
                <w:color w:val="auto"/>
                <w:sz w:val="24"/>
                <w:lang w:val="en-US" w:eastAsia="zh-CN"/>
              </w:rPr>
              <w:t>生化污泥</w:t>
            </w:r>
            <w:r>
              <w:rPr>
                <w:rFonts w:hint="default"/>
                <w:color w:val="auto"/>
                <w:sz w:val="24"/>
              </w:rPr>
              <w:t>、</w:t>
            </w:r>
            <w:r>
              <w:rPr>
                <w:rFonts w:hint="eastAsia"/>
                <w:color w:val="auto"/>
                <w:sz w:val="24"/>
                <w:lang w:val="en-US" w:eastAsia="zh-CN"/>
              </w:rPr>
              <w:t>废过滤介质</w:t>
            </w:r>
            <w:r>
              <w:rPr>
                <w:rFonts w:hint="default"/>
                <w:color w:val="auto"/>
                <w:sz w:val="24"/>
              </w:rPr>
              <w:t>（</w:t>
            </w:r>
            <w:r>
              <w:rPr>
                <w:rFonts w:hint="eastAsia"/>
                <w:color w:val="auto"/>
                <w:sz w:val="24"/>
                <w:highlight w:val="none"/>
                <w:lang w:val="en-US" w:eastAsia="zh-CN"/>
              </w:rPr>
              <w:t>待鉴别，鉴别前参照危废代码为</w:t>
            </w:r>
            <w:r>
              <w:rPr>
                <w:rFonts w:hint="default"/>
                <w:color w:val="auto"/>
                <w:sz w:val="24"/>
                <w:highlight w:val="none"/>
              </w:rPr>
              <w:t>HW49</w:t>
            </w:r>
            <w:r>
              <w:rPr>
                <w:rFonts w:hint="eastAsia"/>
                <w:color w:val="auto"/>
                <w:sz w:val="24"/>
                <w:highlight w:val="none"/>
                <w:lang w:val="en-US" w:eastAsia="zh-CN"/>
              </w:rPr>
              <w:t>进行管理</w:t>
            </w:r>
            <w:r>
              <w:rPr>
                <w:rFonts w:hint="default"/>
                <w:color w:val="auto"/>
                <w:sz w:val="24"/>
                <w:highlight w:val="none"/>
              </w:rPr>
              <w:t>）</w:t>
            </w:r>
            <w:r>
              <w:rPr>
                <w:rFonts w:hint="default"/>
                <w:color w:val="auto"/>
                <w:sz w:val="24"/>
              </w:rPr>
              <w:t>为常规危险废物，企业可根据废物代码与具有相应处置危险废物利用或者处置能力的企业签订协议，定期转移。</w:t>
            </w:r>
          </w:p>
          <w:p w14:paraId="08025FFE">
            <w:pPr>
              <w:keepNext w:val="0"/>
              <w:keepLines w:val="0"/>
              <w:suppressLineNumbers w:val="0"/>
              <w:adjustRightInd w:val="0"/>
              <w:snapToGrid w:val="0"/>
              <w:spacing w:before="0" w:beforeAutospacing="0" w:after="0" w:afterAutospacing="0" w:line="360" w:lineRule="auto"/>
              <w:ind w:left="0" w:right="0" w:firstLine="482" w:firstLineChars="200"/>
              <w:rPr>
                <w:rFonts w:hint="default"/>
                <w:b/>
                <w:bCs/>
                <w:color w:val="auto"/>
                <w:sz w:val="24"/>
              </w:rPr>
            </w:pPr>
            <w:r>
              <w:rPr>
                <w:rFonts w:hint="default"/>
                <w:b/>
                <w:bCs/>
                <w:color w:val="auto"/>
                <w:sz w:val="24"/>
              </w:rPr>
              <w:t>⑤委托处置的环境影响分析</w:t>
            </w:r>
          </w:p>
          <w:p w14:paraId="4BA2696D">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建设项目运营过程产生的危废需委托处置为HW08（废油桶、废机油、油烟净化器废油、污（油）泥）、HW49（</w:t>
            </w:r>
            <w:r>
              <w:rPr>
                <w:rFonts w:hint="default"/>
                <w:color w:val="auto"/>
                <w:sz w:val="24"/>
                <w:highlight w:val="none"/>
              </w:rPr>
              <w:t>生化污泥</w:t>
            </w:r>
            <w:r>
              <w:rPr>
                <w:rFonts w:hint="eastAsia"/>
                <w:color w:val="auto"/>
                <w:sz w:val="24"/>
                <w:highlight w:val="none"/>
                <w:lang w:val="en-US" w:eastAsia="zh-CN"/>
              </w:rPr>
              <w:t>和</w:t>
            </w:r>
            <w:r>
              <w:rPr>
                <w:rFonts w:hint="default"/>
                <w:color w:val="auto"/>
                <w:sz w:val="24"/>
                <w:highlight w:val="none"/>
              </w:rPr>
              <w:t>废过滤介质</w:t>
            </w:r>
            <w:r>
              <w:rPr>
                <w:rFonts w:hint="eastAsia"/>
                <w:color w:val="auto"/>
                <w:sz w:val="24"/>
                <w:highlight w:val="none"/>
                <w:lang w:val="en-US" w:eastAsia="zh-CN"/>
              </w:rPr>
              <w:t>待鉴别，鉴别前参照危废代码为</w:t>
            </w:r>
            <w:r>
              <w:rPr>
                <w:rFonts w:hint="default"/>
                <w:color w:val="auto"/>
                <w:sz w:val="24"/>
                <w:highlight w:val="none"/>
              </w:rPr>
              <w:t>HW49</w:t>
            </w:r>
            <w:r>
              <w:rPr>
                <w:rFonts w:hint="eastAsia"/>
                <w:color w:val="auto"/>
                <w:sz w:val="24"/>
                <w:highlight w:val="none"/>
                <w:lang w:val="en-US" w:eastAsia="zh-CN"/>
              </w:rPr>
              <w:t>进行管理</w:t>
            </w:r>
            <w:r>
              <w:rPr>
                <w:rFonts w:hint="default"/>
                <w:color w:val="auto"/>
                <w:sz w:val="24"/>
                <w:highlight w:val="none"/>
              </w:rPr>
              <w:t>），应与有相关资</w:t>
            </w:r>
            <w:r>
              <w:rPr>
                <w:rFonts w:hint="default"/>
                <w:color w:val="auto"/>
                <w:sz w:val="24"/>
              </w:rPr>
              <w:t>质的危废处置单位签订合同，委托处置。企业承诺待项目建成后，严格按照《危险废物贮存污染控制标准》（GB18597-2023）要求设置暂存场所，将上述危险固废在厂区危险废物贮存场所内暂存，建立健全危险废物贮存、利用、处置台账，并如实记录危险废物贮存、利用、处置情况，及时与有资质的处置单位签订危废处置合同。</w:t>
            </w:r>
          </w:p>
          <w:p w14:paraId="001F9050">
            <w:pPr>
              <w:keepNext w:val="0"/>
              <w:keepLines w:val="0"/>
              <w:suppressLineNumbers w:val="0"/>
              <w:adjustRightInd w:val="0"/>
              <w:snapToGrid w:val="0"/>
              <w:spacing w:before="0" w:beforeAutospacing="0" w:after="0" w:afterAutospacing="0" w:line="360" w:lineRule="auto"/>
              <w:ind w:left="0" w:right="0" w:firstLine="482" w:firstLineChars="200"/>
              <w:rPr>
                <w:rFonts w:hint="default"/>
                <w:b/>
                <w:bCs/>
                <w:color w:val="auto"/>
                <w:sz w:val="24"/>
              </w:rPr>
            </w:pPr>
            <w:r>
              <w:rPr>
                <w:rFonts w:hint="default"/>
                <w:b/>
                <w:bCs/>
                <w:color w:val="auto"/>
                <w:sz w:val="24"/>
              </w:rPr>
              <w:t>（2）一般工业固废管理要求</w:t>
            </w:r>
          </w:p>
          <w:p w14:paraId="762EEB8F">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本项目设1个一般工业固废暂存点，位于</w:t>
            </w:r>
            <w:r>
              <w:rPr>
                <w:rFonts w:hint="eastAsia"/>
                <w:color w:val="auto"/>
                <w:sz w:val="24"/>
                <w:lang w:eastAsia="zh-CN"/>
              </w:rPr>
              <w:t>厂房</w:t>
            </w:r>
            <w:r>
              <w:rPr>
                <w:rFonts w:hint="eastAsia"/>
                <w:color w:val="auto"/>
                <w:sz w:val="24"/>
                <w:lang w:val="en-US" w:eastAsia="zh-CN"/>
              </w:rPr>
              <w:t>东南侧</w:t>
            </w:r>
            <w:r>
              <w:rPr>
                <w:rFonts w:hint="default"/>
                <w:color w:val="auto"/>
                <w:sz w:val="24"/>
              </w:rPr>
              <w:t>，面积</w:t>
            </w:r>
            <w:r>
              <w:rPr>
                <w:rFonts w:hint="eastAsia"/>
                <w:color w:val="auto"/>
                <w:sz w:val="24"/>
                <w:lang w:val="en-US" w:eastAsia="zh-CN"/>
              </w:rPr>
              <w:t>5</w:t>
            </w:r>
            <w:r>
              <w:rPr>
                <w:rFonts w:hint="default"/>
                <w:color w:val="auto"/>
                <w:sz w:val="24"/>
              </w:rPr>
              <w:t>0m</w:t>
            </w:r>
            <w:r>
              <w:rPr>
                <w:rFonts w:hint="default"/>
                <w:color w:val="auto"/>
                <w:sz w:val="24"/>
                <w:vertAlign w:val="superscript"/>
              </w:rPr>
              <w:t>2</w:t>
            </w:r>
            <w:r>
              <w:rPr>
                <w:rFonts w:hint="default"/>
                <w:color w:val="auto"/>
                <w:sz w:val="24"/>
              </w:rPr>
              <w:t>。</w:t>
            </w:r>
          </w:p>
          <w:p w14:paraId="72070A7A">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①固体废物及时清运。在固体废物未运走前，先在厂区分类暂存，各类固废分类贮存相应的容器中。</w:t>
            </w:r>
          </w:p>
          <w:p w14:paraId="56BBB94E">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②对固体废弃物实行从产生、收集、运输、贮存、再循环、再利用、加工处理直至最终处置实行全过程管理，加强固体废弃物运输过程中的事故风险防范，按照有关法律法规的要求，对固体废弃物全过程管理应报当地环保行政主管部门等批准。</w:t>
            </w:r>
          </w:p>
          <w:p w14:paraId="5855B2D1">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③废物储存点应在废物清运后清扫消毒处理。同时做好及时进行清运处置工作。</w:t>
            </w:r>
          </w:p>
          <w:p w14:paraId="191E459D">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从项目采用的固废利用及处置方式来分析，对产生的各类固废按其性质分类分区收集和暂存，并均能得到有效利用或妥善处置。在严格管理下，本项目的固体废物对周围环境不会产生二次污染。</w:t>
            </w:r>
          </w:p>
          <w:p w14:paraId="1E015F47">
            <w:pPr>
              <w:numPr>
                <w:ilvl w:val="0"/>
                <w:numId w:val="6"/>
              </w:numPr>
              <w:adjustRightInd w:val="0"/>
              <w:snapToGrid w:val="0"/>
              <w:spacing w:line="360" w:lineRule="auto"/>
              <w:ind w:firstLine="482"/>
              <w:rPr>
                <w:b/>
                <w:color w:val="auto"/>
              </w:rPr>
            </w:pPr>
            <w:r>
              <w:rPr>
                <w:rFonts w:hint="eastAsia"/>
                <w:b/>
                <w:color w:val="auto"/>
              </w:rPr>
              <w:t>地下水</w:t>
            </w:r>
            <w:r>
              <w:rPr>
                <w:b/>
                <w:color w:val="auto"/>
              </w:rPr>
              <w:t>、土壤</w:t>
            </w:r>
          </w:p>
          <w:p w14:paraId="4D3914E6">
            <w:pPr>
              <w:adjustRightInd w:val="0"/>
              <w:snapToGrid w:val="0"/>
              <w:spacing w:line="360" w:lineRule="auto"/>
              <w:ind w:firstLine="482"/>
              <w:rPr>
                <w:rFonts w:hint="eastAsia"/>
                <w:b w:val="0"/>
                <w:bCs/>
                <w:color w:val="auto"/>
              </w:rPr>
            </w:pPr>
            <w:r>
              <w:rPr>
                <w:rFonts w:hint="eastAsia"/>
                <w:b w:val="0"/>
                <w:bCs/>
                <w:color w:val="auto"/>
              </w:rPr>
              <w:t>本项目行业类别为C1751化纤织造加工，根据</w:t>
            </w:r>
            <w:r>
              <w:rPr>
                <w:rFonts w:hint="eastAsia"/>
                <w:b w:val="0"/>
                <w:bCs/>
                <w:color w:val="auto"/>
                <w:lang w:eastAsia="zh-CN"/>
              </w:rPr>
              <w:t>《环境影响评价技术导则 地下水环境》（HJ610-2016）</w:t>
            </w:r>
            <w:r>
              <w:rPr>
                <w:rFonts w:hint="eastAsia"/>
                <w:b w:val="0"/>
                <w:bCs/>
                <w:color w:val="auto"/>
              </w:rPr>
              <w:t>附录A，本项目地下水影响评价项目类别为“120、纺织品制造”中的报告表项目</w:t>
            </w:r>
            <w:r>
              <w:rPr>
                <w:rFonts w:hint="eastAsia"/>
                <w:b w:val="0"/>
                <w:bCs/>
                <w:color w:val="auto"/>
                <w:highlight w:val="none"/>
                <w:lang w:eastAsia="zh-CN"/>
              </w:rPr>
              <w:t>；</w:t>
            </w:r>
            <w:r>
              <w:rPr>
                <w:rFonts w:hint="eastAsia"/>
                <w:b w:val="0"/>
                <w:bCs/>
                <w:color w:val="auto"/>
              </w:rPr>
              <w:t>根据《环境影响评价技术导则</w:t>
            </w:r>
            <w:r>
              <w:rPr>
                <w:rFonts w:hint="eastAsia"/>
                <w:b w:val="0"/>
                <w:bCs/>
                <w:color w:val="auto"/>
                <w:lang w:val="en-US" w:eastAsia="zh-CN"/>
              </w:rPr>
              <w:t xml:space="preserve"> </w:t>
            </w:r>
            <w:r>
              <w:rPr>
                <w:rFonts w:hint="eastAsia"/>
                <w:b w:val="0"/>
                <w:bCs/>
                <w:color w:val="auto"/>
              </w:rPr>
              <w:t>土壤环境（试行）》（HJ964-2018）附录A</w:t>
            </w:r>
            <w:r>
              <w:rPr>
                <w:rFonts w:hint="eastAsia"/>
                <w:b w:val="0"/>
                <w:bCs/>
                <w:color w:val="auto"/>
                <w:lang w:eastAsia="zh-CN"/>
              </w:rPr>
              <w:t>，</w:t>
            </w:r>
            <w:r>
              <w:rPr>
                <w:rFonts w:hint="eastAsia"/>
                <w:b w:val="0"/>
                <w:bCs/>
                <w:color w:val="auto"/>
                <w:lang w:val="en-US" w:eastAsia="zh-CN"/>
              </w:rPr>
              <w:t>本项目土壤环境影响评价项目类别为</w:t>
            </w:r>
            <w:r>
              <w:rPr>
                <w:rFonts w:hint="eastAsia"/>
                <w:b w:val="0"/>
                <w:bCs/>
                <w:color w:val="auto"/>
                <w:lang w:eastAsia="zh-CN"/>
              </w:rPr>
              <w:t>“</w:t>
            </w:r>
            <w:r>
              <w:rPr>
                <w:rFonts w:hint="eastAsia"/>
                <w:b w:val="0"/>
                <w:bCs/>
                <w:color w:val="auto"/>
              </w:rPr>
              <w:t>纺织、化纤、皮革等及服装、鞋制造”</w:t>
            </w:r>
            <w:r>
              <w:rPr>
                <w:rFonts w:hint="eastAsia"/>
                <w:b w:val="0"/>
                <w:bCs/>
                <w:color w:val="auto"/>
                <w:lang w:val="en-US" w:eastAsia="zh-CN"/>
              </w:rPr>
              <w:t>中的Ⅲ类</w:t>
            </w:r>
            <w:r>
              <w:rPr>
                <w:rFonts w:hint="eastAsia"/>
                <w:b w:val="0"/>
                <w:bCs/>
                <w:color w:val="auto"/>
                <w:lang w:eastAsia="zh-CN"/>
              </w:rPr>
              <w:t>。</w:t>
            </w:r>
            <w:r>
              <w:rPr>
                <w:rFonts w:hint="eastAsia"/>
                <w:b w:val="0"/>
                <w:bCs/>
                <w:color w:val="auto"/>
              </w:rPr>
              <w:t>因此不进行地下、土壤进行评价，只对污染源及防控措施进行分析。</w:t>
            </w:r>
          </w:p>
          <w:p w14:paraId="453271DD">
            <w:pPr>
              <w:adjustRightInd w:val="0"/>
              <w:snapToGrid w:val="0"/>
              <w:spacing w:line="360" w:lineRule="auto"/>
              <w:ind w:firstLine="482"/>
              <w:rPr>
                <w:color w:val="auto"/>
              </w:rPr>
            </w:pPr>
            <w:r>
              <w:rPr>
                <w:b/>
                <w:color w:val="auto"/>
              </w:rPr>
              <w:t>5.1</w:t>
            </w:r>
            <w:r>
              <w:rPr>
                <w:rFonts w:hint="eastAsia"/>
                <w:b/>
                <w:color w:val="auto"/>
              </w:rPr>
              <w:t>地下水、土壤环境影响分析</w:t>
            </w:r>
          </w:p>
          <w:p w14:paraId="2674E9DB">
            <w:pPr>
              <w:keepNext w:val="0"/>
              <w:keepLines w:val="0"/>
              <w:suppressLineNumbers w:val="0"/>
              <w:adjustRightInd w:val="0"/>
              <w:snapToGrid w:val="0"/>
              <w:spacing w:before="0" w:beforeAutospacing="0" w:after="0" w:afterAutospacing="0" w:line="360" w:lineRule="auto"/>
              <w:ind w:left="0" w:right="0" w:firstLine="482" w:firstLineChars="200"/>
              <w:rPr>
                <w:rFonts w:hint="default"/>
                <w:b/>
                <w:bCs/>
                <w:color w:val="auto"/>
                <w:sz w:val="24"/>
              </w:rPr>
            </w:pPr>
            <w:r>
              <w:rPr>
                <w:rFonts w:hint="eastAsia"/>
                <w:b/>
                <w:bCs/>
                <w:color w:val="auto"/>
                <w:sz w:val="24"/>
                <w:lang w:eastAsia="zh-CN"/>
              </w:rPr>
              <w:t>（</w:t>
            </w:r>
            <w:r>
              <w:rPr>
                <w:rFonts w:hint="eastAsia"/>
                <w:b/>
                <w:bCs/>
                <w:color w:val="auto"/>
                <w:sz w:val="24"/>
                <w:lang w:val="en-US" w:eastAsia="zh-CN"/>
              </w:rPr>
              <w:t>1</w:t>
            </w:r>
            <w:r>
              <w:rPr>
                <w:rFonts w:hint="eastAsia"/>
                <w:b/>
                <w:bCs/>
                <w:color w:val="auto"/>
                <w:sz w:val="24"/>
                <w:lang w:eastAsia="zh-CN"/>
              </w:rPr>
              <w:t>）</w:t>
            </w:r>
            <w:r>
              <w:rPr>
                <w:rFonts w:hint="default"/>
                <w:b/>
                <w:color w:val="auto"/>
                <w:sz w:val="24"/>
              </w:rPr>
              <w:t>地下水、土壤</w:t>
            </w:r>
            <w:r>
              <w:rPr>
                <w:rFonts w:hint="default"/>
                <w:b/>
                <w:bCs/>
                <w:color w:val="auto"/>
                <w:sz w:val="24"/>
              </w:rPr>
              <w:t>污染源分析</w:t>
            </w:r>
          </w:p>
          <w:p w14:paraId="45BCBFDA">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rPr>
            </w:pPr>
            <w:r>
              <w:rPr>
                <w:rFonts w:hint="default"/>
                <w:color w:val="auto"/>
                <w:sz w:val="24"/>
              </w:rPr>
              <w:t>项目运营期主要污染物来源于原料、废水、废气和固体废物等污染物，可能会对地下水、土壤环境产生负面影响。原料主要是液体原料泄漏；废水主要包括生活污水</w:t>
            </w:r>
            <w:r>
              <w:rPr>
                <w:rFonts w:hint="eastAsia"/>
                <w:color w:val="auto"/>
                <w:sz w:val="24"/>
                <w:lang w:eastAsia="zh-CN"/>
              </w:rPr>
              <w:t>、</w:t>
            </w:r>
            <w:r>
              <w:rPr>
                <w:rFonts w:hint="eastAsia"/>
                <w:color w:val="auto"/>
                <w:sz w:val="24"/>
                <w:lang w:val="en-US" w:eastAsia="zh-CN"/>
              </w:rPr>
              <w:t>生产废水</w:t>
            </w:r>
            <w:r>
              <w:rPr>
                <w:rFonts w:hint="default"/>
                <w:color w:val="auto"/>
                <w:sz w:val="24"/>
              </w:rPr>
              <w:t>；废气主要包括无组织废气及经排气筒达标排放的有组织废气；固体废物主要包括生产过程中产生的生活垃圾、一般工业固体废物和危险固废。</w:t>
            </w:r>
          </w:p>
          <w:p w14:paraId="23B66EFF">
            <w:pPr>
              <w:keepNext w:val="0"/>
              <w:keepLines w:val="0"/>
              <w:widowControl/>
              <w:suppressLineNumbers w:val="0"/>
              <w:spacing w:before="0" w:beforeAutospacing="0" w:after="0" w:afterAutospacing="0" w:line="360" w:lineRule="auto"/>
              <w:ind w:left="0" w:right="0" w:firstLine="480" w:firstLineChars="200"/>
              <w:rPr>
                <w:rFonts w:hint="default" w:ascii="宋体" w:hAnsi="宋体" w:cs="宋体"/>
                <w:bCs/>
                <w:color w:val="auto"/>
                <w:sz w:val="24"/>
              </w:rPr>
            </w:pPr>
            <w:r>
              <w:rPr>
                <w:rFonts w:hint="default"/>
                <w:color w:val="auto"/>
                <w:kern w:val="0"/>
                <w:sz w:val="24"/>
                <w:lang w:bidi="ar"/>
              </w:rPr>
              <w:t>根据工程分析，本项目地下水、土壤环境影响源及影响途径见下表</w:t>
            </w:r>
            <w:r>
              <w:rPr>
                <w:rFonts w:hint="eastAsia"/>
                <w:color w:val="auto"/>
                <w:kern w:val="0"/>
                <w:sz w:val="24"/>
                <w:lang w:bidi="ar"/>
              </w:rPr>
              <w:t>。</w:t>
            </w:r>
          </w:p>
          <w:p w14:paraId="37455D2F">
            <w:pPr>
              <w:pStyle w:val="234"/>
              <w:keepNext w:val="0"/>
              <w:keepLines w:val="0"/>
              <w:suppressLineNumbers w:val="0"/>
              <w:spacing w:before="0" w:beforeLines="0" w:beforeAutospacing="0" w:after="0" w:afterLines="0" w:afterAutospacing="0"/>
              <w:ind w:left="0" w:right="0" w:firstLine="0" w:firstLineChars="0"/>
              <w:jc w:val="center"/>
              <w:rPr>
                <w:rFonts w:hint="default"/>
                <w:color w:val="auto"/>
                <w:sz w:val="24"/>
                <w:highlight w:val="none"/>
              </w:rPr>
            </w:pPr>
            <w:r>
              <w:rPr>
                <w:rFonts w:hint="default" w:ascii="Times New Roman" w:hAnsi="Times New Roman" w:eastAsia="宋体" w:cs="Times New Roman"/>
                <w:color w:val="auto"/>
                <w:highlight w:val="none"/>
              </w:rPr>
              <w:t>表4-</w:t>
            </w:r>
            <w:r>
              <w:rPr>
                <w:rFonts w:hint="eastAsia" w:ascii="Times New Roman" w:hAnsi="Times New Roman" w:cs="Times New Roman"/>
                <w:color w:val="auto"/>
                <w:highlight w:val="none"/>
                <w:lang w:val="en-US" w:eastAsia="zh-CN"/>
              </w:rPr>
              <w:t>28</w:t>
            </w:r>
            <w:r>
              <w:rPr>
                <w:rFonts w:hint="default" w:ascii="Times New Roman" w:hAnsi="Times New Roman" w:eastAsia="宋体" w:cs="Times New Roman"/>
                <w:color w:val="auto"/>
                <w:highlight w:val="none"/>
              </w:rPr>
              <w:t>影响地下水的区域及污染源、污染途径</w:t>
            </w:r>
          </w:p>
          <w:tbl>
            <w:tblPr>
              <w:tblStyle w:val="3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470"/>
              <w:gridCol w:w="1470"/>
              <w:gridCol w:w="1470"/>
              <w:gridCol w:w="1471"/>
              <w:gridCol w:w="1471"/>
            </w:tblGrid>
            <w:tr w14:paraId="73FAB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7" w:type="dxa"/>
                  <w:tcBorders>
                    <w:tl2br w:val="nil"/>
                    <w:tr2bl w:val="nil"/>
                  </w:tcBorders>
                  <w:vAlign w:val="center"/>
                </w:tcPr>
                <w:p w14:paraId="74821A78">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b/>
                      <w:bCs/>
                      <w:color w:val="auto"/>
                      <w:sz w:val="21"/>
                      <w:szCs w:val="21"/>
                      <w:lang w:val="en-US" w:eastAsia="zh-CN" w:bidi="ar"/>
                    </w:rPr>
                  </w:pPr>
                  <w:r>
                    <w:rPr>
                      <w:rFonts w:hint="eastAsia"/>
                      <w:b/>
                      <w:bCs/>
                      <w:color w:val="auto"/>
                      <w:sz w:val="21"/>
                      <w:szCs w:val="21"/>
                      <w:lang w:val="en-US" w:eastAsia="zh-CN" w:bidi="ar"/>
                    </w:rPr>
                    <w:t>污染源</w:t>
                  </w:r>
                </w:p>
              </w:tc>
              <w:tc>
                <w:tcPr>
                  <w:tcW w:w="1477" w:type="dxa"/>
                  <w:tcBorders>
                    <w:tl2br w:val="nil"/>
                    <w:tr2bl w:val="nil"/>
                  </w:tcBorders>
                  <w:vAlign w:val="center"/>
                </w:tcPr>
                <w:p w14:paraId="1B133673">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b/>
                      <w:bCs/>
                      <w:color w:val="auto"/>
                      <w:sz w:val="21"/>
                      <w:szCs w:val="21"/>
                      <w:lang w:val="en-US" w:eastAsia="zh-CN" w:bidi="ar"/>
                    </w:rPr>
                  </w:pPr>
                  <w:r>
                    <w:rPr>
                      <w:rFonts w:hint="eastAsia"/>
                      <w:b/>
                      <w:bCs/>
                      <w:color w:val="auto"/>
                      <w:sz w:val="21"/>
                      <w:szCs w:val="21"/>
                      <w:lang w:val="en-US" w:eastAsia="zh-CN" w:bidi="ar"/>
                    </w:rPr>
                    <w:t>污染工序</w:t>
                  </w:r>
                </w:p>
              </w:tc>
              <w:tc>
                <w:tcPr>
                  <w:tcW w:w="1477" w:type="dxa"/>
                  <w:tcBorders>
                    <w:tl2br w:val="nil"/>
                    <w:tr2bl w:val="nil"/>
                  </w:tcBorders>
                  <w:vAlign w:val="center"/>
                </w:tcPr>
                <w:p w14:paraId="004A874B">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default"/>
                      <w:b/>
                      <w:bCs/>
                      <w:color w:val="auto"/>
                      <w:sz w:val="21"/>
                      <w:szCs w:val="21"/>
                      <w:lang w:val="en-US" w:eastAsia="zh-CN" w:bidi="ar"/>
                    </w:rPr>
                  </w:pPr>
                  <w:r>
                    <w:rPr>
                      <w:rFonts w:hint="eastAsia"/>
                      <w:b/>
                      <w:bCs/>
                      <w:color w:val="auto"/>
                      <w:sz w:val="21"/>
                      <w:szCs w:val="21"/>
                      <w:lang w:val="en-US" w:eastAsia="zh-CN" w:bidi="ar"/>
                    </w:rPr>
                    <w:t>污染物类型</w:t>
                  </w:r>
                </w:p>
              </w:tc>
              <w:tc>
                <w:tcPr>
                  <w:tcW w:w="1477" w:type="dxa"/>
                  <w:tcBorders>
                    <w:tl2br w:val="nil"/>
                    <w:tr2bl w:val="nil"/>
                  </w:tcBorders>
                  <w:vAlign w:val="center"/>
                </w:tcPr>
                <w:p w14:paraId="16B4EC71">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default"/>
                      <w:b/>
                      <w:bCs/>
                      <w:color w:val="auto"/>
                      <w:sz w:val="21"/>
                      <w:szCs w:val="21"/>
                      <w:lang w:val="en-US" w:eastAsia="zh-CN" w:bidi="ar"/>
                    </w:rPr>
                  </w:pPr>
                  <w:r>
                    <w:rPr>
                      <w:rFonts w:hint="eastAsia"/>
                      <w:b/>
                      <w:bCs/>
                      <w:color w:val="auto"/>
                      <w:sz w:val="21"/>
                      <w:szCs w:val="21"/>
                      <w:lang w:val="en-US" w:eastAsia="zh-CN" w:bidi="ar"/>
                    </w:rPr>
                    <w:t>污染物名称</w:t>
                  </w:r>
                </w:p>
              </w:tc>
              <w:tc>
                <w:tcPr>
                  <w:tcW w:w="1478" w:type="dxa"/>
                  <w:tcBorders>
                    <w:tl2br w:val="nil"/>
                    <w:tr2bl w:val="nil"/>
                  </w:tcBorders>
                  <w:vAlign w:val="center"/>
                </w:tcPr>
                <w:p w14:paraId="6FC36C43">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b/>
                      <w:bCs/>
                      <w:color w:val="auto"/>
                      <w:sz w:val="21"/>
                      <w:szCs w:val="21"/>
                      <w:lang w:val="en-US" w:eastAsia="zh-CN" w:bidi="ar"/>
                    </w:rPr>
                  </w:pPr>
                  <w:r>
                    <w:rPr>
                      <w:rFonts w:hint="eastAsia"/>
                      <w:b/>
                      <w:bCs/>
                      <w:color w:val="auto"/>
                      <w:sz w:val="21"/>
                      <w:szCs w:val="21"/>
                      <w:lang w:val="en-US" w:eastAsia="zh-CN" w:bidi="ar"/>
                    </w:rPr>
                    <w:t>污染途径</w:t>
                  </w:r>
                </w:p>
              </w:tc>
              <w:tc>
                <w:tcPr>
                  <w:tcW w:w="1478" w:type="dxa"/>
                  <w:tcBorders>
                    <w:tl2br w:val="nil"/>
                    <w:tr2bl w:val="nil"/>
                  </w:tcBorders>
                  <w:vAlign w:val="center"/>
                </w:tcPr>
                <w:p w14:paraId="076FB56E">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b/>
                      <w:bCs/>
                      <w:color w:val="auto"/>
                      <w:sz w:val="21"/>
                      <w:szCs w:val="21"/>
                      <w:lang w:val="en-US" w:eastAsia="zh-CN" w:bidi="ar"/>
                    </w:rPr>
                  </w:pPr>
                  <w:r>
                    <w:rPr>
                      <w:rFonts w:hint="eastAsia"/>
                      <w:b/>
                      <w:bCs/>
                      <w:color w:val="auto"/>
                      <w:sz w:val="21"/>
                      <w:szCs w:val="21"/>
                      <w:lang w:val="en-US" w:eastAsia="zh-CN" w:bidi="ar"/>
                    </w:rPr>
                    <w:t>备注</w:t>
                  </w:r>
                </w:p>
              </w:tc>
            </w:tr>
            <w:tr w14:paraId="3232AF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477" w:type="dxa"/>
                  <w:tcBorders>
                    <w:tl2br w:val="nil"/>
                    <w:tr2bl w:val="nil"/>
                  </w:tcBorders>
                  <w:vAlign w:val="center"/>
                </w:tcPr>
                <w:p w14:paraId="1B70E467">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eastAsia="宋体"/>
                      <w:b w:val="0"/>
                      <w:bCs w:val="0"/>
                      <w:color w:val="auto"/>
                      <w:sz w:val="21"/>
                      <w:szCs w:val="21"/>
                      <w:lang w:val="en-US" w:eastAsia="zh-CN" w:bidi="ar"/>
                    </w:rPr>
                  </w:pPr>
                  <w:r>
                    <w:rPr>
                      <w:rFonts w:hint="eastAsia"/>
                      <w:b w:val="0"/>
                      <w:bCs w:val="0"/>
                      <w:color w:val="auto"/>
                      <w:sz w:val="21"/>
                      <w:szCs w:val="21"/>
                      <w:lang w:val="en-US" w:eastAsia="zh-CN" w:bidi="ar"/>
                    </w:rPr>
                    <w:t>油剂</w:t>
                  </w:r>
                </w:p>
              </w:tc>
              <w:tc>
                <w:tcPr>
                  <w:tcW w:w="1477" w:type="dxa"/>
                  <w:tcBorders>
                    <w:tl2br w:val="nil"/>
                    <w:tr2bl w:val="nil"/>
                  </w:tcBorders>
                  <w:vAlign w:val="center"/>
                </w:tcPr>
                <w:p w14:paraId="21BB9668">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default" w:eastAsia="宋体"/>
                      <w:b w:val="0"/>
                      <w:bCs w:val="0"/>
                      <w:color w:val="auto"/>
                      <w:sz w:val="21"/>
                      <w:szCs w:val="21"/>
                      <w:lang w:val="en-US" w:eastAsia="zh-CN" w:bidi="ar"/>
                    </w:rPr>
                  </w:pPr>
                  <w:r>
                    <w:rPr>
                      <w:rFonts w:hint="eastAsia"/>
                      <w:b w:val="0"/>
                      <w:bCs w:val="0"/>
                      <w:color w:val="auto"/>
                      <w:sz w:val="21"/>
                      <w:szCs w:val="21"/>
                      <w:lang w:val="en-US" w:eastAsia="zh-CN" w:bidi="ar"/>
                    </w:rPr>
                    <w:t>加弹</w:t>
                  </w:r>
                </w:p>
              </w:tc>
              <w:tc>
                <w:tcPr>
                  <w:tcW w:w="1477" w:type="dxa"/>
                  <w:tcBorders>
                    <w:tl2br w:val="nil"/>
                    <w:tr2bl w:val="nil"/>
                  </w:tcBorders>
                  <w:vAlign w:val="center"/>
                </w:tcPr>
                <w:p w14:paraId="2FF2C0E6">
                  <w:pPr>
                    <w:keepNext w:val="0"/>
                    <w:keepLines w:val="0"/>
                    <w:pageBreakBefore w:val="0"/>
                    <w:tabs>
                      <w:tab w:val="left" w:pos="2790"/>
                    </w:tabs>
                    <w:kinsoku/>
                    <w:wordWrap/>
                    <w:topLinePunct w:val="0"/>
                    <w:bidi w:val="0"/>
                    <w:adjustRightInd w:val="0"/>
                    <w:snapToGrid w:val="0"/>
                    <w:spacing w:line="240" w:lineRule="auto"/>
                    <w:ind w:left="0" w:leftChars="0" w:right="0" w:rightChars="0" w:firstLine="0" w:firstLineChars="0"/>
                    <w:jc w:val="center"/>
                    <w:textAlignment w:val="auto"/>
                    <w:rPr>
                      <w:rFonts w:hint="default" w:eastAsia="宋体"/>
                      <w:b w:val="0"/>
                      <w:bCs w:val="0"/>
                      <w:color w:val="auto"/>
                      <w:sz w:val="21"/>
                      <w:szCs w:val="21"/>
                      <w:lang w:val="en-US" w:eastAsia="zh-CN" w:bidi="ar"/>
                    </w:rPr>
                  </w:pPr>
                  <w:r>
                    <w:rPr>
                      <w:rFonts w:hint="eastAsia"/>
                      <w:b w:val="0"/>
                      <w:bCs w:val="0"/>
                      <w:color w:val="auto"/>
                      <w:sz w:val="21"/>
                      <w:szCs w:val="21"/>
                      <w:lang w:val="en-US" w:eastAsia="zh-CN" w:bidi="ar"/>
                    </w:rPr>
                    <w:t>持久性有机污染物</w:t>
                  </w:r>
                </w:p>
              </w:tc>
              <w:tc>
                <w:tcPr>
                  <w:tcW w:w="1477" w:type="dxa"/>
                  <w:tcBorders>
                    <w:tl2br w:val="nil"/>
                    <w:tr2bl w:val="nil"/>
                  </w:tcBorders>
                  <w:vAlign w:val="center"/>
                </w:tcPr>
                <w:p w14:paraId="5EFC35A7">
                  <w:pPr>
                    <w:keepNext w:val="0"/>
                    <w:keepLines w:val="0"/>
                    <w:pageBreakBefore w:val="0"/>
                    <w:tabs>
                      <w:tab w:val="left" w:pos="2790"/>
                    </w:tabs>
                    <w:kinsoku/>
                    <w:wordWrap/>
                    <w:topLinePunct w:val="0"/>
                    <w:bidi w:val="0"/>
                    <w:adjustRightInd w:val="0"/>
                    <w:snapToGrid w:val="0"/>
                    <w:spacing w:line="240" w:lineRule="auto"/>
                    <w:ind w:left="0" w:leftChars="0" w:right="0" w:rightChars="0" w:firstLine="0" w:firstLineChars="0"/>
                    <w:jc w:val="center"/>
                    <w:textAlignment w:val="auto"/>
                    <w:rPr>
                      <w:rFonts w:hint="default"/>
                      <w:b w:val="0"/>
                      <w:bCs w:val="0"/>
                      <w:color w:val="auto"/>
                      <w:sz w:val="21"/>
                      <w:szCs w:val="21"/>
                      <w:lang w:bidi="ar"/>
                    </w:rPr>
                  </w:pPr>
                  <w:r>
                    <w:rPr>
                      <w:rFonts w:hint="eastAsia"/>
                      <w:b w:val="0"/>
                      <w:bCs w:val="0"/>
                      <w:color w:val="auto"/>
                      <w:sz w:val="21"/>
                      <w:szCs w:val="21"/>
                      <w:lang w:val="en-US" w:eastAsia="zh-CN" w:bidi="ar"/>
                    </w:rPr>
                    <w:t>油剂</w:t>
                  </w:r>
                </w:p>
              </w:tc>
              <w:tc>
                <w:tcPr>
                  <w:tcW w:w="1478" w:type="dxa"/>
                  <w:tcBorders>
                    <w:tl2br w:val="nil"/>
                    <w:tr2bl w:val="nil"/>
                  </w:tcBorders>
                  <w:vAlign w:val="center"/>
                </w:tcPr>
                <w:p w14:paraId="0C8DD372">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eastAsia="宋体"/>
                      <w:b w:val="0"/>
                      <w:bCs w:val="0"/>
                      <w:color w:val="auto"/>
                      <w:sz w:val="21"/>
                      <w:szCs w:val="21"/>
                      <w:lang w:val="en-US" w:eastAsia="zh-CN" w:bidi="ar"/>
                    </w:rPr>
                  </w:pPr>
                  <w:r>
                    <w:rPr>
                      <w:rFonts w:hint="eastAsia"/>
                      <w:b w:val="0"/>
                      <w:bCs w:val="0"/>
                      <w:color w:val="auto"/>
                      <w:sz w:val="21"/>
                      <w:szCs w:val="21"/>
                      <w:lang w:val="en-US" w:eastAsia="zh-CN" w:bidi="ar"/>
                    </w:rPr>
                    <w:t>泄漏</w:t>
                  </w:r>
                </w:p>
              </w:tc>
              <w:tc>
                <w:tcPr>
                  <w:tcW w:w="1478" w:type="dxa"/>
                  <w:tcBorders>
                    <w:tl2br w:val="nil"/>
                    <w:tr2bl w:val="nil"/>
                  </w:tcBorders>
                  <w:vAlign w:val="center"/>
                </w:tcPr>
                <w:p w14:paraId="31955CB6">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eastAsia="宋体"/>
                      <w:b w:val="0"/>
                      <w:bCs w:val="0"/>
                      <w:color w:val="auto"/>
                      <w:sz w:val="21"/>
                      <w:szCs w:val="21"/>
                      <w:lang w:val="en-US" w:eastAsia="zh-CN" w:bidi="ar"/>
                    </w:rPr>
                  </w:pPr>
                  <w:r>
                    <w:rPr>
                      <w:rFonts w:hint="eastAsia"/>
                      <w:b w:val="0"/>
                      <w:bCs w:val="0"/>
                      <w:color w:val="auto"/>
                      <w:sz w:val="21"/>
                      <w:szCs w:val="21"/>
                      <w:lang w:val="en-US" w:eastAsia="zh-CN" w:bidi="ar"/>
                    </w:rPr>
                    <w:t>/</w:t>
                  </w:r>
                </w:p>
              </w:tc>
            </w:tr>
            <w:tr w14:paraId="29DABA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77" w:type="dxa"/>
                  <w:tcBorders>
                    <w:tl2br w:val="nil"/>
                    <w:tr2bl w:val="nil"/>
                  </w:tcBorders>
                  <w:vAlign w:val="center"/>
                </w:tcPr>
                <w:p w14:paraId="72EC0688">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eastAsia="宋体"/>
                      <w:b w:val="0"/>
                      <w:bCs w:val="0"/>
                      <w:color w:val="auto"/>
                      <w:sz w:val="21"/>
                      <w:szCs w:val="21"/>
                      <w:lang w:val="en-US" w:eastAsia="zh-CN" w:bidi="ar"/>
                    </w:rPr>
                  </w:pPr>
                  <w:r>
                    <w:rPr>
                      <w:rFonts w:hint="eastAsia"/>
                      <w:b w:val="0"/>
                      <w:bCs w:val="0"/>
                      <w:color w:val="auto"/>
                      <w:sz w:val="21"/>
                      <w:szCs w:val="21"/>
                      <w:lang w:val="en-US" w:eastAsia="zh-CN" w:bidi="ar"/>
                    </w:rPr>
                    <w:t>危险废物</w:t>
                  </w:r>
                </w:p>
              </w:tc>
              <w:tc>
                <w:tcPr>
                  <w:tcW w:w="1477" w:type="dxa"/>
                  <w:tcBorders>
                    <w:tl2br w:val="nil"/>
                    <w:tr2bl w:val="nil"/>
                  </w:tcBorders>
                  <w:vAlign w:val="center"/>
                </w:tcPr>
                <w:p w14:paraId="4D426160">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default" w:eastAsia="宋体"/>
                      <w:b w:val="0"/>
                      <w:bCs w:val="0"/>
                      <w:color w:val="auto"/>
                      <w:sz w:val="21"/>
                      <w:szCs w:val="21"/>
                      <w:lang w:val="en-US" w:eastAsia="zh-CN" w:bidi="ar"/>
                    </w:rPr>
                  </w:pPr>
                  <w:r>
                    <w:rPr>
                      <w:rFonts w:hint="eastAsia"/>
                      <w:b w:val="0"/>
                      <w:bCs w:val="0"/>
                      <w:color w:val="auto"/>
                      <w:sz w:val="21"/>
                      <w:szCs w:val="21"/>
                      <w:lang w:val="en-US" w:eastAsia="zh-CN" w:bidi="ar"/>
                    </w:rPr>
                    <w:t>生产过程、废气、废水处理、设备维护保养等</w:t>
                  </w:r>
                </w:p>
              </w:tc>
              <w:tc>
                <w:tcPr>
                  <w:tcW w:w="1477" w:type="dxa"/>
                  <w:tcBorders>
                    <w:tl2br w:val="nil"/>
                    <w:tr2bl w:val="nil"/>
                  </w:tcBorders>
                  <w:vAlign w:val="center"/>
                </w:tcPr>
                <w:p w14:paraId="5188477F">
                  <w:pPr>
                    <w:keepNext w:val="0"/>
                    <w:keepLines w:val="0"/>
                    <w:pageBreakBefore w:val="0"/>
                    <w:tabs>
                      <w:tab w:val="left" w:pos="2790"/>
                    </w:tabs>
                    <w:kinsoku/>
                    <w:wordWrap/>
                    <w:topLinePunct w:val="0"/>
                    <w:bidi w:val="0"/>
                    <w:adjustRightInd w:val="0"/>
                    <w:snapToGrid w:val="0"/>
                    <w:spacing w:line="240" w:lineRule="auto"/>
                    <w:ind w:left="0" w:leftChars="0" w:right="0" w:rightChars="0" w:firstLine="0" w:firstLineChars="0"/>
                    <w:jc w:val="center"/>
                    <w:textAlignment w:val="auto"/>
                    <w:rPr>
                      <w:rFonts w:hint="default"/>
                      <w:b w:val="0"/>
                      <w:bCs w:val="0"/>
                      <w:color w:val="auto"/>
                      <w:sz w:val="21"/>
                      <w:szCs w:val="21"/>
                      <w:lang w:bidi="ar"/>
                    </w:rPr>
                  </w:pPr>
                  <w:r>
                    <w:rPr>
                      <w:rFonts w:hint="eastAsia"/>
                      <w:b w:val="0"/>
                      <w:bCs w:val="0"/>
                      <w:color w:val="auto"/>
                      <w:sz w:val="21"/>
                      <w:szCs w:val="21"/>
                      <w:lang w:val="en-US" w:eastAsia="zh-CN" w:bidi="ar"/>
                    </w:rPr>
                    <w:t>持久性有机污染物</w:t>
                  </w:r>
                </w:p>
              </w:tc>
              <w:tc>
                <w:tcPr>
                  <w:tcW w:w="1477" w:type="dxa"/>
                  <w:tcBorders>
                    <w:tl2br w:val="nil"/>
                    <w:tr2bl w:val="nil"/>
                  </w:tcBorders>
                  <w:vAlign w:val="center"/>
                </w:tcPr>
                <w:p w14:paraId="5C9EF960">
                  <w:pPr>
                    <w:keepNext w:val="0"/>
                    <w:keepLines w:val="0"/>
                    <w:pageBreakBefore w:val="0"/>
                    <w:tabs>
                      <w:tab w:val="left" w:pos="2790"/>
                    </w:tabs>
                    <w:kinsoku/>
                    <w:wordWrap/>
                    <w:topLinePunct w:val="0"/>
                    <w:bidi w:val="0"/>
                    <w:adjustRightInd w:val="0"/>
                    <w:snapToGrid w:val="0"/>
                    <w:spacing w:line="240" w:lineRule="auto"/>
                    <w:ind w:left="0" w:leftChars="0" w:right="0" w:rightChars="0" w:firstLine="0" w:firstLineChars="0"/>
                    <w:jc w:val="center"/>
                    <w:textAlignment w:val="auto"/>
                    <w:rPr>
                      <w:rFonts w:hint="default"/>
                      <w:b w:val="0"/>
                      <w:bCs w:val="0"/>
                      <w:color w:val="auto"/>
                      <w:sz w:val="21"/>
                      <w:szCs w:val="21"/>
                      <w:lang w:bidi="ar"/>
                    </w:rPr>
                  </w:pPr>
                  <w:r>
                    <w:rPr>
                      <w:rFonts w:hint="eastAsia"/>
                      <w:b w:val="0"/>
                      <w:bCs w:val="0"/>
                      <w:color w:val="auto"/>
                      <w:sz w:val="21"/>
                      <w:szCs w:val="21"/>
                      <w:lang w:val="en-US" w:eastAsia="zh-CN" w:bidi="ar"/>
                    </w:rPr>
                    <w:t>危险废物</w:t>
                  </w:r>
                </w:p>
              </w:tc>
              <w:tc>
                <w:tcPr>
                  <w:tcW w:w="1478" w:type="dxa"/>
                  <w:tcBorders>
                    <w:tl2br w:val="nil"/>
                    <w:tr2bl w:val="nil"/>
                  </w:tcBorders>
                  <w:vAlign w:val="center"/>
                </w:tcPr>
                <w:p w14:paraId="3446CE92">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eastAsia" w:eastAsia="宋体"/>
                      <w:b w:val="0"/>
                      <w:bCs w:val="0"/>
                      <w:color w:val="auto"/>
                      <w:sz w:val="21"/>
                      <w:szCs w:val="21"/>
                      <w:lang w:val="en-US" w:eastAsia="zh-CN" w:bidi="ar"/>
                    </w:rPr>
                  </w:pPr>
                  <w:r>
                    <w:rPr>
                      <w:rFonts w:hint="eastAsia"/>
                      <w:b w:val="0"/>
                      <w:bCs w:val="0"/>
                      <w:color w:val="auto"/>
                      <w:sz w:val="21"/>
                      <w:szCs w:val="21"/>
                      <w:lang w:val="en-US" w:eastAsia="zh-CN" w:bidi="ar"/>
                    </w:rPr>
                    <w:t>泄漏</w:t>
                  </w:r>
                </w:p>
              </w:tc>
              <w:tc>
                <w:tcPr>
                  <w:tcW w:w="1478" w:type="dxa"/>
                  <w:tcBorders>
                    <w:tl2br w:val="nil"/>
                    <w:tr2bl w:val="nil"/>
                  </w:tcBorders>
                  <w:vAlign w:val="center"/>
                </w:tcPr>
                <w:p w14:paraId="4BD2E4DA">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rFonts w:hint="default" w:eastAsia="宋体"/>
                      <w:b w:val="0"/>
                      <w:bCs w:val="0"/>
                      <w:color w:val="auto"/>
                      <w:sz w:val="21"/>
                      <w:szCs w:val="21"/>
                      <w:lang w:val="en-US" w:eastAsia="zh-CN" w:bidi="ar"/>
                    </w:rPr>
                  </w:pPr>
                  <w:r>
                    <w:rPr>
                      <w:rFonts w:hint="eastAsia"/>
                      <w:b w:val="0"/>
                      <w:bCs w:val="0"/>
                      <w:color w:val="auto"/>
                      <w:sz w:val="21"/>
                      <w:szCs w:val="21"/>
                      <w:lang w:val="en-US" w:eastAsia="zh-CN" w:bidi="ar"/>
                    </w:rPr>
                    <w:t>废机油、油烟净化器废油、污（油）泥等</w:t>
                  </w:r>
                </w:p>
              </w:tc>
            </w:tr>
          </w:tbl>
          <w:p w14:paraId="14D7BC4F">
            <w:pPr>
              <w:keepNext w:val="0"/>
              <w:keepLines w:val="0"/>
              <w:suppressLineNumbers w:val="0"/>
              <w:adjustRightInd w:val="0"/>
              <w:snapToGrid w:val="0"/>
              <w:spacing w:before="0" w:beforeAutospacing="0" w:after="0" w:afterAutospacing="0" w:line="360" w:lineRule="auto"/>
              <w:ind w:left="0" w:leftChars="0" w:right="0" w:firstLine="480" w:firstLineChars="200"/>
              <w:jc w:val="left"/>
              <w:rPr>
                <w:rFonts w:hint="default"/>
                <w:color w:val="auto"/>
                <w:sz w:val="24"/>
              </w:rPr>
            </w:pPr>
            <w:r>
              <w:rPr>
                <w:rFonts w:hint="default"/>
                <w:color w:val="auto"/>
                <w:sz w:val="24"/>
              </w:rPr>
              <w:t>本项目土壤环境影响途径为大气沉降及垂直入渗，主要污染</w:t>
            </w:r>
            <w:r>
              <w:rPr>
                <w:rFonts w:hint="eastAsia"/>
                <w:color w:val="auto"/>
                <w:sz w:val="24"/>
                <w:lang w:eastAsia="zh-CN"/>
              </w:rPr>
              <w:t>物是</w:t>
            </w:r>
            <w:r>
              <w:rPr>
                <w:rFonts w:hint="default"/>
                <w:color w:val="auto"/>
                <w:sz w:val="24"/>
              </w:rPr>
              <w:t>原材料库</w:t>
            </w:r>
            <w:r>
              <w:rPr>
                <w:rFonts w:hint="default"/>
                <w:color w:val="auto"/>
                <w:sz w:val="24"/>
                <w:highlight w:val="none"/>
              </w:rPr>
              <w:t>中</w:t>
            </w:r>
            <w:r>
              <w:rPr>
                <w:rFonts w:hint="eastAsia"/>
                <w:color w:val="auto"/>
                <w:sz w:val="24"/>
                <w:highlight w:val="none"/>
                <w:lang w:val="en-US" w:eastAsia="zh-CN"/>
              </w:rPr>
              <w:t>油剂</w:t>
            </w:r>
            <w:r>
              <w:rPr>
                <w:rFonts w:hint="default"/>
                <w:color w:val="auto"/>
                <w:sz w:val="24"/>
                <w:highlight w:val="none"/>
              </w:rPr>
              <w:t>、危废库中</w:t>
            </w:r>
            <w:r>
              <w:rPr>
                <w:rFonts w:hint="eastAsia"/>
                <w:color w:val="auto"/>
                <w:sz w:val="24"/>
                <w:highlight w:val="none"/>
                <w:lang w:val="en-US" w:eastAsia="zh-CN"/>
              </w:rPr>
              <w:t>废机油、油烟净化器废油、污（油）泥等</w:t>
            </w:r>
            <w:r>
              <w:rPr>
                <w:rFonts w:hint="default"/>
                <w:color w:val="auto"/>
                <w:sz w:val="24"/>
                <w:highlight w:val="none"/>
              </w:rPr>
              <w:t>；地下水环境影响途径为垂直入渗，主要污染物为</w:t>
            </w:r>
            <w:r>
              <w:rPr>
                <w:rFonts w:hint="eastAsia"/>
                <w:color w:val="auto"/>
                <w:sz w:val="24"/>
                <w:highlight w:val="none"/>
                <w:lang w:val="en-US" w:eastAsia="zh-CN"/>
              </w:rPr>
              <w:t>油剂</w:t>
            </w:r>
            <w:r>
              <w:rPr>
                <w:rFonts w:hint="default"/>
                <w:color w:val="auto"/>
                <w:sz w:val="24"/>
                <w:highlight w:val="none"/>
              </w:rPr>
              <w:t>、危废库中</w:t>
            </w:r>
            <w:r>
              <w:rPr>
                <w:rFonts w:hint="eastAsia"/>
                <w:color w:val="auto"/>
                <w:sz w:val="24"/>
                <w:highlight w:val="none"/>
                <w:lang w:val="en-US" w:eastAsia="zh-CN"/>
              </w:rPr>
              <w:t>废机油、油烟净化器废油、污（油）泥等</w:t>
            </w:r>
            <w:r>
              <w:rPr>
                <w:rFonts w:hint="default"/>
                <w:color w:val="auto"/>
                <w:sz w:val="24"/>
                <w:highlight w:val="none"/>
              </w:rPr>
              <w:t>根据</w:t>
            </w:r>
            <w:r>
              <w:rPr>
                <w:rFonts w:hint="default"/>
                <w:color w:val="auto"/>
                <w:sz w:val="24"/>
              </w:rPr>
              <w:t>现场踏勘，本项目周边500m范围内无地下水集中式饮用水水源、矿泉水、</w:t>
            </w:r>
            <w:r>
              <w:rPr>
                <w:rFonts w:hint="eastAsia"/>
                <w:color w:val="auto"/>
                <w:sz w:val="24"/>
              </w:rPr>
              <w:t>温泉</w:t>
            </w:r>
            <w:r>
              <w:rPr>
                <w:rFonts w:hint="default"/>
                <w:color w:val="auto"/>
                <w:sz w:val="24"/>
              </w:rPr>
              <w:t>等地下水环境保护目标</w:t>
            </w:r>
            <w:r>
              <w:rPr>
                <w:rFonts w:hint="eastAsia"/>
                <w:color w:val="auto"/>
                <w:sz w:val="24"/>
              </w:rPr>
              <w:t>。</w:t>
            </w:r>
          </w:p>
          <w:p w14:paraId="5D7696E1">
            <w:pPr>
              <w:keepNext w:val="0"/>
              <w:keepLines w:val="0"/>
              <w:widowControl/>
              <w:suppressLineNumbers w:val="0"/>
              <w:spacing w:before="0" w:beforeAutospacing="0" w:after="0" w:afterAutospacing="0" w:line="360" w:lineRule="auto"/>
              <w:ind w:left="0" w:right="0" w:firstLine="482" w:firstLineChars="200"/>
              <w:jc w:val="left"/>
              <w:rPr>
                <w:rFonts w:hint="default" w:ascii="宋体" w:hAnsi="宋体" w:cs="宋体"/>
                <w:color w:val="auto"/>
                <w:sz w:val="24"/>
              </w:rPr>
            </w:pPr>
            <w:r>
              <w:rPr>
                <w:rFonts w:hint="eastAsia"/>
                <w:b/>
                <w:bCs/>
                <w:color w:val="auto"/>
                <w:sz w:val="24"/>
                <w:lang w:eastAsia="zh-CN"/>
              </w:rPr>
              <w:t>（</w:t>
            </w:r>
            <w:r>
              <w:rPr>
                <w:rFonts w:hint="eastAsia"/>
                <w:b/>
                <w:bCs/>
                <w:color w:val="auto"/>
                <w:sz w:val="24"/>
                <w:lang w:val="en-US" w:eastAsia="zh-CN"/>
              </w:rPr>
              <w:t>2</w:t>
            </w:r>
            <w:r>
              <w:rPr>
                <w:rFonts w:hint="eastAsia"/>
                <w:b/>
                <w:bCs/>
                <w:color w:val="auto"/>
                <w:sz w:val="24"/>
                <w:lang w:eastAsia="zh-CN"/>
              </w:rPr>
              <w:t>）</w:t>
            </w:r>
            <w:r>
              <w:rPr>
                <w:rFonts w:hint="default"/>
                <w:b/>
                <w:bCs/>
                <w:color w:val="auto"/>
                <w:kern w:val="0"/>
                <w:sz w:val="24"/>
                <w:lang w:bidi="ar"/>
              </w:rPr>
              <w:t>污染防控措施</w:t>
            </w:r>
          </w:p>
          <w:p w14:paraId="15FB777E">
            <w:pPr>
              <w:pStyle w:val="235"/>
              <w:keepNext w:val="0"/>
              <w:keepLines w:val="0"/>
              <w:numPr>
                <w:ilvl w:val="0"/>
                <w:numId w:val="0"/>
              </w:numPr>
              <w:suppressLineNumbers w:val="0"/>
              <w:spacing w:before="0" w:beforeAutospacing="0" w:after="0" w:afterAutospacing="0" w:line="360" w:lineRule="auto"/>
              <w:ind w:right="0" w:firstLine="480" w:firstLineChars="200"/>
              <w:jc w:val="both"/>
              <w:rPr>
                <w:rFonts w:hint="default" w:eastAsia="宋体"/>
                <w:color w:val="auto"/>
                <w:sz w:val="24"/>
              </w:rPr>
            </w:pPr>
            <w:r>
              <w:rPr>
                <w:rFonts w:hint="default" w:eastAsia="宋体"/>
                <w:color w:val="auto"/>
                <w:sz w:val="24"/>
              </w:rPr>
              <w:t>针对可能发生土壤和地下水影响的区域，采取</w:t>
            </w:r>
            <w:r>
              <w:rPr>
                <w:rFonts w:hint="eastAsia" w:eastAsia="宋体"/>
                <w:color w:val="auto"/>
                <w:sz w:val="24"/>
                <w:lang w:eastAsia="zh-CN"/>
              </w:rPr>
              <w:t>“</w:t>
            </w:r>
            <w:r>
              <w:rPr>
                <w:rFonts w:hint="default" w:eastAsia="宋体"/>
                <w:color w:val="auto"/>
                <w:sz w:val="24"/>
              </w:rPr>
              <w:t>分区防治</w:t>
            </w:r>
            <w:r>
              <w:rPr>
                <w:rFonts w:hint="eastAsia" w:eastAsia="宋体"/>
                <w:color w:val="auto"/>
                <w:sz w:val="24"/>
                <w:lang w:eastAsia="zh-CN"/>
              </w:rPr>
              <w:t>”</w:t>
            </w:r>
            <w:r>
              <w:rPr>
                <w:rFonts w:hint="default" w:eastAsia="宋体"/>
                <w:color w:val="auto"/>
                <w:sz w:val="24"/>
              </w:rPr>
              <w:t>的策略。根据项目的特点，在厂区范围内设置重点防渗区和一般防渗区，将原材料仓库</w:t>
            </w:r>
            <w:r>
              <w:rPr>
                <w:rFonts w:hint="eastAsia" w:eastAsia="宋体"/>
                <w:color w:val="auto"/>
                <w:sz w:val="24"/>
                <w:lang w:val="en-US" w:eastAsia="zh-CN"/>
              </w:rPr>
              <w:t>机</w:t>
            </w:r>
            <w:r>
              <w:rPr>
                <w:rFonts w:hint="default" w:eastAsia="宋体"/>
                <w:color w:val="auto"/>
                <w:sz w:val="24"/>
              </w:rPr>
              <w:t>油、</w:t>
            </w:r>
            <w:r>
              <w:rPr>
                <w:rFonts w:hint="eastAsia" w:eastAsia="宋体"/>
                <w:color w:val="auto"/>
                <w:sz w:val="24"/>
                <w:lang w:val="en-US" w:eastAsia="zh-CN"/>
              </w:rPr>
              <w:t>油剂</w:t>
            </w:r>
            <w:r>
              <w:rPr>
                <w:rFonts w:hint="default" w:eastAsia="宋体"/>
                <w:color w:val="auto"/>
                <w:sz w:val="24"/>
              </w:rPr>
              <w:t>等暂存区、危险废物暂存库</w:t>
            </w:r>
            <w:r>
              <w:rPr>
                <w:rFonts w:hint="eastAsia" w:eastAsia="宋体"/>
                <w:color w:val="auto"/>
                <w:sz w:val="24"/>
                <w:lang w:eastAsia="zh-CN"/>
              </w:rPr>
              <w:t>、</w:t>
            </w:r>
            <w:r>
              <w:rPr>
                <w:rFonts w:hint="eastAsia" w:eastAsia="宋体"/>
                <w:color w:val="auto"/>
                <w:sz w:val="24"/>
                <w:lang w:val="en-US" w:eastAsia="zh-CN"/>
              </w:rPr>
              <w:t>污水处理站</w:t>
            </w:r>
            <w:r>
              <w:rPr>
                <w:rFonts w:hint="default" w:eastAsia="宋体"/>
                <w:color w:val="auto"/>
                <w:sz w:val="24"/>
              </w:rPr>
              <w:t>设为重点防渗区，将其他生产区域、一般原料区，一般固废堆场区域设为一般防渗区。一般防渗区域防渗要求达到《环境影响评价技术导则</w:t>
            </w:r>
            <w:r>
              <w:rPr>
                <w:rFonts w:hint="eastAsia" w:eastAsia="宋体"/>
                <w:color w:val="auto"/>
                <w:sz w:val="24"/>
                <w:lang w:val="en-US" w:eastAsia="zh-CN"/>
              </w:rPr>
              <w:t xml:space="preserve">  </w:t>
            </w:r>
            <w:r>
              <w:rPr>
                <w:rFonts w:hint="default" w:eastAsia="宋体"/>
                <w:color w:val="auto"/>
                <w:sz w:val="24"/>
              </w:rPr>
              <w:t>地下水环境》（HJ610-2016）要求：等效黏土防渗层Mb≥1.5m，K≤1×10</w:t>
            </w:r>
            <w:r>
              <w:rPr>
                <w:rFonts w:hint="eastAsia" w:eastAsia="宋体"/>
                <w:color w:val="auto"/>
                <w:sz w:val="24"/>
                <w:lang w:eastAsia="zh-CN"/>
              </w:rPr>
              <w:t>～</w:t>
            </w:r>
            <w:r>
              <w:rPr>
                <w:rFonts w:hint="default" w:eastAsia="宋体"/>
                <w:color w:val="auto"/>
                <w:sz w:val="24"/>
                <w:vertAlign w:val="superscript"/>
              </w:rPr>
              <w:t>7</w:t>
            </w:r>
            <w:r>
              <w:rPr>
                <w:rFonts w:hint="default" w:eastAsia="宋体"/>
                <w:color w:val="auto"/>
                <w:sz w:val="24"/>
              </w:rPr>
              <w:t>cm/s；或参考《生活垃圾填埋场污染控制标准》（GB</w:t>
            </w:r>
            <w:r>
              <w:rPr>
                <w:rFonts w:hint="eastAsia" w:eastAsia="宋体"/>
                <w:color w:val="auto"/>
                <w:sz w:val="24"/>
                <w:lang w:val="en-US" w:eastAsia="zh-CN"/>
              </w:rPr>
              <w:t xml:space="preserve"> </w:t>
            </w:r>
            <w:r>
              <w:rPr>
                <w:rFonts w:hint="default" w:eastAsia="宋体"/>
                <w:color w:val="auto"/>
                <w:sz w:val="24"/>
              </w:rPr>
              <w:t>16889-20</w:t>
            </w:r>
            <w:r>
              <w:rPr>
                <w:rFonts w:hint="eastAsia" w:eastAsia="宋体"/>
                <w:color w:val="auto"/>
                <w:sz w:val="24"/>
                <w:lang w:val="en-US" w:eastAsia="zh-CN"/>
              </w:rPr>
              <w:t>24</w:t>
            </w:r>
            <w:r>
              <w:rPr>
                <w:rFonts w:hint="default" w:eastAsia="宋体"/>
                <w:color w:val="auto"/>
                <w:sz w:val="24"/>
              </w:rPr>
              <w:t>）；重点防渗区域防渗要求达到《环境影响评价技术导则</w:t>
            </w:r>
            <w:r>
              <w:rPr>
                <w:rFonts w:hint="eastAsia" w:eastAsia="宋体"/>
                <w:color w:val="auto"/>
                <w:sz w:val="24"/>
                <w:lang w:val="en-US" w:eastAsia="zh-CN"/>
              </w:rPr>
              <w:t xml:space="preserve">  </w:t>
            </w:r>
            <w:r>
              <w:rPr>
                <w:rFonts w:hint="default" w:eastAsia="宋体"/>
                <w:color w:val="auto"/>
                <w:sz w:val="24"/>
              </w:rPr>
              <w:t>地下水环境》（HJ610-2016）要求：等效黏土防渗层Mb≥6m，K≤1×10</w:t>
            </w:r>
            <w:r>
              <w:rPr>
                <w:rFonts w:hint="eastAsia" w:eastAsia="宋体"/>
                <w:color w:val="auto"/>
                <w:sz w:val="24"/>
                <w:lang w:eastAsia="zh-CN"/>
              </w:rPr>
              <w:t>～</w:t>
            </w:r>
            <w:r>
              <w:rPr>
                <w:rFonts w:hint="default" w:eastAsia="宋体"/>
                <w:color w:val="auto"/>
                <w:sz w:val="24"/>
                <w:vertAlign w:val="superscript"/>
              </w:rPr>
              <w:t>7</w:t>
            </w:r>
            <w:r>
              <w:rPr>
                <w:rFonts w:hint="default" w:eastAsia="宋体"/>
                <w:color w:val="auto"/>
                <w:sz w:val="24"/>
              </w:rPr>
              <w:t>cm/s。</w:t>
            </w:r>
          </w:p>
          <w:p w14:paraId="245E2990">
            <w:pPr>
              <w:pStyle w:val="235"/>
              <w:keepNext w:val="0"/>
              <w:keepLines w:val="0"/>
              <w:numPr>
                <w:ilvl w:val="0"/>
                <w:numId w:val="0"/>
              </w:numPr>
              <w:suppressLineNumbers w:val="0"/>
              <w:spacing w:before="0" w:beforeAutospacing="0" w:after="0" w:afterAutospacing="0" w:line="360" w:lineRule="auto"/>
              <w:ind w:right="0" w:firstLine="480" w:firstLineChars="200"/>
              <w:jc w:val="both"/>
              <w:rPr>
                <w:rFonts w:hint="default" w:eastAsia="宋体"/>
                <w:color w:val="auto"/>
                <w:sz w:val="24"/>
              </w:rPr>
            </w:pPr>
            <w:r>
              <w:rPr>
                <w:rFonts w:hint="default" w:eastAsia="宋体"/>
                <w:color w:val="auto"/>
                <w:sz w:val="24"/>
              </w:rPr>
              <w:t>本项目</w:t>
            </w:r>
            <w:r>
              <w:rPr>
                <w:rFonts w:hint="eastAsia" w:eastAsia="宋体"/>
                <w:color w:val="auto"/>
                <w:sz w:val="24"/>
                <w:lang w:eastAsia="zh-CN"/>
              </w:rPr>
              <w:t>机油</w:t>
            </w:r>
            <w:r>
              <w:rPr>
                <w:rFonts w:hint="default" w:eastAsia="宋体"/>
                <w:color w:val="auto"/>
                <w:sz w:val="24"/>
              </w:rPr>
              <w:t>、</w:t>
            </w:r>
            <w:r>
              <w:rPr>
                <w:rFonts w:hint="eastAsia" w:eastAsia="宋体"/>
                <w:color w:val="auto"/>
                <w:sz w:val="24"/>
                <w:lang w:val="en-US" w:eastAsia="zh-CN"/>
              </w:rPr>
              <w:t>油剂</w:t>
            </w:r>
            <w:r>
              <w:rPr>
                <w:rFonts w:hint="default" w:eastAsia="宋体"/>
                <w:color w:val="auto"/>
                <w:sz w:val="24"/>
              </w:rPr>
              <w:t>等放在原材料仓库，</w:t>
            </w:r>
            <w:r>
              <w:rPr>
                <w:rFonts w:hint="eastAsia" w:eastAsia="宋体"/>
                <w:color w:val="auto"/>
                <w:sz w:val="24"/>
                <w:lang w:eastAsia="zh-CN"/>
              </w:rPr>
              <w:t>原材</w:t>
            </w:r>
            <w:r>
              <w:rPr>
                <w:rFonts w:hint="default" w:eastAsia="宋体"/>
                <w:color w:val="auto"/>
                <w:sz w:val="24"/>
              </w:rPr>
              <w:t>料储存区设置1.2m高防渗围堰（材质：环氧树脂），围堰内地面坡度1%，最低点设集液槽</w:t>
            </w:r>
            <w:r>
              <w:rPr>
                <w:rFonts w:hint="default" w:eastAsia="宋体"/>
                <w:color w:val="auto"/>
                <w:sz w:val="24"/>
                <w:lang w:eastAsia="zh-CN"/>
              </w:rPr>
              <w:t>不小于一个单位件包装最大容积的</w:t>
            </w:r>
            <w:r>
              <w:rPr>
                <w:rFonts w:hint="default" w:eastAsia="宋体"/>
                <w:color w:val="auto"/>
                <w:sz w:val="24"/>
                <w:lang w:val="en-US" w:eastAsia="zh-CN"/>
              </w:rPr>
              <w:t>1.1倍</w:t>
            </w:r>
            <w:r>
              <w:rPr>
                <w:rFonts w:hint="eastAsia" w:eastAsia="宋体"/>
                <w:color w:val="auto"/>
                <w:sz w:val="24"/>
                <w:lang w:val="en-US" w:eastAsia="zh-CN"/>
              </w:rPr>
              <w:t>。</w:t>
            </w:r>
            <w:r>
              <w:rPr>
                <w:rFonts w:hint="default" w:eastAsia="宋体"/>
                <w:color w:val="auto"/>
                <w:sz w:val="24"/>
              </w:rPr>
              <w:t>车间使用过程液态物料均桶装，液态危废桶装放在危废仓库内，</w:t>
            </w:r>
            <w:r>
              <w:rPr>
                <w:rFonts w:hint="eastAsia" w:eastAsia="宋体"/>
                <w:color w:val="auto"/>
                <w:sz w:val="24"/>
                <w:lang w:val="en-US" w:eastAsia="zh-CN"/>
              </w:rPr>
              <w:t>危废库内设置导流沟和集液槽。</w:t>
            </w:r>
            <w:r>
              <w:rPr>
                <w:rFonts w:hint="default" w:eastAsia="宋体"/>
                <w:color w:val="auto"/>
                <w:sz w:val="24"/>
              </w:rPr>
              <w:t>厂房、危废库、原料库地面均为硬质地块，不会对土壤和地下水产生影响。全厂分区防渗区划见下表。</w:t>
            </w:r>
          </w:p>
          <w:p w14:paraId="4E78DC09">
            <w:pPr>
              <w:adjustRightInd w:val="0"/>
              <w:snapToGrid w:val="0"/>
              <w:spacing w:line="240" w:lineRule="auto"/>
              <w:ind w:left="0" w:leftChars="0" w:firstLine="0" w:firstLineChars="0"/>
              <w:jc w:val="center"/>
              <w:rPr>
                <w:color w:val="auto"/>
              </w:rPr>
            </w:pPr>
            <w:r>
              <w:rPr>
                <w:rFonts w:hint="eastAsia"/>
                <w:b/>
                <w:color w:val="auto"/>
              </w:rPr>
              <w:t>表</w:t>
            </w:r>
            <w:r>
              <w:rPr>
                <w:b/>
                <w:bCs/>
                <w:color w:val="auto"/>
                <w:lang w:bidi="en-US"/>
              </w:rPr>
              <w:t>4-</w:t>
            </w:r>
            <w:r>
              <w:rPr>
                <w:rFonts w:hint="eastAsia"/>
                <w:b/>
                <w:bCs/>
                <w:color w:val="auto"/>
                <w:lang w:val="en-US" w:eastAsia="zh-CN" w:bidi="en-US"/>
              </w:rPr>
              <w:t>29</w:t>
            </w:r>
            <w:r>
              <w:rPr>
                <w:rFonts w:hint="eastAsia"/>
                <w:b/>
                <w:color w:val="auto"/>
              </w:rPr>
              <w:t>建设项目分区防控措施一览表</w:t>
            </w:r>
          </w:p>
          <w:tbl>
            <w:tblPr>
              <w:tblStyle w:val="38"/>
              <w:tblW w:w="498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54"/>
              <w:gridCol w:w="1254"/>
              <w:gridCol w:w="5991"/>
            </w:tblGrid>
            <w:tr w14:paraId="6AB759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83" w:type="pct"/>
                  <w:vAlign w:val="center"/>
                </w:tcPr>
                <w:p w14:paraId="07558E27">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b/>
                      <w:bCs/>
                      <w:color w:val="auto"/>
                      <w:sz w:val="21"/>
                      <w:szCs w:val="21"/>
                    </w:rPr>
                  </w:pPr>
                  <w:r>
                    <w:rPr>
                      <w:b/>
                      <w:bCs/>
                      <w:color w:val="auto"/>
                      <w:sz w:val="21"/>
                      <w:szCs w:val="21"/>
                      <w:lang w:bidi="ar"/>
                    </w:rPr>
                    <w:t>防渗单元</w:t>
                  </w:r>
                </w:p>
              </w:tc>
              <w:tc>
                <w:tcPr>
                  <w:tcW w:w="712" w:type="pct"/>
                  <w:vAlign w:val="center"/>
                </w:tcPr>
                <w:p w14:paraId="42B35398">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b/>
                      <w:bCs/>
                      <w:color w:val="auto"/>
                      <w:sz w:val="21"/>
                      <w:szCs w:val="21"/>
                    </w:rPr>
                  </w:pPr>
                  <w:r>
                    <w:rPr>
                      <w:b/>
                      <w:bCs/>
                      <w:color w:val="auto"/>
                      <w:sz w:val="21"/>
                      <w:szCs w:val="21"/>
                      <w:lang w:bidi="ar"/>
                    </w:rPr>
                    <w:t>防渗分区</w:t>
                  </w:r>
                </w:p>
              </w:tc>
              <w:tc>
                <w:tcPr>
                  <w:tcW w:w="3403" w:type="pct"/>
                  <w:vAlign w:val="center"/>
                </w:tcPr>
                <w:p w14:paraId="55621E81">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b/>
                      <w:bCs/>
                      <w:color w:val="auto"/>
                      <w:sz w:val="21"/>
                      <w:szCs w:val="21"/>
                    </w:rPr>
                  </w:pPr>
                  <w:r>
                    <w:rPr>
                      <w:b/>
                      <w:bCs/>
                      <w:color w:val="auto"/>
                      <w:sz w:val="21"/>
                      <w:szCs w:val="21"/>
                      <w:lang w:bidi="ar"/>
                    </w:rPr>
                    <w:t>防渗技术要求</w:t>
                  </w:r>
                </w:p>
              </w:tc>
            </w:tr>
            <w:tr w14:paraId="3B2A46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83" w:type="pct"/>
                  <w:vAlign w:val="center"/>
                </w:tcPr>
                <w:p w14:paraId="5CE5886D">
                  <w:pPr>
                    <w:pStyle w:val="224"/>
                    <w:keepNext w:val="0"/>
                    <w:keepLines w:val="0"/>
                    <w:pageBreakBefore w:val="0"/>
                    <w:kinsoku/>
                    <w:wordWrap/>
                    <w:topLinePunct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生产车间、危废仓库、污水站等</w:t>
                  </w:r>
                </w:p>
              </w:tc>
              <w:tc>
                <w:tcPr>
                  <w:tcW w:w="712" w:type="pct"/>
                  <w:vAlign w:val="center"/>
                </w:tcPr>
                <w:p w14:paraId="18D2899E">
                  <w:pPr>
                    <w:pStyle w:val="224"/>
                    <w:keepNext w:val="0"/>
                    <w:keepLines w:val="0"/>
                    <w:pageBreakBefore w:val="0"/>
                    <w:kinsoku/>
                    <w:wordWrap/>
                    <w:topLinePunct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rPr>
                  </w:pPr>
                  <w:r>
                    <w:rPr>
                      <w:rFonts w:ascii="Times New Roman" w:hAnsi="Times New Roman" w:cs="Times New Roman"/>
                      <w:color w:val="auto"/>
                      <w:spacing w:val="-6"/>
                      <w:sz w:val="21"/>
                      <w:szCs w:val="21"/>
                    </w:rPr>
                    <w:t>重点</w:t>
                  </w:r>
                  <w:r>
                    <w:rPr>
                      <w:rFonts w:ascii="Times New Roman" w:hAnsi="Times New Roman" w:cs="Times New Roman"/>
                      <w:color w:val="auto"/>
                      <w:spacing w:val="-9"/>
                      <w:sz w:val="21"/>
                      <w:szCs w:val="21"/>
                    </w:rPr>
                    <w:t>防渗</w:t>
                  </w:r>
                  <w:r>
                    <w:rPr>
                      <w:rFonts w:ascii="Times New Roman" w:hAnsi="Times New Roman" w:cs="Times New Roman"/>
                      <w:color w:val="auto"/>
                      <w:sz w:val="21"/>
                      <w:szCs w:val="21"/>
                    </w:rPr>
                    <w:t>区</w:t>
                  </w:r>
                </w:p>
              </w:tc>
              <w:tc>
                <w:tcPr>
                  <w:tcW w:w="3403" w:type="pct"/>
                  <w:vAlign w:val="center"/>
                </w:tcPr>
                <w:p w14:paraId="7469C040">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color w:val="auto"/>
                      <w:sz w:val="21"/>
                      <w:szCs w:val="21"/>
                    </w:rPr>
                  </w:pPr>
                  <w:r>
                    <w:rPr>
                      <w:color w:val="auto"/>
                      <w:sz w:val="21"/>
                      <w:szCs w:val="21"/>
                      <w:lang w:bidi="ar"/>
                    </w:rPr>
                    <w:t>防渗层为至少1m厚黏土层</w:t>
                  </w:r>
                  <w:r>
                    <w:rPr>
                      <w:rFonts w:hint="eastAsia"/>
                      <w:color w:val="auto"/>
                      <w:sz w:val="21"/>
                      <w:szCs w:val="21"/>
                      <w:lang w:eastAsia="zh-CN" w:bidi="ar"/>
                    </w:rPr>
                    <w:t>（</w:t>
                  </w:r>
                  <w:r>
                    <w:rPr>
                      <w:color w:val="auto"/>
                      <w:sz w:val="21"/>
                      <w:szCs w:val="21"/>
                      <w:lang w:bidi="ar"/>
                    </w:rPr>
                    <w:t>渗透系数≤10</w:t>
                  </w:r>
                  <w:r>
                    <w:rPr>
                      <w:rFonts w:hint="eastAsia"/>
                      <w:color w:val="auto"/>
                      <w:sz w:val="21"/>
                      <w:szCs w:val="21"/>
                      <w:lang w:eastAsia="zh-CN" w:bidi="ar"/>
                    </w:rPr>
                    <w:t>～</w:t>
                  </w:r>
                  <w:r>
                    <w:rPr>
                      <w:color w:val="auto"/>
                      <w:sz w:val="21"/>
                      <w:szCs w:val="21"/>
                      <w:vertAlign w:val="superscript"/>
                      <w:lang w:bidi="ar"/>
                    </w:rPr>
                    <w:t>7</w:t>
                  </w:r>
                  <w:r>
                    <w:rPr>
                      <w:color w:val="auto"/>
                      <w:sz w:val="21"/>
                      <w:szCs w:val="21"/>
                      <w:lang w:bidi="ar"/>
                    </w:rPr>
                    <w:t>cm/s</w:t>
                  </w:r>
                  <w:r>
                    <w:rPr>
                      <w:rFonts w:hint="eastAsia"/>
                      <w:color w:val="auto"/>
                      <w:sz w:val="21"/>
                      <w:szCs w:val="21"/>
                      <w:lang w:eastAsia="zh-CN" w:bidi="ar"/>
                    </w:rPr>
                    <w:t>）</w:t>
                  </w:r>
                  <w:r>
                    <w:rPr>
                      <w:color w:val="auto"/>
                      <w:sz w:val="21"/>
                      <w:szCs w:val="21"/>
                      <w:lang w:bidi="ar"/>
                    </w:rPr>
                    <w:t>，或至少2mm厚高密度聚乙烯膜等人工防渗材料</w:t>
                  </w:r>
                  <w:r>
                    <w:rPr>
                      <w:rFonts w:hint="eastAsia"/>
                      <w:color w:val="auto"/>
                      <w:sz w:val="21"/>
                      <w:szCs w:val="21"/>
                      <w:lang w:eastAsia="zh-CN" w:bidi="ar"/>
                    </w:rPr>
                    <w:t>（</w:t>
                  </w:r>
                  <w:r>
                    <w:rPr>
                      <w:color w:val="auto"/>
                      <w:sz w:val="21"/>
                      <w:szCs w:val="21"/>
                      <w:lang w:bidi="ar"/>
                    </w:rPr>
                    <w:t>渗透系数≤10</w:t>
                  </w:r>
                  <w:r>
                    <w:rPr>
                      <w:rFonts w:hint="eastAsia"/>
                      <w:color w:val="auto"/>
                      <w:sz w:val="21"/>
                      <w:szCs w:val="21"/>
                      <w:lang w:eastAsia="zh-CN" w:bidi="ar"/>
                    </w:rPr>
                    <w:t>～</w:t>
                  </w:r>
                  <w:r>
                    <w:rPr>
                      <w:color w:val="auto"/>
                      <w:sz w:val="21"/>
                      <w:szCs w:val="21"/>
                      <w:vertAlign w:val="superscript"/>
                      <w:lang w:bidi="ar"/>
                    </w:rPr>
                    <w:t>10</w:t>
                  </w:r>
                  <w:r>
                    <w:rPr>
                      <w:color w:val="auto"/>
                      <w:sz w:val="21"/>
                      <w:szCs w:val="21"/>
                      <w:lang w:bidi="ar"/>
                    </w:rPr>
                    <w:t>cm/s</w:t>
                  </w:r>
                  <w:r>
                    <w:rPr>
                      <w:rFonts w:hint="eastAsia"/>
                      <w:color w:val="auto"/>
                      <w:sz w:val="21"/>
                      <w:szCs w:val="21"/>
                      <w:lang w:eastAsia="zh-CN" w:bidi="ar"/>
                    </w:rPr>
                    <w:t>）</w:t>
                  </w:r>
                  <w:r>
                    <w:rPr>
                      <w:color w:val="auto"/>
                      <w:sz w:val="21"/>
                      <w:szCs w:val="21"/>
                      <w:lang w:bidi="ar"/>
                    </w:rPr>
                    <w:t>，或其他防渗性能等效的材料，四周应设置引流沟、收集池。</w:t>
                  </w:r>
                </w:p>
              </w:tc>
            </w:tr>
            <w:tr w14:paraId="4A722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83" w:type="pct"/>
                  <w:vAlign w:val="center"/>
                </w:tcPr>
                <w:p w14:paraId="4A91A39F">
                  <w:pPr>
                    <w:pStyle w:val="224"/>
                    <w:keepNext w:val="0"/>
                    <w:keepLines w:val="0"/>
                    <w:pageBreakBefore w:val="0"/>
                    <w:kinsoku/>
                    <w:wordWrap/>
                    <w:topLinePunct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lang w:eastAsia="zh-CN"/>
                    </w:rPr>
                    <w:t>原料</w:t>
                  </w:r>
                  <w:r>
                    <w:rPr>
                      <w:rFonts w:hint="eastAsia" w:ascii="Times New Roman" w:hAnsi="Times New Roman" w:cs="Times New Roman"/>
                      <w:color w:val="auto"/>
                      <w:sz w:val="21"/>
                      <w:szCs w:val="21"/>
                      <w:lang w:val="en-US" w:eastAsia="zh-CN"/>
                    </w:rPr>
                    <w:t>暂存区</w:t>
                  </w:r>
                  <w:r>
                    <w:rPr>
                      <w:rFonts w:ascii="Times New Roman" w:hAnsi="Times New Roman" w:cs="Times New Roman"/>
                      <w:color w:val="auto"/>
                      <w:sz w:val="21"/>
                      <w:szCs w:val="21"/>
                    </w:rPr>
                    <w:t>等</w:t>
                  </w:r>
                </w:p>
              </w:tc>
              <w:tc>
                <w:tcPr>
                  <w:tcW w:w="712" w:type="pct"/>
                  <w:vAlign w:val="center"/>
                </w:tcPr>
                <w:p w14:paraId="427225A1">
                  <w:pPr>
                    <w:pStyle w:val="224"/>
                    <w:keepNext w:val="0"/>
                    <w:keepLines w:val="0"/>
                    <w:pageBreakBefore w:val="0"/>
                    <w:kinsoku/>
                    <w:wordWrap/>
                    <w:topLinePunct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rPr>
                  </w:pPr>
                  <w:r>
                    <w:rPr>
                      <w:rFonts w:ascii="Times New Roman" w:hAnsi="Times New Roman" w:cs="Times New Roman"/>
                      <w:color w:val="auto"/>
                      <w:spacing w:val="-6"/>
                      <w:sz w:val="21"/>
                      <w:szCs w:val="21"/>
                    </w:rPr>
                    <w:t>一般</w:t>
                  </w:r>
                  <w:r>
                    <w:rPr>
                      <w:rFonts w:ascii="Times New Roman" w:hAnsi="Times New Roman" w:cs="Times New Roman"/>
                      <w:color w:val="auto"/>
                      <w:spacing w:val="-9"/>
                      <w:sz w:val="21"/>
                      <w:szCs w:val="21"/>
                    </w:rPr>
                    <w:t>防渗</w:t>
                  </w:r>
                  <w:r>
                    <w:rPr>
                      <w:rFonts w:ascii="Times New Roman" w:hAnsi="Times New Roman" w:cs="Times New Roman"/>
                      <w:color w:val="auto"/>
                      <w:sz w:val="21"/>
                      <w:szCs w:val="21"/>
                    </w:rPr>
                    <w:t>区</w:t>
                  </w:r>
                </w:p>
              </w:tc>
              <w:tc>
                <w:tcPr>
                  <w:tcW w:w="3403" w:type="pct"/>
                  <w:vAlign w:val="center"/>
                </w:tcPr>
                <w:p w14:paraId="4D11E12E">
                  <w:pPr>
                    <w:keepNext w:val="0"/>
                    <w:keepLines w:val="0"/>
                    <w:pageBreakBefore w:val="0"/>
                    <w:tabs>
                      <w:tab w:val="left" w:pos="2790"/>
                    </w:tabs>
                    <w:kinsoku/>
                    <w:wordWrap/>
                    <w:topLinePunct w:val="0"/>
                    <w:bidi w:val="0"/>
                    <w:adjustRightInd w:val="0"/>
                    <w:snapToGrid w:val="0"/>
                    <w:spacing w:line="240" w:lineRule="auto"/>
                    <w:ind w:left="0" w:right="0" w:firstLine="0" w:firstLineChars="0"/>
                    <w:jc w:val="center"/>
                    <w:textAlignment w:val="auto"/>
                    <w:rPr>
                      <w:color w:val="auto"/>
                      <w:sz w:val="21"/>
                      <w:szCs w:val="21"/>
                    </w:rPr>
                  </w:pPr>
                  <w:r>
                    <w:rPr>
                      <w:color w:val="auto"/>
                      <w:sz w:val="21"/>
                      <w:szCs w:val="21"/>
                      <w:lang w:bidi="ar"/>
                    </w:rPr>
                    <w:t>等效粘土防渗层Mb≥1.5m，K≤1×10</w:t>
                  </w:r>
                  <w:r>
                    <w:rPr>
                      <w:rFonts w:hint="eastAsia"/>
                      <w:color w:val="auto"/>
                      <w:sz w:val="21"/>
                      <w:szCs w:val="21"/>
                      <w:lang w:eastAsia="zh-CN" w:bidi="ar"/>
                    </w:rPr>
                    <w:t>～</w:t>
                  </w:r>
                  <w:r>
                    <w:rPr>
                      <w:color w:val="auto"/>
                      <w:sz w:val="21"/>
                      <w:szCs w:val="21"/>
                      <w:vertAlign w:val="superscript"/>
                      <w:lang w:bidi="ar"/>
                    </w:rPr>
                    <w:t>7</w:t>
                  </w:r>
                  <w:r>
                    <w:rPr>
                      <w:color w:val="auto"/>
                      <w:sz w:val="21"/>
                      <w:szCs w:val="21"/>
                      <w:lang w:bidi="ar"/>
                    </w:rPr>
                    <w:t>cm/s</w:t>
                  </w:r>
                </w:p>
              </w:tc>
            </w:tr>
            <w:tr w14:paraId="213ED3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83" w:type="pct"/>
                  <w:vAlign w:val="center"/>
                </w:tcPr>
                <w:p w14:paraId="453AF8EA">
                  <w:pPr>
                    <w:pStyle w:val="224"/>
                    <w:keepNext w:val="0"/>
                    <w:keepLines w:val="0"/>
                    <w:pageBreakBefore w:val="0"/>
                    <w:kinsoku/>
                    <w:wordWrap/>
                    <w:topLinePunct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公用工程房、办公房</w:t>
                  </w:r>
                </w:p>
              </w:tc>
              <w:tc>
                <w:tcPr>
                  <w:tcW w:w="712" w:type="pct"/>
                  <w:vAlign w:val="center"/>
                </w:tcPr>
                <w:p w14:paraId="2E231C37">
                  <w:pPr>
                    <w:pStyle w:val="224"/>
                    <w:keepNext w:val="0"/>
                    <w:keepLines w:val="0"/>
                    <w:pageBreakBefore w:val="0"/>
                    <w:kinsoku/>
                    <w:wordWrap/>
                    <w:topLinePunct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lang w:eastAsia="zh-CN"/>
                    </w:rPr>
                  </w:pPr>
                  <w:r>
                    <w:rPr>
                      <w:rFonts w:ascii="Times New Roman" w:hAnsi="Times New Roman" w:cs="Times New Roman"/>
                      <w:color w:val="auto"/>
                      <w:spacing w:val="-7"/>
                      <w:sz w:val="21"/>
                      <w:szCs w:val="21"/>
                      <w:lang w:eastAsia="zh-CN"/>
                    </w:rPr>
                    <w:t>简单</w:t>
                  </w:r>
                  <w:r>
                    <w:rPr>
                      <w:rFonts w:ascii="Times New Roman" w:hAnsi="Times New Roman" w:cs="Times New Roman"/>
                      <w:color w:val="auto"/>
                      <w:spacing w:val="-9"/>
                      <w:sz w:val="21"/>
                      <w:szCs w:val="21"/>
                      <w:lang w:eastAsia="zh-CN"/>
                    </w:rPr>
                    <w:t>防渗</w:t>
                  </w:r>
                  <w:r>
                    <w:rPr>
                      <w:rFonts w:ascii="Times New Roman" w:hAnsi="Times New Roman" w:cs="Times New Roman"/>
                      <w:color w:val="auto"/>
                      <w:sz w:val="21"/>
                      <w:szCs w:val="21"/>
                      <w:lang w:eastAsia="zh-CN"/>
                    </w:rPr>
                    <w:t>区</w:t>
                  </w:r>
                </w:p>
              </w:tc>
              <w:tc>
                <w:tcPr>
                  <w:tcW w:w="3403" w:type="pct"/>
                  <w:vAlign w:val="center"/>
                </w:tcPr>
                <w:p w14:paraId="32B998C2">
                  <w:pPr>
                    <w:pStyle w:val="224"/>
                    <w:keepNext w:val="0"/>
                    <w:keepLines w:val="0"/>
                    <w:pageBreakBefore w:val="0"/>
                    <w:kinsoku/>
                    <w:wordWrap/>
                    <w:topLinePunct w:val="0"/>
                    <w:bidi w:val="0"/>
                    <w:adjustRightInd w:val="0"/>
                    <w:snapToGrid w:val="0"/>
                    <w:spacing w:after="0" w:line="240" w:lineRule="auto"/>
                    <w:ind w:left="0" w:right="0" w:firstLine="0" w:firstLineChars="0"/>
                    <w:jc w:val="center"/>
                    <w:textAlignment w:val="auto"/>
                    <w:rPr>
                      <w:rFonts w:ascii="Times New Roman" w:hAnsi="Times New Roman" w:cs="Times New Roman"/>
                      <w:color w:val="auto"/>
                      <w:sz w:val="21"/>
                      <w:szCs w:val="21"/>
                      <w:lang w:eastAsia="zh-CN"/>
                    </w:rPr>
                  </w:pPr>
                  <w:r>
                    <w:rPr>
                      <w:rFonts w:ascii="Times New Roman" w:hAnsi="Times New Roman" w:cs="Times New Roman"/>
                      <w:color w:val="auto"/>
                      <w:sz w:val="21"/>
                      <w:szCs w:val="21"/>
                      <w:lang w:eastAsia="zh-CN"/>
                    </w:rPr>
                    <w:t>一般地面硬化</w:t>
                  </w:r>
                </w:p>
              </w:tc>
            </w:tr>
          </w:tbl>
          <w:p w14:paraId="5BB54A0A">
            <w:pPr>
              <w:widowControl/>
              <w:autoSpaceDE w:val="0"/>
              <w:autoSpaceDN w:val="0"/>
              <w:adjustRightInd w:val="0"/>
              <w:snapToGrid w:val="0"/>
              <w:spacing w:before="120" w:beforeLines="50" w:line="360" w:lineRule="auto"/>
              <w:ind w:left="0" w:leftChars="0" w:firstLine="482" w:firstLineChars="200"/>
              <w:jc w:val="left"/>
              <w:rPr>
                <w:b/>
                <w:color w:val="auto"/>
                <w:kern w:val="0"/>
              </w:rPr>
            </w:pPr>
            <w:r>
              <w:rPr>
                <w:b/>
                <w:color w:val="auto"/>
                <w:kern w:val="0"/>
              </w:rPr>
              <w:t>5.2</w:t>
            </w:r>
            <w:r>
              <w:rPr>
                <w:rFonts w:hint="eastAsia"/>
                <w:b/>
                <w:color w:val="auto"/>
                <w:kern w:val="0"/>
              </w:rPr>
              <w:t>跟踪</w:t>
            </w:r>
            <w:r>
              <w:rPr>
                <w:b/>
                <w:color w:val="auto"/>
                <w:kern w:val="0"/>
              </w:rPr>
              <w:t>监测计划</w:t>
            </w:r>
          </w:p>
          <w:p w14:paraId="184E6B70">
            <w:pPr>
              <w:widowControl/>
              <w:autoSpaceDE w:val="0"/>
              <w:autoSpaceDN w:val="0"/>
              <w:adjustRightInd w:val="0"/>
              <w:snapToGrid w:val="0"/>
              <w:spacing w:line="360" w:lineRule="auto"/>
              <w:ind w:firstLine="480"/>
              <w:jc w:val="left"/>
              <w:rPr>
                <w:color w:val="auto"/>
                <w:kern w:val="0"/>
                <w:highlight w:val="none"/>
              </w:rPr>
            </w:pPr>
            <w:r>
              <w:rPr>
                <w:rFonts w:hint="eastAsia"/>
                <w:color w:val="auto"/>
                <w:kern w:val="0"/>
              </w:rPr>
              <w:t>根据《排污单位自行监测技术指南总则》（HJ819-2017）：“</w:t>
            </w:r>
            <w:r>
              <w:rPr>
                <w:rFonts w:hint="eastAsia"/>
                <w:color w:val="auto"/>
                <w:kern w:val="0"/>
                <w:highlight w:val="none"/>
              </w:rPr>
              <w:t>涉重金属、难降解类有机污染物等重点排污单位土壤、地下水每年至少监测一次”；本项目行业类别为</w:t>
            </w:r>
            <w:r>
              <w:rPr>
                <w:rFonts w:hint="eastAsia"/>
                <w:color w:val="auto"/>
                <w:kern w:val="0"/>
                <w:highlight w:val="none"/>
                <w:lang w:val="en-US" w:eastAsia="zh-CN"/>
              </w:rPr>
              <w:t>化纤织造</w:t>
            </w:r>
            <w:r>
              <w:rPr>
                <w:rFonts w:hint="eastAsia"/>
                <w:color w:val="auto"/>
                <w:kern w:val="0"/>
                <w:highlight w:val="none"/>
              </w:rPr>
              <w:t>制造，</w:t>
            </w:r>
            <w:r>
              <w:rPr>
                <w:rFonts w:hint="eastAsia"/>
                <w:color w:val="auto"/>
                <w:kern w:val="0"/>
                <w:highlight w:val="none"/>
                <w:lang w:eastAsia="zh-CN"/>
              </w:rPr>
              <w:t>《环境影响评价技术导则地下水环境》（HJ610-2016）</w:t>
            </w:r>
            <w:r>
              <w:rPr>
                <w:rFonts w:hint="eastAsia"/>
                <w:color w:val="auto"/>
                <w:kern w:val="0"/>
                <w:highlight w:val="none"/>
              </w:rPr>
              <w:t>、《环境影响评价技术导则土壤环境（试行）》（HJ964-2018）皆未要求进行跟踪监测；本项目不涉及重金属、难降解类有机污染物，可不进行土壤、地下水跟踪监测。</w:t>
            </w:r>
          </w:p>
          <w:p w14:paraId="761D3FE9">
            <w:pPr>
              <w:pStyle w:val="25"/>
              <w:snapToGrid w:val="0"/>
              <w:spacing w:before="0" w:beforeLines="0"/>
              <w:ind w:firstLine="472" w:firstLineChars="196"/>
              <w:rPr>
                <w:color w:val="auto"/>
                <w:sz w:val="24"/>
                <w:szCs w:val="24"/>
              </w:rPr>
            </w:pPr>
            <w:bookmarkStart w:id="7" w:name="_Toc26795"/>
            <w:r>
              <w:rPr>
                <w:rFonts w:hint="eastAsia"/>
                <w:color w:val="auto"/>
                <w:sz w:val="24"/>
                <w:szCs w:val="24"/>
              </w:rPr>
              <w:t>六、</w:t>
            </w:r>
            <w:r>
              <w:rPr>
                <w:color w:val="auto"/>
                <w:sz w:val="24"/>
                <w:szCs w:val="24"/>
              </w:rPr>
              <w:t>环境风险影响分析及防控措施</w:t>
            </w:r>
            <w:bookmarkEnd w:id="7"/>
          </w:p>
          <w:p w14:paraId="7929E573">
            <w:pPr>
              <w:adjustRightInd w:val="0"/>
              <w:snapToGrid w:val="0"/>
              <w:spacing w:line="360" w:lineRule="auto"/>
              <w:ind w:firstLine="480"/>
              <w:rPr>
                <w:rFonts w:hint="default" w:ascii="Times New Roman" w:hAnsi="Times New Roman" w:eastAsia="宋体" w:cs="Times New Roman"/>
                <w:b/>
                <w:bCs/>
                <w:color w:val="auto"/>
              </w:rPr>
            </w:pPr>
            <w:r>
              <w:rPr>
                <w:rFonts w:hint="default" w:ascii="Times New Roman" w:hAnsi="Times New Roman" w:eastAsia="宋体" w:cs="Times New Roman"/>
                <w:color w:val="auto"/>
                <w:lang w:bidi="ar"/>
              </w:rPr>
              <w:t>本项目建设后，</w:t>
            </w:r>
            <w:r>
              <w:rPr>
                <w:rFonts w:hint="eastAsia" w:cs="Times New Roman"/>
                <w:color w:val="auto"/>
                <w:lang w:eastAsia="zh-CN" w:bidi="ar"/>
              </w:rPr>
              <w:t>涉及</w:t>
            </w:r>
            <w:r>
              <w:rPr>
                <w:rFonts w:hint="default" w:ascii="Times New Roman" w:hAnsi="Times New Roman" w:eastAsia="宋体" w:cs="Times New Roman"/>
                <w:color w:val="auto"/>
                <w:lang w:bidi="ar"/>
              </w:rPr>
              <w:t>的风险物质主要为</w:t>
            </w:r>
            <w:r>
              <w:rPr>
                <w:rFonts w:hint="eastAsia" w:cs="Times New Roman"/>
                <w:color w:val="auto"/>
                <w:lang w:val="en-US" w:eastAsia="zh-CN" w:bidi="ar"/>
              </w:rPr>
              <w:t>油剂和</w:t>
            </w:r>
            <w:r>
              <w:rPr>
                <w:rFonts w:hint="default" w:ascii="Times New Roman" w:hAnsi="Times New Roman" w:eastAsia="宋体" w:cs="Times New Roman"/>
                <w:color w:val="auto"/>
                <w:lang w:bidi="ar"/>
              </w:rPr>
              <w:t>危险废物，根据《建设项目环境风险评价技术导则》</w:t>
            </w:r>
            <w:r>
              <w:rPr>
                <w:rFonts w:hint="eastAsia" w:cs="Times New Roman"/>
                <w:color w:val="auto"/>
                <w:lang w:eastAsia="zh-CN" w:bidi="ar"/>
              </w:rPr>
              <w:t>（</w:t>
            </w:r>
            <w:r>
              <w:rPr>
                <w:rFonts w:hint="default" w:ascii="Times New Roman" w:hAnsi="Times New Roman" w:eastAsia="宋体" w:cs="Times New Roman"/>
                <w:color w:val="auto"/>
                <w:lang w:bidi="ar"/>
              </w:rPr>
              <w:t>HJ169-2018</w:t>
            </w:r>
            <w:r>
              <w:rPr>
                <w:rFonts w:hint="eastAsia" w:cs="Times New Roman"/>
                <w:color w:val="auto"/>
                <w:lang w:eastAsia="zh-CN" w:bidi="ar"/>
              </w:rPr>
              <w:t>）</w:t>
            </w:r>
            <w:r>
              <w:rPr>
                <w:rFonts w:hint="default" w:ascii="Times New Roman" w:hAnsi="Times New Roman" w:eastAsia="宋体" w:cs="Times New Roman"/>
                <w:color w:val="auto"/>
                <w:lang w:bidi="ar"/>
              </w:rPr>
              <w:t>附录B中所列风险物质，本项目风险物质的存在量及临界量见表4-</w:t>
            </w:r>
            <w:r>
              <w:rPr>
                <w:rFonts w:hint="eastAsia" w:cs="Times New Roman"/>
                <w:color w:val="auto"/>
                <w:lang w:val="en-US" w:eastAsia="zh-CN" w:bidi="ar"/>
              </w:rPr>
              <w:t>30</w:t>
            </w:r>
            <w:r>
              <w:rPr>
                <w:rFonts w:hint="default" w:ascii="Times New Roman" w:hAnsi="Times New Roman" w:eastAsia="宋体" w:cs="Times New Roman"/>
                <w:color w:val="auto"/>
                <w:lang w:bidi="ar"/>
              </w:rPr>
              <w:t>。</w:t>
            </w:r>
          </w:p>
          <w:p w14:paraId="16C30CBE">
            <w:pPr>
              <w:spacing w:line="240" w:lineRule="auto"/>
              <w:ind w:firstLine="0" w:firstLine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表4-</w:t>
            </w:r>
            <w:r>
              <w:rPr>
                <w:rFonts w:hint="eastAsia" w:cs="Times New Roman"/>
                <w:b/>
                <w:bCs/>
                <w:color w:val="auto"/>
                <w:lang w:val="en-US" w:eastAsia="zh-CN"/>
              </w:rPr>
              <w:t>30</w:t>
            </w:r>
            <w:r>
              <w:rPr>
                <w:rFonts w:hint="default" w:ascii="Times New Roman" w:hAnsi="Times New Roman" w:eastAsia="宋体" w:cs="Times New Roman"/>
                <w:b/>
                <w:bCs/>
                <w:color w:val="auto"/>
              </w:rPr>
              <w:t>危险物质数量与临界量比值</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73"/>
              <w:gridCol w:w="2998"/>
              <w:gridCol w:w="2282"/>
              <w:gridCol w:w="1364"/>
            </w:tblGrid>
            <w:tr w14:paraId="5A24F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232" w:type="pct"/>
                  <w:vAlign w:val="center"/>
                </w:tcPr>
                <w:p w14:paraId="67F56257">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危险化学品</w:t>
                  </w:r>
                </w:p>
              </w:tc>
              <w:tc>
                <w:tcPr>
                  <w:tcW w:w="1700" w:type="pct"/>
                  <w:vAlign w:val="center"/>
                </w:tcPr>
                <w:p w14:paraId="2165A6E9">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最大存储量（t）</w:t>
                  </w:r>
                </w:p>
              </w:tc>
              <w:tc>
                <w:tcPr>
                  <w:tcW w:w="1293" w:type="pct"/>
                  <w:vAlign w:val="center"/>
                </w:tcPr>
                <w:p w14:paraId="19754C4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临界量（t）</w:t>
                  </w:r>
                </w:p>
              </w:tc>
              <w:tc>
                <w:tcPr>
                  <w:tcW w:w="773" w:type="pct"/>
                  <w:vAlign w:val="center"/>
                </w:tcPr>
                <w:p w14:paraId="3327889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q/Q</w:t>
                  </w:r>
                </w:p>
              </w:tc>
            </w:tr>
            <w:tr w14:paraId="0A184A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2" w:type="pct"/>
                  <w:vAlign w:val="center"/>
                </w:tcPr>
                <w:p w14:paraId="52E477EF">
                  <w:pPr>
                    <w:adjustRightInd w:val="0"/>
                    <w:snapToGrid w:val="0"/>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油剂</w:t>
                  </w:r>
                </w:p>
              </w:tc>
              <w:tc>
                <w:tcPr>
                  <w:tcW w:w="1700" w:type="pct"/>
                  <w:vAlign w:val="center"/>
                </w:tcPr>
                <w:p w14:paraId="10B38861">
                  <w:pPr>
                    <w:adjustRightInd w:val="0"/>
                    <w:snapToGrid w:val="0"/>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2</w:t>
                  </w:r>
                </w:p>
              </w:tc>
              <w:tc>
                <w:tcPr>
                  <w:tcW w:w="1293" w:type="pct"/>
                  <w:vAlign w:val="center"/>
                </w:tcPr>
                <w:p w14:paraId="529E38C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2500</w:t>
                  </w:r>
                </w:p>
              </w:tc>
              <w:tc>
                <w:tcPr>
                  <w:tcW w:w="773" w:type="pct"/>
                  <w:vAlign w:val="center"/>
                </w:tcPr>
                <w:p w14:paraId="7EC8AB12">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0.0008</w:t>
                  </w:r>
                </w:p>
              </w:tc>
            </w:tr>
            <w:tr w14:paraId="5B3935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2" w:type="pct"/>
                  <w:vAlign w:val="center"/>
                </w:tcPr>
                <w:p w14:paraId="39F7BB8A">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机油</w:t>
                  </w:r>
                </w:p>
              </w:tc>
              <w:tc>
                <w:tcPr>
                  <w:tcW w:w="1700" w:type="pct"/>
                  <w:vAlign w:val="center"/>
                </w:tcPr>
                <w:p w14:paraId="573EDEC7">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0.17</w:t>
                  </w:r>
                </w:p>
              </w:tc>
              <w:tc>
                <w:tcPr>
                  <w:tcW w:w="1293" w:type="pct"/>
                  <w:vAlign w:val="center"/>
                </w:tcPr>
                <w:p w14:paraId="6F47A61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2500</w:t>
                  </w:r>
                </w:p>
              </w:tc>
              <w:tc>
                <w:tcPr>
                  <w:tcW w:w="773" w:type="pct"/>
                  <w:vAlign w:val="center"/>
                </w:tcPr>
                <w:p w14:paraId="2FB8C8A2">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0.00007</w:t>
                  </w:r>
                </w:p>
              </w:tc>
            </w:tr>
            <w:tr w14:paraId="17A402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2" w:type="pct"/>
                  <w:vAlign w:val="center"/>
                </w:tcPr>
                <w:p w14:paraId="372EBF3C">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w:t>
                  </w:r>
                </w:p>
              </w:tc>
              <w:tc>
                <w:tcPr>
                  <w:tcW w:w="1700" w:type="pct"/>
                  <w:vAlign w:val="center"/>
                </w:tcPr>
                <w:p w14:paraId="25095BD8">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yellow"/>
                      <w:lang w:val="en-US" w:eastAsia="zh-CN"/>
                    </w:rPr>
                  </w:pPr>
                  <w:r>
                    <w:rPr>
                      <w:rFonts w:hint="eastAsia" w:cs="Times New Roman"/>
                      <w:color w:val="auto"/>
                      <w:sz w:val="21"/>
                      <w:szCs w:val="21"/>
                      <w:highlight w:val="none"/>
                      <w:lang w:val="en-US" w:eastAsia="zh-CN"/>
                    </w:rPr>
                    <w:t>34.816</w:t>
                  </w:r>
                </w:p>
              </w:tc>
              <w:tc>
                <w:tcPr>
                  <w:tcW w:w="1293" w:type="pct"/>
                  <w:vAlign w:val="center"/>
                </w:tcPr>
                <w:p w14:paraId="41C88F5F">
                  <w:pPr>
                    <w:adjustRightInd w:val="0"/>
                    <w:snapToGrid w:val="0"/>
                    <w:spacing w:line="240" w:lineRule="auto"/>
                    <w:ind w:firstLine="0" w:firstLineChars="0"/>
                    <w:jc w:val="center"/>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color w:val="auto"/>
                      <w:sz w:val="21"/>
                      <w:szCs w:val="21"/>
                      <w:highlight w:val="none"/>
                    </w:rPr>
                    <w:t>50</w:t>
                  </w:r>
                </w:p>
              </w:tc>
              <w:tc>
                <w:tcPr>
                  <w:tcW w:w="773" w:type="pct"/>
                  <w:vAlign w:val="center"/>
                </w:tcPr>
                <w:p w14:paraId="2C479F0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0.69632</w:t>
                  </w:r>
                </w:p>
              </w:tc>
            </w:tr>
            <w:tr w14:paraId="1E438B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226" w:type="pct"/>
                  <w:gridSpan w:val="3"/>
                  <w:vAlign w:val="center"/>
                </w:tcPr>
                <w:p w14:paraId="22545F11">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合计</w:t>
                  </w:r>
                </w:p>
              </w:tc>
              <w:tc>
                <w:tcPr>
                  <w:tcW w:w="773" w:type="pct"/>
                  <w:vAlign w:val="center"/>
                </w:tcPr>
                <w:p w14:paraId="48029BEC">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r>
                    <w:rPr>
                      <w:rFonts w:hint="eastAsia" w:cs="Times New Roman"/>
                      <w:color w:val="auto"/>
                      <w:sz w:val="21"/>
                      <w:szCs w:val="21"/>
                      <w:lang w:val="en-US" w:eastAsia="zh-CN"/>
                    </w:rPr>
                    <w:t>69719</w:t>
                  </w:r>
                </w:p>
              </w:tc>
            </w:tr>
          </w:tbl>
          <w:p w14:paraId="61847195">
            <w:pPr>
              <w:snapToGrid w:val="0"/>
              <w:spacing w:line="360" w:lineRule="auto"/>
              <w:ind w:firstLine="480"/>
              <w:rPr>
                <w:rFonts w:hint="default" w:ascii="Times New Roman" w:hAnsi="Times New Roman" w:eastAsia="宋体" w:cs="Times New Roman"/>
                <w:color w:val="auto"/>
                <w:kern w:val="0"/>
                <w:szCs w:val="20"/>
              </w:rPr>
            </w:pPr>
            <w:r>
              <w:rPr>
                <w:rFonts w:hint="default" w:ascii="Times New Roman" w:hAnsi="Times New Roman" w:eastAsia="宋体" w:cs="Times New Roman"/>
                <w:color w:val="auto"/>
              </w:rPr>
              <w:t>本项目风险物质数量与临界量比值Q=</w:t>
            </w:r>
            <w:r>
              <w:rPr>
                <w:rFonts w:hint="eastAsia" w:cs="Times New Roman"/>
                <w:color w:val="auto"/>
                <w:lang w:val="en-US" w:eastAsia="zh-CN"/>
              </w:rPr>
              <w:t>0.69719</w:t>
            </w:r>
            <w:r>
              <w:rPr>
                <w:rFonts w:hint="default" w:ascii="Times New Roman" w:hAnsi="Times New Roman" w:eastAsia="宋体" w:cs="Times New Roman"/>
                <w:color w:val="auto"/>
              </w:rPr>
              <w:t>&lt;1，环境风险简单分析即可。</w:t>
            </w:r>
          </w:p>
          <w:p w14:paraId="6FF3B46E">
            <w:pPr>
              <w:snapToGrid w:val="0"/>
              <w:spacing w:line="360" w:lineRule="auto"/>
              <w:ind w:firstLine="480"/>
              <w:jc w:val="left"/>
              <w:rPr>
                <w:rFonts w:hint="default" w:ascii="Times New Roman" w:hAnsi="Times New Roman" w:eastAsia="宋体" w:cs="Times New Roman"/>
                <w:color w:val="auto"/>
                <w:lang w:bidi="ar"/>
              </w:rPr>
            </w:pPr>
            <w:r>
              <w:rPr>
                <w:rFonts w:hint="default" w:ascii="Times New Roman" w:hAnsi="Times New Roman" w:eastAsia="宋体" w:cs="Times New Roman"/>
                <w:color w:val="auto"/>
                <w:lang w:bidi="ar"/>
              </w:rPr>
              <w:t>本项目</w:t>
            </w:r>
            <w:r>
              <w:rPr>
                <w:rFonts w:hint="eastAsia" w:cs="Times New Roman"/>
                <w:color w:val="auto"/>
                <w:lang w:eastAsia="zh-CN" w:bidi="ar"/>
              </w:rPr>
              <w:t>涉及</w:t>
            </w:r>
            <w:r>
              <w:rPr>
                <w:rFonts w:hint="default" w:ascii="Times New Roman" w:hAnsi="Times New Roman" w:eastAsia="宋体" w:cs="Times New Roman"/>
                <w:color w:val="auto"/>
                <w:lang w:bidi="ar"/>
              </w:rPr>
              <w:t>的有毒有害、易燃易爆等危险物质、风险源分布情况、可能影响途径、相应环境风险防范措施见建设项目环境风险简单分析内容表4-</w:t>
            </w:r>
            <w:r>
              <w:rPr>
                <w:rFonts w:hint="eastAsia" w:cs="Times New Roman"/>
                <w:color w:val="auto"/>
                <w:lang w:val="en-US" w:eastAsia="zh-CN" w:bidi="ar"/>
              </w:rPr>
              <w:t>31</w:t>
            </w:r>
            <w:r>
              <w:rPr>
                <w:rFonts w:hint="default" w:ascii="Times New Roman" w:hAnsi="Times New Roman" w:eastAsia="宋体" w:cs="Times New Roman"/>
                <w:color w:val="auto"/>
                <w:lang w:bidi="ar"/>
              </w:rPr>
              <w:t>。</w:t>
            </w:r>
          </w:p>
          <w:p w14:paraId="14AB6B44">
            <w:pPr>
              <w:adjustRightInd w:val="0"/>
              <w:snapToGrid w:val="0"/>
              <w:spacing w:line="240" w:lineRule="auto"/>
              <w:ind w:firstLine="0" w:firstLineChars="0"/>
              <w:jc w:val="center"/>
              <w:rPr>
                <w:rFonts w:hint="default" w:ascii="Times New Roman" w:hAnsi="Times New Roman" w:eastAsia="宋体" w:cs="Times New Roman"/>
                <w:b/>
                <w:color w:val="auto"/>
              </w:rPr>
            </w:pPr>
            <w:r>
              <w:rPr>
                <w:rFonts w:hint="default" w:ascii="Times New Roman" w:hAnsi="Times New Roman" w:eastAsia="宋体" w:cs="Times New Roman"/>
                <w:b/>
                <w:color w:val="auto"/>
              </w:rPr>
              <w:t>表4-</w:t>
            </w:r>
            <w:r>
              <w:rPr>
                <w:rFonts w:hint="eastAsia" w:cs="Times New Roman"/>
                <w:b/>
                <w:color w:val="auto"/>
                <w:lang w:val="en-US" w:eastAsia="zh-CN"/>
              </w:rPr>
              <w:t>31</w:t>
            </w:r>
            <w:r>
              <w:rPr>
                <w:rFonts w:hint="default" w:ascii="Times New Roman" w:hAnsi="Times New Roman" w:eastAsia="宋体" w:cs="Times New Roman"/>
                <w:b/>
                <w:color w:val="auto"/>
              </w:rPr>
              <w:t>建设项目环境风险简单分析内容表</w:t>
            </w:r>
          </w:p>
          <w:tbl>
            <w:tblPr>
              <w:tblStyle w:val="38"/>
              <w:tblW w:w="8399" w:type="dxa"/>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1478"/>
              <w:gridCol w:w="2135"/>
              <w:gridCol w:w="1594"/>
              <w:gridCol w:w="1594"/>
              <w:gridCol w:w="1598"/>
            </w:tblGrid>
            <w:tr w14:paraId="13C2C2A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170" w:hRule="atLeast"/>
                <w:jc w:val="center"/>
              </w:trPr>
              <w:tc>
                <w:tcPr>
                  <w:tcW w:w="1478" w:type="dxa"/>
                  <w:vAlign w:val="center"/>
                </w:tcPr>
                <w:p w14:paraId="6F66121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建设项目名称</w:t>
                  </w:r>
                </w:p>
              </w:tc>
              <w:tc>
                <w:tcPr>
                  <w:tcW w:w="6921" w:type="dxa"/>
                  <w:gridSpan w:val="4"/>
                  <w:vAlign w:val="center"/>
                </w:tcPr>
                <w:p w14:paraId="28A0DFC6">
                  <w:pPr>
                    <w:adjustRightInd w:val="0"/>
                    <w:snapToGrid w:val="0"/>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江苏青煊纺织有限公司年产3000万米化纤面料项目</w:t>
                  </w:r>
                </w:p>
              </w:tc>
            </w:tr>
            <w:tr w14:paraId="053A6B3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0" w:hRule="atLeast"/>
                <w:jc w:val="center"/>
              </w:trPr>
              <w:tc>
                <w:tcPr>
                  <w:tcW w:w="1478" w:type="dxa"/>
                  <w:vAlign w:val="center"/>
                </w:tcPr>
                <w:p w14:paraId="7254A814">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建设地点</w:t>
                  </w:r>
                </w:p>
              </w:tc>
              <w:tc>
                <w:tcPr>
                  <w:tcW w:w="6921" w:type="dxa"/>
                  <w:gridSpan w:val="4"/>
                  <w:vAlign w:val="center"/>
                </w:tcPr>
                <w:p w14:paraId="7F1AFFB4">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eastAsia" w:cs="Times New Roman"/>
                      <w:color w:val="auto"/>
                      <w:kern w:val="0"/>
                      <w:sz w:val="21"/>
                      <w:szCs w:val="21"/>
                      <w:lang w:val="en-US" w:eastAsia="zh-CN"/>
                    </w:rPr>
                    <w:t>宿迁市泗阳县新袁镇仁和路东侧、新河路南侧（3）2#厂房</w:t>
                  </w:r>
                </w:p>
              </w:tc>
            </w:tr>
            <w:tr w14:paraId="74031D0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07" w:hRule="atLeast"/>
                <w:jc w:val="center"/>
              </w:trPr>
              <w:tc>
                <w:tcPr>
                  <w:tcW w:w="1478" w:type="dxa"/>
                  <w:vAlign w:val="center"/>
                </w:tcPr>
                <w:p w14:paraId="2BD8B8C3">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地理坐标</w:t>
                  </w:r>
                </w:p>
              </w:tc>
              <w:tc>
                <w:tcPr>
                  <w:tcW w:w="3729" w:type="dxa"/>
                  <w:gridSpan w:val="2"/>
                  <w:vAlign w:val="center"/>
                </w:tcPr>
                <w:p w14:paraId="02959458">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经度：118.</w:t>
                  </w:r>
                  <w:r>
                    <w:rPr>
                      <w:rFonts w:hint="eastAsia" w:ascii="Times New Roman" w:hAnsi="Times New Roman" w:eastAsia="宋体" w:cs="Times New Roman"/>
                      <w:color w:val="auto"/>
                      <w:sz w:val="21"/>
                      <w:szCs w:val="21"/>
                      <w:lang w:val="en-US" w:eastAsia="zh-CN"/>
                    </w:rPr>
                    <w:t>7</w:t>
                  </w:r>
                  <w:r>
                    <w:rPr>
                      <w:rFonts w:hint="eastAsia" w:cs="Times New Roman"/>
                      <w:color w:val="auto"/>
                      <w:sz w:val="21"/>
                      <w:szCs w:val="21"/>
                      <w:lang w:val="en-US" w:eastAsia="zh-CN"/>
                    </w:rPr>
                    <w:t>5675</w:t>
                  </w:r>
                </w:p>
              </w:tc>
              <w:tc>
                <w:tcPr>
                  <w:tcW w:w="3192" w:type="dxa"/>
                  <w:gridSpan w:val="2"/>
                  <w:vAlign w:val="center"/>
                </w:tcPr>
                <w:p w14:paraId="101DADF7">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纬度：33.</w:t>
                  </w:r>
                  <w:r>
                    <w:rPr>
                      <w:rFonts w:hint="eastAsia" w:ascii="Times New Roman" w:hAnsi="Times New Roman" w:eastAsia="宋体" w:cs="Times New Roman"/>
                      <w:color w:val="auto"/>
                      <w:sz w:val="21"/>
                      <w:szCs w:val="21"/>
                      <w:lang w:val="en-US" w:eastAsia="zh-CN"/>
                    </w:rPr>
                    <w:t>5</w:t>
                  </w:r>
                  <w:r>
                    <w:rPr>
                      <w:rFonts w:hint="eastAsia" w:cs="Times New Roman"/>
                      <w:color w:val="auto"/>
                      <w:sz w:val="21"/>
                      <w:szCs w:val="21"/>
                      <w:lang w:val="en-US" w:eastAsia="zh-CN"/>
                    </w:rPr>
                    <w:t>5976</w:t>
                  </w:r>
                </w:p>
              </w:tc>
            </w:tr>
            <w:tr w14:paraId="382A2E2C">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03" w:hRule="atLeast"/>
                <w:jc w:val="center"/>
              </w:trPr>
              <w:tc>
                <w:tcPr>
                  <w:tcW w:w="1478" w:type="dxa"/>
                  <w:vMerge w:val="restart"/>
                  <w:vAlign w:val="center"/>
                </w:tcPr>
                <w:p w14:paraId="22423B5C">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主要危险物质及分布</w:t>
                  </w:r>
                </w:p>
              </w:tc>
              <w:tc>
                <w:tcPr>
                  <w:tcW w:w="2135" w:type="dxa"/>
                  <w:vAlign w:val="center"/>
                </w:tcPr>
                <w:p w14:paraId="628A580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物质名称</w:t>
                  </w:r>
                </w:p>
              </w:tc>
              <w:tc>
                <w:tcPr>
                  <w:tcW w:w="1594" w:type="dxa"/>
                  <w:vAlign w:val="center"/>
                </w:tcPr>
                <w:p w14:paraId="2D160B0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贮存位置</w:t>
                  </w:r>
                </w:p>
              </w:tc>
              <w:tc>
                <w:tcPr>
                  <w:tcW w:w="1594" w:type="dxa"/>
                  <w:vAlign w:val="center"/>
                </w:tcPr>
                <w:p w14:paraId="53CF295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贮存方式</w:t>
                  </w:r>
                </w:p>
              </w:tc>
              <w:tc>
                <w:tcPr>
                  <w:tcW w:w="1598" w:type="dxa"/>
                  <w:vAlign w:val="center"/>
                </w:tcPr>
                <w:p w14:paraId="23661DA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最大贮存量</w:t>
                  </w:r>
                </w:p>
              </w:tc>
            </w:tr>
            <w:tr w14:paraId="5D9C48C2">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7" w:hRule="atLeast"/>
                <w:jc w:val="center"/>
              </w:trPr>
              <w:tc>
                <w:tcPr>
                  <w:tcW w:w="1478" w:type="dxa"/>
                  <w:vMerge w:val="continue"/>
                  <w:vAlign w:val="center"/>
                </w:tcPr>
                <w:p w14:paraId="7406107F">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2135" w:type="dxa"/>
                  <w:shd w:val="clear" w:color="auto" w:fill="auto"/>
                  <w:vAlign w:val="center"/>
                </w:tcPr>
                <w:p w14:paraId="345B4D5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油剂</w:t>
                  </w:r>
                </w:p>
              </w:tc>
              <w:tc>
                <w:tcPr>
                  <w:tcW w:w="1594" w:type="dxa"/>
                  <w:vAlign w:val="center"/>
                </w:tcPr>
                <w:p w14:paraId="112B1B37">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原料仓库</w:t>
                  </w:r>
                </w:p>
              </w:tc>
              <w:tc>
                <w:tcPr>
                  <w:tcW w:w="1594" w:type="dxa"/>
                  <w:vAlign w:val="center"/>
                </w:tcPr>
                <w:p w14:paraId="79F7D5F2">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桶装</w:t>
                  </w:r>
                </w:p>
              </w:tc>
              <w:tc>
                <w:tcPr>
                  <w:tcW w:w="1598" w:type="dxa"/>
                  <w:vAlign w:val="center"/>
                </w:tcPr>
                <w:p w14:paraId="3E02E800">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rPr>
                    <w:t>t</w:t>
                  </w:r>
                </w:p>
              </w:tc>
            </w:tr>
            <w:tr w14:paraId="3969B96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7" w:hRule="atLeast"/>
                <w:jc w:val="center"/>
              </w:trPr>
              <w:tc>
                <w:tcPr>
                  <w:tcW w:w="1478" w:type="dxa"/>
                  <w:vMerge w:val="continue"/>
                  <w:vAlign w:val="center"/>
                </w:tcPr>
                <w:p w14:paraId="4417D75D">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2135" w:type="dxa"/>
                  <w:shd w:val="clear" w:color="auto" w:fill="auto"/>
                  <w:vAlign w:val="center"/>
                </w:tcPr>
                <w:p w14:paraId="72BA48C5">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机油</w:t>
                  </w:r>
                </w:p>
              </w:tc>
              <w:tc>
                <w:tcPr>
                  <w:tcW w:w="1594" w:type="dxa"/>
                  <w:vAlign w:val="center"/>
                </w:tcPr>
                <w:p w14:paraId="68307F5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原料仓库</w:t>
                  </w:r>
                </w:p>
              </w:tc>
              <w:tc>
                <w:tcPr>
                  <w:tcW w:w="1594" w:type="dxa"/>
                  <w:vAlign w:val="center"/>
                </w:tcPr>
                <w:p w14:paraId="2D781BAC">
                  <w:pPr>
                    <w:adjustRightInd w:val="0"/>
                    <w:snapToGri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桶装</w:t>
                  </w:r>
                </w:p>
              </w:tc>
              <w:tc>
                <w:tcPr>
                  <w:tcW w:w="1598" w:type="dxa"/>
                  <w:vAlign w:val="center"/>
                </w:tcPr>
                <w:p w14:paraId="0154B5CC">
                  <w:pPr>
                    <w:adjustRightInd w:val="0"/>
                    <w:snapToGrid w:val="0"/>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0.17t</w:t>
                  </w:r>
                </w:p>
              </w:tc>
            </w:tr>
            <w:tr w14:paraId="060728F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297" w:hRule="atLeast"/>
                <w:jc w:val="center"/>
              </w:trPr>
              <w:tc>
                <w:tcPr>
                  <w:tcW w:w="1478" w:type="dxa"/>
                  <w:vMerge w:val="continue"/>
                  <w:vAlign w:val="center"/>
                </w:tcPr>
                <w:p w14:paraId="4692188C">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p>
              </w:tc>
              <w:tc>
                <w:tcPr>
                  <w:tcW w:w="2135" w:type="dxa"/>
                  <w:shd w:val="clear" w:color="auto" w:fill="auto"/>
                  <w:vAlign w:val="center"/>
                </w:tcPr>
                <w:p w14:paraId="720414CA">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危险废物</w:t>
                  </w:r>
                </w:p>
              </w:tc>
              <w:tc>
                <w:tcPr>
                  <w:tcW w:w="1594" w:type="dxa"/>
                  <w:vAlign w:val="center"/>
                </w:tcPr>
                <w:p w14:paraId="3C6E42B5">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危废仓库</w:t>
                  </w:r>
                </w:p>
              </w:tc>
              <w:tc>
                <w:tcPr>
                  <w:tcW w:w="1594" w:type="dxa"/>
                  <w:vAlign w:val="center"/>
                </w:tcPr>
                <w:p w14:paraId="51D3AB4B">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桶装/袋装</w:t>
                  </w:r>
                </w:p>
              </w:tc>
              <w:tc>
                <w:tcPr>
                  <w:tcW w:w="1598" w:type="dxa"/>
                  <w:vAlign w:val="center"/>
                </w:tcPr>
                <w:p w14:paraId="08225A75">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eastAsia" w:cs="Times New Roman"/>
                      <w:color w:val="auto"/>
                      <w:sz w:val="21"/>
                      <w:szCs w:val="21"/>
                      <w:highlight w:val="none"/>
                      <w:lang w:val="en-US" w:eastAsia="zh-CN"/>
                    </w:rPr>
                    <w:t>34.816</w:t>
                  </w:r>
                  <w:r>
                    <w:rPr>
                      <w:rFonts w:hint="default" w:ascii="Times New Roman" w:hAnsi="Times New Roman" w:eastAsia="宋体" w:cs="Times New Roman"/>
                      <w:color w:val="auto"/>
                      <w:sz w:val="21"/>
                      <w:szCs w:val="21"/>
                      <w:highlight w:val="none"/>
                    </w:rPr>
                    <w:t>t</w:t>
                  </w:r>
                </w:p>
              </w:tc>
            </w:tr>
            <w:tr w14:paraId="4E67903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132" w:hRule="atLeast"/>
                <w:jc w:val="center"/>
              </w:trPr>
              <w:tc>
                <w:tcPr>
                  <w:tcW w:w="1478" w:type="dxa"/>
                  <w:vAlign w:val="center"/>
                </w:tcPr>
                <w:p w14:paraId="3E80735B">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环境影响途径及危害后果（大气、地表水、地下水等）</w:t>
                  </w:r>
                </w:p>
              </w:tc>
              <w:tc>
                <w:tcPr>
                  <w:tcW w:w="6921" w:type="dxa"/>
                  <w:gridSpan w:val="4"/>
                  <w:vAlign w:val="center"/>
                </w:tcPr>
                <w:p w14:paraId="04E7BBDC">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（1）对大气环境的危害后果</w:t>
                  </w:r>
                </w:p>
                <w:p w14:paraId="3F843A78">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项目液态物料存储、使用、运输过程中可能发生火灾事故，火灾事故不完全燃烧引发的大气污染物主要为一氧化碳等，产生的浓度范围在数十至数百mg/m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之间，对于下风向的环境空气质量在短时间内有较小影响，长期影响甚微。</w:t>
                  </w:r>
                </w:p>
                <w:p w14:paraId="47914AB4">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r>
                    <w:rPr>
                      <w:rFonts w:hint="eastAsia" w:cs="Times New Roman"/>
                      <w:color w:val="auto"/>
                      <w:sz w:val="21"/>
                      <w:szCs w:val="21"/>
                      <w:lang w:val="en-US" w:eastAsia="zh-CN"/>
                    </w:rPr>
                    <w:t>加弹</w:t>
                  </w:r>
                  <w:r>
                    <w:rPr>
                      <w:rFonts w:hint="default" w:ascii="Times New Roman" w:hAnsi="Times New Roman" w:eastAsia="宋体" w:cs="Times New Roman"/>
                      <w:color w:val="auto"/>
                      <w:sz w:val="21"/>
                      <w:szCs w:val="21"/>
                    </w:rPr>
                    <w:t>废气收集处理设施发生故障、失灵、检修等非正常运行时，</w:t>
                  </w:r>
                  <w:r>
                    <w:rPr>
                      <w:rFonts w:hint="default" w:ascii="Times New Roman" w:hAnsi="Times New Roman" w:eastAsia="宋体" w:cs="Times New Roman"/>
                      <w:color w:val="auto"/>
                      <w:sz w:val="21"/>
                      <w:szCs w:val="21"/>
                      <w:lang w:val="en-US" w:eastAsia="zh-CN" w:bidi="ar"/>
                    </w:rPr>
                    <w:t>非甲烷总烃</w:t>
                  </w:r>
                  <w:r>
                    <w:rPr>
                      <w:rFonts w:hint="default" w:ascii="Times New Roman" w:hAnsi="Times New Roman" w:eastAsia="宋体" w:cs="Times New Roman"/>
                      <w:color w:val="auto"/>
                      <w:sz w:val="21"/>
                      <w:szCs w:val="21"/>
                    </w:rPr>
                    <w:t>处理效率下降，此时废气污染物可能对周围环境空气产生一定影响，但随着废气处理设施故障的排除，</w:t>
                  </w:r>
                  <w:r>
                    <w:rPr>
                      <w:rFonts w:hint="default" w:ascii="Times New Roman" w:hAnsi="Times New Roman" w:eastAsia="宋体" w:cs="Times New Roman"/>
                      <w:color w:val="auto"/>
                      <w:sz w:val="21"/>
                      <w:szCs w:val="21"/>
                      <w:lang w:val="en-US" w:eastAsia="zh-CN" w:bidi="ar"/>
                    </w:rPr>
                    <w:t>非甲烷总烃</w:t>
                  </w:r>
                  <w:r>
                    <w:rPr>
                      <w:rFonts w:hint="default" w:ascii="Times New Roman" w:hAnsi="Times New Roman" w:eastAsia="宋体" w:cs="Times New Roman"/>
                      <w:color w:val="auto"/>
                      <w:sz w:val="21"/>
                      <w:szCs w:val="21"/>
                    </w:rPr>
                    <w:t>对周围环境的影响随之降低。</w:t>
                  </w:r>
                </w:p>
                <w:p w14:paraId="6B8A66A1">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（2）对地表水、地下水环境的危害后果</w:t>
                  </w:r>
                </w:p>
                <w:p w14:paraId="40249909">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项目火灾事故会产生少量消防尾水，若其不能及时有效收集，会溢流至雨水管道进入地表水体，对其地表水、地下水造成影响。</w:t>
                  </w:r>
                </w:p>
              </w:tc>
            </w:tr>
            <w:tr w14:paraId="5E3AFD4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950" w:hRule="atLeast"/>
                <w:jc w:val="center"/>
              </w:trPr>
              <w:tc>
                <w:tcPr>
                  <w:tcW w:w="1478" w:type="dxa"/>
                  <w:vAlign w:val="center"/>
                </w:tcPr>
                <w:p w14:paraId="1E3D98EE">
                  <w:pPr>
                    <w:adjustRightInd w:val="0"/>
                    <w:snapToGrid w:val="0"/>
                    <w:spacing w:line="240" w:lineRule="auto"/>
                    <w:ind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风险防范措施要求</w:t>
                  </w:r>
                </w:p>
              </w:tc>
              <w:tc>
                <w:tcPr>
                  <w:tcW w:w="6921" w:type="dxa"/>
                  <w:gridSpan w:val="4"/>
                  <w:vAlign w:val="center"/>
                </w:tcPr>
                <w:p w14:paraId="3BCA7D98">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①在车间总平面布置方面，严格执行相关规范要求，各场所留有足够的防火间距，防止在火灾时相互影响；严格按工艺处理物料特性，对厂区进行危险区划分。按《安全标志</w:t>
                  </w:r>
                  <w:r>
                    <w:rPr>
                      <w:rFonts w:hint="eastAsia" w:cs="Times New Roman"/>
                      <w:color w:val="auto"/>
                      <w:sz w:val="21"/>
                      <w:szCs w:val="21"/>
                      <w:lang w:val="en-US" w:eastAsia="zh-CN"/>
                    </w:rPr>
                    <w:t>及其使用导则</w:t>
                  </w:r>
                  <w:r>
                    <w:rPr>
                      <w:rFonts w:hint="default" w:ascii="Times New Roman" w:hAnsi="Times New Roman" w:eastAsia="宋体" w:cs="Times New Roman"/>
                      <w:color w:val="auto"/>
                      <w:sz w:val="21"/>
                      <w:szCs w:val="21"/>
                    </w:rPr>
                    <w:t>》</w:t>
                  </w:r>
                  <w:r>
                    <w:rPr>
                      <w:rFonts w:hint="eastAsia" w:cs="Times New Roman"/>
                      <w:color w:val="auto"/>
                      <w:sz w:val="21"/>
                      <w:szCs w:val="21"/>
                      <w:lang w:eastAsia="zh-CN"/>
                    </w:rPr>
                    <w:t>（</w:t>
                  </w:r>
                  <w:r>
                    <w:rPr>
                      <w:rFonts w:hint="eastAsia" w:cs="Times New Roman"/>
                      <w:color w:val="auto"/>
                      <w:sz w:val="21"/>
                      <w:szCs w:val="21"/>
                      <w:lang w:val="en-US" w:eastAsia="zh-CN"/>
                    </w:rPr>
                    <w:t>GB 2894-2008</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在装置区设置有关的安全标志。</w:t>
                  </w:r>
                </w:p>
                <w:p w14:paraId="34E7488F">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②当发生火灾时，应迅速查清着火部位、着火物质及其来源，</w:t>
                  </w:r>
                  <w:r>
                    <w:rPr>
                      <w:rFonts w:hint="eastAsia" w:cs="Times New Roman"/>
                      <w:color w:val="auto"/>
                      <w:sz w:val="21"/>
                      <w:szCs w:val="21"/>
                      <w:lang w:eastAsia="zh-CN"/>
                    </w:rPr>
                    <w:t>及时</w:t>
                  </w:r>
                  <w:r>
                    <w:rPr>
                      <w:rFonts w:hint="default" w:ascii="Times New Roman" w:hAnsi="Times New Roman" w:eastAsia="宋体" w:cs="Times New Roman"/>
                      <w:color w:val="auto"/>
                      <w:sz w:val="21"/>
                      <w:szCs w:val="21"/>
                    </w:rPr>
                    <w:t>准确地切断物料来源及各种加热源；关闭机械通风装置，防止风助火势或沿通风管道蔓延。以有效</w:t>
                  </w:r>
                  <w:r>
                    <w:rPr>
                      <w:rFonts w:hint="eastAsia" w:cs="Times New Roman"/>
                      <w:color w:val="auto"/>
                      <w:sz w:val="21"/>
                      <w:szCs w:val="21"/>
                      <w:lang w:eastAsia="zh-CN"/>
                    </w:rPr>
                    <w:t>地</w:t>
                  </w:r>
                  <w:r>
                    <w:rPr>
                      <w:rFonts w:hint="default" w:ascii="Times New Roman" w:hAnsi="Times New Roman" w:eastAsia="宋体" w:cs="Times New Roman"/>
                      <w:color w:val="auto"/>
                      <w:sz w:val="21"/>
                      <w:szCs w:val="21"/>
                    </w:rPr>
                    <w:t>控制火势，有利于灭火。</w:t>
                  </w:r>
                </w:p>
                <w:p w14:paraId="422B7498">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③根据火势大小和设备的损坏程度，现场人员应迅速果断作出是否需要全装置或局部工段停车的决定，防止火势蔓延。</w:t>
                  </w:r>
                </w:p>
                <w:p w14:paraId="6568E605">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④设置各种消防器材、灭火装置、应急物资等，发生火灾后，当班的车间领导或班长应迅速组织</w:t>
                  </w:r>
                  <w:r>
                    <w:rPr>
                      <w:rFonts w:hint="eastAsia" w:cs="Times New Roman"/>
                      <w:color w:val="auto"/>
                      <w:sz w:val="21"/>
                      <w:szCs w:val="21"/>
                      <w:lang w:eastAsia="zh-CN"/>
                    </w:rPr>
                    <w:t>人员</w:t>
                  </w:r>
                  <w:r>
                    <w:rPr>
                      <w:rFonts w:hint="default" w:ascii="Times New Roman" w:hAnsi="Times New Roman" w:eastAsia="宋体" w:cs="Times New Roman"/>
                      <w:color w:val="auto"/>
                      <w:sz w:val="21"/>
                      <w:szCs w:val="21"/>
                    </w:rPr>
                    <w:t>对着火区域进行灭火。若火势一时难以扑灭，则要采取防止火势蔓延的措施，保护要害部位，转移危险物质。</w:t>
                  </w:r>
                </w:p>
                <w:p w14:paraId="2626489D">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⑤在专业救援队伍</w:t>
                  </w:r>
                  <w:r>
                    <w:rPr>
                      <w:rFonts w:hint="eastAsia" w:cs="Times New Roman"/>
                      <w:color w:val="auto"/>
                      <w:sz w:val="21"/>
                      <w:szCs w:val="21"/>
                      <w:lang w:eastAsia="zh-CN"/>
                    </w:rPr>
                    <w:t>到达</w:t>
                  </w:r>
                  <w:r>
                    <w:rPr>
                      <w:rFonts w:hint="default" w:ascii="Times New Roman" w:hAnsi="Times New Roman" w:eastAsia="宋体" w:cs="Times New Roman"/>
                      <w:color w:val="auto"/>
                      <w:sz w:val="21"/>
                      <w:szCs w:val="21"/>
                    </w:rPr>
                    <w:t>火场时，生产装置的负责人应主动向应急救援队伍指挥人员介绍事故情况，说明着火部位，物料情况、设备及工艺状态，以及已采取的措施等。</w:t>
                  </w:r>
                </w:p>
                <w:p w14:paraId="5B1B680F">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⑥车</w:t>
                  </w:r>
                  <w:r>
                    <w:rPr>
                      <w:rFonts w:hint="eastAsia" w:cs="Times New Roman"/>
                      <w:color w:val="auto"/>
                      <w:sz w:val="21"/>
                      <w:szCs w:val="21"/>
                      <w:lang w:eastAsia="zh-CN"/>
                    </w:rPr>
                    <w:t>间设</w:t>
                  </w:r>
                  <w:r>
                    <w:rPr>
                      <w:rFonts w:hint="default" w:ascii="Times New Roman" w:hAnsi="Times New Roman" w:eastAsia="宋体" w:cs="Times New Roman"/>
                      <w:color w:val="auto"/>
                      <w:sz w:val="21"/>
                      <w:szCs w:val="21"/>
                    </w:rPr>
                    <w:t>置明显标志牌，远离火源，不允许任何人员随便入内。安全出口及安全疏散距离应符合《建筑设计防火规范》</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GB</w:t>
                  </w:r>
                  <w:r>
                    <w:rPr>
                      <w:rFonts w:hint="eastAsia" w:cs="Times New Roman"/>
                      <w:color w:val="auto"/>
                      <w:sz w:val="21"/>
                      <w:szCs w:val="21"/>
                      <w:lang w:val="en-US" w:eastAsia="zh-CN"/>
                    </w:rPr>
                    <w:t xml:space="preserve"> </w:t>
                  </w:r>
                  <w:r>
                    <w:rPr>
                      <w:rFonts w:hint="default" w:ascii="Times New Roman" w:hAnsi="Times New Roman" w:eastAsia="宋体" w:cs="Times New Roman"/>
                      <w:color w:val="auto"/>
                      <w:sz w:val="21"/>
                      <w:szCs w:val="21"/>
                    </w:rPr>
                    <w:t>50016</w:t>
                  </w:r>
                  <w:r>
                    <w:rPr>
                      <w:rFonts w:hint="eastAsia" w:cs="Times New Roman"/>
                      <w:color w:val="auto"/>
                      <w:sz w:val="21"/>
                      <w:szCs w:val="21"/>
                      <w:lang w:val="en-US" w:eastAsia="zh-CN"/>
                    </w:rPr>
                    <w:t>-</w:t>
                  </w:r>
                  <w:r>
                    <w:rPr>
                      <w:rFonts w:hint="default" w:ascii="Times New Roman" w:hAnsi="Times New Roman" w:eastAsia="宋体" w:cs="Times New Roman"/>
                      <w:color w:val="auto"/>
                      <w:sz w:val="21"/>
                      <w:szCs w:val="21"/>
                    </w:rPr>
                    <w:t>2014</w:t>
                  </w:r>
                  <w:r>
                    <w:rPr>
                      <w:rFonts w:hint="eastAsia" w:cs="Times New Roman"/>
                      <w:color w:val="auto"/>
                      <w:sz w:val="21"/>
                      <w:szCs w:val="21"/>
                      <w:lang w:eastAsia="zh-CN"/>
                    </w:rPr>
                    <w:t>）</w:t>
                  </w:r>
                  <w:r>
                    <w:rPr>
                      <w:rFonts w:hint="eastAsia" w:cs="Times New Roman"/>
                      <w:color w:val="auto"/>
                      <w:sz w:val="21"/>
                      <w:szCs w:val="21"/>
                      <w:lang w:val="en-US" w:eastAsia="zh-CN"/>
                    </w:rPr>
                    <w:t>[2018年版]</w:t>
                  </w:r>
                  <w:r>
                    <w:rPr>
                      <w:rFonts w:hint="default" w:ascii="Times New Roman" w:hAnsi="Times New Roman" w:eastAsia="宋体" w:cs="Times New Roman"/>
                      <w:color w:val="auto"/>
                      <w:sz w:val="21"/>
                      <w:szCs w:val="21"/>
                    </w:rPr>
                    <w:t>的要求。车间内设置救护箱。工作人员配备必要的个人防护用品。</w:t>
                  </w:r>
                </w:p>
                <w:p w14:paraId="4F381D87">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⑦车间不应设置有引起明火、火花的设备和产生火花或</w:t>
                  </w:r>
                  <w:r>
                    <w:rPr>
                      <w:rFonts w:hint="eastAsia" w:cs="Times New Roman"/>
                      <w:color w:val="auto"/>
                      <w:sz w:val="21"/>
                      <w:szCs w:val="21"/>
                      <w:lang w:eastAsia="zh-CN"/>
                    </w:rPr>
                    <w:t>灼热</w:t>
                  </w:r>
                  <w:r>
                    <w:rPr>
                      <w:rFonts w:hint="default" w:ascii="Times New Roman" w:hAnsi="Times New Roman" w:eastAsia="宋体" w:cs="Times New Roman"/>
                      <w:color w:val="auto"/>
                      <w:sz w:val="21"/>
                      <w:szCs w:val="21"/>
                    </w:rPr>
                    <w:t>金属颗粒的设备。照明灯具采用安全型。</w:t>
                  </w:r>
                </w:p>
                <w:p w14:paraId="3E42DE15">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⑧项目废气治理设施需定期检查，正常工况下需先打开治理设施，再启动生产设备，如治理措施发生故障，应当立即停止生产，待设备检修完毕后，方可再次投入生产。</w:t>
                  </w:r>
                </w:p>
                <w:p w14:paraId="2508749A">
                  <w:pPr>
                    <w:adjustRightInd w:val="0"/>
                    <w:snapToGrid w:val="0"/>
                    <w:spacing w:line="24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⑨危废暂存间设置相关防风、防雨、防腐防渗等要求，防渗需满足《危险废物贮存污染控制标准》（GB18597-2023）中要求，即贮存场基础防渗层至少2mm厚高密度聚乙烯，或至少2mm厚的</w:t>
                  </w:r>
                  <w:r>
                    <w:rPr>
                      <w:rFonts w:hint="eastAsia" w:cs="Times New Roman"/>
                      <w:color w:val="auto"/>
                      <w:sz w:val="21"/>
                      <w:szCs w:val="21"/>
                      <w:lang w:eastAsia="zh-CN"/>
                    </w:rPr>
                    <w:t>其他人工</w:t>
                  </w:r>
                  <w:r>
                    <w:rPr>
                      <w:rFonts w:hint="default" w:ascii="Times New Roman" w:hAnsi="Times New Roman" w:eastAsia="宋体" w:cs="Times New Roman"/>
                      <w:color w:val="auto"/>
                      <w:sz w:val="21"/>
                      <w:szCs w:val="21"/>
                    </w:rPr>
                    <w:t>材料，渗透系数不大于1.0×10</w:t>
                  </w:r>
                  <w:r>
                    <w:rPr>
                      <w:rFonts w:hint="eastAsia" w:cs="Times New Roman"/>
                      <w:color w:val="auto"/>
                      <w:sz w:val="21"/>
                      <w:szCs w:val="21"/>
                      <w:lang w:eastAsia="zh-CN"/>
                    </w:rPr>
                    <w:t>～</w:t>
                  </w:r>
                  <w:r>
                    <w:rPr>
                      <w:rFonts w:hint="default" w:ascii="Times New Roman" w:hAnsi="Times New Roman" w:eastAsia="宋体" w:cs="Times New Roman"/>
                      <w:color w:val="auto"/>
                      <w:sz w:val="21"/>
                      <w:szCs w:val="21"/>
                      <w:vertAlign w:val="superscript"/>
                    </w:rPr>
                    <w:t>10</w:t>
                  </w:r>
                  <w:r>
                    <w:rPr>
                      <w:rFonts w:hint="default" w:ascii="Times New Roman" w:hAnsi="Times New Roman" w:eastAsia="宋体" w:cs="Times New Roman"/>
                      <w:color w:val="auto"/>
                      <w:sz w:val="21"/>
                      <w:szCs w:val="21"/>
                    </w:rPr>
                    <w:t>cm/s。</w:t>
                  </w:r>
                </w:p>
              </w:tc>
            </w:tr>
          </w:tbl>
          <w:p w14:paraId="20847A8B">
            <w:pPr>
              <w:keepNext w:val="0"/>
              <w:keepLines w:val="0"/>
              <w:suppressLineNumbers w:val="0"/>
              <w:adjustRightInd w:val="0"/>
              <w:snapToGrid w:val="0"/>
              <w:spacing w:before="0" w:beforeAutospacing="0" w:after="0" w:afterAutospacing="0" w:line="360" w:lineRule="auto"/>
              <w:ind w:left="0" w:right="0" w:firstLine="482" w:firstLineChars="200"/>
              <w:rPr>
                <w:rFonts w:hint="default" w:eastAsia="宋体" w:cs="Times New Roman"/>
                <w:b/>
                <w:bCs/>
                <w:color w:val="auto"/>
                <w:kern w:val="0"/>
                <w:sz w:val="24"/>
              </w:rPr>
            </w:pPr>
            <w:r>
              <w:rPr>
                <w:rFonts w:hint="default" w:cs="Times New Roman"/>
                <w:b/>
                <w:bCs/>
                <w:color w:val="auto"/>
                <w:kern w:val="0"/>
                <w:sz w:val="24"/>
              </w:rPr>
              <w:t>（</w:t>
            </w:r>
            <w:r>
              <w:rPr>
                <w:rFonts w:hint="eastAsia" w:cs="Times New Roman"/>
                <w:b/>
                <w:bCs/>
                <w:color w:val="auto"/>
                <w:kern w:val="0"/>
                <w:sz w:val="24"/>
                <w:lang w:val="en-US" w:eastAsia="zh-CN"/>
              </w:rPr>
              <w:t>3</w:t>
            </w:r>
            <w:r>
              <w:rPr>
                <w:rFonts w:hint="default" w:cs="Times New Roman"/>
                <w:b/>
                <w:bCs/>
                <w:color w:val="auto"/>
                <w:kern w:val="0"/>
                <w:sz w:val="24"/>
              </w:rPr>
              <w:t>）风险事故情形分析</w:t>
            </w:r>
          </w:p>
          <w:p w14:paraId="1BFEF5A6">
            <w:pPr>
              <w:keepNext w:val="0"/>
              <w:keepLines w:val="0"/>
              <w:suppressLineNumbers w:val="0"/>
              <w:adjustRightInd w:val="0"/>
              <w:snapToGrid w:val="0"/>
              <w:spacing w:before="0" w:beforeAutospacing="0" w:after="0" w:afterAutospacing="0" w:line="360" w:lineRule="auto"/>
              <w:ind w:left="0" w:right="0" w:firstLine="480" w:firstLineChars="200"/>
              <w:rPr>
                <w:rFonts w:hint="default" w:cs="Times New Roman"/>
                <w:color w:val="auto"/>
                <w:kern w:val="0"/>
                <w:sz w:val="24"/>
              </w:rPr>
            </w:pPr>
            <w:r>
              <w:rPr>
                <w:rFonts w:hint="default" w:cs="Times New Roman"/>
                <w:color w:val="auto"/>
                <w:kern w:val="0"/>
                <w:sz w:val="24"/>
              </w:rPr>
              <w:t>可能影响环境的途径：</w:t>
            </w:r>
          </w:p>
          <w:p w14:paraId="516A9547">
            <w:pPr>
              <w:keepNext w:val="0"/>
              <w:keepLines w:val="0"/>
              <w:suppressLineNumbers w:val="0"/>
              <w:tabs>
                <w:tab w:val="left" w:pos="600"/>
              </w:tabs>
              <w:adjustRightInd w:val="0"/>
              <w:snapToGrid w:val="0"/>
              <w:spacing w:before="0" w:beforeAutospacing="0" w:after="0" w:afterAutospacing="0" w:line="360" w:lineRule="auto"/>
              <w:ind w:left="0" w:right="0" w:firstLine="480" w:firstLineChars="200"/>
              <w:rPr>
                <w:rFonts w:hint="default" w:cs="Times New Roman"/>
                <w:bCs/>
                <w:color w:val="auto"/>
                <w:sz w:val="24"/>
                <w:lang w:val="zh-CN"/>
              </w:rPr>
            </w:pPr>
            <w:r>
              <w:rPr>
                <w:rFonts w:hint="default" w:cs="Times New Roman"/>
                <w:bCs/>
                <w:color w:val="auto"/>
                <w:sz w:val="24"/>
                <w:lang w:val="zh-CN"/>
              </w:rPr>
              <w:fldChar w:fldCharType="begin"/>
            </w:r>
            <w:r>
              <w:rPr>
                <w:rFonts w:hint="default" w:cs="Times New Roman"/>
                <w:bCs/>
                <w:color w:val="auto"/>
                <w:sz w:val="24"/>
                <w:lang w:val="zh-CN"/>
              </w:rPr>
              <w:instrText xml:space="preserve"> = 1 \* alphabetic \* MERGEFORMAT </w:instrText>
            </w:r>
            <w:r>
              <w:rPr>
                <w:rFonts w:hint="default" w:cs="Times New Roman"/>
                <w:bCs/>
                <w:color w:val="auto"/>
                <w:sz w:val="24"/>
                <w:lang w:val="zh-CN"/>
              </w:rPr>
              <w:fldChar w:fldCharType="separate"/>
            </w:r>
            <w:r>
              <w:rPr>
                <w:rFonts w:hint="default" w:cs="Times New Roman"/>
                <w:color w:val="auto"/>
                <w:sz w:val="24"/>
              </w:rPr>
              <w:t>a</w:t>
            </w:r>
            <w:r>
              <w:rPr>
                <w:rFonts w:hint="default" w:cs="Times New Roman"/>
                <w:bCs/>
                <w:color w:val="auto"/>
                <w:sz w:val="24"/>
                <w:lang w:val="zh-CN"/>
              </w:rPr>
              <w:fldChar w:fldCharType="end"/>
            </w:r>
            <w:r>
              <w:rPr>
                <w:rFonts w:hint="default" w:cs="Times New Roman"/>
                <w:bCs/>
                <w:color w:val="auto"/>
                <w:sz w:val="24"/>
              </w:rPr>
              <w:t>.</w:t>
            </w:r>
            <w:r>
              <w:rPr>
                <w:rFonts w:hint="default" w:cs="Times New Roman"/>
                <w:bCs/>
                <w:color w:val="auto"/>
                <w:sz w:val="24"/>
                <w:lang w:val="zh-CN"/>
              </w:rPr>
              <w:t>向环境转移途径</w:t>
            </w:r>
          </w:p>
          <w:p w14:paraId="7E8F774F">
            <w:pPr>
              <w:keepNext w:val="0"/>
              <w:keepLines w:val="0"/>
              <w:suppressLineNumbers w:val="0"/>
              <w:tabs>
                <w:tab w:val="left" w:pos="600"/>
              </w:tabs>
              <w:adjustRightInd w:val="0"/>
              <w:snapToGrid w:val="0"/>
              <w:spacing w:before="0" w:beforeAutospacing="0" w:after="0" w:afterAutospacing="0" w:line="360" w:lineRule="auto"/>
              <w:ind w:left="0" w:right="0" w:firstLine="480" w:firstLineChars="200"/>
              <w:rPr>
                <w:rFonts w:hint="default" w:cs="Times New Roman"/>
                <w:bCs/>
                <w:color w:val="auto"/>
                <w:sz w:val="24"/>
              </w:rPr>
            </w:pPr>
            <w:r>
              <w:rPr>
                <w:rFonts w:hint="default" w:cs="Times New Roman"/>
                <w:bCs/>
                <w:color w:val="auto"/>
                <w:sz w:val="24"/>
                <w:lang w:val="zh-CN"/>
              </w:rPr>
              <w:t>向环境转移的主要途径为：火灾爆炸事故过程中燃烧产生的气体</w:t>
            </w:r>
            <w:r>
              <w:rPr>
                <w:rFonts w:hint="eastAsia" w:cs="Times New Roman"/>
                <w:bCs/>
                <w:color w:val="auto"/>
                <w:sz w:val="24"/>
                <w:lang w:val="zh-CN"/>
              </w:rPr>
              <w:t>进入</w:t>
            </w:r>
            <w:r>
              <w:rPr>
                <w:rFonts w:hint="default" w:cs="Times New Roman"/>
                <w:bCs/>
                <w:color w:val="auto"/>
                <w:sz w:val="24"/>
                <w:lang w:val="zh-CN"/>
              </w:rPr>
              <w:t>大气中，对局部大气环境造成污染。泄漏物料进入外环境，将污染周边地表水体。泄漏液体如控制不当渗入地下，有可能污染地下水和土壤。</w:t>
            </w:r>
          </w:p>
          <w:p w14:paraId="16BA3829">
            <w:pPr>
              <w:keepNext w:val="0"/>
              <w:keepLines w:val="0"/>
              <w:suppressLineNumbers w:val="0"/>
              <w:tabs>
                <w:tab w:val="left" w:pos="600"/>
              </w:tabs>
              <w:adjustRightInd w:val="0"/>
              <w:snapToGrid w:val="0"/>
              <w:spacing w:before="0" w:beforeAutospacing="0" w:after="0" w:afterAutospacing="0" w:line="360" w:lineRule="auto"/>
              <w:ind w:left="0" w:right="0" w:firstLine="480" w:firstLineChars="200"/>
              <w:rPr>
                <w:rFonts w:hint="default" w:cs="Times New Roman"/>
                <w:bCs/>
                <w:color w:val="auto"/>
                <w:sz w:val="24"/>
                <w:lang w:val="zh-CN"/>
              </w:rPr>
            </w:pPr>
            <w:r>
              <w:rPr>
                <w:rFonts w:hint="default" w:cs="Times New Roman"/>
                <w:bCs/>
                <w:color w:val="auto"/>
                <w:sz w:val="24"/>
              </w:rPr>
              <w:fldChar w:fldCharType="begin"/>
            </w:r>
            <w:r>
              <w:rPr>
                <w:rFonts w:hint="default" w:cs="Times New Roman"/>
                <w:bCs/>
                <w:color w:val="auto"/>
                <w:sz w:val="24"/>
              </w:rPr>
              <w:instrText xml:space="preserve"> = 2 \* alphabetic \* MERGEFORMAT </w:instrText>
            </w:r>
            <w:r>
              <w:rPr>
                <w:rFonts w:hint="default" w:cs="Times New Roman"/>
                <w:bCs/>
                <w:color w:val="auto"/>
                <w:sz w:val="24"/>
              </w:rPr>
              <w:fldChar w:fldCharType="separate"/>
            </w:r>
            <w:r>
              <w:rPr>
                <w:rFonts w:hint="default" w:cs="Times New Roman"/>
                <w:color w:val="auto"/>
                <w:sz w:val="24"/>
              </w:rPr>
              <w:t>b</w:t>
            </w:r>
            <w:r>
              <w:rPr>
                <w:rFonts w:hint="default" w:cs="Times New Roman"/>
                <w:bCs/>
                <w:color w:val="auto"/>
                <w:sz w:val="24"/>
              </w:rPr>
              <w:fldChar w:fldCharType="end"/>
            </w:r>
            <w:r>
              <w:rPr>
                <w:rFonts w:hint="default" w:cs="Times New Roman"/>
                <w:bCs/>
                <w:color w:val="auto"/>
                <w:sz w:val="24"/>
              </w:rPr>
              <w:t>.</w:t>
            </w:r>
            <w:r>
              <w:rPr>
                <w:rFonts w:hint="default" w:cs="Times New Roman"/>
                <w:bCs/>
                <w:color w:val="auto"/>
                <w:sz w:val="24"/>
                <w:lang w:val="zh-CN"/>
              </w:rPr>
              <w:t>伴生或次生污染</w:t>
            </w:r>
          </w:p>
          <w:p w14:paraId="394056FE">
            <w:pPr>
              <w:keepNext w:val="0"/>
              <w:keepLines w:val="0"/>
              <w:suppressLineNumbers w:val="0"/>
              <w:tabs>
                <w:tab w:val="left" w:pos="600"/>
              </w:tabs>
              <w:adjustRightInd w:val="0"/>
              <w:snapToGrid w:val="0"/>
              <w:spacing w:before="0" w:beforeAutospacing="0" w:after="0" w:afterAutospacing="0" w:line="360" w:lineRule="auto"/>
              <w:ind w:left="0" w:right="0" w:firstLine="480" w:firstLineChars="200"/>
              <w:rPr>
                <w:rFonts w:hint="default" w:cs="Times New Roman"/>
                <w:bCs/>
                <w:color w:val="auto"/>
                <w:sz w:val="24"/>
                <w:lang w:val="zh-CN"/>
              </w:rPr>
            </w:pPr>
            <w:r>
              <w:rPr>
                <w:rFonts w:hint="default" w:cs="Times New Roman"/>
                <w:bCs/>
                <w:color w:val="auto"/>
                <w:sz w:val="24"/>
                <w:lang w:val="zh-CN"/>
              </w:rPr>
              <w:t>建设单位厂区发生火灾爆炸时，可能产生的次生污染为火灾消防液、消防土及燃烧废气。发生火灾爆炸时，有可能引燃周围易燃物质，产生的伴生事故为</w:t>
            </w:r>
            <w:r>
              <w:rPr>
                <w:rFonts w:hint="eastAsia" w:cs="Times New Roman"/>
                <w:bCs/>
                <w:color w:val="auto"/>
                <w:sz w:val="24"/>
                <w:lang w:val="zh-CN"/>
              </w:rPr>
              <w:t>其他</w:t>
            </w:r>
            <w:r>
              <w:rPr>
                <w:rFonts w:hint="default" w:cs="Times New Roman"/>
                <w:bCs/>
                <w:color w:val="auto"/>
                <w:sz w:val="24"/>
                <w:lang w:val="zh-CN"/>
              </w:rPr>
              <w:t>易燃物质的火灾爆炸，产生的伴生污染为燃烧产物。储存单元泄漏发生爆炸事故时，有可能发生连锁。另外在厂区发生火灾、爆炸事故时，其可能产生的次生污染包括火灾消防液、消防土及燃烧废气等，这些物质可能会对周围地表水、土壤、大气等造成一定的影响。</w:t>
            </w:r>
          </w:p>
          <w:p w14:paraId="4743115A">
            <w:pPr>
              <w:keepNext w:val="0"/>
              <w:keepLines w:val="0"/>
              <w:pageBreakBefore w:val="0"/>
              <w:widowControl w:val="0"/>
              <w:suppressLineNumbers w:val="0"/>
              <w:tabs>
                <w:tab w:val="left" w:pos="600"/>
              </w:tabs>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pPr>
            <w:r>
              <w:rPr>
                <w:rFonts w:hint="default" w:ascii="Times New Roman" w:hAnsi="Times New Roman" w:eastAsia="宋体" w:cs="Times New Roman"/>
                <w:b/>
                <w:color w:val="auto"/>
                <w:sz w:val="24"/>
                <w:szCs w:val="24"/>
                <w:highlight w:val="none"/>
              </w:rPr>
              <w:t>表4-</w:t>
            </w:r>
            <w:r>
              <w:rPr>
                <w:rFonts w:hint="eastAsia" w:cs="Times New Roman"/>
                <w:b/>
                <w:color w:val="auto"/>
                <w:sz w:val="24"/>
                <w:szCs w:val="24"/>
                <w:highlight w:val="none"/>
                <w:lang w:val="en-US" w:eastAsia="zh-CN"/>
              </w:rPr>
              <w:t>32</w:t>
            </w:r>
            <w:r>
              <w:rPr>
                <w:rFonts w:hint="default" w:ascii="Times New Roman" w:hAnsi="Times New Roman" w:eastAsia="宋体" w:cs="Times New Roman"/>
                <w:b/>
                <w:color w:val="auto"/>
                <w:sz w:val="24"/>
                <w:szCs w:val="24"/>
                <w:highlight w:val="none"/>
              </w:rPr>
              <w:t>代表性风险事故情形设定一览表</w:t>
            </w:r>
          </w:p>
          <w:tbl>
            <w:tblPr>
              <w:tblStyle w:val="3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1764"/>
              <w:gridCol w:w="1764"/>
              <w:gridCol w:w="1765"/>
              <w:gridCol w:w="1765"/>
            </w:tblGrid>
            <w:tr w14:paraId="745095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4" w:type="dxa"/>
                  <w:tcBorders>
                    <w:tl2br w:val="nil"/>
                    <w:tr2bl w:val="nil"/>
                  </w:tcBorders>
                  <w:vAlign w:val="center"/>
                </w:tcPr>
                <w:p w14:paraId="5D960B9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事故类型</w:t>
                  </w:r>
                </w:p>
              </w:tc>
              <w:tc>
                <w:tcPr>
                  <w:tcW w:w="1764" w:type="dxa"/>
                  <w:tcBorders>
                    <w:tl2br w:val="nil"/>
                    <w:tr2bl w:val="nil"/>
                  </w:tcBorders>
                  <w:vAlign w:val="center"/>
                </w:tcPr>
                <w:p w14:paraId="269A7AA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代表性事故情形</w:t>
                  </w:r>
                </w:p>
              </w:tc>
              <w:tc>
                <w:tcPr>
                  <w:tcW w:w="1764" w:type="dxa"/>
                  <w:tcBorders>
                    <w:tl2br w:val="nil"/>
                    <w:tr2bl w:val="nil"/>
                  </w:tcBorders>
                  <w:vAlign w:val="center"/>
                </w:tcPr>
                <w:p w14:paraId="2C822FCD">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风险物质</w:t>
                  </w:r>
                </w:p>
              </w:tc>
              <w:tc>
                <w:tcPr>
                  <w:tcW w:w="1765" w:type="dxa"/>
                  <w:tcBorders>
                    <w:tl2br w:val="nil"/>
                    <w:tr2bl w:val="nil"/>
                  </w:tcBorders>
                  <w:vAlign w:val="center"/>
                </w:tcPr>
                <w:p w14:paraId="77E750F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可能扩散途径</w:t>
                  </w:r>
                </w:p>
              </w:tc>
              <w:tc>
                <w:tcPr>
                  <w:tcW w:w="1765" w:type="dxa"/>
                  <w:tcBorders>
                    <w:tl2br w:val="nil"/>
                    <w:tr2bl w:val="nil"/>
                  </w:tcBorders>
                  <w:vAlign w:val="center"/>
                </w:tcPr>
                <w:p w14:paraId="1FDE633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受影响的水系/敏感保护目标</w:t>
                  </w:r>
                </w:p>
              </w:tc>
            </w:tr>
            <w:tr w14:paraId="2E6E7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4" w:type="dxa"/>
                  <w:vMerge w:val="restart"/>
                  <w:tcBorders>
                    <w:tl2br w:val="nil"/>
                    <w:tr2bl w:val="nil"/>
                  </w:tcBorders>
                  <w:vAlign w:val="center"/>
                </w:tcPr>
                <w:p w14:paraId="344CB355">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涉气类事故</w:t>
                  </w:r>
                </w:p>
              </w:tc>
              <w:tc>
                <w:tcPr>
                  <w:tcW w:w="1764" w:type="dxa"/>
                  <w:tcBorders>
                    <w:tl2br w:val="nil"/>
                    <w:tr2bl w:val="nil"/>
                  </w:tcBorders>
                  <w:vAlign w:val="center"/>
                </w:tcPr>
                <w:p w14:paraId="1FE68B9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泄漏</w:t>
                  </w:r>
                </w:p>
              </w:tc>
              <w:tc>
                <w:tcPr>
                  <w:tcW w:w="1764" w:type="dxa"/>
                  <w:tcBorders>
                    <w:tl2br w:val="nil"/>
                    <w:tr2bl w:val="nil"/>
                  </w:tcBorders>
                  <w:vAlign w:val="center"/>
                </w:tcPr>
                <w:p w14:paraId="41D3B62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油剂、机油、危险废物等</w:t>
                  </w:r>
                </w:p>
              </w:tc>
              <w:tc>
                <w:tcPr>
                  <w:tcW w:w="1765" w:type="dxa"/>
                  <w:tcBorders>
                    <w:tl2br w:val="nil"/>
                    <w:tr2bl w:val="nil"/>
                  </w:tcBorders>
                  <w:vAlign w:val="center"/>
                </w:tcPr>
                <w:p w14:paraId="5F4087F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大气、地表水、地下水及土壤</w:t>
                  </w:r>
                </w:p>
              </w:tc>
              <w:tc>
                <w:tcPr>
                  <w:tcW w:w="1765" w:type="dxa"/>
                  <w:tcBorders>
                    <w:tl2br w:val="nil"/>
                    <w:tr2bl w:val="nil"/>
                  </w:tcBorders>
                  <w:vAlign w:val="center"/>
                </w:tcPr>
                <w:p w14:paraId="1327D55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周边大气环境</w:t>
                  </w:r>
                </w:p>
              </w:tc>
            </w:tr>
            <w:tr w14:paraId="77F05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4" w:type="dxa"/>
                  <w:vMerge w:val="continue"/>
                  <w:tcBorders>
                    <w:tl2br w:val="nil"/>
                    <w:tr2bl w:val="nil"/>
                  </w:tcBorders>
                  <w:vAlign w:val="center"/>
                </w:tcPr>
                <w:p w14:paraId="0944513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sz w:val="21"/>
                      <w:szCs w:val="21"/>
                      <w:lang w:val="en-US" w:eastAsia="zh-CN"/>
                    </w:rPr>
                  </w:pPr>
                </w:p>
              </w:tc>
              <w:tc>
                <w:tcPr>
                  <w:tcW w:w="1764" w:type="dxa"/>
                  <w:tcBorders>
                    <w:tl2br w:val="nil"/>
                    <w:tr2bl w:val="nil"/>
                  </w:tcBorders>
                  <w:vAlign w:val="center"/>
                </w:tcPr>
                <w:p w14:paraId="4D16D64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废气治理装置事故排放</w:t>
                  </w:r>
                </w:p>
              </w:tc>
              <w:tc>
                <w:tcPr>
                  <w:tcW w:w="1764" w:type="dxa"/>
                  <w:tcBorders>
                    <w:tl2br w:val="nil"/>
                    <w:tr2bl w:val="nil"/>
                  </w:tcBorders>
                  <w:vAlign w:val="center"/>
                </w:tcPr>
                <w:p w14:paraId="2A6270B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NMHC</w:t>
                  </w:r>
                </w:p>
              </w:tc>
              <w:tc>
                <w:tcPr>
                  <w:tcW w:w="1765" w:type="dxa"/>
                  <w:tcBorders>
                    <w:tl2br w:val="nil"/>
                    <w:tr2bl w:val="nil"/>
                  </w:tcBorders>
                  <w:vAlign w:val="center"/>
                </w:tcPr>
                <w:p w14:paraId="120CEBD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大气</w:t>
                  </w:r>
                </w:p>
              </w:tc>
              <w:tc>
                <w:tcPr>
                  <w:tcW w:w="1765" w:type="dxa"/>
                  <w:tcBorders>
                    <w:tl2br w:val="nil"/>
                    <w:tr2bl w:val="nil"/>
                  </w:tcBorders>
                  <w:vAlign w:val="center"/>
                </w:tcPr>
                <w:p w14:paraId="6D972323">
                  <w:pPr>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周边大气环境</w:t>
                  </w:r>
                </w:p>
              </w:tc>
            </w:tr>
            <w:tr w14:paraId="12B34F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4" w:type="dxa"/>
                  <w:vMerge w:val="continue"/>
                  <w:tcBorders>
                    <w:tl2br w:val="nil"/>
                    <w:tr2bl w:val="nil"/>
                  </w:tcBorders>
                  <w:vAlign w:val="center"/>
                </w:tcPr>
                <w:p w14:paraId="06943D1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sz w:val="21"/>
                      <w:szCs w:val="21"/>
                      <w:lang w:val="en-US" w:eastAsia="zh-CN"/>
                    </w:rPr>
                  </w:pPr>
                </w:p>
              </w:tc>
              <w:tc>
                <w:tcPr>
                  <w:tcW w:w="1764" w:type="dxa"/>
                  <w:tcBorders>
                    <w:tl2br w:val="nil"/>
                    <w:tr2bl w:val="nil"/>
                  </w:tcBorders>
                  <w:vAlign w:val="center"/>
                </w:tcPr>
                <w:p w14:paraId="384D8F25">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火灾爆炸</w:t>
                  </w:r>
                </w:p>
              </w:tc>
              <w:tc>
                <w:tcPr>
                  <w:tcW w:w="1764" w:type="dxa"/>
                  <w:tcBorders>
                    <w:tl2br w:val="nil"/>
                    <w:tr2bl w:val="nil"/>
                  </w:tcBorders>
                  <w:vAlign w:val="center"/>
                </w:tcPr>
                <w:p w14:paraId="58FCE4C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POY丝、油剂、机油、危险废物等</w:t>
                  </w:r>
                </w:p>
              </w:tc>
              <w:tc>
                <w:tcPr>
                  <w:tcW w:w="1765" w:type="dxa"/>
                  <w:tcBorders>
                    <w:tl2br w:val="nil"/>
                    <w:tr2bl w:val="nil"/>
                  </w:tcBorders>
                  <w:vAlign w:val="center"/>
                </w:tcPr>
                <w:p w14:paraId="045BCF2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大气、地表水、地下水及土壤</w:t>
                  </w:r>
                </w:p>
              </w:tc>
              <w:tc>
                <w:tcPr>
                  <w:tcW w:w="1765" w:type="dxa"/>
                  <w:tcBorders>
                    <w:tl2br w:val="nil"/>
                    <w:tr2bl w:val="nil"/>
                  </w:tcBorders>
                  <w:vAlign w:val="center"/>
                </w:tcPr>
                <w:p w14:paraId="6684EEAB">
                  <w:pPr>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周边大气环境</w:t>
                  </w:r>
                </w:p>
              </w:tc>
            </w:tr>
            <w:tr w14:paraId="707B7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4" w:type="dxa"/>
                  <w:vMerge w:val="restart"/>
                  <w:tcBorders>
                    <w:tl2br w:val="nil"/>
                    <w:tr2bl w:val="nil"/>
                  </w:tcBorders>
                  <w:vAlign w:val="center"/>
                </w:tcPr>
                <w:p w14:paraId="196F783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涉水类事故</w:t>
                  </w:r>
                </w:p>
              </w:tc>
              <w:tc>
                <w:tcPr>
                  <w:tcW w:w="1764" w:type="dxa"/>
                  <w:tcBorders>
                    <w:tl2br w:val="nil"/>
                    <w:tr2bl w:val="nil"/>
                  </w:tcBorders>
                  <w:vAlign w:val="center"/>
                </w:tcPr>
                <w:p w14:paraId="0A63231D">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泄漏</w:t>
                  </w:r>
                </w:p>
              </w:tc>
              <w:tc>
                <w:tcPr>
                  <w:tcW w:w="1764" w:type="dxa"/>
                  <w:tcBorders>
                    <w:tl2br w:val="nil"/>
                    <w:tr2bl w:val="nil"/>
                  </w:tcBorders>
                  <w:vAlign w:val="center"/>
                </w:tcPr>
                <w:p w14:paraId="200A133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油剂、机油、危险废物等</w:t>
                  </w:r>
                </w:p>
              </w:tc>
              <w:tc>
                <w:tcPr>
                  <w:tcW w:w="1765" w:type="dxa"/>
                  <w:tcBorders>
                    <w:tl2br w:val="nil"/>
                    <w:tr2bl w:val="nil"/>
                  </w:tcBorders>
                  <w:vAlign w:val="center"/>
                </w:tcPr>
                <w:p w14:paraId="2D4152E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地表水、地下水及土壤</w:t>
                  </w:r>
                </w:p>
              </w:tc>
              <w:tc>
                <w:tcPr>
                  <w:tcW w:w="1765" w:type="dxa"/>
                  <w:tcBorders>
                    <w:tl2br w:val="nil"/>
                    <w:tr2bl w:val="nil"/>
                  </w:tcBorders>
                  <w:vAlign w:val="center"/>
                </w:tcPr>
                <w:p w14:paraId="1AC652B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周边水环境</w:t>
                  </w:r>
                </w:p>
              </w:tc>
            </w:tr>
            <w:tr w14:paraId="0029B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4" w:type="dxa"/>
                  <w:vMerge w:val="continue"/>
                  <w:tcBorders>
                    <w:tl2br w:val="nil"/>
                    <w:tr2bl w:val="nil"/>
                  </w:tcBorders>
                  <w:vAlign w:val="center"/>
                </w:tcPr>
                <w:p w14:paraId="278F443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sz w:val="21"/>
                      <w:szCs w:val="21"/>
                      <w:lang w:val="en-US" w:eastAsia="zh-CN"/>
                    </w:rPr>
                  </w:pPr>
                </w:p>
              </w:tc>
              <w:tc>
                <w:tcPr>
                  <w:tcW w:w="1764" w:type="dxa"/>
                  <w:tcBorders>
                    <w:tl2br w:val="nil"/>
                    <w:tr2bl w:val="nil"/>
                  </w:tcBorders>
                  <w:vAlign w:val="center"/>
                </w:tcPr>
                <w:p w14:paraId="6F1DD4D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废水管道破裂、阀门故障</w:t>
                  </w:r>
                </w:p>
              </w:tc>
              <w:tc>
                <w:tcPr>
                  <w:tcW w:w="1764" w:type="dxa"/>
                  <w:tcBorders>
                    <w:tl2br w:val="nil"/>
                    <w:tr2bl w:val="nil"/>
                  </w:tcBorders>
                  <w:vAlign w:val="center"/>
                </w:tcPr>
                <w:p w14:paraId="271B31F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废水</w:t>
                  </w:r>
                </w:p>
              </w:tc>
              <w:tc>
                <w:tcPr>
                  <w:tcW w:w="1765" w:type="dxa"/>
                  <w:tcBorders>
                    <w:tl2br w:val="nil"/>
                    <w:tr2bl w:val="nil"/>
                  </w:tcBorders>
                  <w:vAlign w:val="center"/>
                </w:tcPr>
                <w:p w14:paraId="18BA034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val="en-US" w:eastAsia="zh-CN"/>
                    </w:rPr>
                    <w:t>地表水、地下水及土壤</w:t>
                  </w:r>
                </w:p>
              </w:tc>
              <w:tc>
                <w:tcPr>
                  <w:tcW w:w="1765" w:type="dxa"/>
                  <w:tcBorders>
                    <w:tl2br w:val="nil"/>
                    <w:tr2bl w:val="nil"/>
                  </w:tcBorders>
                  <w:vAlign w:val="center"/>
                </w:tcPr>
                <w:p w14:paraId="1DCB8C3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周边水环境</w:t>
                  </w:r>
                </w:p>
              </w:tc>
            </w:tr>
          </w:tbl>
          <w:p w14:paraId="6AB46EE1">
            <w:pPr>
              <w:keepNext w:val="0"/>
              <w:keepLines w:val="0"/>
              <w:pageBreakBefore w:val="0"/>
              <w:widowControl w:val="0"/>
              <w:suppressLineNumbers w:val="0"/>
              <w:tabs>
                <w:tab w:val="left" w:pos="600"/>
              </w:tabs>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b/>
                <w:color w:val="auto"/>
                <w:sz w:val="24"/>
                <w:szCs w:val="24"/>
              </w:rPr>
            </w:pPr>
          </w:p>
          <w:p w14:paraId="6C4E7F83">
            <w:pPr>
              <w:keepNext w:val="0"/>
              <w:keepLines w:val="0"/>
              <w:suppressLineNumbers w:val="0"/>
              <w:adjustRightInd w:val="0"/>
              <w:snapToGrid w:val="0"/>
              <w:spacing w:before="0" w:beforeAutospacing="0" w:after="0" w:afterAutospacing="0" w:line="360" w:lineRule="auto"/>
              <w:ind w:left="0" w:right="0" w:firstLine="482" w:firstLineChars="200"/>
              <w:rPr>
                <w:rFonts w:hint="default"/>
                <w:b/>
                <w:bCs/>
                <w:color w:val="auto"/>
                <w:kern w:val="0"/>
                <w:sz w:val="24"/>
              </w:rPr>
            </w:pPr>
            <w:r>
              <w:rPr>
                <w:rFonts w:hint="eastAsia"/>
                <w:b/>
                <w:bCs/>
                <w:color w:val="auto"/>
                <w:kern w:val="0"/>
                <w:sz w:val="24"/>
                <w:lang w:eastAsia="zh-CN"/>
              </w:rPr>
              <w:t>2.</w:t>
            </w:r>
            <w:r>
              <w:rPr>
                <w:rFonts w:hint="default"/>
                <w:b/>
                <w:bCs/>
                <w:color w:val="auto"/>
                <w:kern w:val="0"/>
                <w:sz w:val="24"/>
              </w:rPr>
              <w:t>环境风险防范措施及应急要求</w:t>
            </w:r>
          </w:p>
          <w:p w14:paraId="64AFC9DD">
            <w:pPr>
              <w:keepNext w:val="0"/>
              <w:keepLines w:val="0"/>
              <w:suppressLineNumbers w:val="0"/>
              <w:adjustRightInd w:val="0"/>
              <w:snapToGrid w:val="0"/>
              <w:spacing w:before="0" w:beforeAutospacing="0" w:after="0" w:afterAutospacing="0" w:line="360" w:lineRule="auto"/>
              <w:ind w:left="0" w:right="0" w:firstLine="480" w:firstLineChars="200"/>
              <w:rPr>
                <w:rFonts w:hint="default"/>
                <w:bCs/>
                <w:color w:val="auto"/>
                <w:kern w:val="0"/>
                <w:sz w:val="24"/>
              </w:rPr>
            </w:pPr>
            <w:r>
              <w:rPr>
                <w:rFonts w:hint="default"/>
                <w:bCs/>
                <w:color w:val="auto"/>
                <w:sz w:val="24"/>
              </w:rPr>
              <w:t>（1）</w:t>
            </w:r>
            <w:r>
              <w:rPr>
                <w:rFonts w:hint="default"/>
                <w:bCs/>
                <w:color w:val="auto"/>
                <w:kern w:val="0"/>
                <w:sz w:val="24"/>
              </w:rPr>
              <w:t>大气环境风险防范措施</w:t>
            </w:r>
          </w:p>
          <w:p w14:paraId="6E30FBCA">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本项目涉及大气环境风险的事件主要为危废泄漏发生火灾或者爆炸引发次生污染物进入环境空气等。针对上述事件，采取以下防范措施：</w:t>
            </w:r>
          </w:p>
          <w:p w14:paraId="0C4ECAB2">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①在厂房和可能爆炸危险区域内选用防爆型电气、仪表及通信设备；所有可能产生爆炸危险和产生静电的设备及管道均设有防静电接地设施；防雷保护按《建筑物防雷设计规范》设计；不同区域的照明设施将根据不同环境特点，选用防爆、防水、防尘或普通型灯具。</w:t>
            </w:r>
          </w:p>
          <w:p w14:paraId="233E0B35">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②加强对危废暂存间、</w:t>
            </w:r>
            <w:r>
              <w:rPr>
                <w:rFonts w:hint="eastAsia"/>
                <w:color w:val="auto"/>
                <w:kern w:val="0"/>
                <w:sz w:val="24"/>
                <w:lang w:val="en-US" w:eastAsia="zh-CN"/>
              </w:rPr>
              <w:t>油剂</w:t>
            </w:r>
            <w:r>
              <w:rPr>
                <w:rFonts w:hint="default"/>
                <w:color w:val="auto"/>
                <w:kern w:val="0"/>
                <w:sz w:val="24"/>
              </w:rPr>
              <w:t>等原料存放区的管理，以上区域严禁明火或者从事其他产生明火、火花、危险温度的作业活动；</w:t>
            </w:r>
          </w:p>
          <w:p w14:paraId="405E3030">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③建立健全各种有关消防与安全生产的规章制度，建立岗位责任制。</w:t>
            </w:r>
          </w:p>
          <w:p w14:paraId="5C11289E">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④危废暂存间、原材料仓库、产品仓库等原料、产品存放区、厂房必须设置消防给水管道和消防栓。组织义务消防员，并进行定期的培训和训练。对有火灾危险的场所设置自动报警系统，一旦发生火灾，立即做出应急反应。</w:t>
            </w:r>
          </w:p>
          <w:p w14:paraId="25D0D4D8">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⑤加强对上料区域地面粉尘清洁，加强车间通风，避免车间内粉尘浓度过高，在除尘装置管道加装防爆阀，防止发生除尘装置燃爆事故。</w:t>
            </w:r>
          </w:p>
          <w:p w14:paraId="3DB64417">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（2）地下水环境风险防范</w:t>
            </w:r>
          </w:p>
          <w:p w14:paraId="482A10DF">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①加强源头控制，危废暂存间、原材料仓库等液体物料存放区等采取有效的污染控制措施，将污染物跑冒滴漏降到最低限。</w:t>
            </w:r>
          </w:p>
          <w:p w14:paraId="46ADDA4D">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②加强环境管理，加强厂房内巡检，对跑冒滴漏做到及时发现、及时控制。</w:t>
            </w:r>
          </w:p>
          <w:p w14:paraId="3FF83CF8">
            <w:pPr>
              <w:keepNext w:val="0"/>
              <w:keepLines w:val="0"/>
              <w:suppressLineNumbers w:val="0"/>
              <w:adjustRightInd w:val="0"/>
              <w:snapToGrid w:val="0"/>
              <w:spacing w:before="0" w:beforeAutospacing="0" w:after="0" w:afterAutospacing="0" w:line="360" w:lineRule="auto"/>
              <w:ind w:left="0" w:right="0" w:firstLine="480" w:firstLineChars="200"/>
              <w:rPr>
                <w:rFonts w:hint="default"/>
                <w:b w:val="0"/>
                <w:bCs w:val="0"/>
                <w:color w:val="auto"/>
                <w:kern w:val="0"/>
                <w:sz w:val="24"/>
              </w:rPr>
            </w:pPr>
            <w:r>
              <w:rPr>
                <w:rFonts w:hint="default"/>
                <w:b w:val="0"/>
                <w:bCs w:val="0"/>
                <w:color w:val="auto"/>
                <w:kern w:val="0"/>
                <w:sz w:val="24"/>
              </w:rPr>
              <w:t>（3）地表水环境风险防范</w:t>
            </w:r>
          </w:p>
          <w:p w14:paraId="63851E95">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①加强源头控制，危废暂存间、原材料仓库等液体物料存放区等采取有效的污染控制措施，将污染物跑冒滴漏降到最低限。</w:t>
            </w:r>
          </w:p>
          <w:p w14:paraId="3D37A44E">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②按照大于液态物料最大贮存量的1/5及单体容积设置应急池</w:t>
            </w:r>
            <w:r>
              <w:rPr>
                <w:rFonts w:hint="eastAsia"/>
                <w:color w:val="auto"/>
                <w:kern w:val="0"/>
                <w:sz w:val="24"/>
                <w:lang w:eastAsia="zh-CN"/>
              </w:rPr>
              <w:t>，</w:t>
            </w:r>
            <w:r>
              <w:rPr>
                <w:rFonts w:hint="default"/>
                <w:color w:val="auto"/>
                <w:kern w:val="0"/>
                <w:sz w:val="24"/>
              </w:rPr>
              <w:t>确保液态物料泄漏后流入环境。</w:t>
            </w:r>
          </w:p>
          <w:p w14:paraId="3794B1EC">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③加强环境管理，加强厂房内巡检，对跑冒滴漏做到及时发现、及时控制。</w:t>
            </w:r>
          </w:p>
          <w:p w14:paraId="767648F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lang w:eastAsia="zh-CN"/>
              </w:rPr>
            </w:pPr>
            <w:r>
              <w:rPr>
                <w:rFonts w:hint="default" w:ascii="Times New Roman" w:hAnsi="Times New Roman" w:cs="Times New Roman"/>
                <w:b w:val="0"/>
                <w:bCs w:val="0"/>
                <w:color w:val="auto"/>
                <w:kern w:val="0"/>
                <w:sz w:val="24"/>
              </w:rPr>
              <w:t>（4）</w:t>
            </w:r>
            <w:r>
              <w:rPr>
                <w:rFonts w:hint="default" w:ascii="Times New Roman" w:hAnsi="Times New Roman" w:cs="Times New Roman"/>
                <w:b w:val="0"/>
                <w:bCs w:val="0"/>
                <w:color w:val="auto"/>
                <w:kern w:val="0"/>
                <w:sz w:val="24"/>
                <w:lang w:bidi="ar"/>
              </w:rPr>
              <w:t>危险废物管理风险防范措施</w:t>
            </w:r>
          </w:p>
          <w:p w14:paraId="786AE942">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kern w:val="0"/>
                <w:sz w:val="24"/>
                <w:lang w:bidi="ar"/>
              </w:rPr>
              <w:t>①厂区危险废物的贮存和管理均须按照以下要求规范化建设：</w:t>
            </w:r>
          </w:p>
          <w:p w14:paraId="2C6EEC21">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lang w:bidi="ar"/>
              </w:rPr>
              <w:t>②厂区内危险废物暂存场地必须严格按照《危险废物贮存污染控制标准》（GB18597-2023）、《省生态环境厅关于印发《江苏省固体废物全过程环境监管工作意见》的通知》（苏环办〔2024〕16号）中相关要求设置和管理；</w:t>
            </w:r>
          </w:p>
          <w:p w14:paraId="787C1D39">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kern w:val="0"/>
                <w:sz w:val="24"/>
                <w:lang w:bidi="ar"/>
              </w:rPr>
              <w:t>③建立危险废物台账管理制度，跟踪记录危险废物在公司内部运转的整个流程，与生产记录相结合，建立危险废物台账；</w:t>
            </w:r>
          </w:p>
          <w:p w14:paraId="2335C95C">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kern w:val="0"/>
                <w:sz w:val="24"/>
                <w:lang w:bidi="ar"/>
              </w:rPr>
              <w:t>④必须定期对所贮存的危险废物包装容器及贮存设施进行检查，发现破损，应及时采取措施清理更换；尽可能减少各类危险废物在厂内的贮存周期和贮存量，降低环境风险；</w:t>
            </w:r>
          </w:p>
          <w:p w14:paraId="46BDE7A2">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⑤危险废物的运输必须委托专业单位、专用车辆进行运输，不得随意安排一般社会车辆运输，建设单位在与运输单位签订相关运输协议时，应明确运输过程中的风险防范措施及责任。</w:t>
            </w:r>
          </w:p>
          <w:p w14:paraId="737794EB">
            <w:pPr>
              <w:keepNext w:val="0"/>
              <w:keepLines w:val="0"/>
              <w:suppressLineNumbers w:val="0"/>
              <w:adjustRightInd w:val="0"/>
              <w:snapToGrid w:val="0"/>
              <w:spacing w:before="0" w:beforeAutospacing="0" w:after="0" w:afterAutospacing="0" w:line="360" w:lineRule="auto"/>
              <w:ind w:left="0" w:right="0" w:firstLine="482" w:firstLineChars="200"/>
              <w:rPr>
                <w:rFonts w:hint="default"/>
                <w:b/>
                <w:bCs/>
                <w:color w:val="auto"/>
                <w:kern w:val="0"/>
                <w:sz w:val="24"/>
              </w:rPr>
            </w:pPr>
            <w:r>
              <w:rPr>
                <w:rFonts w:hint="eastAsia"/>
                <w:b/>
                <w:bCs/>
                <w:color w:val="auto"/>
                <w:kern w:val="0"/>
                <w:sz w:val="24"/>
                <w:lang w:val="en-US" w:eastAsia="zh-CN"/>
              </w:rPr>
              <w:t>3.</w:t>
            </w:r>
            <w:r>
              <w:rPr>
                <w:rFonts w:hint="default" w:ascii="Times New Roman" w:hAnsi="Times New Roman" w:eastAsia="宋体" w:cs="Times New Roman"/>
                <w:b/>
                <w:bCs/>
                <w:color w:val="auto"/>
                <w:kern w:val="0"/>
                <w:sz w:val="24"/>
              </w:rPr>
              <w:t>环境应急管理</w:t>
            </w:r>
          </w:p>
          <w:p w14:paraId="4F8ECD0A">
            <w:pPr>
              <w:keepNext w:val="0"/>
              <w:keepLines w:val="0"/>
              <w:numPr>
                <w:ilvl w:val="0"/>
                <w:numId w:val="0"/>
              </w:numPr>
              <w:suppressLineNumbers w:val="0"/>
              <w:tabs>
                <w:tab w:val="left" w:pos="600"/>
              </w:tabs>
              <w:adjustRightInd w:val="0"/>
              <w:snapToGrid w:val="0"/>
              <w:spacing w:before="0" w:beforeAutospacing="0" w:after="0" w:afterAutospacing="0" w:line="360" w:lineRule="auto"/>
              <w:ind w:left="0" w:right="0" w:firstLine="482" w:firstLineChars="200"/>
              <w:rPr>
                <w:rFonts w:hint="eastAsia" w:eastAsia="宋体"/>
                <w:b/>
                <w:bCs/>
                <w:color w:val="auto"/>
                <w:kern w:val="0"/>
                <w:sz w:val="24"/>
                <w:lang w:eastAsia="zh-CN"/>
              </w:rPr>
            </w:pPr>
            <w:r>
              <w:rPr>
                <w:rFonts w:hint="eastAsia"/>
                <w:b/>
                <w:bCs/>
                <w:color w:val="auto"/>
                <w:kern w:val="0"/>
                <w:sz w:val="24"/>
                <w:lang w:eastAsia="zh-CN"/>
              </w:rPr>
              <w:t>（</w:t>
            </w:r>
            <w:r>
              <w:rPr>
                <w:rFonts w:hint="eastAsia"/>
                <w:b/>
                <w:bCs/>
                <w:color w:val="auto"/>
                <w:kern w:val="0"/>
                <w:sz w:val="24"/>
                <w:lang w:val="en-US" w:eastAsia="zh-CN"/>
              </w:rPr>
              <w:t>1</w:t>
            </w:r>
            <w:r>
              <w:rPr>
                <w:rFonts w:hint="eastAsia"/>
                <w:b/>
                <w:bCs/>
                <w:color w:val="auto"/>
                <w:kern w:val="0"/>
                <w:sz w:val="24"/>
                <w:lang w:eastAsia="zh-CN"/>
              </w:rPr>
              <w:t>）</w:t>
            </w:r>
            <w:r>
              <w:rPr>
                <w:rFonts w:hint="default" w:cs="Times New Roman"/>
                <w:b/>
                <w:bCs/>
                <w:color w:val="auto"/>
                <w:sz w:val="24"/>
              </w:rPr>
              <w:t>编制突发环境事件应急预案</w:t>
            </w:r>
          </w:p>
          <w:p w14:paraId="2A4F2FFE">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企业应根据《突发环境事件应急管理办法》《企事业单位和工业园区突发环境事件应急预案编制导则》（DB32/T3795-2020）等文件要求，通过对污染事故的风险评价，应制定防止重大环境污染事故发生的工作计划，消除事故隐患的实施及突发事故应急处理办法，编制环境应急预案。企业需根据相关的环境管理要求，结合具体情况，制定公司的各项安全生产管理制度、严格的生产操作规则和完善的事故应急计划及相应的应急处理手段和设施，同时加强安全教育，开展演练和培训，以增强职工的安全意识和安全防范能力。应急预案原则上每3年评估一次。应急预案的评估工作，可以委托第三方专业机构组织实施。</w:t>
            </w:r>
          </w:p>
          <w:p w14:paraId="704E613F">
            <w:pPr>
              <w:keepNext w:val="0"/>
              <w:keepLines w:val="0"/>
              <w:suppressLineNumbers w:val="0"/>
              <w:adjustRightInd w:val="0"/>
              <w:snapToGrid w:val="0"/>
              <w:spacing w:before="0" w:beforeAutospacing="0" w:after="0" w:afterAutospacing="0" w:line="360" w:lineRule="auto"/>
              <w:ind w:left="0" w:right="0" w:firstLine="482" w:firstLineChars="200"/>
              <w:rPr>
                <w:rFonts w:hint="default" w:cs="Times New Roman"/>
                <w:b/>
                <w:bCs w:val="0"/>
                <w:color w:val="auto"/>
                <w:sz w:val="24"/>
              </w:rPr>
            </w:pPr>
            <w:r>
              <w:rPr>
                <w:rFonts w:hint="eastAsia" w:cs="Times New Roman"/>
                <w:b/>
                <w:bCs w:val="0"/>
                <w:color w:val="auto"/>
                <w:kern w:val="2"/>
                <w:sz w:val="24"/>
                <w:szCs w:val="24"/>
                <w:lang w:val="en-US" w:eastAsia="zh-CN" w:bidi="ar-SA"/>
              </w:rPr>
              <w:t>（2）</w:t>
            </w:r>
            <w:r>
              <w:rPr>
                <w:rFonts w:hint="default" w:cs="Times New Roman"/>
                <w:b/>
                <w:bCs w:val="0"/>
                <w:color w:val="auto"/>
                <w:sz w:val="24"/>
              </w:rPr>
              <w:t>突发环境事件隐患排查工作要求</w:t>
            </w:r>
          </w:p>
          <w:p w14:paraId="5BAA9136">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ascii="Times New Roman" w:hAnsi="Times New Roman" w:eastAsia="宋体"/>
                <w:bCs/>
                <w:color w:val="auto"/>
              </w:rPr>
              <w:t>按照规定开展突发环境事件风险评估，建立健全隐患排查制度，开展隐患排查治理工作和建立档案要求，按规定储备必要的环境应急装备和物资情况</w:t>
            </w:r>
            <w:r>
              <w:rPr>
                <w:rFonts w:hint="eastAsia"/>
                <w:bCs/>
                <w:color w:val="auto"/>
                <w:lang w:eastAsia="zh-CN"/>
              </w:rPr>
              <w:t>，</w:t>
            </w:r>
            <w:r>
              <w:rPr>
                <w:rFonts w:hint="eastAsia" w:ascii="Times New Roman" w:hAnsi="Times New Roman" w:eastAsia="宋体"/>
                <w:bCs/>
                <w:color w:val="auto"/>
              </w:rPr>
              <w:t>配备相应的管理和技术人员。</w:t>
            </w:r>
          </w:p>
          <w:p w14:paraId="3A54A056">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建立隐患排查治理责任制。企业应当建立健全从主要负责人到每位作业人员，覆盖各部门、各单位、各岗位的隐患排查治理责任体系；明确主要负责人对本企业隐患排查治理工作全面负责，统一组织、领导和协调本单位隐患排查治理工作，及时掌握、监督重大隐患治理情况；明确分管隐患排查治理工作的组织机构、责任人和责任分工，按照生产区、储运区或车间、工段等划分排查区域，明确每个区域的责任人，逐级建立并落实隐患排查治理岗位责任制。</w:t>
            </w:r>
          </w:p>
          <w:p w14:paraId="4CA8F8B4">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制定突发环境事件风险防控设施的操作规程和检查、运行、维修与维护等规定，保证资金投入，确保各设施处于正常完好状态。</w:t>
            </w:r>
          </w:p>
          <w:p w14:paraId="1E6525A4">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建立自查、自报、自改、自验的</w:t>
            </w:r>
            <w:r>
              <w:rPr>
                <w:rFonts w:ascii="Times New Roman" w:hAnsi="Times New Roman" w:eastAsia="宋体"/>
                <w:bCs/>
                <w:color w:val="auto"/>
              </w:rPr>
              <w:t>隐患排查治理组织实施制度</w:t>
            </w:r>
            <w:r>
              <w:rPr>
                <w:rFonts w:hint="eastAsia" w:ascii="Times New Roman" w:hAnsi="Times New Roman" w:eastAsia="宋体"/>
                <w:bCs/>
                <w:color w:val="auto"/>
              </w:rPr>
              <w:t>。</w:t>
            </w:r>
          </w:p>
          <w:p w14:paraId="76E92B28">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如实记录隐患排查治理情况，形成档案文件并做好存档。</w:t>
            </w:r>
          </w:p>
          <w:p w14:paraId="76085FE3">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及时修订企业突发环境事件应急预案、完善相关突发环境事件风险防控措施。</w:t>
            </w:r>
          </w:p>
          <w:p w14:paraId="20109C40">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定期对员工进行隐患排查治理相关知识的宣传和培训。</w:t>
            </w:r>
          </w:p>
          <w:p w14:paraId="69A3ACD0">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有条件的企业应当建立与企业相关信息化管理系统联网的突发环境事件隐患排查治理信息系统。</w:t>
            </w:r>
          </w:p>
          <w:p w14:paraId="07F5BD45">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根据排查频次、排查规模、排查项目不同，排查可分为综合排查、日常排查、专项排查及抽查等方式。企业应建立以日常排查为主的隐患排查工作机制，及时发现并治理隐患。</w:t>
            </w:r>
          </w:p>
          <w:p w14:paraId="1A7067C6">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综合排查是指企业以厂区为单位开展全面排查，一年应不少于一次。</w:t>
            </w:r>
          </w:p>
          <w:p w14:paraId="37904252">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日常排查是指以班组、工段、车间为单位，</w:t>
            </w:r>
            <w:r>
              <w:rPr>
                <w:rFonts w:hint="eastAsia"/>
                <w:bCs/>
                <w:color w:val="auto"/>
                <w:lang w:eastAsia="zh-CN"/>
              </w:rPr>
              <w:t>组织</w:t>
            </w:r>
            <w:r>
              <w:rPr>
                <w:rFonts w:hint="eastAsia" w:ascii="Times New Roman" w:hAnsi="Times New Roman" w:eastAsia="宋体"/>
                <w:bCs/>
                <w:color w:val="auto"/>
              </w:rPr>
              <w:t>对单个或几个项目采取日常的、巡视性的排查工作，其频次根据具体排查项目确定。一月应不少于一次。</w:t>
            </w:r>
          </w:p>
          <w:p w14:paraId="071CC499">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专项排查是在特定时间或对特定区域、设备、措施进行的专门性排查。其频次根据实际需要确定。</w:t>
            </w:r>
          </w:p>
          <w:p w14:paraId="518230B6">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企业可根据自身管理流程，采取抽查方式排查隐患。</w:t>
            </w:r>
          </w:p>
          <w:p w14:paraId="250B237F">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在完成年度计划的基础上，当出现下列情况时，应当及时组织隐患排查：</w:t>
            </w:r>
          </w:p>
          <w:p w14:paraId="3397F1DF">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a</w:t>
            </w:r>
            <w:r>
              <w:rPr>
                <w:rFonts w:hint="eastAsia" w:ascii="Times New Roman" w:hAnsi="Times New Roman" w:eastAsia="宋体"/>
                <w:bCs/>
                <w:color w:val="auto"/>
              </w:rPr>
              <w:t>）出现不符合新颁布、修订的相关</w:t>
            </w:r>
            <w:r>
              <w:rPr>
                <w:rFonts w:hint="eastAsia"/>
                <w:bCs/>
                <w:color w:val="auto"/>
                <w:lang w:eastAsia="zh-CN"/>
              </w:rPr>
              <w:t>法律法规</w:t>
            </w:r>
            <w:r>
              <w:rPr>
                <w:rFonts w:hint="eastAsia" w:ascii="Times New Roman" w:hAnsi="Times New Roman" w:eastAsia="宋体"/>
                <w:bCs/>
                <w:color w:val="auto"/>
              </w:rPr>
              <w:t>、标准、产业政策等情况的；</w:t>
            </w:r>
          </w:p>
          <w:p w14:paraId="0172DF56">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b</w:t>
            </w:r>
            <w:r>
              <w:rPr>
                <w:rFonts w:hint="eastAsia" w:ascii="Times New Roman" w:hAnsi="Times New Roman" w:eastAsia="宋体"/>
                <w:bCs/>
                <w:color w:val="auto"/>
              </w:rPr>
              <w:t>）企业有新建、改建、扩建项目的；</w:t>
            </w:r>
          </w:p>
          <w:p w14:paraId="4BE7F0CB">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c</w:t>
            </w:r>
            <w:r>
              <w:rPr>
                <w:rFonts w:hint="eastAsia" w:ascii="Times New Roman" w:hAnsi="Times New Roman" w:eastAsia="宋体"/>
                <w:bCs/>
                <w:color w:val="auto"/>
              </w:rPr>
              <w:t>）企业突发环境事件风险物质发生重大变化导致突发环境事件风险等级发生变化的；</w:t>
            </w:r>
          </w:p>
          <w:p w14:paraId="2B83F196">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d</w:t>
            </w:r>
            <w:r>
              <w:rPr>
                <w:rFonts w:hint="eastAsia" w:ascii="Times New Roman" w:hAnsi="Times New Roman" w:eastAsia="宋体"/>
                <w:bCs/>
                <w:color w:val="auto"/>
              </w:rPr>
              <w:t>）企业管理组织应急指挥体系机构、人员与职责发生重大变化的；</w:t>
            </w:r>
          </w:p>
          <w:p w14:paraId="45073FA8">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e</w:t>
            </w:r>
            <w:r>
              <w:rPr>
                <w:rFonts w:hint="eastAsia" w:ascii="Times New Roman" w:hAnsi="Times New Roman" w:eastAsia="宋体"/>
                <w:bCs/>
                <w:color w:val="auto"/>
              </w:rPr>
              <w:t>）企业生产废水系统、雨水系统、清净下水系统、事故排水系统发生变化的；</w:t>
            </w:r>
          </w:p>
          <w:p w14:paraId="17690704">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f</w:t>
            </w:r>
            <w:r>
              <w:rPr>
                <w:rFonts w:hint="eastAsia" w:ascii="Times New Roman" w:hAnsi="Times New Roman" w:eastAsia="宋体"/>
                <w:bCs/>
                <w:color w:val="auto"/>
              </w:rPr>
              <w:t>）企业废水总排口、雨水排口、清净下水排口与水环境风险受体连接通道发生变化的；</w:t>
            </w:r>
          </w:p>
          <w:p w14:paraId="5FEB094E">
            <w:pPr>
              <w:pStyle w:val="236"/>
              <w:keepNext w:val="0"/>
              <w:keepLines w:val="0"/>
              <w:suppressLineNumbers w:val="0"/>
              <w:spacing w:before="0" w:beforeAutospacing="0" w:after="0" w:afterAutospacing="0"/>
              <w:ind w:left="0" w:right="0" w:firstLine="480"/>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g</w:t>
            </w:r>
            <w:r>
              <w:rPr>
                <w:rFonts w:hint="eastAsia" w:ascii="Times New Roman" w:hAnsi="Times New Roman" w:eastAsia="宋体"/>
                <w:bCs/>
                <w:color w:val="auto"/>
              </w:rPr>
              <w:t>）企业周边大气和水环境风险受体发生变化的；</w:t>
            </w:r>
          </w:p>
          <w:p w14:paraId="27327CB7">
            <w:pPr>
              <w:pStyle w:val="236"/>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h</w:t>
            </w:r>
            <w:r>
              <w:rPr>
                <w:rFonts w:hint="eastAsia" w:ascii="Times New Roman" w:hAnsi="Times New Roman" w:eastAsia="宋体"/>
                <w:bCs/>
                <w:color w:val="auto"/>
              </w:rPr>
              <w:t>）季节转换或发布气象灾害预警、地质地震灾害预报的；</w:t>
            </w:r>
          </w:p>
          <w:p w14:paraId="1147E290">
            <w:pPr>
              <w:pStyle w:val="236"/>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i</w:t>
            </w:r>
            <w:r>
              <w:rPr>
                <w:rFonts w:hint="eastAsia" w:ascii="Times New Roman" w:hAnsi="Times New Roman" w:eastAsia="宋体"/>
                <w:bCs/>
                <w:color w:val="auto"/>
              </w:rPr>
              <w:t>）敏感时期、重大节假日或重大活动前；</w:t>
            </w:r>
          </w:p>
          <w:p w14:paraId="6B583BFC">
            <w:pPr>
              <w:pStyle w:val="236"/>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j</w:t>
            </w:r>
            <w:r>
              <w:rPr>
                <w:rFonts w:hint="eastAsia" w:ascii="Times New Roman" w:hAnsi="Times New Roman" w:eastAsia="宋体"/>
                <w:bCs/>
                <w:color w:val="auto"/>
              </w:rPr>
              <w:t>）突发环境事件发生后或本地区其他同类企业发生突发环境事件的；</w:t>
            </w:r>
          </w:p>
          <w:p w14:paraId="7D66070C">
            <w:pPr>
              <w:pStyle w:val="236"/>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k</w:t>
            </w:r>
            <w:r>
              <w:rPr>
                <w:rFonts w:hint="eastAsia" w:ascii="Times New Roman" w:hAnsi="Times New Roman" w:eastAsia="宋体"/>
                <w:bCs/>
                <w:color w:val="auto"/>
              </w:rPr>
              <w:t>）发生生产安全事故或自然灾害的；</w:t>
            </w:r>
          </w:p>
          <w:p w14:paraId="34A9B032">
            <w:pPr>
              <w:pStyle w:val="236"/>
              <w:keepNext w:val="0"/>
              <w:keepLines w:val="0"/>
              <w:pageBreakBefore w:val="0"/>
              <w:suppressLineNumbers w:val="0"/>
              <w:kinsoku/>
              <w:wordWrap/>
              <w:overflowPunct/>
              <w:topLinePunct w:val="0"/>
              <w:autoSpaceDE/>
              <w:autoSpaceDN/>
              <w:bidi w:val="0"/>
              <w:spacing w:before="0" w:beforeAutospacing="0" w:after="0" w:afterAutospacing="0" w:line="360" w:lineRule="auto"/>
              <w:ind w:left="0" w:right="0" w:firstLine="480"/>
              <w:textAlignment w:val="auto"/>
              <w:rPr>
                <w:rFonts w:ascii="Times New Roman" w:hAnsi="Times New Roman" w:eastAsia="宋体"/>
                <w:bCs/>
                <w:color w:val="auto"/>
              </w:rPr>
            </w:pPr>
            <w:r>
              <w:rPr>
                <w:rFonts w:hint="eastAsia" w:ascii="Times New Roman" w:hAnsi="Times New Roman" w:eastAsia="宋体"/>
                <w:bCs/>
                <w:color w:val="auto"/>
              </w:rPr>
              <w:t>（</w:t>
            </w:r>
            <w:r>
              <w:rPr>
                <w:rFonts w:hint="eastAsia"/>
                <w:bCs/>
                <w:color w:val="auto"/>
                <w:lang w:val="en-US" w:eastAsia="zh-CN"/>
              </w:rPr>
              <w:t>l</w:t>
            </w:r>
            <w:r>
              <w:rPr>
                <w:rFonts w:hint="eastAsia" w:ascii="Times New Roman" w:hAnsi="Times New Roman" w:eastAsia="宋体"/>
                <w:bCs/>
                <w:color w:val="auto"/>
              </w:rPr>
              <w:t>）企业停产后恢复生产前</w:t>
            </w:r>
          </w:p>
          <w:p w14:paraId="4C9D17D8">
            <w:pPr>
              <w:pStyle w:val="14"/>
              <w:keepNext w:val="0"/>
              <w:keepLines w:val="0"/>
              <w:pageBreakBefore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113" w:rightChars="0" w:firstLine="482" w:firstLineChars="200"/>
              <w:textAlignment w:val="auto"/>
              <w:rPr>
                <w:rFonts w:hint="default"/>
                <w:b/>
                <w:bCs w:val="0"/>
                <w:color w:val="auto"/>
                <w:lang w:val="en-US" w:eastAsia="zh-CN"/>
              </w:rPr>
            </w:pPr>
            <w:r>
              <w:rPr>
                <w:rFonts w:hint="eastAsia" w:cs="Times New Roman"/>
                <w:b/>
                <w:bCs w:val="0"/>
                <w:color w:val="auto"/>
                <w:kern w:val="0"/>
                <w:sz w:val="24"/>
                <w:szCs w:val="24"/>
                <w:lang w:val="en-US" w:eastAsia="zh-CN" w:bidi="ar-SA"/>
              </w:rPr>
              <w:t>（3）应急培训及演练</w:t>
            </w:r>
          </w:p>
          <w:p w14:paraId="47C0A12C">
            <w:pPr>
              <w:pStyle w:val="4"/>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olor w:val="auto"/>
                <w:sz w:val="24"/>
                <w:szCs w:val="24"/>
                <w:lang w:val="en-US" w:eastAsia="zh-CN"/>
              </w:rPr>
            </w:pPr>
            <w:bookmarkStart w:id="8" w:name="_Toc499740444"/>
            <w:bookmarkStart w:id="9" w:name="_Toc420416454"/>
            <w:bookmarkStart w:id="10" w:name="_Toc9520"/>
            <w:bookmarkStart w:id="11" w:name="_Toc4993"/>
            <w:bookmarkStart w:id="12" w:name="_Toc31810"/>
            <w:bookmarkStart w:id="13" w:name="_Toc2503"/>
            <w:bookmarkStart w:id="14" w:name="_Toc10948"/>
            <w:bookmarkStart w:id="15" w:name="_Toc4988"/>
            <w:r>
              <w:rPr>
                <w:rFonts w:hint="eastAsia" w:ascii="宋体" w:hAnsi="宋体" w:eastAsia="宋体" w:cs="宋体"/>
                <w:color w:val="auto"/>
                <w:sz w:val="24"/>
                <w:szCs w:val="24"/>
                <w:lang w:val="en-US" w:eastAsia="zh-CN"/>
              </w:rPr>
              <w:t>①</w:t>
            </w:r>
            <w:r>
              <w:rPr>
                <w:rFonts w:hint="default"/>
                <w:color w:val="auto"/>
                <w:sz w:val="24"/>
                <w:szCs w:val="24"/>
                <w:lang w:val="en-US" w:eastAsia="zh-CN"/>
              </w:rPr>
              <w:t>培训</w:t>
            </w:r>
            <w:bookmarkEnd w:id="8"/>
            <w:bookmarkEnd w:id="9"/>
            <w:bookmarkEnd w:id="10"/>
            <w:bookmarkEnd w:id="11"/>
            <w:bookmarkEnd w:id="12"/>
            <w:bookmarkEnd w:id="13"/>
            <w:bookmarkEnd w:id="14"/>
            <w:bookmarkEnd w:id="15"/>
          </w:p>
          <w:p w14:paraId="2A5C69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公司应组织对员工应急预案的培训与宣传教育，培训应形成书面记录，记录培训时间、地点、内容、参加人员等，公司至少每年组织一次应急救援方面的培训考核。</w:t>
            </w:r>
          </w:p>
          <w:p w14:paraId="3C7C82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应急救援队伍人员从各部门选拔，应急救援队伍人员培训不仅强调在不同紧急状态下所应采取策略的知识培训，还包括应急装备使用和泄漏处理、消防与环境技能的培训。</w:t>
            </w:r>
          </w:p>
          <w:p w14:paraId="21D6C6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员工需掌握“泄漏围堵、吸附材料使用、个人防护装备（PPE）佩戴、应急报警程序”等技能。</w:t>
            </w:r>
          </w:p>
          <w:p w14:paraId="4007DB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由公司每年组织一次，培训内容如下：</w:t>
            </w:r>
          </w:p>
          <w:p w14:paraId="6A0219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a</w:t>
            </w:r>
            <w:r>
              <w:rPr>
                <w:rFonts w:hint="default"/>
                <w:color w:val="auto"/>
                <w:sz w:val="24"/>
                <w:szCs w:val="24"/>
                <w:lang w:val="en-US" w:eastAsia="zh-CN"/>
              </w:rPr>
              <w:t>）了解事件应急预案内容；</w:t>
            </w:r>
          </w:p>
          <w:p w14:paraId="64AE2E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b</w:t>
            </w:r>
            <w:r>
              <w:rPr>
                <w:rFonts w:hint="default"/>
                <w:color w:val="auto"/>
                <w:sz w:val="24"/>
                <w:szCs w:val="24"/>
                <w:lang w:val="en-US" w:eastAsia="zh-CN"/>
              </w:rPr>
              <w:t>）熟练使用各类防护器具；</w:t>
            </w:r>
          </w:p>
          <w:p w14:paraId="4AC9B3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c</w:t>
            </w:r>
            <w:r>
              <w:rPr>
                <w:rFonts w:hint="default"/>
                <w:color w:val="auto"/>
                <w:sz w:val="24"/>
                <w:szCs w:val="24"/>
                <w:lang w:val="en-US" w:eastAsia="zh-CN"/>
              </w:rPr>
              <w:t>）事件现场自我防护及监护的措施；</w:t>
            </w:r>
          </w:p>
          <w:p w14:paraId="4DB8CD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d</w:t>
            </w:r>
            <w:r>
              <w:rPr>
                <w:rFonts w:hint="default"/>
                <w:color w:val="auto"/>
                <w:sz w:val="24"/>
                <w:szCs w:val="24"/>
                <w:lang w:val="en-US" w:eastAsia="zh-CN"/>
              </w:rPr>
              <w:t>）应急预案演练。</w:t>
            </w:r>
          </w:p>
          <w:p w14:paraId="6300CB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公司所有人员都要参加基本应急响应培训，由各部门结合每年的培训计划一并进行，培训内容如下：</w:t>
            </w:r>
          </w:p>
          <w:p w14:paraId="2C8B22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a</w:t>
            </w:r>
            <w:r>
              <w:rPr>
                <w:rFonts w:hint="default"/>
                <w:color w:val="auto"/>
                <w:sz w:val="24"/>
                <w:szCs w:val="24"/>
                <w:lang w:val="en-US" w:eastAsia="zh-CN"/>
              </w:rPr>
              <w:t>）应急响应程序；</w:t>
            </w:r>
          </w:p>
          <w:p w14:paraId="3D92A4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b</w:t>
            </w:r>
            <w:r>
              <w:rPr>
                <w:rFonts w:hint="default"/>
                <w:color w:val="auto"/>
                <w:sz w:val="24"/>
                <w:szCs w:val="24"/>
                <w:lang w:val="en-US" w:eastAsia="zh-CN"/>
              </w:rPr>
              <w:t>）消防器材使用和污染物处置；</w:t>
            </w:r>
          </w:p>
          <w:p w14:paraId="58E7F2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c</w:t>
            </w:r>
            <w:r>
              <w:rPr>
                <w:rFonts w:hint="default"/>
                <w:color w:val="auto"/>
                <w:sz w:val="24"/>
                <w:szCs w:val="24"/>
                <w:lang w:val="en-US" w:eastAsia="zh-CN"/>
              </w:rPr>
              <w:t>）防火、防毒基本知识和防护用品使用方法；</w:t>
            </w:r>
          </w:p>
          <w:p w14:paraId="6B2429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d</w:t>
            </w:r>
            <w:r>
              <w:rPr>
                <w:rFonts w:hint="default"/>
                <w:color w:val="auto"/>
                <w:sz w:val="24"/>
                <w:szCs w:val="24"/>
                <w:lang w:val="en-US" w:eastAsia="zh-CN"/>
              </w:rPr>
              <w:t>）生产过程中异常情况的排除、处理方法；</w:t>
            </w:r>
          </w:p>
          <w:p w14:paraId="297C4D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e</w:t>
            </w:r>
            <w:r>
              <w:rPr>
                <w:rFonts w:hint="default"/>
                <w:color w:val="auto"/>
                <w:sz w:val="24"/>
                <w:szCs w:val="24"/>
                <w:lang w:val="en-US" w:eastAsia="zh-CN"/>
              </w:rPr>
              <w:t>）事件发生后如何开展自救和互救；</w:t>
            </w:r>
          </w:p>
          <w:p w14:paraId="2086F4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f</w:t>
            </w:r>
            <w:r>
              <w:rPr>
                <w:rFonts w:hint="default"/>
                <w:color w:val="auto"/>
                <w:sz w:val="24"/>
                <w:szCs w:val="24"/>
                <w:lang w:val="en-US" w:eastAsia="zh-CN"/>
              </w:rPr>
              <w:t>）事件发生后的紧急撤离和疏散方法等。</w:t>
            </w:r>
          </w:p>
          <w:p w14:paraId="2ADCBC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对周边人员应急响应知识的宣传以发放宣传材料形式为主，宣传内容如下：</w:t>
            </w:r>
          </w:p>
          <w:p w14:paraId="1F031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a</w:t>
            </w:r>
            <w:r>
              <w:rPr>
                <w:rFonts w:hint="default"/>
                <w:color w:val="auto"/>
                <w:sz w:val="24"/>
                <w:szCs w:val="24"/>
                <w:lang w:val="en-US" w:eastAsia="zh-CN"/>
              </w:rPr>
              <w:t>）各种危险化学品的危险特性及处置方法；</w:t>
            </w:r>
          </w:p>
          <w:p w14:paraId="317F34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sz w:val="24"/>
                <w:szCs w:val="24"/>
                <w:lang w:val="en-US" w:eastAsia="zh-CN"/>
              </w:rPr>
            </w:pPr>
            <w:r>
              <w:rPr>
                <w:rFonts w:hint="default"/>
                <w:color w:val="auto"/>
                <w:sz w:val="24"/>
                <w:szCs w:val="24"/>
                <w:lang w:val="en-US" w:eastAsia="zh-CN"/>
              </w:rPr>
              <w:t>（</w:t>
            </w:r>
            <w:r>
              <w:rPr>
                <w:rFonts w:hint="eastAsia"/>
                <w:color w:val="auto"/>
                <w:sz w:val="24"/>
                <w:szCs w:val="24"/>
                <w:lang w:val="en-US" w:eastAsia="zh-CN"/>
              </w:rPr>
              <w:t>b</w:t>
            </w:r>
            <w:r>
              <w:rPr>
                <w:rFonts w:hint="default"/>
                <w:color w:val="auto"/>
                <w:sz w:val="24"/>
                <w:szCs w:val="24"/>
                <w:lang w:val="en-US" w:eastAsia="zh-CN"/>
              </w:rPr>
              <w:t>）防火安全常识；</w:t>
            </w:r>
          </w:p>
          <w:p w14:paraId="340925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auto"/>
                <w:lang w:val="en-US" w:eastAsia="zh-CN"/>
              </w:rPr>
            </w:pPr>
            <w:r>
              <w:rPr>
                <w:rFonts w:hint="default"/>
                <w:color w:val="auto"/>
                <w:sz w:val="24"/>
                <w:szCs w:val="24"/>
                <w:lang w:val="en-US" w:eastAsia="zh-CN"/>
              </w:rPr>
              <w:t>（</w:t>
            </w:r>
            <w:r>
              <w:rPr>
                <w:rFonts w:hint="eastAsia"/>
                <w:color w:val="auto"/>
                <w:sz w:val="24"/>
                <w:szCs w:val="24"/>
                <w:lang w:val="en-US" w:eastAsia="zh-CN"/>
              </w:rPr>
              <w:t>c</w:t>
            </w:r>
            <w:r>
              <w:rPr>
                <w:rFonts w:hint="default"/>
                <w:color w:val="auto"/>
                <w:sz w:val="24"/>
                <w:szCs w:val="24"/>
                <w:lang w:val="en-US" w:eastAsia="zh-CN"/>
              </w:rPr>
              <w:t>）突发环境事件发生后的撤离和疏散方法。</w:t>
            </w:r>
          </w:p>
          <w:p w14:paraId="0360E5CF">
            <w:pPr>
              <w:pStyle w:val="4"/>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szCs w:val="24"/>
                <w:lang w:val="en-US" w:eastAsia="zh-CN"/>
              </w:rPr>
            </w:pPr>
            <w:bookmarkStart w:id="16" w:name="_Toc2902"/>
            <w:bookmarkStart w:id="17" w:name="_Toc2776"/>
            <w:bookmarkStart w:id="18" w:name="_Toc18321"/>
            <w:bookmarkStart w:id="19" w:name="_Toc420416455"/>
            <w:bookmarkStart w:id="20" w:name="_Toc3960"/>
            <w:bookmarkStart w:id="21" w:name="_Toc499740448"/>
            <w:bookmarkStart w:id="22" w:name="_Toc26796"/>
            <w:bookmarkStart w:id="23" w:name="_Toc3465"/>
            <w:r>
              <w:rPr>
                <w:rFonts w:hint="default" w:ascii="Times New Roman" w:hAnsi="Times New Roman" w:eastAsia="宋体" w:cs="Times New Roman"/>
                <w:b/>
                <w:bCs/>
                <w:color w:val="auto"/>
                <w:sz w:val="24"/>
                <w:szCs w:val="24"/>
                <w:lang w:val="en-US" w:eastAsia="zh-CN"/>
              </w:rPr>
              <w:t>②演练</w:t>
            </w:r>
            <w:bookmarkEnd w:id="16"/>
            <w:bookmarkEnd w:id="17"/>
            <w:bookmarkEnd w:id="18"/>
            <w:bookmarkEnd w:id="19"/>
            <w:bookmarkEnd w:id="20"/>
            <w:bookmarkEnd w:id="21"/>
            <w:bookmarkEnd w:id="22"/>
            <w:bookmarkEnd w:id="23"/>
          </w:p>
          <w:p w14:paraId="1867412B">
            <w:pPr>
              <w:pStyle w:val="5"/>
              <w:pageBreakBefore w:val="0"/>
              <w:widowControl w:val="0"/>
              <w:suppressLineNumbers w:val="0"/>
              <w:tabs>
                <w:tab w:val="left" w:pos="432"/>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color w:val="auto"/>
                <w:sz w:val="24"/>
                <w:szCs w:val="24"/>
                <w:lang w:val="en-US" w:eastAsia="zh-CN"/>
              </w:rPr>
            </w:pPr>
            <w:bookmarkStart w:id="24" w:name="_Toc408409687"/>
            <w:bookmarkStart w:id="25" w:name="_Toc499740449"/>
            <w:bookmarkStart w:id="26" w:name="_Toc405794463"/>
            <w:r>
              <w:rPr>
                <w:rFonts w:hint="default" w:ascii="Times New Roman" w:hAnsi="Times New Roman" w:eastAsia="宋体" w:cs="Times New Roman"/>
                <w:b w:val="0"/>
                <w:bCs w:val="0"/>
                <w:color w:val="auto"/>
                <w:sz w:val="24"/>
                <w:szCs w:val="24"/>
                <w:lang w:val="en-US" w:eastAsia="zh-CN"/>
              </w:rPr>
              <w:t>（a）演练组织与分类</w:t>
            </w:r>
            <w:bookmarkEnd w:id="24"/>
            <w:bookmarkEnd w:id="25"/>
            <w:bookmarkEnd w:id="26"/>
          </w:p>
          <w:p w14:paraId="06455E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1）桌面指挥演练：由应急指挥部按应急预案要求，根据各自的角色，以组织指挥的形式组织实施应急响应任务的演练；</w:t>
            </w:r>
          </w:p>
          <w:p w14:paraId="07EC5E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2）单项演练：开展应急预案中单项科目的演练；</w:t>
            </w:r>
          </w:p>
          <w:p w14:paraId="59CC4D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3）综合演练：由应急指挥部按应急预案要求，开展全面演练。</w:t>
            </w:r>
          </w:p>
          <w:p w14:paraId="205127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公司突发环境事件演练可联合公司生产安全事故应急预案一并进行演练，环保处理措施应突出进行演练。</w:t>
            </w:r>
          </w:p>
          <w:p w14:paraId="5E902956">
            <w:pPr>
              <w:pStyle w:val="4"/>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b w:val="0"/>
                <w:bCs w:val="0"/>
                <w:color w:val="auto"/>
                <w:sz w:val="24"/>
                <w:szCs w:val="24"/>
                <w:lang w:val="en-US" w:eastAsia="zh-CN"/>
              </w:rPr>
            </w:pPr>
            <w:bookmarkStart w:id="27" w:name="_Toc405794464"/>
            <w:bookmarkStart w:id="28" w:name="_Toc408409688"/>
            <w:bookmarkStart w:id="29" w:name="_Toc499740450"/>
            <w:r>
              <w:rPr>
                <w:rFonts w:hint="default" w:ascii="Times New Roman" w:hAnsi="Times New Roman" w:cs="Times New Roman" w:eastAsiaTheme="minorEastAsia"/>
                <w:b w:val="0"/>
                <w:bCs w:val="0"/>
                <w:color w:val="auto"/>
                <w:sz w:val="24"/>
                <w:szCs w:val="24"/>
                <w:lang w:val="en-US" w:eastAsia="zh-CN"/>
              </w:rPr>
              <w:t>（b）演练内容</w:t>
            </w:r>
            <w:bookmarkEnd w:id="27"/>
            <w:bookmarkEnd w:id="28"/>
            <w:bookmarkEnd w:id="29"/>
          </w:p>
          <w:p w14:paraId="48FF13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1）物料泄漏及火灾应急处置；</w:t>
            </w:r>
          </w:p>
          <w:p w14:paraId="1B856C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2）通信及报警信号联络；</w:t>
            </w:r>
          </w:p>
          <w:p w14:paraId="439BE8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3）急救及医疗；</w:t>
            </w:r>
          </w:p>
          <w:p w14:paraId="0588F9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4）现场洗消处理；</w:t>
            </w:r>
          </w:p>
          <w:p w14:paraId="6741F1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5）防护指导，包括专业人员的个人防护和普通员工的自我防护；</w:t>
            </w:r>
          </w:p>
          <w:p w14:paraId="4D6BF7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6）各种标志、警戒范围的设置及人员控制；</w:t>
            </w:r>
          </w:p>
          <w:p w14:paraId="377986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7）厂内交通控制及管理；</w:t>
            </w:r>
          </w:p>
          <w:p w14:paraId="1B8CD9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8）模拟事件现场的疏散撤离及人员清查；</w:t>
            </w:r>
          </w:p>
          <w:p w14:paraId="349333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仿宋" w:cs="Times New Roman"/>
                <w:color w:val="auto"/>
                <w:sz w:val="24"/>
                <w:szCs w:val="24"/>
                <w:lang w:val="en-US" w:eastAsia="zh-CN"/>
              </w:rPr>
            </w:pPr>
            <w:r>
              <w:rPr>
                <w:rFonts w:hint="default" w:ascii="Times New Roman" w:hAnsi="Times New Roman" w:cs="Times New Roman"/>
                <w:color w:val="auto"/>
                <w:sz w:val="24"/>
                <w:szCs w:val="24"/>
                <w:lang w:val="en-US" w:eastAsia="zh-CN"/>
              </w:rPr>
              <w:t>9）向上级报告情况及向友邻单位通报情况。</w:t>
            </w:r>
          </w:p>
          <w:p w14:paraId="450685D7">
            <w:pPr>
              <w:pStyle w:val="5"/>
              <w:pageBreakBefore w:val="0"/>
              <w:widowControl w:val="0"/>
              <w:suppressLineNumbers w:val="0"/>
              <w:tabs>
                <w:tab w:val="left" w:pos="432"/>
              </w:tabs>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bookmarkStart w:id="30" w:name="_Toc405794465"/>
            <w:bookmarkStart w:id="31" w:name="_Toc408409689"/>
            <w:bookmarkStart w:id="32" w:name="_Toc499740451"/>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c</w:t>
            </w:r>
            <w:r>
              <w:rPr>
                <w:rFonts w:hint="default" w:ascii="Times New Roman" w:hAnsi="Times New Roman" w:eastAsia="宋体" w:cs="Times New Roman"/>
                <w:color w:val="auto"/>
                <w:sz w:val="24"/>
                <w:szCs w:val="24"/>
                <w:lang w:val="en-US" w:eastAsia="zh-CN"/>
              </w:rPr>
              <w:t>）演练范围与频次</w:t>
            </w:r>
            <w:bookmarkEnd w:id="30"/>
            <w:bookmarkEnd w:id="31"/>
            <w:bookmarkEnd w:id="32"/>
          </w:p>
          <w:p w14:paraId="41E3750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公司综合演练每年组织一次；单项演练根据实际情况组织开展，每年不少于一次。</w:t>
            </w:r>
          </w:p>
          <w:p w14:paraId="6459E98F">
            <w:pPr>
              <w:pStyle w:val="5"/>
              <w:pageBreakBefore w:val="0"/>
              <w:widowControl w:val="0"/>
              <w:suppressLineNumbers w:val="0"/>
              <w:tabs>
                <w:tab w:val="left" w:pos="432"/>
              </w:tabs>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bookmarkStart w:id="33" w:name="_Toc408409690"/>
            <w:bookmarkStart w:id="34" w:name="_Toc405794466"/>
            <w:bookmarkStart w:id="35" w:name="_Toc499740452"/>
            <w:r>
              <w:rPr>
                <w:rFonts w:hint="eastAsia" w:ascii="Times New Roman" w:hAnsi="Times New Roman" w:eastAsia="宋体" w:cs="Times New Roman"/>
                <w:color w:val="auto"/>
                <w:sz w:val="24"/>
                <w:szCs w:val="24"/>
                <w:lang w:val="en-US" w:eastAsia="zh-CN"/>
              </w:rPr>
              <w:t>（e）</w:t>
            </w:r>
            <w:r>
              <w:rPr>
                <w:rFonts w:hint="default" w:ascii="Times New Roman" w:hAnsi="Times New Roman" w:eastAsia="宋体" w:cs="Times New Roman"/>
                <w:color w:val="auto"/>
                <w:sz w:val="24"/>
                <w:szCs w:val="24"/>
                <w:lang w:val="en-US" w:eastAsia="zh-CN"/>
              </w:rPr>
              <w:t>应急演练的评价、总结与追踪</w:t>
            </w:r>
            <w:bookmarkEnd w:id="33"/>
            <w:bookmarkEnd w:id="34"/>
            <w:bookmarkEnd w:id="35"/>
          </w:p>
          <w:p w14:paraId="1E542F8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1）应急演练过程应形成详细记录，记录演练</w:t>
            </w:r>
            <w:r>
              <w:rPr>
                <w:rFonts w:hint="eastAsia" w:cs="Times New Roman"/>
                <w:color w:val="auto"/>
                <w:sz w:val="24"/>
                <w:szCs w:val="24"/>
                <w:lang w:val="en-US" w:eastAsia="zh-CN"/>
              </w:rPr>
              <w:t>时间</w:t>
            </w:r>
            <w:r>
              <w:rPr>
                <w:rFonts w:hint="default" w:ascii="Times New Roman" w:hAnsi="Times New Roman" w:eastAsia="宋体" w:cs="Times New Roman"/>
                <w:color w:val="auto"/>
                <w:sz w:val="24"/>
                <w:szCs w:val="24"/>
                <w:lang w:val="en-US" w:eastAsia="zh-CN"/>
              </w:rPr>
              <w:t>、地点、类型、内容、参加人员；</w:t>
            </w:r>
          </w:p>
          <w:p w14:paraId="6C516F7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2）应急演练结束后</w:t>
            </w:r>
            <w:r>
              <w:rPr>
                <w:rFonts w:hint="eastAsia" w:cs="Times New Roman"/>
                <w:color w:val="auto"/>
                <w:sz w:val="24"/>
                <w:szCs w:val="24"/>
                <w:lang w:val="en-US" w:eastAsia="zh-CN"/>
              </w:rPr>
              <w:t>对</w:t>
            </w:r>
            <w:r>
              <w:rPr>
                <w:rFonts w:hint="default" w:ascii="Times New Roman" w:hAnsi="Times New Roman" w:eastAsia="宋体" w:cs="Times New Roman"/>
                <w:color w:val="auto"/>
                <w:sz w:val="24"/>
                <w:szCs w:val="24"/>
                <w:lang w:val="en-US" w:eastAsia="zh-CN"/>
              </w:rPr>
              <w:t>演练情况进行评价、总结，对演练过程中发现的问题与不足，采取改进措施。</w:t>
            </w:r>
          </w:p>
          <w:p w14:paraId="78DC8895">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应急演练评价内容如下：通过演练主要发现的问题</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对演练准备情况的评估</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对预案有关程序、内容的建议和改进意见</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在训练、防护器具、抢救设备等方面的改进意见</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对演练指挥部的意见等。</w:t>
            </w:r>
          </w:p>
          <w:p w14:paraId="274000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演练结束后应对突发环境事件应急预案进行评估，根据评估结果决定是否对预案进行修订、补充、完善</w:t>
            </w:r>
            <w:r>
              <w:rPr>
                <w:rFonts w:hint="eastAsia" w:ascii="Times New Roman" w:hAnsi="Times New Roman" w:eastAsia="宋体" w:cs="Times New Roman"/>
                <w:color w:val="auto"/>
                <w:sz w:val="24"/>
                <w:szCs w:val="24"/>
                <w:lang w:val="en-US" w:eastAsia="zh-CN"/>
              </w:rPr>
              <w:t>。</w:t>
            </w:r>
          </w:p>
          <w:p w14:paraId="1B70188B">
            <w:pPr>
              <w:pStyle w:val="14"/>
              <w:keepNext w:val="0"/>
              <w:keepLines w:val="0"/>
              <w:pageBreakBefore w:val="0"/>
              <w:numPr>
                <w:ilvl w:val="0"/>
                <w:numId w:val="0"/>
              </w:numPr>
              <w:suppressLineNumbers w:val="0"/>
              <w:kinsoku/>
              <w:wordWrap/>
              <w:overflowPunct/>
              <w:topLinePunct w:val="0"/>
              <w:bidi w:val="0"/>
              <w:spacing w:before="0" w:beforeAutospacing="0" w:after="0" w:afterAutospacing="0" w:line="360" w:lineRule="auto"/>
              <w:ind w:left="0" w:right="0" w:rightChars="0" w:firstLine="482" w:firstLineChars="200"/>
              <w:textAlignment w:val="auto"/>
              <w:rPr>
                <w:rFonts w:hint="default" w:ascii="Times New Roman" w:hAnsi="Times New Roman" w:eastAsia="宋体" w:cs="Times New Roman"/>
                <w:b/>
                <w:bCs w:val="0"/>
                <w:color w:val="auto"/>
                <w:sz w:val="24"/>
                <w:szCs w:val="24"/>
              </w:rPr>
            </w:pPr>
            <w:r>
              <w:rPr>
                <w:rFonts w:hint="eastAsia" w:cs="Times New Roman"/>
                <w:b/>
                <w:bCs w:val="0"/>
                <w:color w:val="auto"/>
                <w:kern w:val="0"/>
                <w:sz w:val="24"/>
                <w:szCs w:val="24"/>
                <w:lang w:val="en-US" w:eastAsia="zh-CN" w:bidi="ar-SA"/>
              </w:rPr>
              <w:t>（4）</w:t>
            </w:r>
            <w:r>
              <w:rPr>
                <w:rFonts w:hint="default" w:ascii="Times New Roman" w:hAnsi="Times New Roman" w:eastAsia="宋体" w:cs="Times New Roman"/>
                <w:b/>
                <w:bCs w:val="0"/>
                <w:color w:val="auto"/>
                <w:sz w:val="24"/>
                <w:szCs w:val="24"/>
              </w:rPr>
              <w:t>环境应急物资装备的配备</w:t>
            </w:r>
          </w:p>
          <w:p w14:paraId="07D5061A">
            <w:pPr>
              <w:keepNext w:val="0"/>
              <w:keepLines w:val="0"/>
              <w:pageBreakBefore w:val="0"/>
              <w:suppressLineNumbers w:val="0"/>
              <w:tabs>
                <w:tab w:val="left" w:pos="600"/>
              </w:tabs>
              <w:kinsoku/>
              <w:wordWrap/>
              <w:overflowPunct/>
              <w:topLinePunct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本项目涉及的环境风险物质不属于重大风险源，设置一些基本的应急物资</w:t>
            </w:r>
            <w:r>
              <w:rPr>
                <w:rFonts w:hint="eastAsia" w:cs="Times New Roman"/>
                <w:bCs/>
                <w:color w:val="auto"/>
                <w:sz w:val="24"/>
                <w:lang w:eastAsia="zh-CN"/>
              </w:rPr>
              <w:t>，</w:t>
            </w:r>
            <w:r>
              <w:rPr>
                <w:rFonts w:hint="eastAsia" w:cs="Times New Roman"/>
                <w:bCs/>
                <w:color w:val="auto"/>
                <w:sz w:val="24"/>
                <w:lang w:val="en-US" w:eastAsia="zh-CN"/>
              </w:rPr>
              <w:t>如消防栓、消防沙、灭火器、救生圈、防护服、防毒面具等</w:t>
            </w:r>
            <w:r>
              <w:rPr>
                <w:rFonts w:hint="default" w:ascii="Times New Roman" w:hAnsi="Times New Roman" w:eastAsia="宋体" w:cs="Times New Roman"/>
                <w:bCs/>
                <w:color w:val="auto"/>
                <w:sz w:val="24"/>
              </w:rPr>
              <w:t>。</w:t>
            </w:r>
          </w:p>
          <w:p w14:paraId="082EE60C">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lang w:val="en-US" w:eastAsia="zh-CN"/>
              </w:rPr>
              <w:t>（</w:t>
            </w:r>
            <w:r>
              <w:rPr>
                <w:rFonts w:hint="eastAsia" w:cs="Times New Roman"/>
                <w:color w:val="auto"/>
                <w:kern w:val="0"/>
                <w:sz w:val="24"/>
                <w:lang w:val="en-US" w:eastAsia="zh-CN"/>
              </w:rPr>
              <w:t>5</w:t>
            </w:r>
            <w:r>
              <w:rPr>
                <w:rFonts w:hint="eastAsia"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rPr>
              <w:t>泄漏事故控制</w:t>
            </w:r>
          </w:p>
          <w:p w14:paraId="7BC3FD3C">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泄漏事故控制一般分为泄漏源控制和泄漏物处置两部分。</w:t>
            </w:r>
          </w:p>
          <w:p w14:paraId="3C685A70">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泄漏源控制：</w:t>
            </w:r>
          </w:p>
          <w:p w14:paraId="2835C210">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可通过控制化学品的溢出或泄漏来消除化学品的进一步扩散。方法：</w:t>
            </w:r>
          </w:p>
          <w:p w14:paraId="48B9F595">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①通过关闭有关阀门、停止作业或通过采取改变工艺流程、物料走副线、局部停车、打循环、减负荷运行等方法。</w:t>
            </w:r>
          </w:p>
          <w:p w14:paraId="40778215">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②容器发生泄漏后，应采取措施</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"http://www.hxpaq.com.cn/yjcl.4.1.htm"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修补和堵塞裂口</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，制止化学品的进一步泄漏。堵漏成功与否取决于几个因素：接近泄漏点的危险程度、泄漏孔的尺寸、泄漏点处实际的或潜在的压力、泄漏物质的特性。</w:t>
            </w:r>
          </w:p>
          <w:p w14:paraId="6AC27B7D">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cs="Times New Roman"/>
                <w:color w:val="auto"/>
                <w:kern w:val="0"/>
                <w:sz w:val="24"/>
                <w:lang w:eastAsia="zh-CN"/>
              </w:rPr>
              <w:t>a.</w:t>
            </w:r>
            <w:r>
              <w:rPr>
                <w:rFonts w:hint="eastAsia" w:ascii="Times New Roman" w:hAnsi="Times New Roman" w:eastAsia="宋体" w:cs="Times New Roman"/>
                <w:color w:val="auto"/>
                <w:kern w:val="0"/>
                <w:sz w:val="24"/>
              </w:rPr>
              <w:t>小容器泄漏：尽可能将泄漏部位转向上，移至安全区域再进行处置。通常可采取转移物料、钉木楔、注射密封胶等方法处理。</w:t>
            </w:r>
          </w:p>
          <w:p w14:paraId="7A21F8CF">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cs="Times New Roman"/>
                <w:color w:val="auto"/>
                <w:kern w:val="0"/>
                <w:sz w:val="24"/>
                <w:lang w:eastAsia="zh-CN"/>
              </w:rPr>
              <w:t>b.</w:t>
            </w:r>
            <w:r>
              <w:rPr>
                <w:rFonts w:hint="eastAsia" w:ascii="Times New Roman" w:hAnsi="Times New Roman" w:eastAsia="宋体" w:cs="Times New Roman"/>
                <w:color w:val="auto"/>
                <w:kern w:val="0"/>
                <w:sz w:val="24"/>
              </w:rPr>
              <w:t>大容器泄漏：边将物料转移至安全容器，边采取适当的方法堵漏。</w:t>
            </w:r>
          </w:p>
          <w:p w14:paraId="43A90884">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cs="Times New Roman"/>
                <w:color w:val="auto"/>
                <w:kern w:val="0"/>
                <w:sz w:val="24"/>
                <w:lang w:eastAsia="zh-CN"/>
              </w:rPr>
              <w:t>c.</w:t>
            </w:r>
            <w:r>
              <w:rPr>
                <w:rFonts w:hint="eastAsia" w:ascii="Times New Roman" w:hAnsi="Times New Roman" w:eastAsia="宋体" w:cs="Times New Roman"/>
                <w:color w:val="auto"/>
                <w:kern w:val="0"/>
                <w:sz w:val="24"/>
              </w:rPr>
              <w:t>管路系统泄漏：泄漏量小时，可采取钉木楔、卡管卡、注射密封胶堵漏；泄漏严重时，应关闭阀门或系统，切断泄漏源，然后修理或更换失效、损坏的部件。</w:t>
            </w:r>
          </w:p>
          <w:p w14:paraId="548DABCA">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rPr>
              <w:t>泄漏物处置</w:t>
            </w:r>
            <w:r>
              <w:rPr>
                <w:rFonts w:hint="eastAsia" w:cs="Times New Roman"/>
                <w:color w:val="auto"/>
                <w:kern w:val="0"/>
                <w:sz w:val="24"/>
                <w:lang w:eastAsia="zh-CN"/>
              </w:rPr>
              <w:t>：</w:t>
            </w:r>
          </w:p>
          <w:p w14:paraId="7B9FFB67">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泄漏被控制后，要及时将现场泄漏物进行覆盖、收容、稀释、处理使泄漏物得到安全可靠</w:t>
            </w:r>
            <w:r>
              <w:rPr>
                <w:rFonts w:hint="eastAsia" w:cs="Times New Roman"/>
                <w:color w:val="auto"/>
                <w:kern w:val="0"/>
                <w:sz w:val="24"/>
                <w:lang w:eastAsia="zh-CN"/>
              </w:rPr>
              <w:t>地</w:t>
            </w:r>
            <w:r>
              <w:rPr>
                <w:rFonts w:hint="eastAsia" w:ascii="Times New Roman" w:hAnsi="Times New Roman" w:eastAsia="宋体" w:cs="Times New Roman"/>
                <w:color w:val="auto"/>
                <w:kern w:val="0"/>
                <w:sz w:val="24"/>
              </w:rPr>
              <w:t>处置，防止二次事故的发生。地面上泄漏物处置主要有以下方法：</w:t>
            </w:r>
          </w:p>
          <w:p w14:paraId="2C21F683">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①围堤堵截：如果化学品为液体，泄漏到地面上时会四处蔓延扩散，难以收集处理。为此需要</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"http://www.hxpaq.com.cn/yjcl.4.2.htm"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筑堤堵截或者引流</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到安全地点。</w:t>
            </w:r>
          </w:p>
          <w:p w14:paraId="2CD1CBA3">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②</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"http://www.hxpaq.com.cn/yjcl.4.3.htm"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覆盖</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：对于液体泄漏，为降低物料向大气中的蒸发速度，可用泡沫或其他覆盖物品</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"http://www.hxpaq.com.cn/yjcl.4.3.htm"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覆盖</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外泄的物料，在其表面形成覆盖层，抑制其蒸发。或者采用</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"http://www.hxpaq.com.cn/yjcl.4.4.htm"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低温冷却</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来降低泄漏物的蒸发。</w:t>
            </w:r>
          </w:p>
          <w:p w14:paraId="53F7BCA4">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③稀释：为减少大气污染，通常是采用水枪或消防水带向有害物</w:t>
            </w:r>
            <w:r>
              <w:rPr>
                <w:rFonts w:hint="eastAsia" w:cs="Times New Roman"/>
                <w:color w:val="auto"/>
                <w:kern w:val="0"/>
                <w:sz w:val="24"/>
                <w:lang w:eastAsia="zh-CN"/>
              </w:rPr>
              <w:t>蒸气云</w:t>
            </w:r>
            <w:r>
              <w:rPr>
                <w:rFonts w:hint="eastAsia" w:ascii="Times New Roman" w:hAnsi="Times New Roman" w:eastAsia="宋体" w:cs="Times New Roman"/>
                <w:color w:val="auto"/>
                <w:kern w:val="0"/>
                <w:sz w:val="24"/>
              </w:rPr>
              <w:t>喷射雾状水，加速气体向高空扩散，使其在安全地带扩散。在使用这一方法时，将产生大量的被污染水，因此应疏通污水排放系统。对于可燃物，也可以在现场放大量水蒸气或氮气，破坏燃烧条件。</w:t>
            </w:r>
          </w:p>
          <w:p w14:paraId="2AB78954">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④收容：对于大型液体泄漏，可选择用隔膜泵将泄漏出的物料抽入容器内或槽车内；当泄漏量小时，可用沙子、</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"http://www.hxpaq.com.cn/yjcl.4.5.htm"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吸附材料</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 xml:space="preserve"> 、</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"http://www.hxpaq.com.cn/yjcl.4.6.htm"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中和材料</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等吸收中和。或者用</w:t>
            </w:r>
            <w:r>
              <w:rPr>
                <w:rFonts w:hint="eastAsia" w:ascii="Times New Roman" w:hAnsi="Times New Roman" w:eastAsia="宋体" w:cs="Times New Roman"/>
                <w:color w:val="auto"/>
                <w:kern w:val="0"/>
                <w:sz w:val="24"/>
              </w:rPr>
              <w:fldChar w:fldCharType="begin"/>
            </w:r>
            <w:r>
              <w:rPr>
                <w:rFonts w:hint="eastAsia" w:ascii="Times New Roman" w:hAnsi="Times New Roman" w:eastAsia="宋体" w:cs="Times New Roman"/>
                <w:color w:val="auto"/>
                <w:kern w:val="0"/>
                <w:sz w:val="24"/>
              </w:rPr>
              <w:instrText xml:space="preserve">HYPERLINK "http://www.hxpaq.com.cn/yjcl.4.7.htm"</w:instrText>
            </w:r>
            <w:r>
              <w:rPr>
                <w:rFonts w:hint="eastAsia" w:ascii="Times New Roman" w:hAnsi="Times New Roman" w:eastAsia="宋体" w:cs="Times New Roman"/>
                <w:color w:val="auto"/>
                <w:kern w:val="0"/>
                <w:sz w:val="24"/>
              </w:rPr>
              <w:fldChar w:fldCharType="separate"/>
            </w:r>
            <w:r>
              <w:rPr>
                <w:rFonts w:hint="eastAsia" w:ascii="Times New Roman" w:hAnsi="Times New Roman" w:eastAsia="宋体" w:cs="Times New Roman"/>
                <w:color w:val="auto"/>
                <w:kern w:val="0"/>
                <w:sz w:val="24"/>
              </w:rPr>
              <w:t>固化法</w:t>
            </w:r>
            <w:r>
              <w:rPr>
                <w:rFonts w:hint="eastAsia" w:ascii="Times New Roman" w:hAnsi="Times New Roman" w:eastAsia="宋体" w:cs="Times New Roman"/>
                <w:color w:val="auto"/>
                <w:kern w:val="0"/>
                <w:sz w:val="24"/>
              </w:rPr>
              <w:fldChar w:fldCharType="end"/>
            </w:r>
            <w:r>
              <w:rPr>
                <w:rFonts w:hint="eastAsia" w:ascii="Times New Roman" w:hAnsi="Times New Roman" w:eastAsia="宋体" w:cs="Times New Roman"/>
                <w:color w:val="auto"/>
                <w:kern w:val="0"/>
                <w:sz w:val="24"/>
              </w:rPr>
              <w:t>处理泄漏物。</w:t>
            </w:r>
          </w:p>
          <w:p w14:paraId="74878FEA">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rPr>
              <w:t>⑤废弃：将收集的泄漏物运至废物处理场所处置。用消防水冲洗剩下的少量物料，冲洗水收集后排入应急池，</w:t>
            </w:r>
            <w:r>
              <w:rPr>
                <w:rFonts w:hint="eastAsia" w:ascii="Times New Roman" w:hAnsi="Times New Roman" w:eastAsia="宋体" w:cs="Times New Roman"/>
                <w:color w:val="auto"/>
                <w:kern w:val="0"/>
                <w:sz w:val="24"/>
                <w:lang w:val="en-US" w:eastAsia="zh-CN"/>
              </w:rPr>
              <w:t>委托有资质单位处置</w:t>
            </w:r>
            <w:r>
              <w:rPr>
                <w:rFonts w:hint="eastAsia" w:ascii="Times New Roman" w:hAnsi="Times New Roman" w:eastAsia="宋体" w:cs="Times New Roman"/>
                <w:color w:val="auto"/>
                <w:kern w:val="0"/>
                <w:sz w:val="24"/>
              </w:rPr>
              <w:t>。</w:t>
            </w:r>
          </w:p>
          <w:p w14:paraId="6D9D334C">
            <w:pPr>
              <w:keepNext w:val="0"/>
              <w:keepLines w:val="0"/>
              <w:numPr>
                <w:ilvl w:val="0"/>
                <w:numId w:val="0"/>
              </w:numPr>
              <w:suppressLineNumbers w:val="0"/>
              <w:tabs>
                <w:tab w:val="left" w:pos="60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rPr>
            </w:pPr>
            <w:r>
              <w:rPr>
                <w:rFonts w:hint="eastAsia" w:cs="Times New Roman"/>
                <w:bCs/>
                <w:color w:val="auto"/>
                <w:kern w:val="2"/>
                <w:sz w:val="24"/>
                <w:szCs w:val="24"/>
                <w:lang w:val="en-US" w:eastAsia="zh-CN" w:bidi="ar-SA"/>
              </w:rPr>
              <w:t>（6）</w:t>
            </w:r>
            <w:r>
              <w:rPr>
                <w:rFonts w:hint="default" w:ascii="Times New Roman" w:hAnsi="Times New Roman" w:eastAsia="宋体" w:cs="Times New Roman"/>
                <w:bCs/>
                <w:color w:val="auto"/>
                <w:sz w:val="24"/>
              </w:rPr>
              <w:t>安全风险辨识要求</w:t>
            </w:r>
          </w:p>
          <w:p w14:paraId="2EDA0C2B">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根据《关于做好生态环境和应急管理部门联动工作的意见》（苏环办〔2020〕101号）文件要求：“企业要切实履行好从危险废物产生、收集、贮存、运输、利用、处置等环节各项环保和安全职责；要制定危险废物管理计划并报属地生态环境部门备案。……企业要对脱硫脱硝、煤改气、挥发性有机物回收、污水处理、粉尘治理、RTO焚烧炉等六类环境治理设施开展安全风险辨识管控，要健全内部污染防治设施稳定运行和管理责任制度，严格依据标准规范建设环境治理设施，确保环境治理设施安全、稳定、有效运行。……”</w:t>
            </w:r>
          </w:p>
          <w:p w14:paraId="4674D73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color w:val="auto"/>
                <w:kern w:val="0"/>
                <w:sz w:val="24"/>
              </w:rPr>
            </w:pPr>
          </w:p>
          <w:p w14:paraId="676C9FE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color w:val="auto"/>
                <w:kern w:val="0"/>
                <w:sz w:val="24"/>
              </w:rPr>
            </w:pPr>
          </w:p>
          <w:p w14:paraId="2257463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表4-3</w:t>
            </w:r>
            <w:r>
              <w:rPr>
                <w:rFonts w:hint="eastAsia" w:cs="Times New Roman"/>
                <w:b/>
                <w:color w:val="auto"/>
                <w:kern w:val="0"/>
                <w:sz w:val="24"/>
                <w:lang w:val="en-US" w:eastAsia="zh-CN"/>
              </w:rPr>
              <w:t>3</w:t>
            </w:r>
            <w:r>
              <w:rPr>
                <w:rFonts w:hint="default" w:ascii="Times New Roman" w:hAnsi="Times New Roman" w:eastAsia="宋体" w:cs="Times New Roman"/>
                <w:b/>
                <w:color w:val="auto"/>
                <w:kern w:val="0"/>
                <w:sz w:val="24"/>
              </w:rPr>
              <w:t>安全风险辨识表</w:t>
            </w:r>
          </w:p>
          <w:tbl>
            <w:tblPr>
              <w:tblStyle w:val="38"/>
              <w:tblW w:w="48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4"/>
              <w:gridCol w:w="1676"/>
              <w:gridCol w:w="5974"/>
            </w:tblGrid>
            <w:tr w14:paraId="3E2B47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5" w:type="pct"/>
                  <w:noWrap w:val="0"/>
                  <w:vAlign w:val="center"/>
                </w:tcPr>
                <w:p w14:paraId="3DEA6F0D">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969" w:type="pct"/>
                  <w:noWrap w:val="0"/>
                  <w:vAlign w:val="center"/>
                </w:tcPr>
                <w:p w14:paraId="2CD7E4ED">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环境治理措施</w:t>
                  </w:r>
                </w:p>
              </w:tc>
              <w:tc>
                <w:tcPr>
                  <w:tcW w:w="3455" w:type="pct"/>
                  <w:noWrap w:val="0"/>
                  <w:vAlign w:val="center"/>
                </w:tcPr>
                <w:p w14:paraId="7387299E">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b/>
                      <w:color w:val="auto"/>
                      <w:sz w:val="21"/>
                      <w:szCs w:val="21"/>
                      <w:highlight w:val="yellow"/>
                    </w:rPr>
                  </w:pPr>
                  <w:r>
                    <w:rPr>
                      <w:rFonts w:hint="default" w:ascii="Times New Roman" w:hAnsi="Times New Roman" w:eastAsia="宋体" w:cs="Times New Roman"/>
                      <w:b/>
                      <w:color w:val="auto"/>
                      <w:sz w:val="21"/>
                      <w:szCs w:val="21"/>
                    </w:rPr>
                    <w:t>本项目涉及的措施</w:t>
                  </w:r>
                </w:p>
              </w:tc>
            </w:tr>
            <w:tr w14:paraId="66CC7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5" w:type="pct"/>
                  <w:noWrap w:val="0"/>
                  <w:vAlign w:val="center"/>
                </w:tcPr>
                <w:p w14:paraId="24FA26B3">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969" w:type="pct"/>
                  <w:noWrap w:val="0"/>
                  <w:vAlign w:val="center"/>
                </w:tcPr>
                <w:p w14:paraId="158319D4">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废气治理</w:t>
                  </w:r>
                </w:p>
              </w:tc>
              <w:tc>
                <w:tcPr>
                  <w:tcW w:w="3455" w:type="pct"/>
                  <w:noWrap w:val="0"/>
                  <w:vAlign w:val="center"/>
                </w:tcPr>
                <w:p w14:paraId="3CFE3EDF">
                  <w:pPr>
                    <w:keepNext w:val="0"/>
                    <w:keepLines w:val="0"/>
                    <w:suppressLineNumbers w:val="0"/>
                    <w:adjustRightInd w:val="0"/>
                    <w:spacing w:before="0" w:beforeAutospacing="0" w:after="0" w:afterAutospacing="0"/>
                    <w:ind w:left="0" w:leftChars="0" w:right="0"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油烟净化器</w:t>
                  </w:r>
                </w:p>
              </w:tc>
            </w:tr>
            <w:tr w14:paraId="3EBA39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5" w:type="pct"/>
                  <w:noWrap w:val="0"/>
                  <w:vAlign w:val="center"/>
                </w:tcPr>
                <w:p w14:paraId="04214C8E">
                  <w:pPr>
                    <w:keepNext w:val="0"/>
                    <w:keepLines w:val="0"/>
                    <w:suppressLineNumbers w:val="0"/>
                    <w:adjustRightInd w:val="0"/>
                    <w:spacing w:before="0" w:beforeAutospacing="0" w:after="0" w:afterAutospacing="0"/>
                    <w:ind w:left="0" w:leftChars="0" w:right="0"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969" w:type="pct"/>
                  <w:noWrap w:val="0"/>
                  <w:vAlign w:val="center"/>
                </w:tcPr>
                <w:p w14:paraId="5F275355">
                  <w:pPr>
                    <w:keepNext w:val="0"/>
                    <w:keepLines w:val="0"/>
                    <w:suppressLineNumbers w:val="0"/>
                    <w:adjustRightInd w:val="0"/>
                    <w:spacing w:before="0" w:beforeAutospacing="0" w:after="0" w:afterAutospacing="0"/>
                    <w:ind w:left="0" w:leftChars="0" w:right="0"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污水处理</w:t>
                  </w:r>
                </w:p>
              </w:tc>
              <w:tc>
                <w:tcPr>
                  <w:tcW w:w="3455" w:type="pct"/>
                  <w:noWrap w:val="0"/>
                  <w:vAlign w:val="center"/>
                </w:tcPr>
                <w:p w14:paraId="07F87963">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调节+混凝气浮+接触氧化+二沉+砂滤、炭滤</w:t>
                  </w:r>
                </w:p>
              </w:tc>
            </w:tr>
            <w:tr w14:paraId="77C80E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75" w:type="pct"/>
                  <w:noWrap w:val="0"/>
                  <w:vAlign w:val="center"/>
                </w:tcPr>
                <w:p w14:paraId="7C5029F4">
                  <w:pPr>
                    <w:keepNext w:val="0"/>
                    <w:keepLines w:val="0"/>
                    <w:suppressLineNumbers w:val="0"/>
                    <w:adjustRightInd w:val="0"/>
                    <w:spacing w:before="0" w:beforeAutospacing="0" w:after="0" w:afterAutospacing="0"/>
                    <w:ind w:left="0" w:leftChars="0" w:right="0" w:firstLine="0" w:firstLineChars="0"/>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3</w:t>
                  </w:r>
                </w:p>
              </w:tc>
              <w:tc>
                <w:tcPr>
                  <w:tcW w:w="969" w:type="pct"/>
                  <w:noWrap w:val="0"/>
                  <w:vAlign w:val="center"/>
                </w:tcPr>
                <w:p w14:paraId="2AF6B60E">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危废暂存</w:t>
                  </w:r>
                </w:p>
              </w:tc>
              <w:tc>
                <w:tcPr>
                  <w:tcW w:w="3455" w:type="pct"/>
                  <w:noWrap w:val="0"/>
                  <w:vAlign w:val="center"/>
                </w:tcPr>
                <w:p w14:paraId="3BFF9485">
                  <w:pPr>
                    <w:keepNext w:val="0"/>
                    <w:keepLines w:val="0"/>
                    <w:suppressLineNumbers w:val="0"/>
                    <w:adjustRightInd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危废暂存间</w:t>
                  </w:r>
                </w:p>
              </w:tc>
            </w:tr>
          </w:tbl>
          <w:p w14:paraId="73A3E165">
            <w:pPr>
              <w:keepNext w:val="0"/>
              <w:keepLines w:val="0"/>
              <w:suppressLineNumbers w:val="0"/>
              <w:snapToGrid w:val="0"/>
              <w:spacing w:before="0" w:beforeAutospacing="0" w:after="0" w:afterAutospacing="0" w:line="360" w:lineRule="auto"/>
              <w:ind w:left="0" w:right="0" w:firstLine="480" w:firstLineChars="200"/>
              <w:jc w:val="left"/>
              <w:rPr>
                <w:rFonts w:hint="default" w:ascii="Times New Roman" w:hAnsi="Times New Roman" w:eastAsia="宋体" w:cs="宋体"/>
                <w:color w:val="auto"/>
                <w:kern w:val="0"/>
                <w:sz w:val="24"/>
                <w:szCs w:val="21"/>
              </w:rPr>
            </w:pPr>
            <w:r>
              <w:rPr>
                <w:rFonts w:hint="default" w:ascii="Times New Roman" w:hAnsi="Times New Roman" w:eastAsia="宋体" w:cs="宋体"/>
                <w:color w:val="auto"/>
                <w:kern w:val="0"/>
                <w:sz w:val="24"/>
                <w:szCs w:val="21"/>
              </w:rPr>
              <w:t>本项目生产过程中，企业应建立环境治理设施监管联动机制，健全内部污染防治设施稳定运行和管理责任制度，严格依据标准规范建设环境治理设施，确保环境治理设施安全、稳定、有效运行。定期开展安全风险辨识等培训，与生态环境部门和应急管理部门随时保持联系与沟通，充分利用信息化手段，实现信息及时有效共享，确保及时排查安全隐患并积极整改，推进企业安全生产标准化体系建设。</w:t>
            </w:r>
          </w:p>
          <w:p w14:paraId="6123A2E5">
            <w:pPr>
              <w:keepNext w:val="0"/>
              <w:keepLines w:val="0"/>
              <w:suppressLineNumbers w:val="0"/>
              <w:snapToGrid w:val="0"/>
              <w:spacing w:before="0" w:beforeAutospacing="0" w:after="0" w:afterAutospacing="0" w:line="360" w:lineRule="auto"/>
              <w:ind w:left="0" w:right="0" w:firstLine="480" w:firstLineChars="200"/>
              <w:jc w:val="left"/>
              <w:rPr>
                <w:rFonts w:hint="eastAsia" w:ascii="Times New Roman" w:hAnsi="Times New Roman" w:eastAsia="宋体" w:cs="宋体"/>
                <w:color w:val="auto"/>
                <w:kern w:val="0"/>
                <w:sz w:val="24"/>
                <w:szCs w:val="21"/>
                <w:lang w:eastAsia="zh-CN"/>
              </w:rPr>
            </w:pPr>
            <w:r>
              <w:rPr>
                <w:rFonts w:hint="eastAsia" w:ascii="Times New Roman" w:hAnsi="Times New Roman" w:eastAsia="宋体" w:cs="宋体"/>
                <w:color w:val="auto"/>
                <w:kern w:val="0"/>
                <w:sz w:val="24"/>
                <w:szCs w:val="21"/>
                <w:lang w:val="en-US" w:eastAsia="zh-CN"/>
              </w:rPr>
              <w:t>各项环境治理设施应编制安全风险评估、公示、向应急管理部门报告，并按照评估要求落实到位</w:t>
            </w:r>
            <w:r>
              <w:rPr>
                <w:rFonts w:hint="eastAsia" w:ascii="Times New Roman" w:hAnsi="Times New Roman" w:eastAsia="宋体" w:cs="宋体"/>
                <w:color w:val="auto"/>
                <w:kern w:val="0"/>
                <w:sz w:val="24"/>
                <w:szCs w:val="21"/>
                <w:lang w:eastAsia="zh-CN"/>
              </w:rPr>
              <w:t>。</w:t>
            </w:r>
          </w:p>
          <w:p w14:paraId="1A610161">
            <w:pPr>
              <w:pStyle w:val="237"/>
              <w:keepNext w:val="0"/>
              <w:keepLines w:val="0"/>
              <w:numPr>
                <w:ilvl w:val="0"/>
                <w:numId w:val="0"/>
              </w:numPr>
              <w:suppressLineNumbers w:val="0"/>
              <w:spacing w:before="0" w:beforeAutospacing="0" w:after="0" w:afterAutospacing="0"/>
              <w:ind w:left="0" w:right="0" w:firstLine="480" w:firstLineChars="200"/>
              <w:rPr>
                <w:rFonts w:hint="default"/>
                <w:color w:val="auto"/>
              </w:rPr>
            </w:pPr>
            <w:r>
              <w:rPr>
                <w:rFonts w:hint="eastAsia"/>
                <w:color w:val="auto"/>
                <w:kern w:val="0"/>
                <w:sz w:val="24"/>
                <w:szCs w:val="24"/>
                <w:lang w:val="en-US" w:eastAsia="zh-CN" w:bidi="ar-SA"/>
              </w:rPr>
              <w:t>（5）</w:t>
            </w:r>
            <w:r>
              <w:rPr>
                <w:rFonts w:hint="default"/>
                <w:color w:val="auto"/>
              </w:rPr>
              <w:t>环境风险管理措施</w:t>
            </w:r>
            <w:r>
              <w:rPr>
                <w:rFonts w:hint="eastAsia"/>
                <w:color w:val="auto"/>
                <w:lang w:eastAsia="zh-CN"/>
              </w:rPr>
              <w:t>“</w:t>
            </w:r>
            <w:r>
              <w:rPr>
                <w:rFonts w:hint="default"/>
                <w:color w:val="auto"/>
              </w:rPr>
              <w:t>三同时</w:t>
            </w:r>
            <w:r>
              <w:rPr>
                <w:rFonts w:hint="eastAsia"/>
                <w:color w:val="auto"/>
                <w:lang w:eastAsia="zh-CN"/>
              </w:rPr>
              <w:t>”</w:t>
            </w:r>
          </w:p>
          <w:p w14:paraId="1AC50992">
            <w:pPr>
              <w:pStyle w:val="237"/>
              <w:keepNext w:val="0"/>
              <w:keepLines w:val="0"/>
              <w:suppressLineNumbers w:val="0"/>
              <w:spacing w:before="0" w:beforeAutospacing="0" w:after="0" w:afterAutospacing="0" w:line="240" w:lineRule="auto"/>
              <w:ind w:left="0" w:right="0" w:firstLine="0" w:firstLineChars="0"/>
              <w:jc w:val="center"/>
              <w:rPr>
                <w:rFonts w:hint="eastAsia"/>
                <w:b/>
                <w:bCs/>
                <w:color w:val="auto"/>
                <w:vertAlign w:val="baseline"/>
                <w:lang w:val="en-US" w:eastAsia="zh-CN"/>
              </w:rPr>
            </w:pPr>
            <w:r>
              <w:rPr>
                <w:rFonts w:hint="default" w:ascii="Times New Roman" w:hAnsi="Times New Roman" w:eastAsia="宋体" w:cs="Times New Roman"/>
                <w:b/>
                <w:color w:val="auto"/>
              </w:rPr>
              <w:t>表4-3</w:t>
            </w:r>
            <w:r>
              <w:rPr>
                <w:rFonts w:hint="eastAsia" w:cs="Times New Roman"/>
                <w:b/>
                <w:color w:val="auto"/>
                <w:lang w:val="en-US" w:eastAsia="zh-CN"/>
              </w:rPr>
              <w:t>4</w:t>
            </w:r>
            <w:r>
              <w:rPr>
                <w:rFonts w:hint="default" w:ascii="Times New Roman" w:hAnsi="Times New Roman" w:eastAsia="宋体" w:cs="Times New Roman"/>
                <w:b/>
                <w:color w:val="auto"/>
              </w:rPr>
              <w:t>环境风险管理措施</w:t>
            </w:r>
            <w:r>
              <w:rPr>
                <w:rFonts w:hint="eastAsia" w:cs="Times New Roman"/>
                <w:b/>
                <w:color w:val="auto"/>
                <w:lang w:eastAsia="zh-CN"/>
              </w:rPr>
              <w:t>“</w:t>
            </w:r>
            <w:r>
              <w:rPr>
                <w:rFonts w:hint="default" w:ascii="Times New Roman" w:hAnsi="Times New Roman" w:eastAsia="宋体" w:cs="Times New Roman"/>
                <w:b/>
                <w:color w:val="auto"/>
              </w:rPr>
              <w:t>三同时</w:t>
            </w:r>
            <w:r>
              <w:rPr>
                <w:rFonts w:hint="eastAsia" w:cs="Times New Roman"/>
                <w:b/>
                <w:color w:val="auto"/>
                <w:lang w:eastAsia="zh-CN"/>
              </w:rPr>
              <w:t>”</w:t>
            </w:r>
            <w:r>
              <w:rPr>
                <w:rFonts w:hint="default" w:ascii="Times New Roman" w:hAnsi="Times New Roman" w:eastAsia="宋体" w:cs="Times New Roman"/>
                <w:b/>
                <w:color w:val="auto"/>
              </w:rPr>
              <w:t>一览表</w:t>
            </w:r>
          </w:p>
          <w:tbl>
            <w:tblPr>
              <w:tblStyle w:val="3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1763"/>
              <w:gridCol w:w="1762"/>
              <w:gridCol w:w="1764"/>
              <w:gridCol w:w="1765"/>
            </w:tblGrid>
            <w:tr w14:paraId="015C3A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3" w:type="dxa"/>
                  <w:tcBorders>
                    <w:tl2br w:val="nil"/>
                    <w:tr2bl w:val="nil"/>
                  </w:tcBorders>
                  <w:vAlign w:val="center"/>
                </w:tcPr>
                <w:p w14:paraId="264B617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序号</w:t>
                  </w:r>
                </w:p>
              </w:tc>
              <w:tc>
                <w:tcPr>
                  <w:tcW w:w="3525" w:type="dxa"/>
                  <w:gridSpan w:val="2"/>
                  <w:tcBorders>
                    <w:tl2br w:val="nil"/>
                    <w:tr2bl w:val="nil"/>
                  </w:tcBorders>
                  <w:vAlign w:val="center"/>
                </w:tcPr>
                <w:p w14:paraId="1849E4A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类型</w:t>
                  </w:r>
                </w:p>
              </w:tc>
              <w:tc>
                <w:tcPr>
                  <w:tcW w:w="1764" w:type="dxa"/>
                  <w:tcBorders>
                    <w:tl2br w:val="nil"/>
                    <w:tr2bl w:val="nil"/>
                  </w:tcBorders>
                  <w:vAlign w:val="center"/>
                </w:tcPr>
                <w:p w14:paraId="463FA72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内容</w:t>
                  </w:r>
                </w:p>
              </w:tc>
              <w:tc>
                <w:tcPr>
                  <w:tcW w:w="1765" w:type="dxa"/>
                  <w:tcBorders>
                    <w:tl2br w:val="nil"/>
                    <w:tr2bl w:val="nil"/>
                  </w:tcBorders>
                  <w:vAlign w:val="center"/>
                </w:tcPr>
                <w:p w14:paraId="237EAE7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企业情况</w:t>
                  </w:r>
                </w:p>
              </w:tc>
            </w:tr>
            <w:tr w14:paraId="40D98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3" w:type="dxa"/>
                  <w:tcBorders>
                    <w:tl2br w:val="nil"/>
                    <w:tr2bl w:val="nil"/>
                  </w:tcBorders>
                  <w:vAlign w:val="center"/>
                </w:tcPr>
                <w:p w14:paraId="3E764B0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w:t>
                  </w:r>
                </w:p>
              </w:tc>
              <w:tc>
                <w:tcPr>
                  <w:tcW w:w="1763" w:type="dxa"/>
                  <w:vMerge w:val="restart"/>
                  <w:tcBorders>
                    <w:tl2br w:val="nil"/>
                    <w:tr2bl w:val="nil"/>
                  </w:tcBorders>
                  <w:vAlign w:val="center"/>
                </w:tcPr>
                <w:p w14:paraId="42F7FA6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环境风险防范措施</w:t>
                  </w:r>
                </w:p>
              </w:tc>
              <w:tc>
                <w:tcPr>
                  <w:tcW w:w="1762" w:type="dxa"/>
                  <w:tcBorders>
                    <w:tl2br w:val="nil"/>
                    <w:tr2bl w:val="nil"/>
                  </w:tcBorders>
                  <w:vAlign w:val="center"/>
                </w:tcPr>
                <w:p w14:paraId="2462E20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大气环境风险防范措施</w:t>
                  </w:r>
                </w:p>
              </w:tc>
              <w:tc>
                <w:tcPr>
                  <w:tcW w:w="1764" w:type="dxa"/>
                  <w:tcBorders>
                    <w:tl2br w:val="nil"/>
                    <w:tr2bl w:val="nil"/>
                  </w:tcBorders>
                  <w:vAlign w:val="center"/>
                </w:tcPr>
                <w:p w14:paraId="760FAC4C">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监控预警措施</w:t>
                  </w:r>
                </w:p>
              </w:tc>
              <w:tc>
                <w:tcPr>
                  <w:tcW w:w="1765" w:type="dxa"/>
                  <w:tcBorders>
                    <w:tl2br w:val="nil"/>
                    <w:tr2bl w:val="nil"/>
                  </w:tcBorders>
                  <w:vAlign w:val="center"/>
                </w:tcPr>
                <w:p w14:paraId="5E0A74BF">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本项目设置一套监控系统</w:t>
                  </w:r>
                </w:p>
              </w:tc>
            </w:tr>
            <w:tr w14:paraId="6BD9A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3" w:type="dxa"/>
                  <w:tcBorders>
                    <w:tl2br w:val="nil"/>
                    <w:tr2bl w:val="nil"/>
                  </w:tcBorders>
                  <w:vAlign w:val="center"/>
                </w:tcPr>
                <w:p w14:paraId="6901B43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w:t>
                  </w:r>
                </w:p>
              </w:tc>
              <w:tc>
                <w:tcPr>
                  <w:tcW w:w="1763" w:type="dxa"/>
                  <w:vMerge w:val="continue"/>
                  <w:tcBorders>
                    <w:tl2br w:val="nil"/>
                    <w:tr2bl w:val="nil"/>
                  </w:tcBorders>
                  <w:vAlign w:val="center"/>
                </w:tcPr>
                <w:p w14:paraId="1EF8C1A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b w:val="0"/>
                      <w:bCs/>
                      <w:color w:val="auto"/>
                      <w:sz w:val="21"/>
                      <w:szCs w:val="21"/>
                      <w:lang w:val="en-US" w:eastAsia="zh-CN"/>
                    </w:rPr>
                  </w:pPr>
                </w:p>
              </w:tc>
              <w:tc>
                <w:tcPr>
                  <w:tcW w:w="1762" w:type="dxa"/>
                  <w:tcBorders>
                    <w:tl2br w:val="nil"/>
                    <w:tr2bl w:val="nil"/>
                  </w:tcBorders>
                  <w:vAlign w:val="center"/>
                </w:tcPr>
                <w:p w14:paraId="7C3BE6A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水环境风险防范措施</w:t>
                  </w:r>
                </w:p>
              </w:tc>
              <w:tc>
                <w:tcPr>
                  <w:tcW w:w="1764" w:type="dxa"/>
                  <w:tcBorders>
                    <w:tl2br w:val="nil"/>
                    <w:tr2bl w:val="nil"/>
                  </w:tcBorders>
                  <w:vAlign w:val="center"/>
                </w:tcPr>
                <w:p w14:paraId="16EECF6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围堰、雨排闸阀及其导流设施等</w:t>
                  </w:r>
                </w:p>
              </w:tc>
              <w:tc>
                <w:tcPr>
                  <w:tcW w:w="1765" w:type="dxa"/>
                  <w:tcBorders>
                    <w:tl2br w:val="nil"/>
                    <w:tr2bl w:val="nil"/>
                  </w:tcBorders>
                  <w:vAlign w:val="center"/>
                </w:tcPr>
                <w:p w14:paraId="161660A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本项目实行雨污分流，设置雨水污水排口阀门</w:t>
                  </w:r>
                </w:p>
              </w:tc>
            </w:tr>
            <w:tr w14:paraId="4A4916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3" w:type="dxa"/>
                  <w:tcBorders>
                    <w:tl2br w:val="nil"/>
                    <w:tr2bl w:val="nil"/>
                  </w:tcBorders>
                  <w:vAlign w:val="center"/>
                </w:tcPr>
                <w:p w14:paraId="6FC4974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w:t>
                  </w:r>
                </w:p>
              </w:tc>
              <w:tc>
                <w:tcPr>
                  <w:tcW w:w="1763" w:type="dxa"/>
                  <w:vMerge w:val="restart"/>
                  <w:tcBorders>
                    <w:tl2br w:val="nil"/>
                    <w:tr2bl w:val="nil"/>
                  </w:tcBorders>
                  <w:vAlign w:val="center"/>
                </w:tcPr>
                <w:p w14:paraId="1CE11119">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环境应急管理</w:t>
                  </w:r>
                </w:p>
              </w:tc>
              <w:tc>
                <w:tcPr>
                  <w:tcW w:w="1762" w:type="dxa"/>
                  <w:tcBorders>
                    <w:tl2br w:val="nil"/>
                    <w:tr2bl w:val="nil"/>
                  </w:tcBorders>
                  <w:vAlign w:val="center"/>
                </w:tcPr>
                <w:p w14:paraId="7C12930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突发环境事件应急预案</w:t>
                  </w:r>
                </w:p>
              </w:tc>
              <w:tc>
                <w:tcPr>
                  <w:tcW w:w="1764" w:type="dxa"/>
                  <w:tcBorders>
                    <w:tl2br w:val="nil"/>
                    <w:tr2bl w:val="nil"/>
                  </w:tcBorders>
                  <w:vAlign w:val="center"/>
                </w:tcPr>
                <w:p w14:paraId="50C9623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突发环境事件应急预案备案和修订情况，应急物资的配备情况</w:t>
                  </w:r>
                </w:p>
              </w:tc>
              <w:tc>
                <w:tcPr>
                  <w:tcW w:w="1765" w:type="dxa"/>
                  <w:tcBorders>
                    <w:tl2br w:val="nil"/>
                    <w:tr2bl w:val="nil"/>
                  </w:tcBorders>
                  <w:vAlign w:val="center"/>
                </w:tcPr>
                <w:p w14:paraId="2853DB9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配备基本应急物资，编制应急预案，在企业试生产前或验收前应急预案备案到位</w:t>
                  </w:r>
                </w:p>
              </w:tc>
            </w:tr>
            <w:tr w14:paraId="016FF5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3" w:type="dxa"/>
                  <w:tcBorders>
                    <w:tl2br w:val="nil"/>
                    <w:tr2bl w:val="nil"/>
                  </w:tcBorders>
                  <w:vAlign w:val="center"/>
                </w:tcPr>
                <w:p w14:paraId="625F1CC3">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w:t>
                  </w:r>
                </w:p>
              </w:tc>
              <w:tc>
                <w:tcPr>
                  <w:tcW w:w="1763" w:type="dxa"/>
                  <w:vMerge w:val="continue"/>
                  <w:tcBorders>
                    <w:tl2br w:val="nil"/>
                    <w:tr2bl w:val="nil"/>
                  </w:tcBorders>
                  <w:vAlign w:val="center"/>
                </w:tcPr>
                <w:p w14:paraId="1035294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b w:val="0"/>
                      <w:bCs/>
                      <w:color w:val="auto"/>
                      <w:sz w:val="21"/>
                      <w:szCs w:val="21"/>
                      <w:lang w:val="en-US" w:eastAsia="zh-CN"/>
                    </w:rPr>
                  </w:pPr>
                </w:p>
              </w:tc>
              <w:tc>
                <w:tcPr>
                  <w:tcW w:w="1762" w:type="dxa"/>
                  <w:tcBorders>
                    <w:tl2br w:val="nil"/>
                    <w:tr2bl w:val="nil"/>
                  </w:tcBorders>
                  <w:vAlign w:val="center"/>
                </w:tcPr>
                <w:p w14:paraId="51580F0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突发环境事件隐患排查</w:t>
                  </w:r>
                </w:p>
              </w:tc>
              <w:tc>
                <w:tcPr>
                  <w:tcW w:w="1764" w:type="dxa"/>
                  <w:tcBorders>
                    <w:tl2br w:val="nil"/>
                    <w:tr2bl w:val="nil"/>
                  </w:tcBorders>
                  <w:vAlign w:val="center"/>
                </w:tcPr>
                <w:p w14:paraId="12BFD63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隐患排查制度建立情况，重大隐患整改情况</w:t>
                  </w:r>
                </w:p>
              </w:tc>
              <w:tc>
                <w:tcPr>
                  <w:tcW w:w="1765" w:type="dxa"/>
                  <w:tcBorders>
                    <w:tl2br w:val="nil"/>
                    <w:tr2bl w:val="nil"/>
                  </w:tcBorders>
                  <w:vAlign w:val="center"/>
                </w:tcPr>
                <w:p w14:paraId="7EF0011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建立健全隐患排查制度</w:t>
                  </w:r>
                </w:p>
              </w:tc>
            </w:tr>
            <w:tr w14:paraId="04F83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3" w:type="dxa"/>
                  <w:tcBorders>
                    <w:tl2br w:val="nil"/>
                    <w:tr2bl w:val="nil"/>
                  </w:tcBorders>
                  <w:vAlign w:val="center"/>
                </w:tcPr>
                <w:p w14:paraId="4353DE0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w:t>
                  </w:r>
                </w:p>
              </w:tc>
              <w:tc>
                <w:tcPr>
                  <w:tcW w:w="1763" w:type="dxa"/>
                  <w:vMerge w:val="continue"/>
                  <w:tcBorders>
                    <w:tl2br w:val="nil"/>
                    <w:tr2bl w:val="nil"/>
                  </w:tcBorders>
                  <w:vAlign w:val="center"/>
                </w:tcPr>
                <w:p w14:paraId="578B8D2E">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b w:val="0"/>
                      <w:bCs/>
                      <w:color w:val="auto"/>
                      <w:sz w:val="21"/>
                      <w:szCs w:val="21"/>
                      <w:lang w:val="en-US" w:eastAsia="zh-CN"/>
                    </w:rPr>
                  </w:pPr>
                </w:p>
              </w:tc>
              <w:tc>
                <w:tcPr>
                  <w:tcW w:w="1762" w:type="dxa"/>
                  <w:tcBorders>
                    <w:tl2br w:val="nil"/>
                    <w:tr2bl w:val="nil"/>
                  </w:tcBorders>
                  <w:vAlign w:val="center"/>
                </w:tcPr>
                <w:p w14:paraId="00B0993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安全风险评估</w:t>
                  </w:r>
                </w:p>
              </w:tc>
              <w:tc>
                <w:tcPr>
                  <w:tcW w:w="1764" w:type="dxa"/>
                  <w:tcBorders>
                    <w:tl2br w:val="nil"/>
                    <w:tr2bl w:val="nil"/>
                  </w:tcBorders>
                  <w:vAlign w:val="center"/>
                </w:tcPr>
                <w:p w14:paraId="6209520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环保设备风险评估及管控情况</w:t>
                  </w:r>
                </w:p>
              </w:tc>
              <w:tc>
                <w:tcPr>
                  <w:tcW w:w="1765" w:type="dxa"/>
                  <w:tcBorders>
                    <w:tl2br w:val="nil"/>
                    <w:tr2bl w:val="nil"/>
                  </w:tcBorders>
                  <w:vAlign w:val="center"/>
                </w:tcPr>
                <w:p w14:paraId="4AC7288A">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拟编制安全风险评估并上报相关管理部门，按照评估要求落实到位。</w:t>
                  </w:r>
                </w:p>
              </w:tc>
            </w:tr>
          </w:tbl>
          <w:p w14:paraId="0089413B">
            <w:pPr>
              <w:pStyle w:val="236"/>
              <w:keepNext w:val="0"/>
              <w:keepLines w:val="0"/>
              <w:suppressLineNumbers w:val="0"/>
              <w:spacing w:before="0" w:beforeAutospacing="0" w:after="0" w:afterAutospacing="0"/>
              <w:ind w:left="0" w:right="0" w:firstLine="480"/>
              <w:rPr>
                <w:b/>
                <w:bCs/>
                <w:color w:val="auto"/>
              </w:rPr>
            </w:pPr>
            <w:r>
              <w:rPr>
                <w:rFonts w:hint="eastAsia"/>
                <w:b/>
                <w:bCs/>
                <w:color w:val="auto"/>
                <w:lang w:val="en-US" w:eastAsia="zh-CN"/>
              </w:rPr>
              <w:t>4.</w:t>
            </w:r>
            <w:r>
              <w:rPr>
                <w:b/>
                <w:bCs/>
                <w:color w:val="auto"/>
              </w:rPr>
              <w:t>评价结论与建议</w:t>
            </w:r>
          </w:p>
          <w:p w14:paraId="1E82E590">
            <w:pPr>
              <w:pStyle w:val="236"/>
              <w:keepNext w:val="0"/>
              <w:keepLines w:val="0"/>
              <w:suppressLineNumbers w:val="0"/>
              <w:spacing w:before="0" w:beforeAutospacing="0" w:after="0" w:afterAutospacing="0"/>
              <w:ind w:left="0" w:right="0" w:firstLine="48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color w:val="auto"/>
              </w:rPr>
              <w:t>项目危险因素</w:t>
            </w:r>
          </w:p>
          <w:p w14:paraId="73103DBC">
            <w:pPr>
              <w:pStyle w:val="236"/>
              <w:keepNext w:val="0"/>
              <w:keepLines w:val="0"/>
              <w:suppressLineNumbers w:val="0"/>
              <w:spacing w:before="0" w:beforeAutospacing="0" w:after="0" w:afterAutospacing="0"/>
              <w:ind w:left="0" w:right="0" w:firstLine="480"/>
              <w:rPr>
                <w:rFonts w:hint="default"/>
                <w:color w:val="auto"/>
              </w:rPr>
            </w:pPr>
            <w:r>
              <w:rPr>
                <w:color w:val="auto"/>
              </w:rPr>
              <w:t>根据《建设项目环境风险评价技术导则》（HJ169-2018）中规定的重大危险源辨识原则，本项目涉及的风险物质主要是</w:t>
            </w:r>
            <w:r>
              <w:rPr>
                <w:rFonts w:hint="eastAsia"/>
                <w:color w:val="auto"/>
                <w:lang w:val="en-US" w:eastAsia="zh-CN"/>
              </w:rPr>
              <w:t>废油桶、废机油、油烟净化器废油、污（油）泥等</w:t>
            </w:r>
            <w:r>
              <w:rPr>
                <w:color w:val="auto"/>
              </w:rPr>
              <w:t>。</w:t>
            </w:r>
          </w:p>
          <w:p w14:paraId="792203DA">
            <w:pPr>
              <w:pStyle w:val="236"/>
              <w:keepNext w:val="0"/>
              <w:keepLines w:val="0"/>
              <w:suppressLineNumbers w:val="0"/>
              <w:spacing w:before="0" w:beforeAutospacing="0" w:after="0" w:afterAutospacing="0"/>
              <w:ind w:left="0" w:right="0" w:firstLine="480"/>
              <w:rPr>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color w:val="auto"/>
              </w:rPr>
              <w:t>环境敏感性及事故环境影响</w:t>
            </w:r>
          </w:p>
          <w:p w14:paraId="40C7C40E">
            <w:pPr>
              <w:pStyle w:val="236"/>
              <w:keepNext w:val="0"/>
              <w:keepLines w:val="0"/>
              <w:suppressLineNumbers w:val="0"/>
              <w:spacing w:before="0" w:beforeAutospacing="0" w:after="0" w:afterAutospacing="0"/>
              <w:ind w:left="0" w:right="0" w:firstLine="480"/>
              <w:rPr>
                <w:color w:val="auto"/>
              </w:rPr>
            </w:pPr>
            <w:r>
              <w:rPr>
                <w:color w:val="auto"/>
              </w:rPr>
              <w:t>可能通过发生火灾影响周边大气</w:t>
            </w:r>
            <w:r>
              <w:rPr>
                <w:color w:val="auto"/>
                <w:lang w:val="zh-CN"/>
              </w:rPr>
              <w:t>。</w:t>
            </w:r>
          </w:p>
          <w:p w14:paraId="511F8BB3">
            <w:pPr>
              <w:pStyle w:val="236"/>
              <w:keepNext w:val="0"/>
              <w:keepLines w:val="0"/>
              <w:suppressLineNumbers w:val="0"/>
              <w:spacing w:before="0" w:beforeAutospacing="0" w:after="0" w:afterAutospacing="0"/>
              <w:ind w:left="0" w:right="0" w:firstLine="480"/>
              <w:rPr>
                <w:color w:val="auto"/>
              </w:rPr>
            </w:pPr>
            <w:r>
              <w:rPr>
                <w:rFonts w:hint="eastAsia"/>
                <w:color w:val="auto"/>
                <w:lang w:eastAsia="zh-CN"/>
              </w:rPr>
              <w:t>（</w:t>
            </w:r>
            <w:r>
              <w:rPr>
                <w:rFonts w:hint="eastAsia"/>
                <w:color w:val="auto"/>
                <w:lang w:val="en-US" w:eastAsia="zh-CN"/>
              </w:rPr>
              <w:t>3</w:t>
            </w:r>
            <w:r>
              <w:rPr>
                <w:rFonts w:hint="eastAsia"/>
                <w:color w:val="auto"/>
                <w:lang w:eastAsia="zh-CN"/>
              </w:rPr>
              <w:t>）</w:t>
            </w:r>
            <w:r>
              <w:rPr>
                <w:color w:val="auto"/>
              </w:rPr>
              <w:t>环境风险评价与建议</w:t>
            </w:r>
          </w:p>
          <w:p w14:paraId="0BBB68EB">
            <w:pPr>
              <w:pStyle w:val="237"/>
              <w:keepNext w:val="0"/>
              <w:keepLines w:val="0"/>
              <w:suppressLineNumbers w:val="0"/>
              <w:adjustRightInd w:val="0"/>
              <w:spacing w:before="0" w:beforeAutospacing="0" w:after="0" w:afterAutospacing="0"/>
              <w:ind w:left="0" w:right="0"/>
              <w:jc w:val="both"/>
              <w:rPr>
                <w:rFonts w:hint="eastAsia"/>
                <w:highlight w:val="yellow"/>
                <w:lang w:val="en-US" w:eastAsia="zh-CN"/>
              </w:rPr>
            </w:pPr>
            <w:r>
              <w:rPr>
                <w:rFonts w:hint="default"/>
                <w:color w:val="auto"/>
              </w:rPr>
              <w:t>本项目风险潜势为Ⅰ，可开展简单分析。综上采取风险防范措施和应急管理要求后，本项</w:t>
            </w:r>
            <w:r>
              <w:rPr>
                <w:rFonts w:hint="eastAsia"/>
                <w:color w:val="auto"/>
                <w:lang w:eastAsia="zh-CN"/>
              </w:rPr>
              <w:t>环境</w:t>
            </w:r>
            <w:r>
              <w:rPr>
                <w:rFonts w:hint="default"/>
                <w:color w:val="auto"/>
              </w:rPr>
              <w:t>风险可控，处于可接受水平</w:t>
            </w:r>
            <w:r>
              <w:rPr>
                <w:rFonts w:hint="eastAsia"/>
                <w:color w:val="auto"/>
                <w:lang w:eastAsia="zh-CN"/>
              </w:rPr>
              <w:t>。</w:t>
            </w:r>
          </w:p>
          <w:p w14:paraId="2D1B9D75">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color w:val="auto"/>
                <w:sz w:val="24"/>
                <w:highlight w:val="none"/>
              </w:rPr>
            </w:pPr>
            <w:r>
              <w:rPr>
                <w:rFonts w:hint="eastAsia"/>
                <w:b/>
                <w:color w:val="auto"/>
                <w:sz w:val="24"/>
                <w:highlight w:val="none"/>
                <w:lang w:val="en-US" w:eastAsia="zh-CN"/>
              </w:rPr>
              <w:t>六</w:t>
            </w:r>
            <w:r>
              <w:rPr>
                <w:rFonts w:hint="default"/>
                <w:b/>
                <w:color w:val="auto"/>
                <w:sz w:val="24"/>
                <w:highlight w:val="none"/>
              </w:rPr>
              <w:t>、生态环境影响</w:t>
            </w:r>
          </w:p>
          <w:p w14:paraId="4F50921F">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项目用地范围内不涉及生态环境保护目标，无须设置生态环境保护措施。</w:t>
            </w:r>
          </w:p>
          <w:p w14:paraId="21F58788">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color w:val="auto"/>
                <w:sz w:val="24"/>
                <w:highlight w:val="none"/>
              </w:rPr>
            </w:pPr>
            <w:r>
              <w:rPr>
                <w:rFonts w:hint="eastAsia"/>
                <w:b/>
                <w:color w:val="auto"/>
                <w:sz w:val="24"/>
                <w:highlight w:val="none"/>
                <w:lang w:val="en-US" w:eastAsia="zh-CN"/>
              </w:rPr>
              <w:t>七</w:t>
            </w:r>
            <w:r>
              <w:rPr>
                <w:rFonts w:hint="default"/>
                <w:b/>
                <w:color w:val="auto"/>
                <w:sz w:val="24"/>
                <w:highlight w:val="none"/>
              </w:rPr>
              <w:t>、电磁辐射</w:t>
            </w:r>
          </w:p>
          <w:p w14:paraId="5C4E686E">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本项目不涉及电磁辐射源，无须设置电磁辐射环境保护措施。</w:t>
            </w:r>
          </w:p>
          <w:p w14:paraId="4B225BE0">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color w:val="auto"/>
                <w:sz w:val="24"/>
                <w:highlight w:val="none"/>
              </w:rPr>
            </w:pPr>
            <w:r>
              <w:rPr>
                <w:rFonts w:hint="eastAsia"/>
                <w:b/>
                <w:color w:val="auto"/>
                <w:sz w:val="24"/>
                <w:highlight w:val="none"/>
                <w:lang w:val="en-US" w:eastAsia="zh-CN"/>
              </w:rPr>
              <w:t>八</w:t>
            </w:r>
            <w:r>
              <w:rPr>
                <w:rFonts w:hint="eastAsia"/>
                <w:b/>
                <w:color w:val="auto"/>
                <w:sz w:val="24"/>
                <w:highlight w:val="none"/>
              </w:rPr>
              <w:t>、环境管理</w:t>
            </w:r>
          </w:p>
          <w:p w14:paraId="24707804">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Cs/>
                <w:color w:val="auto"/>
                <w:sz w:val="24"/>
                <w:highlight w:val="none"/>
              </w:rPr>
            </w:pPr>
            <w:r>
              <w:rPr>
                <w:rFonts w:hint="eastAsia"/>
                <w:b/>
                <w:color w:val="auto"/>
                <w:sz w:val="24"/>
                <w:highlight w:val="none"/>
                <w:lang w:eastAsia="zh-CN"/>
              </w:rPr>
              <w:t>1.</w:t>
            </w:r>
            <w:r>
              <w:rPr>
                <w:rFonts w:hint="default"/>
                <w:b/>
                <w:color w:val="auto"/>
                <w:sz w:val="24"/>
                <w:highlight w:val="none"/>
              </w:rPr>
              <w:t>环境管理机构</w:t>
            </w:r>
          </w:p>
          <w:p w14:paraId="1F082EC5">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项目建成后，设置专门的环境管理机构，配备兼职环保人员1名，负责环境监督管理工作，同时要加强对管理人员的环保培训，不断提高管理水平。</w:t>
            </w:r>
          </w:p>
          <w:p w14:paraId="589EFE37">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color w:val="auto"/>
                <w:sz w:val="24"/>
                <w:highlight w:val="none"/>
              </w:rPr>
            </w:pPr>
            <w:r>
              <w:rPr>
                <w:rFonts w:hint="eastAsia"/>
                <w:b/>
                <w:color w:val="auto"/>
                <w:sz w:val="24"/>
                <w:highlight w:val="none"/>
                <w:lang w:eastAsia="zh-CN"/>
              </w:rPr>
              <w:t>2.</w:t>
            </w:r>
            <w:r>
              <w:rPr>
                <w:rFonts w:hint="default"/>
                <w:b/>
                <w:color w:val="auto"/>
                <w:sz w:val="24"/>
                <w:highlight w:val="none"/>
              </w:rPr>
              <w:t>环境管理内容</w:t>
            </w:r>
          </w:p>
          <w:p w14:paraId="043BA5AA">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项目在生产运行过程中为保证环境管理系统的有效运行应制定环境管理方案，环境管理方案主要包括下列内容：</w:t>
            </w:r>
          </w:p>
          <w:p w14:paraId="04E441CE">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①</w:t>
            </w:r>
            <w:r>
              <w:rPr>
                <w:rFonts w:hint="default"/>
                <w:bCs/>
                <w:color w:val="auto"/>
                <w:sz w:val="24"/>
                <w:highlight w:val="none"/>
              </w:rPr>
              <w:t>组织贯彻国家及地方的有关环保方针、政策法令和条例，搞好环境教育和技术培训，增强公司职工的环保意识和技术水平，提高污染控制的责任心。</w:t>
            </w:r>
          </w:p>
          <w:p w14:paraId="18EEA5AF">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②</w:t>
            </w:r>
            <w:r>
              <w:rPr>
                <w:rFonts w:hint="default"/>
                <w:bCs/>
                <w:color w:val="auto"/>
                <w:sz w:val="24"/>
                <w:highlight w:val="none"/>
              </w:rPr>
              <w:t>制定并实施公司环境保护工作的长期规划及年度污染治理计划：定期检查环保设施的运行状况及对设备的维修与管理，严格控制</w:t>
            </w:r>
            <w:r>
              <w:rPr>
                <w:rFonts w:hint="eastAsia"/>
                <w:bCs/>
                <w:color w:val="auto"/>
                <w:sz w:val="24"/>
                <w:highlight w:val="none"/>
                <w:lang w:eastAsia="zh-CN"/>
              </w:rPr>
              <w:t>“</w:t>
            </w:r>
            <w:r>
              <w:rPr>
                <w:rFonts w:hint="default"/>
                <w:bCs/>
                <w:color w:val="auto"/>
                <w:sz w:val="24"/>
                <w:highlight w:val="none"/>
              </w:rPr>
              <w:t>三废</w:t>
            </w:r>
            <w:r>
              <w:rPr>
                <w:rFonts w:hint="eastAsia"/>
                <w:bCs/>
                <w:color w:val="auto"/>
                <w:sz w:val="24"/>
                <w:highlight w:val="none"/>
                <w:lang w:eastAsia="zh-CN"/>
              </w:rPr>
              <w:t>”</w:t>
            </w:r>
            <w:r>
              <w:rPr>
                <w:rFonts w:hint="default"/>
                <w:bCs/>
                <w:color w:val="auto"/>
                <w:sz w:val="24"/>
                <w:highlight w:val="none"/>
              </w:rPr>
              <w:t>的排放。</w:t>
            </w:r>
          </w:p>
          <w:p w14:paraId="0FF2A775">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③</w:t>
            </w:r>
            <w:r>
              <w:rPr>
                <w:rFonts w:hint="default"/>
                <w:bCs/>
                <w:color w:val="auto"/>
                <w:sz w:val="24"/>
                <w:highlight w:val="none"/>
              </w:rPr>
              <w:t>掌握公司内部污染物排放状况，编制公司内部环境状况报告。</w:t>
            </w:r>
          </w:p>
          <w:p w14:paraId="0AE58A0F">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④</w:t>
            </w:r>
            <w:r>
              <w:rPr>
                <w:rFonts w:hint="default"/>
                <w:bCs/>
                <w:color w:val="auto"/>
                <w:sz w:val="24"/>
                <w:highlight w:val="none"/>
              </w:rPr>
              <w:t>负责环保专项资金的平衡与控制及办理环保超标缴费工作。</w:t>
            </w:r>
          </w:p>
          <w:p w14:paraId="66699391">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⑤</w:t>
            </w:r>
            <w:r>
              <w:rPr>
                <w:rFonts w:hint="default"/>
                <w:bCs/>
                <w:color w:val="auto"/>
                <w:sz w:val="24"/>
                <w:highlight w:val="none"/>
              </w:rPr>
              <w:t>组织环境监测，检查公司环境状况，并及时将环境监测信息向环保部门通报。</w:t>
            </w:r>
          </w:p>
          <w:p w14:paraId="5B393763">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⑥</w:t>
            </w:r>
            <w:r>
              <w:rPr>
                <w:rFonts w:hint="default"/>
                <w:bCs/>
                <w:color w:val="auto"/>
                <w:sz w:val="24"/>
                <w:highlight w:val="none"/>
              </w:rPr>
              <w:t>调查处理公司内污染事故和污染纠纷：建立污染突发事故分类分级档案和处理制度。</w:t>
            </w:r>
          </w:p>
          <w:p w14:paraId="7EF0B45C">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color w:val="auto"/>
                <w:sz w:val="24"/>
                <w:highlight w:val="none"/>
              </w:rPr>
            </w:pPr>
            <w:r>
              <w:rPr>
                <w:rFonts w:hint="eastAsia"/>
                <w:b/>
                <w:color w:val="auto"/>
                <w:sz w:val="24"/>
                <w:highlight w:val="none"/>
                <w:lang w:eastAsia="zh-CN"/>
              </w:rPr>
              <w:t>3.</w:t>
            </w:r>
            <w:r>
              <w:rPr>
                <w:rFonts w:hint="default"/>
                <w:b/>
                <w:color w:val="auto"/>
                <w:sz w:val="24"/>
                <w:highlight w:val="none"/>
              </w:rPr>
              <w:t>环境管理制度的建立</w:t>
            </w:r>
          </w:p>
          <w:p w14:paraId="6C0EADBE">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
                <w:color w:val="auto"/>
                <w:sz w:val="24"/>
                <w:highlight w:val="none"/>
              </w:rPr>
            </w:pPr>
            <w:r>
              <w:rPr>
                <w:rFonts w:hint="eastAsia"/>
                <w:bCs/>
                <w:color w:val="auto"/>
                <w:sz w:val="24"/>
                <w:highlight w:val="none"/>
              </w:rPr>
              <w:t>（</w:t>
            </w:r>
            <w:r>
              <w:rPr>
                <w:rFonts w:hint="eastAsia"/>
                <w:b/>
                <w:color w:val="auto"/>
                <w:sz w:val="24"/>
                <w:highlight w:val="none"/>
              </w:rPr>
              <w:t>1）</w:t>
            </w:r>
            <w:r>
              <w:rPr>
                <w:rFonts w:hint="default"/>
                <w:b/>
                <w:color w:val="auto"/>
                <w:sz w:val="24"/>
                <w:highlight w:val="none"/>
              </w:rPr>
              <w:t>排污许可制度</w:t>
            </w:r>
          </w:p>
          <w:p w14:paraId="1F0B722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本项目所属的</w:t>
            </w:r>
            <w:r>
              <w:rPr>
                <w:rFonts w:hint="eastAsia"/>
                <w:color w:val="auto"/>
                <w:sz w:val="24"/>
                <w:szCs w:val="32"/>
                <w:highlight w:val="none"/>
              </w:rPr>
              <w:t>C</w:t>
            </w:r>
            <w:r>
              <w:rPr>
                <w:rFonts w:hint="eastAsia"/>
                <w:color w:val="auto"/>
                <w:sz w:val="24"/>
                <w:szCs w:val="32"/>
                <w:highlight w:val="none"/>
                <w:lang w:val="en-US" w:eastAsia="zh-CN"/>
              </w:rPr>
              <w:t>1751化纤织造，</w:t>
            </w:r>
            <w:r>
              <w:rPr>
                <w:rFonts w:hint="default"/>
                <w:bCs/>
                <w:color w:val="auto"/>
                <w:sz w:val="24"/>
                <w:highlight w:val="none"/>
              </w:rPr>
              <w:t>属于《固定污染源排污许可分类管理名录（2019版）》中</w:t>
            </w:r>
            <w:r>
              <w:rPr>
                <w:rFonts w:hint="eastAsia"/>
                <w:bCs/>
                <w:color w:val="auto"/>
                <w:sz w:val="24"/>
                <w:highlight w:val="none"/>
                <w:lang w:eastAsia="zh-CN"/>
              </w:rPr>
              <w:t>“</w:t>
            </w:r>
            <w:r>
              <w:rPr>
                <w:rFonts w:hint="default"/>
                <w:bCs/>
                <w:color w:val="auto"/>
                <w:sz w:val="24"/>
                <w:highlight w:val="none"/>
              </w:rPr>
              <w:t>“十二、纺织业17 25.化纤织造及印染精加工175中</w:t>
            </w:r>
            <w:r>
              <w:rPr>
                <w:rFonts w:hint="eastAsia"/>
                <w:bCs/>
                <w:color w:val="auto"/>
                <w:sz w:val="24"/>
                <w:highlight w:val="none"/>
                <w:lang w:eastAsia="zh-CN"/>
              </w:rPr>
              <w:t>“</w:t>
            </w:r>
            <w:r>
              <w:rPr>
                <w:rFonts w:hint="default"/>
                <w:bCs/>
                <w:color w:val="auto"/>
                <w:sz w:val="24"/>
                <w:highlight w:val="none"/>
              </w:rPr>
              <w:t>有喷水织造工序的</w:t>
            </w:r>
            <w:r>
              <w:rPr>
                <w:rFonts w:hint="eastAsia"/>
                <w:bCs/>
                <w:color w:val="auto"/>
                <w:sz w:val="24"/>
                <w:highlight w:val="none"/>
                <w:lang w:eastAsia="zh-CN"/>
              </w:rPr>
              <w:t>”</w:t>
            </w:r>
            <w:r>
              <w:rPr>
                <w:rFonts w:hint="eastAsia"/>
                <w:bCs/>
                <w:color w:val="auto"/>
                <w:sz w:val="24"/>
                <w:highlight w:val="none"/>
              </w:rPr>
              <w:t>，属于</w:t>
            </w:r>
            <w:r>
              <w:rPr>
                <w:rFonts w:hint="eastAsia"/>
                <w:bCs/>
                <w:color w:val="auto"/>
                <w:sz w:val="24"/>
                <w:highlight w:val="none"/>
                <w:lang w:val="en-US" w:eastAsia="zh-CN"/>
              </w:rPr>
              <w:t>重点</w:t>
            </w:r>
            <w:r>
              <w:rPr>
                <w:rFonts w:hint="default"/>
                <w:bCs/>
                <w:color w:val="auto"/>
                <w:sz w:val="24"/>
                <w:highlight w:val="none"/>
              </w:rPr>
              <w:t>管理的行业，建设单位应当在生产设施启动或者发生实际排污之前，登录全国排污许可管理信息平台公开端</w:t>
            </w:r>
            <w:r>
              <w:rPr>
                <w:rFonts w:hint="eastAsia"/>
                <w:bCs/>
                <w:color w:val="auto"/>
                <w:sz w:val="24"/>
                <w:highlight w:val="none"/>
                <w:lang w:val="en-US" w:eastAsia="zh-CN"/>
              </w:rPr>
              <w:t>申请排污许可证</w:t>
            </w:r>
            <w:r>
              <w:rPr>
                <w:rFonts w:hint="default"/>
                <w:bCs/>
                <w:color w:val="auto"/>
                <w:sz w:val="24"/>
                <w:highlight w:val="none"/>
              </w:rPr>
              <w:t>。</w:t>
            </w:r>
          </w:p>
          <w:p w14:paraId="2FBB549D">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②</w:t>
            </w:r>
            <w:r>
              <w:rPr>
                <w:rFonts w:hint="default"/>
                <w:bCs/>
                <w:color w:val="auto"/>
                <w:sz w:val="24"/>
                <w:highlight w:val="none"/>
              </w:rPr>
              <w:t>环境管理体系项目建成后，建立环境管理体系，以便全面系统</w:t>
            </w:r>
            <w:r>
              <w:rPr>
                <w:rFonts w:hint="eastAsia"/>
                <w:bCs/>
                <w:color w:val="auto"/>
                <w:sz w:val="24"/>
                <w:highlight w:val="none"/>
                <w:lang w:eastAsia="zh-CN"/>
              </w:rPr>
              <w:t>地</w:t>
            </w:r>
            <w:r>
              <w:rPr>
                <w:rFonts w:hint="default"/>
                <w:bCs/>
                <w:color w:val="auto"/>
                <w:sz w:val="24"/>
                <w:highlight w:val="none"/>
              </w:rPr>
              <w:t>对污染物进行控制，进一步提高能源资源的利用率，及时了解有关环保法律法规及其他要求，更好地遵守法律法规及各项制度。</w:t>
            </w:r>
          </w:p>
          <w:p w14:paraId="36F78516">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color w:val="auto"/>
                <w:sz w:val="24"/>
                <w:highlight w:val="none"/>
              </w:rPr>
            </w:pPr>
            <w:r>
              <w:rPr>
                <w:rFonts w:hint="eastAsia"/>
                <w:b/>
                <w:color w:val="auto"/>
                <w:sz w:val="24"/>
                <w:highlight w:val="none"/>
              </w:rPr>
              <w:t>（2）</w:t>
            </w:r>
            <w:r>
              <w:rPr>
                <w:rFonts w:hint="default"/>
                <w:b/>
                <w:color w:val="auto"/>
                <w:sz w:val="24"/>
                <w:highlight w:val="none"/>
              </w:rPr>
              <w:t>污染处理设施管理制度</w:t>
            </w:r>
          </w:p>
          <w:p w14:paraId="536D960D">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对污染治理设施的管理必须与生产经营活动一起纳入企业的日常管理中，要建立岗位责任制，制定操作规程，建立管理台账。</w:t>
            </w:r>
          </w:p>
          <w:p w14:paraId="1D577FB0">
            <w:pPr>
              <w:keepNext w:val="0"/>
              <w:keepLines w:val="0"/>
              <w:suppressLineNumbers w:val="0"/>
              <w:adjustRightInd w:val="0"/>
              <w:snapToGrid w:val="0"/>
              <w:spacing w:before="0" w:beforeAutospacing="0" w:after="0" w:afterAutospacing="0" w:line="360" w:lineRule="auto"/>
              <w:ind w:left="0" w:right="0" w:firstLine="482" w:firstLineChars="200"/>
              <w:rPr>
                <w:rFonts w:hint="eastAsia" w:eastAsia="宋体"/>
                <w:b/>
                <w:bCs/>
                <w:color w:val="auto"/>
                <w:sz w:val="24"/>
                <w:highlight w:val="none"/>
                <w:lang w:eastAsia="zh-CN"/>
              </w:rPr>
            </w:pPr>
            <w:r>
              <w:rPr>
                <w:rFonts w:hint="eastAsia"/>
                <w:b/>
                <w:bCs/>
                <w:color w:val="auto"/>
                <w:sz w:val="24"/>
                <w:highlight w:val="none"/>
                <w:lang w:eastAsia="zh-CN"/>
              </w:rPr>
              <w:t>4.</w:t>
            </w:r>
            <w:r>
              <w:rPr>
                <w:rFonts w:hint="default"/>
                <w:b/>
                <w:bCs/>
                <w:color w:val="auto"/>
                <w:sz w:val="24"/>
                <w:highlight w:val="none"/>
              </w:rPr>
              <w:t>排污口规范化设置</w:t>
            </w:r>
          </w:p>
          <w:p w14:paraId="0F86C9E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宋体" w:hAnsi="宋体" w:cs="宋体"/>
                <w:color w:val="auto"/>
                <w:sz w:val="24"/>
                <w:highlight w:val="none"/>
              </w:rPr>
            </w:pPr>
            <w:r>
              <w:rPr>
                <w:rFonts w:hint="default"/>
                <w:color w:val="auto"/>
                <w:sz w:val="24"/>
                <w:highlight w:val="none"/>
              </w:rPr>
              <w:t>根据《江苏省排污口设置及规范化整治管理办法》（苏环控〔1997〕122号）规定，本项目属于</w:t>
            </w:r>
            <w:r>
              <w:rPr>
                <w:rFonts w:hint="eastAsia"/>
                <w:color w:val="auto"/>
                <w:sz w:val="24"/>
                <w:szCs w:val="32"/>
                <w:highlight w:val="none"/>
              </w:rPr>
              <w:t>C</w:t>
            </w:r>
            <w:r>
              <w:rPr>
                <w:rFonts w:hint="eastAsia"/>
                <w:color w:val="auto"/>
                <w:sz w:val="24"/>
                <w:szCs w:val="32"/>
                <w:highlight w:val="none"/>
                <w:lang w:val="en-US" w:eastAsia="zh-CN"/>
              </w:rPr>
              <w:t>1751化纤织造</w:t>
            </w:r>
            <w:r>
              <w:rPr>
                <w:rFonts w:hint="default"/>
                <w:color w:val="auto"/>
                <w:sz w:val="24"/>
                <w:highlight w:val="none"/>
              </w:rPr>
              <w:t>，对照</w:t>
            </w:r>
            <w:r>
              <w:rPr>
                <w:rFonts w:hint="eastAsia"/>
                <w:color w:val="auto"/>
                <w:sz w:val="24"/>
                <w:highlight w:val="none"/>
                <w:lang w:eastAsia="zh-CN"/>
              </w:rPr>
              <w:t>《</w:t>
            </w:r>
            <w:r>
              <w:rPr>
                <w:rFonts w:hint="default"/>
                <w:color w:val="auto"/>
                <w:sz w:val="24"/>
                <w:highlight w:val="none"/>
              </w:rPr>
              <w:t xml:space="preserve">排污许可证申请与核发技术规范 </w:t>
            </w:r>
            <w:r>
              <w:rPr>
                <w:rFonts w:hint="eastAsia"/>
                <w:color w:val="auto"/>
                <w:sz w:val="24"/>
                <w:highlight w:val="none"/>
                <w:lang w:val="en-US" w:eastAsia="zh-CN"/>
              </w:rPr>
              <w:t>橡胶</w:t>
            </w:r>
            <w:r>
              <w:rPr>
                <w:rFonts w:hint="default"/>
                <w:color w:val="auto"/>
                <w:sz w:val="24"/>
                <w:highlight w:val="none"/>
              </w:rPr>
              <w:t>和塑料制品工业</w:t>
            </w:r>
            <w:r>
              <w:rPr>
                <w:rFonts w:hint="eastAsia"/>
                <w:color w:val="auto"/>
                <w:sz w:val="24"/>
                <w:highlight w:val="none"/>
                <w:lang w:eastAsia="zh-CN"/>
              </w:rPr>
              <w:t>》（</w:t>
            </w:r>
            <w:r>
              <w:rPr>
                <w:rFonts w:hint="default"/>
                <w:color w:val="auto"/>
                <w:sz w:val="24"/>
                <w:highlight w:val="none"/>
              </w:rPr>
              <w:t>HJ1122-2020</w:t>
            </w:r>
            <w:r>
              <w:rPr>
                <w:rFonts w:hint="eastAsia"/>
                <w:color w:val="auto"/>
                <w:sz w:val="24"/>
                <w:highlight w:val="none"/>
                <w:lang w:eastAsia="zh-CN"/>
              </w:rPr>
              <w:t>）、</w:t>
            </w:r>
            <w:r>
              <w:rPr>
                <w:rFonts w:hint="default"/>
                <w:color w:val="auto"/>
                <w:sz w:val="24"/>
                <w:highlight w:val="none"/>
              </w:rPr>
              <w:t>《排污许可</w:t>
            </w:r>
            <w:r>
              <w:rPr>
                <w:rFonts w:hint="eastAsia"/>
                <w:color w:val="auto"/>
                <w:sz w:val="24"/>
                <w:highlight w:val="none"/>
                <w:lang w:val="en-US" w:eastAsia="zh-CN"/>
              </w:rPr>
              <w:t>证</w:t>
            </w:r>
            <w:r>
              <w:rPr>
                <w:rFonts w:hint="default"/>
                <w:color w:val="auto"/>
                <w:sz w:val="24"/>
                <w:highlight w:val="none"/>
              </w:rPr>
              <w:t>申请与核发技术规范</w:t>
            </w:r>
            <w:r>
              <w:rPr>
                <w:rFonts w:hint="eastAsia"/>
                <w:color w:val="auto"/>
                <w:sz w:val="24"/>
                <w:highlight w:val="none"/>
                <w:lang w:val="en-US" w:eastAsia="zh-CN"/>
              </w:rPr>
              <w:t xml:space="preserve">  </w:t>
            </w:r>
            <w:r>
              <w:rPr>
                <w:rFonts w:hint="default"/>
                <w:color w:val="auto"/>
                <w:sz w:val="24"/>
                <w:highlight w:val="none"/>
              </w:rPr>
              <w:t>总则》（HJ942-2018）中相关要求，废气、废水排放口应进行规范化设计，具备采样、监测条件</w:t>
            </w:r>
            <w:r>
              <w:rPr>
                <w:rFonts w:hint="eastAsia"/>
                <w:color w:val="auto"/>
                <w:sz w:val="24"/>
                <w:highlight w:val="none"/>
                <w:lang w:eastAsia="zh-CN"/>
              </w:rPr>
              <w:t>，在</w:t>
            </w:r>
            <w:r>
              <w:rPr>
                <w:rFonts w:hint="default"/>
                <w:color w:val="auto"/>
                <w:sz w:val="24"/>
                <w:highlight w:val="none"/>
              </w:rPr>
              <w:t>排放口附近竖立环保图形标志牌。排污口应符合</w:t>
            </w:r>
            <w:r>
              <w:rPr>
                <w:rFonts w:hint="eastAsia"/>
                <w:color w:val="auto"/>
                <w:sz w:val="24"/>
                <w:highlight w:val="none"/>
                <w:lang w:eastAsia="zh-CN"/>
              </w:rPr>
              <w:t>“</w:t>
            </w:r>
            <w:r>
              <w:rPr>
                <w:rFonts w:hint="default"/>
                <w:color w:val="auto"/>
                <w:sz w:val="24"/>
                <w:highlight w:val="none"/>
              </w:rPr>
              <w:t>一明显、二合理、三便于</w:t>
            </w:r>
            <w:r>
              <w:rPr>
                <w:rFonts w:hint="eastAsia"/>
                <w:color w:val="auto"/>
                <w:sz w:val="24"/>
                <w:highlight w:val="none"/>
                <w:lang w:eastAsia="zh-CN"/>
              </w:rPr>
              <w:t>”</w:t>
            </w:r>
            <w:r>
              <w:rPr>
                <w:rFonts w:hint="default"/>
                <w:color w:val="auto"/>
                <w:sz w:val="24"/>
                <w:highlight w:val="none"/>
              </w:rPr>
              <w:t>的要求，即环保标志明显，排污口设置合理，排污去向合理，便于采集样品，便于监测计量，便于公众监督管理。按照生态环境部（原国家环境保护总局）制定的《〈环境保护图形标志〉实施细则（试行）》的规定，在各排污口设立相应的环境保护图形标志牌。在厂区的噪声排放源和固体废物贮存处置场应设置环境保护图形标志。环境保护图形标志的形状及颜色见表4-</w:t>
            </w:r>
            <w:r>
              <w:rPr>
                <w:rFonts w:hint="eastAsia"/>
                <w:color w:val="auto"/>
                <w:sz w:val="24"/>
                <w:highlight w:val="none"/>
                <w:lang w:val="en-US" w:eastAsia="zh-CN"/>
              </w:rPr>
              <w:t>35</w:t>
            </w:r>
            <w:r>
              <w:rPr>
                <w:rFonts w:hint="default"/>
                <w:color w:val="auto"/>
                <w:sz w:val="24"/>
                <w:highlight w:val="none"/>
              </w:rPr>
              <w:t>，环境保护图形符号见表4-</w:t>
            </w:r>
            <w:r>
              <w:rPr>
                <w:rFonts w:hint="eastAsia"/>
                <w:color w:val="auto"/>
                <w:sz w:val="24"/>
                <w:highlight w:val="none"/>
                <w:lang w:val="en-US" w:eastAsia="zh-CN"/>
              </w:rPr>
              <w:t>36</w:t>
            </w:r>
            <w:r>
              <w:rPr>
                <w:rFonts w:hint="default"/>
                <w:color w:val="auto"/>
                <w:sz w:val="24"/>
                <w:highlight w:val="none"/>
              </w:rPr>
              <w:t>。</w:t>
            </w:r>
          </w:p>
          <w:p w14:paraId="48FC45B8">
            <w:pPr>
              <w:keepNext w:val="0"/>
              <w:keepLines w:val="0"/>
              <w:suppressLineNumbers w:val="0"/>
              <w:adjustRightInd w:val="0"/>
              <w:snapToGrid w:val="0"/>
              <w:spacing w:before="0" w:beforeAutospacing="0" w:after="0" w:afterAutospacing="0" w:line="240" w:lineRule="auto"/>
              <w:ind w:left="0" w:right="0"/>
              <w:jc w:val="center"/>
              <w:rPr>
                <w:rFonts w:hint="default"/>
                <w:b/>
                <w:bCs/>
                <w:color w:val="auto"/>
                <w:sz w:val="24"/>
                <w:highlight w:val="none"/>
              </w:rPr>
            </w:pPr>
            <w:r>
              <w:rPr>
                <w:rFonts w:hint="default"/>
                <w:b/>
                <w:bCs/>
                <w:color w:val="auto"/>
                <w:sz w:val="24"/>
                <w:highlight w:val="none"/>
              </w:rPr>
              <w:t>表4-</w:t>
            </w:r>
            <w:r>
              <w:rPr>
                <w:rFonts w:hint="eastAsia"/>
                <w:b/>
                <w:bCs/>
                <w:color w:val="auto"/>
                <w:sz w:val="24"/>
                <w:highlight w:val="none"/>
                <w:lang w:val="en-US" w:eastAsia="zh-CN"/>
              </w:rPr>
              <w:t>35</w:t>
            </w:r>
            <w:r>
              <w:rPr>
                <w:rFonts w:hint="default"/>
                <w:b/>
                <w:bCs/>
                <w:color w:val="auto"/>
                <w:sz w:val="24"/>
                <w:highlight w:val="none"/>
              </w:rPr>
              <w:t>环境保护图形标志的形状及颜色表</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32"/>
              <w:gridCol w:w="1348"/>
              <w:gridCol w:w="1639"/>
              <w:gridCol w:w="1413"/>
              <w:gridCol w:w="1315"/>
              <w:gridCol w:w="1471"/>
            </w:tblGrid>
            <w:tr w14:paraId="20316A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14:paraId="36DC440F">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排放口名称</w:t>
                  </w:r>
                </w:p>
              </w:tc>
              <w:tc>
                <w:tcPr>
                  <w:tcW w:w="764" w:type="pct"/>
                  <w:vAlign w:val="center"/>
                </w:tcPr>
                <w:p w14:paraId="2AA3BFF1">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编号</w:t>
                  </w:r>
                </w:p>
              </w:tc>
              <w:tc>
                <w:tcPr>
                  <w:tcW w:w="929" w:type="pct"/>
                  <w:vAlign w:val="center"/>
                </w:tcPr>
                <w:p w14:paraId="24058A1B">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图形标志</w:t>
                  </w:r>
                </w:p>
              </w:tc>
              <w:tc>
                <w:tcPr>
                  <w:tcW w:w="801" w:type="pct"/>
                  <w:vAlign w:val="center"/>
                </w:tcPr>
                <w:p w14:paraId="4F279368">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形状</w:t>
                  </w:r>
                </w:p>
              </w:tc>
              <w:tc>
                <w:tcPr>
                  <w:tcW w:w="745" w:type="pct"/>
                  <w:vAlign w:val="center"/>
                </w:tcPr>
                <w:p w14:paraId="05C7087B">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背景颜色</w:t>
                  </w:r>
                </w:p>
              </w:tc>
              <w:tc>
                <w:tcPr>
                  <w:tcW w:w="833" w:type="pct"/>
                  <w:vAlign w:val="center"/>
                </w:tcPr>
                <w:p w14:paraId="5E3CEDAA">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图形颜色</w:t>
                  </w:r>
                </w:p>
              </w:tc>
            </w:tr>
            <w:tr w14:paraId="5A115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14:paraId="355280AF">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废气排口</w:t>
                  </w:r>
                </w:p>
              </w:tc>
              <w:tc>
                <w:tcPr>
                  <w:tcW w:w="764" w:type="pct"/>
                  <w:vAlign w:val="center"/>
                </w:tcPr>
                <w:p w14:paraId="47AA2224">
                  <w:pPr>
                    <w:keepNext w:val="0"/>
                    <w:keepLines w:val="0"/>
                    <w:suppressLineNumbers w:val="0"/>
                    <w:adjustRightInd w:val="0"/>
                    <w:snapToGrid w:val="0"/>
                    <w:spacing w:before="0" w:beforeAutospacing="0" w:after="0" w:afterAutospacing="0"/>
                    <w:ind w:left="0" w:leftChars="0" w:right="0" w:firstLine="0" w:firstLineChars="0"/>
                    <w:jc w:val="center"/>
                    <w:rPr>
                      <w:rFonts w:hint="eastAsia" w:eastAsia="宋体"/>
                      <w:bCs/>
                      <w:color w:val="auto"/>
                      <w:sz w:val="21"/>
                      <w:szCs w:val="21"/>
                      <w:highlight w:val="none"/>
                      <w:lang w:val="en-US" w:eastAsia="zh-CN"/>
                    </w:rPr>
                  </w:pPr>
                  <w:r>
                    <w:rPr>
                      <w:rFonts w:hint="eastAsia"/>
                      <w:bCs/>
                      <w:color w:val="auto"/>
                      <w:sz w:val="21"/>
                      <w:szCs w:val="21"/>
                      <w:highlight w:val="none"/>
                    </w:rPr>
                    <w:t>DA001</w:t>
                  </w:r>
                </w:p>
              </w:tc>
              <w:tc>
                <w:tcPr>
                  <w:tcW w:w="929" w:type="pct"/>
                  <w:vAlign w:val="center"/>
                </w:tcPr>
                <w:p w14:paraId="2492AE98">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提示图形符号</w:t>
                  </w:r>
                </w:p>
              </w:tc>
              <w:tc>
                <w:tcPr>
                  <w:tcW w:w="801" w:type="pct"/>
                  <w:vAlign w:val="center"/>
                </w:tcPr>
                <w:p w14:paraId="251E81D3">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正方形边框</w:t>
                  </w:r>
                </w:p>
              </w:tc>
              <w:tc>
                <w:tcPr>
                  <w:tcW w:w="745" w:type="pct"/>
                  <w:vAlign w:val="center"/>
                </w:tcPr>
                <w:p w14:paraId="2629A129">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绿色</w:t>
                  </w:r>
                </w:p>
              </w:tc>
              <w:tc>
                <w:tcPr>
                  <w:tcW w:w="833" w:type="pct"/>
                  <w:vAlign w:val="center"/>
                </w:tcPr>
                <w:p w14:paraId="1458DC40">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白色</w:t>
                  </w:r>
                </w:p>
              </w:tc>
            </w:tr>
            <w:tr w14:paraId="646C1F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14:paraId="4839DD81">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污水排口</w:t>
                  </w:r>
                </w:p>
              </w:tc>
              <w:tc>
                <w:tcPr>
                  <w:tcW w:w="764" w:type="pct"/>
                  <w:vAlign w:val="center"/>
                </w:tcPr>
                <w:p w14:paraId="6FF63E8A">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lang w:val="en-US" w:eastAsia="zh-CN"/>
                    </w:rPr>
                    <w:t>DW</w:t>
                  </w:r>
                  <w:r>
                    <w:rPr>
                      <w:rFonts w:hint="eastAsia"/>
                      <w:bCs/>
                      <w:color w:val="auto"/>
                      <w:sz w:val="21"/>
                      <w:szCs w:val="21"/>
                      <w:highlight w:val="none"/>
                    </w:rPr>
                    <w:t>001</w:t>
                  </w:r>
                </w:p>
              </w:tc>
              <w:tc>
                <w:tcPr>
                  <w:tcW w:w="929" w:type="pct"/>
                  <w:vAlign w:val="center"/>
                </w:tcPr>
                <w:p w14:paraId="452FA58D">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提示图形符号</w:t>
                  </w:r>
                </w:p>
              </w:tc>
              <w:tc>
                <w:tcPr>
                  <w:tcW w:w="801" w:type="pct"/>
                  <w:vAlign w:val="center"/>
                </w:tcPr>
                <w:p w14:paraId="766D13FC">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正方形边框</w:t>
                  </w:r>
                </w:p>
              </w:tc>
              <w:tc>
                <w:tcPr>
                  <w:tcW w:w="745" w:type="pct"/>
                  <w:vAlign w:val="center"/>
                </w:tcPr>
                <w:p w14:paraId="722EACC7">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绿色</w:t>
                  </w:r>
                </w:p>
              </w:tc>
              <w:tc>
                <w:tcPr>
                  <w:tcW w:w="833" w:type="pct"/>
                  <w:vAlign w:val="center"/>
                </w:tcPr>
                <w:p w14:paraId="5A92C66F">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白色</w:t>
                  </w:r>
                </w:p>
              </w:tc>
            </w:tr>
            <w:tr w14:paraId="0D6B56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14:paraId="464BB08D">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噪声源</w:t>
                  </w:r>
                </w:p>
              </w:tc>
              <w:tc>
                <w:tcPr>
                  <w:tcW w:w="764" w:type="pct"/>
                  <w:vAlign w:val="center"/>
                </w:tcPr>
                <w:p w14:paraId="2D5949CD">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lang w:val="en-US" w:eastAsia="zh-CN"/>
                    </w:rPr>
                    <w:t>CZ</w:t>
                  </w:r>
                  <w:r>
                    <w:rPr>
                      <w:rFonts w:hint="eastAsia"/>
                      <w:bCs/>
                      <w:color w:val="auto"/>
                      <w:sz w:val="21"/>
                      <w:szCs w:val="21"/>
                      <w:highlight w:val="none"/>
                    </w:rPr>
                    <w:t>001</w:t>
                  </w:r>
                </w:p>
              </w:tc>
              <w:tc>
                <w:tcPr>
                  <w:tcW w:w="929" w:type="pct"/>
                  <w:vAlign w:val="center"/>
                </w:tcPr>
                <w:p w14:paraId="0F44705D">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提示图形符号</w:t>
                  </w:r>
                </w:p>
              </w:tc>
              <w:tc>
                <w:tcPr>
                  <w:tcW w:w="801" w:type="pct"/>
                  <w:vAlign w:val="center"/>
                </w:tcPr>
                <w:p w14:paraId="44476C55">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正方形边框</w:t>
                  </w:r>
                </w:p>
              </w:tc>
              <w:tc>
                <w:tcPr>
                  <w:tcW w:w="745" w:type="pct"/>
                  <w:vAlign w:val="center"/>
                </w:tcPr>
                <w:p w14:paraId="102BA253">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绿色</w:t>
                  </w:r>
                </w:p>
              </w:tc>
              <w:tc>
                <w:tcPr>
                  <w:tcW w:w="833" w:type="pct"/>
                  <w:vAlign w:val="center"/>
                </w:tcPr>
                <w:p w14:paraId="27543AB1">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白色</w:t>
                  </w:r>
                </w:p>
              </w:tc>
            </w:tr>
            <w:tr w14:paraId="249DD2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14:paraId="11A13935">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default" w:ascii="宋体" w:hAnsi="宋体" w:cs="宋体"/>
                      <w:color w:val="auto"/>
                      <w:sz w:val="21"/>
                      <w:szCs w:val="21"/>
                      <w:highlight w:val="none"/>
                    </w:rPr>
                    <w:t>一般固废仓库</w:t>
                  </w:r>
                </w:p>
              </w:tc>
              <w:tc>
                <w:tcPr>
                  <w:tcW w:w="764" w:type="pct"/>
                  <w:vAlign w:val="center"/>
                </w:tcPr>
                <w:p w14:paraId="3E2F14E6">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GF001</w:t>
                  </w:r>
                </w:p>
              </w:tc>
              <w:tc>
                <w:tcPr>
                  <w:tcW w:w="929" w:type="pct"/>
                  <w:vAlign w:val="center"/>
                </w:tcPr>
                <w:p w14:paraId="334E8E1E">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提示图形符号</w:t>
                  </w:r>
                </w:p>
              </w:tc>
              <w:tc>
                <w:tcPr>
                  <w:tcW w:w="801" w:type="pct"/>
                  <w:vAlign w:val="center"/>
                </w:tcPr>
                <w:p w14:paraId="40EF89BD">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正方形边框</w:t>
                  </w:r>
                </w:p>
              </w:tc>
              <w:tc>
                <w:tcPr>
                  <w:tcW w:w="745" w:type="pct"/>
                  <w:vAlign w:val="center"/>
                </w:tcPr>
                <w:p w14:paraId="7A1B4203">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绿色</w:t>
                  </w:r>
                </w:p>
              </w:tc>
              <w:tc>
                <w:tcPr>
                  <w:tcW w:w="833" w:type="pct"/>
                  <w:vAlign w:val="center"/>
                </w:tcPr>
                <w:p w14:paraId="382AF93A">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白色</w:t>
                  </w:r>
                </w:p>
              </w:tc>
            </w:tr>
            <w:tr w14:paraId="2DEA7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14:paraId="0CBCA4FA">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危废仓库</w:t>
                  </w:r>
                </w:p>
              </w:tc>
              <w:tc>
                <w:tcPr>
                  <w:tcW w:w="764" w:type="pct"/>
                  <w:vAlign w:val="center"/>
                </w:tcPr>
                <w:p w14:paraId="61B4A1DF">
                  <w:pPr>
                    <w:keepNext w:val="0"/>
                    <w:keepLines w:val="0"/>
                    <w:suppressLineNumbers w:val="0"/>
                    <w:adjustRightInd w:val="0"/>
                    <w:snapToGrid w:val="0"/>
                    <w:spacing w:before="0" w:beforeAutospacing="0" w:after="0" w:afterAutospacing="0"/>
                    <w:ind w:left="0" w:leftChars="0" w:right="0" w:firstLine="0" w:firstLineChars="0"/>
                    <w:jc w:val="center"/>
                    <w:rPr>
                      <w:rFonts w:hint="eastAsia" w:eastAsia="宋体"/>
                      <w:bCs/>
                      <w:color w:val="auto"/>
                      <w:sz w:val="21"/>
                      <w:szCs w:val="21"/>
                      <w:highlight w:val="none"/>
                      <w:lang w:eastAsia="zh-CN"/>
                    </w:rPr>
                  </w:pPr>
                  <w:r>
                    <w:rPr>
                      <w:rFonts w:hint="eastAsia"/>
                      <w:bCs/>
                      <w:color w:val="auto"/>
                      <w:sz w:val="21"/>
                      <w:szCs w:val="21"/>
                      <w:highlight w:val="none"/>
                      <w:lang w:val="en-US" w:eastAsia="zh-CN"/>
                    </w:rPr>
                    <w:t>TS</w:t>
                  </w:r>
                  <w:r>
                    <w:rPr>
                      <w:rFonts w:hint="eastAsia"/>
                      <w:bCs/>
                      <w:color w:val="auto"/>
                      <w:sz w:val="21"/>
                      <w:szCs w:val="21"/>
                      <w:highlight w:val="none"/>
                    </w:rPr>
                    <w:t>00</w:t>
                  </w:r>
                  <w:r>
                    <w:rPr>
                      <w:rFonts w:hint="eastAsia"/>
                      <w:bCs/>
                      <w:color w:val="auto"/>
                      <w:sz w:val="21"/>
                      <w:szCs w:val="21"/>
                      <w:highlight w:val="none"/>
                      <w:lang w:val="en-US" w:eastAsia="zh-CN"/>
                    </w:rPr>
                    <w:t>1</w:t>
                  </w:r>
                </w:p>
              </w:tc>
              <w:tc>
                <w:tcPr>
                  <w:tcW w:w="929" w:type="pct"/>
                  <w:vAlign w:val="center"/>
                </w:tcPr>
                <w:p w14:paraId="2EFBB7FE">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警告标志</w:t>
                  </w:r>
                </w:p>
              </w:tc>
              <w:tc>
                <w:tcPr>
                  <w:tcW w:w="801" w:type="pct"/>
                  <w:vAlign w:val="center"/>
                </w:tcPr>
                <w:p w14:paraId="36D23956">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color w:val="auto"/>
                      <w:sz w:val="21"/>
                      <w:szCs w:val="21"/>
                      <w:highlight w:val="none"/>
                    </w:rPr>
                    <w:t>正方形边框</w:t>
                  </w:r>
                </w:p>
              </w:tc>
              <w:tc>
                <w:tcPr>
                  <w:tcW w:w="745" w:type="pct"/>
                  <w:vAlign w:val="center"/>
                </w:tcPr>
                <w:p w14:paraId="58454B9E">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黄色</w:t>
                  </w:r>
                </w:p>
              </w:tc>
              <w:tc>
                <w:tcPr>
                  <w:tcW w:w="833" w:type="pct"/>
                  <w:vAlign w:val="center"/>
                </w:tcPr>
                <w:p w14:paraId="0DDEB116">
                  <w:pPr>
                    <w:keepNext w:val="0"/>
                    <w:keepLines w:val="0"/>
                    <w:suppressLineNumbers w:val="0"/>
                    <w:adjustRightInd w:val="0"/>
                    <w:snapToGrid w:val="0"/>
                    <w:spacing w:before="0" w:beforeAutospacing="0" w:after="0" w:afterAutospacing="0"/>
                    <w:ind w:left="0" w:leftChars="0" w:right="0" w:firstLine="0" w:firstLineChars="0"/>
                    <w:jc w:val="center"/>
                    <w:rPr>
                      <w:rFonts w:hint="default"/>
                      <w:bCs/>
                      <w:color w:val="auto"/>
                      <w:sz w:val="21"/>
                      <w:szCs w:val="21"/>
                      <w:highlight w:val="none"/>
                    </w:rPr>
                  </w:pPr>
                  <w:r>
                    <w:rPr>
                      <w:rFonts w:hint="eastAsia"/>
                      <w:bCs/>
                      <w:color w:val="auto"/>
                      <w:sz w:val="21"/>
                      <w:szCs w:val="21"/>
                      <w:highlight w:val="none"/>
                    </w:rPr>
                    <w:t>黑色</w:t>
                  </w:r>
                </w:p>
              </w:tc>
            </w:tr>
          </w:tbl>
          <w:p w14:paraId="0FD3A69D">
            <w:pPr>
              <w:keepNext w:val="0"/>
              <w:keepLines w:val="0"/>
              <w:suppressLineNumbers w:val="0"/>
              <w:adjustRightInd w:val="0"/>
              <w:snapToGrid w:val="0"/>
              <w:spacing w:before="0" w:beforeAutospacing="0" w:after="0" w:afterAutospacing="0" w:line="240" w:lineRule="auto"/>
              <w:ind w:left="0" w:right="0" w:firstLine="0" w:firstLineChars="0"/>
              <w:jc w:val="both"/>
              <w:rPr>
                <w:rFonts w:hint="eastAsia"/>
                <w:bCs/>
                <w:color w:val="auto"/>
                <w:szCs w:val="21"/>
                <w:highlight w:val="none"/>
              </w:rPr>
            </w:pPr>
            <w:r>
              <w:rPr>
                <w:rFonts w:hint="eastAsia"/>
                <w:bCs/>
                <w:color w:val="auto"/>
                <w:szCs w:val="21"/>
                <w:highlight w:val="none"/>
              </w:rPr>
              <w:t>注：①固体废物堆放场所，必须有防火、防腐蚀、防流失等措施，并应设置标志牌；</w:t>
            </w:r>
          </w:p>
          <w:p w14:paraId="27B3F820">
            <w:pPr>
              <w:keepNext w:val="0"/>
              <w:keepLines w:val="0"/>
              <w:suppressLineNumbers w:val="0"/>
              <w:adjustRightInd w:val="0"/>
              <w:snapToGrid w:val="0"/>
              <w:spacing w:before="0" w:beforeAutospacing="0" w:after="0" w:afterAutospacing="0"/>
              <w:ind w:left="0" w:right="0" w:firstLine="480" w:firstLineChars="200"/>
              <w:jc w:val="both"/>
              <w:rPr>
                <w:rFonts w:hint="eastAsia"/>
                <w:b/>
                <w:color w:val="auto"/>
                <w:sz w:val="24"/>
                <w:highlight w:val="none"/>
              </w:rPr>
            </w:pPr>
            <w:r>
              <w:rPr>
                <w:rFonts w:hint="eastAsia"/>
                <w:bCs/>
                <w:color w:val="auto"/>
                <w:szCs w:val="21"/>
                <w:highlight w:val="none"/>
              </w:rPr>
              <w:t>②建设项目周围防火距离范围内必须有明显的防火标志。</w:t>
            </w:r>
          </w:p>
          <w:p w14:paraId="5CA8DD77">
            <w:pPr>
              <w:keepNext w:val="0"/>
              <w:keepLines w:val="0"/>
              <w:suppressLineNumbers w:val="0"/>
              <w:adjustRightInd w:val="0"/>
              <w:snapToGrid w:val="0"/>
              <w:spacing w:before="0" w:beforeAutospacing="0" w:after="0" w:afterAutospacing="0"/>
              <w:ind w:left="0" w:right="0"/>
              <w:jc w:val="center"/>
              <w:rPr>
                <w:rFonts w:hint="eastAsia"/>
                <w:b/>
                <w:color w:val="auto"/>
                <w:sz w:val="24"/>
                <w:highlight w:val="none"/>
              </w:rPr>
            </w:pPr>
          </w:p>
          <w:p w14:paraId="7B35F791">
            <w:pPr>
              <w:keepNext w:val="0"/>
              <w:keepLines w:val="0"/>
              <w:suppressLineNumbers w:val="0"/>
              <w:adjustRightInd w:val="0"/>
              <w:snapToGrid w:val="0"/>
              <w:spacing w:before="0" w:beforeAutospacing="0" w:after="0" w:afterAutospacing="0"/>
              <w:ind w:left="0" w:right="0"/>
              <w:jc w:val="center"/>
              <w:rPr>
                <w:rFonts w:hint="eastAsia"/>
                <w:b/>
                <w:color w:val="auto"/>
                <w:sz w:val="24"/>
                <w:highlight w:val="none"/>
              </w:rPr>
            </w:pPr>
          </w:p>
          <w:p w14:paraId="75608918">
            <w:pPr>
              <w:keepNext w:val="0"/>
              <w:keepLines w:val="0"/>
              <w:suppressLineNumbers w:val="0"/>
              <w:adjustRightInd w:val="0"/>
              <w:snapToGrid w:val="0"/>
              <w:spacing w:before="0" w:beforeAutospacing="0" w:after="0" w:afterAutospacing="0"/>
              <w:ind w:left="0" w:right="0"/>
              <w:jc w:val="center"/>
              <w:rPr>
                <w:rFonts w:hint="eastAsia"/>
                <w:b/>
                <w:color w:val="auto"/>
                <w:sz w:val="24"/>
                <w:highlight w:val="none"/>
              </w:rPr>
            </w:pPr>
          </w:p>
          <w:p w14:paraId="54777985">
            <w:pPr>
              <w:keepNext w:val="0"/>
              <w:keepLines w:val="0"/>
              <w:suppressLineNumbers w:val="0"/>
              <w:adjustRightInd w:val="0"/>
              <w:snapToGrid w:val="0"/>
              <w:spacing w:before="0" w:beforeAutospacing="0" w:after="0" w:afterAutospacing="0"/>
              <w:ind w:left="0" w:right="0"/>
              <w:jc w:val="center"/>
              <w:rPr>
                <w:rFonts w:hint="eastAsia"/>
                <w:b/>
                <w:color w:val="auto"/>
                <w:sz w:val="24"/>
                <w:highlight w:val="none"/>
              </w:rPr>
            </w:pPr>
          </w:p>
          <w:p w14:paraId="26ED00E8">
            <w:pPr>
              <w:keepNext w:val="0"/>
              <w:keepLines w:val="0"/>
              <w:suppressLineNumbers w:val="0"/>
              <w:adjustRightInd w:val="0"/>
              <w:snapToGrid w:val="0"/>
              <w:spacing w:before="0" w:beforeAutospacing="0" w:after="0" w:afterAutospacing="0"/>
              <w:ind w:left="0" w:right="0"/>
              <w:jc w:val="center"/>
              <w:rPr>
                <w:rFonts w:hint="eastAsia"/>
                <w:b/>
                <w:color w:val="auto"/>
                <w:sz w:val="24"/>
                <w:highlight w:val="none"/>
              </w:rPr>
            </w:pPr>
          </w:p>
          <w:p w14:paraId="02BEF706">
            <w:pPr>
              <w:keepNext w:val="0"/>
              <w:keepLines w:val="0"/>
              <w:suppressLineNumbers w:val="0"/>
              <w:adjustRightInd w:val="0"/>
              <w:snapToGrid w:val="0"/>
              <w:spacing w:before="0" w:beforeAutospacing="0" w:after="0" w:afterAutospacing="0"/>
              <w:ind w:left="0" w:right="0"/>
              <w:jc w:val="center"/>
              <w:rPr>
                <w:rFonts w:hint="default"/>
                <w:b/>
                <w:color w:val="auto"/>
                <w:sz w:val="24"/>
                <w:highlight w:val="none"/>
              </w:rPr>
            </w:pPr>
            <w:r>
              <w:rPr>
                <w:rFonts w:hint="eastAsia"/>
                <w:b/>
                <w:color w:val="auto"/>
                <w:sz w:val="24"/>
                <w:highlight w:val="none"/>
              </w:rPr>
              <w:t>表4-</w:t>
            </w:r>
            <w:r>
              <w:rPr>
                <w:rFonts w:hint="eastAsia"/>
                <w:b/>
                <w:color w:val="auto"/>
                <w:sz w:val="24"/>
                <w:highlight w:val="none"/>
                <w:lang w:val="en-US" w:eastAsia="zh-CN"/>
              </w:rPr>
              <w:t>36</w:t>
            </w:r>
            <w:r>
              <w:rPr>
                <w:rFonts w:hint="eastAsia"/>
                <w:b/>
                <w:color w:val="auto"/>
                <w:sz w:val="24"/>
                <w:highlight w:val="none"/>
              </w:rPr>
              <w:t>环境保护图形符号一览表</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2"/>
              <w:gridCol w:w="3630"/>
              <w:gridCol w:w="2290"/>
              <w:gridCol w:w="2016"/>
            </w:tblGrid>
            <w:tr w14:paraId="4DE524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00" w:type="pct"/>
                  <w:vAlign w:val="center"/>
                </w:tcPr>
                <w:p w14:paraId="6911B1C1">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default"/>
                      <w:b/>
                      <w:color w:val="auto"/>
                      <w:sz w:val="21"/>
                      <w:szCs w:val="21"/>
                      <w:highlight w:val="none"/>
                    </w:rPr>
                    <w:t>序号</w:t>
                  </w:r>
                </w:p>
              </w:tc>
              <w:tc>
                <w:tcPr>
                  <w:tcW w:w="2058" w:type="pct"/>
                  <w:vAlign w:val="center"/>
                </w:tcPr>
                <w:p w14:paraId="68650A24">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default"/>
                      <w:b/>
                      <w:color w:val="auto"/>
                      <w:sz w:val="21"/>
                      <w:szCs w:val="21"/>
                      <w:highlight w:val="none"/>
                    </w:rPr>
                    <w:t>警告图形符号</w:t>
                  </w:r>
                </w:p>
              </w:tc>
              <w:tc>
                <w:tcPr>
                  <w:tcW w:w="1298" w:type="pct"/>
                  <w:vAlign w:val="center"/>
                </w:tcPr>
                <w:p w14:paraId="0E67A0F1">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default"/>
                      <w:b/>
                      <w:color w:val="auto"/>
                      <w:sz w:val="21"/>
                      <w:szCs w:val="21"/>
                      <w:highlight w:val="none"/>
                    </w:rPr>
                    <w:t>序号</w:t>
                  </w:r>
                </w:p>
              </w:tc>
              <w:tc>
                <w:tcPr>
                  <w:tcW w:w="1143" w:type="pct"/>
                  <w:vAlign w:val="center"/>
                </w:tcPr>
                <w:p w14:paraId="323296E5">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default"/>
                      <w:b/>
                      <w:color w:val="auto"/>
                      <w:sz w:val="21"/>
                      <w:szCs w:val="21"/>
                      <w:highlight w:val="none"/>
                    </w:rPr>
                    <w:t>功能</w:t>
                  </w:r>
                </w:p>
              </w:tc>
            </w:tr>
            <w:tr w14:paraId="0A928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11" w:hRule="atLeast"/>
                <w:jc w:val="center"/>
              </w:trPr>
              <w:tc>
                <w:tcPr>
                  <w:tcW w:w="500" w:type="pct"/>
                  <w:vAlign w:val="center"/>
                </w:tcPr>
                <w:p w14:paraId="6E7E55DE">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1</w:t>
                  </w:r>
                </w:p>
              </w:tc>
              <w:tc>
                <w:tcPr>
                  <w:tcW w:w="2058" w:type="pct"/>
                  <w:vAlign w:val="center"/>
                </w:tcPr>
                <w:p w14:paraId="1C3D6A2F">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63360" behindDoc="0" locked="0" layoutInCell="1" allowOverlap="1">
                        <wp:simplePos x="0" y="0"/>
                        <wp:positionH relativeFrom="column">
                          <wp:posOffset>483235</wp:posOffset>
                        </wp:positionH>
                        <wp:positionV relativeFrom="paragraph">
                          <wp:posOffset>-1017905</wp:posOffset>
                        </wp:positionV>
                        <wp:extent cx="1487170" cy="1477010"/>
                        <wp:effectExtent l="0" t="0" r="6350" b="1270"/>
                        <wp:wrapSquare wrapText="bothSides"/>
                        <wp:docPr id="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
                                <pic:cNvPicPr>
                                  <a:picLocks noChangeAspect="1"/>
                                </pic:cNvPicPr>
                              </pic:nvPicPr>
                              <pic:blipFill>
                                <a:blip r:embed="rId22"/>
                                <a:stretch>
                                  <a:fillRect/>
                                </a:stretch>
                              </pic:blipFill>
                              <pic:spPr>
                                <a:xfrm>
                                  <a:off x="0" y="0"/>
                                  <a:ext cx="1487170" cy="1477010"/>
                                </a:xfrm>
                                <a:prstGeom prst="rect">
                                  <a:avLst/>
                                </a:prstGeom>
                                <a:noFill/>
                                <a:ln>
                                  <a:noFill/>
                                </a:ln>
                              </pic:spPr>
                            </pic:pic>
                          </a:graphicData>
                        </a:graphic>
                      </wp:anchor>
                    </w:drawing>
                  </w:r>
                </w:p>
              </w:tc>
              <w:tc>
                <w:tcPr>
                  <w:tcW w:w="1298" w:type="pct"/>
                  <w:vAlign w:val="center"/>
                </w:tcPr>
                <w:p w14:paraId="5462587B">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废气排口</w:t>
                  </w:r>
                </w:p>
              </w:tc>
              <w:tc>
                <w:tcPr>
                  <w:tcW w:w="1143" w:type="pct"/>
                  <w:vAlign w:val="center"/>
                </w:tcPr>
                <w:p w14:paraId="626509D5">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表示废气向大气环境排放</w:t>
                  </w:r>
                </w:p>
              </w:tc>
            </w:tr>
            <w:tr w14:paraId="3E10D8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500" w:type="pct"/>
                  <w:vAlign w:val="center"/>
                </w:tcPr>
                <w:p w14:paraId="3E9194B3">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2</w:t>
                  </w:r>
                </w:p>
              </w:tc>
              <w:tc>
                <w:tcPr>
                  <w:tcW w:w="2058" w:type="pct"/>
                  <w:vAlign w:val="center"/>
                </w:tcPr>
                <w:p w14:paraId="10F0C55E">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64384" behindDoc="0" locked="0" layoutInCell="1" allowOverlap="1">
                        <wp:simplePos x="0" y="0"/>
                        <wp:positionH relativeFrom="column">
                          <wp:posOffset>467995</wp:posOffset>
                        </wp:positionH>
                        <wp:positionV relativeFrom="paragraph">
                          <wp:posOffset>-952500</wp:posOffset>
                        </wp:positionV>
                        <wp:extent cx="1510030" cy="1450975"/>
                        <wp:effectExtent l="0" t="0" r="13970" b="12065"/>
                        <wp:wrapSquare wrapText="bothSides"/>
                        <wp:docPr id="6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
                                <pic:cNvPicPr>
                                  <a:picLocks noChangeAspect="1"/>
                                </pic:cNvPicPr>
                              </pic:nvPicPr>
                              <pic:blipFill>
                                <a:blip r:embed="rId23"/>
                                <a:stretch>
                                  <a:fillRect/>
                                </a:stretch>
                              </pic:blipFill>
                              <pic:spPr>
                                <a:xfrm>
                                  <a:off x="0" y="0"/>
                                  <a:ext cx="1510030" cy="1450975"/>
                                </a:xfrm>
                                <a:prstGeom prst="rect">
                                  <a:avLst/>
                                </a:prstGeom>
                                <a:noFill/>
                                <a:ln>
                                  <a:noFill/>
                                </a:ln>
                              </pic:spPr>
                            </pic:pic>
                          </a:graphicData>
                        </a:graphic>
                      </wp:anchor>
                    </w:drawing>
                  </w:r>
                </w:p>
              </w:tc>
              <w:tc>
                <w:tcPr>
                  <w:tcW w:w="1298" w:type="pct"/>
                  <w:vAlign w:val="center"/>
                </w:tcPr>
                <w:p w14:paraId="5604C7C8">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污水排口</w:t>
                  </w:r>
                </w:p>
              </w:tc>
              <w:tc>
                <w:tcPr>
                  <w:tcW w:w="1143" w:type="pct"/>
                  <w:vAlign w:val="center"/>
                </w:tcPr>
                <w:p w14:paraId="5EE69A34">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表示废水向外环境排放</w:t>
                  </w:r>
                </w:p>
              </w:tc>
            </w:tr>
            <w:tr w14:paraId="32E464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500" w:type="pct"/>
                  <w:vAlign w:val="center"/>
                </w:tcPr>
                <w:p w14:paraId="73005E27">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3</w:t>
                  </w:r>
                </w:p>
              </w:tc>
              <w:tc>
                <w:tcPr>
                  <w:tcW w:w="2058" w:type="pct"/>
                  <w:vAlign w:val="center"/>
                </w:tcPr>
                <w:p w14:paraId="6EA6C070">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65408" behindDoc="0" locked="0" layoutInCell="1" allowOverlap="1">
                        <wp:simplePos x="0" y="0"/>
                        <wp:positionH relativeFrom="column">
                          <wp:posOffset>475615</wp:posOffset>
                        </wp:positionH>
                        <wp:positionV relativeFrom="paragraph">
                          <wp:posOffset>-1040130</wp:posOffset>
                        </wp:positionV>
                        <wp:extent cx="1503680" cy="1475105"/>
                        <wp:effectExtent l="0" t="0" r="5080" b="3175"/>
                        <wp:wrapSquare wrapText="bothSides"/>
                        <wp:docPr id="6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
                                <pic:cNvPicPr>
                                  <a:picLocks noChangeAspect="1"/>
                                </pic:cNvPicPr>
                              </pic:nvPicPr>
                              <pic:blipFill>
                                <a:blip r:embed="rId24"/>
                                <a:stretch>
                                  <a:fillRect/>
                                </a:stretch>
                              </pic:blipFill>
                              <pic:spPr>
                                <a:xfrm>
                                  <a:off x="0" y="0"/>
                                  <a:ext cx="1503680" cy="1475105"/>
                                </a:xfrm>
                                <a:prstGeom prst="rect">
                                  <a:avLst/>
                                </a:prstGeom>
                                <a:noFill/>
                                <a:ln>
                                  <a:noFill/>
                                </a:ln>
                              </pic:spPr>
                            </pic:pic>
                          </a:graphicData>
                        </a:graphic>
                      </wp:anchor>
                    </w:drawing>
                  </w:r>
                </w:p>
              </w:tc>
              <w:tc>
                <w:tcPr>
                  <w:tcW w:w="1298" w:type="pct"/>
                  <w:vAlign w:val="center"/>
                </w:tcPr>
                <w:p w14:paraId="16BFB76C">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噪声源</w:t>
                  </w:r>
                </w:p>
              </w:tc>
              <w:tc>
                <w:tcPr>
                  <w:tcW w:w="1143" w:type="pct"/>
                  <w:vAlign w:val="center"/>
                </w:tcPr>
                <w:p w14:paraId="7F63F788">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表示噪声向外环境排放</w:t>
                  </w:r>
                </w:p>
              </w:tc>
            </w:tr>
            <w:tr w14:paraId="5F6B1C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500" w:type="pct"/>
                  <w:vAlign w:val="center"/>
                </w:tcPr>
                <w:p w14:paraId="1AD48881">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4</w:t>
                  </w:r>
                </w:p>
              </w:tc>
              <w:tc>
                <w:tcPr>
                  <w:tcW w:w="2058" w:type="pct"/>
                  <w:vAlign w:val="center"/>
                </w:tcPr>
                <w:p w14:paraId="5F09305D">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66432" behindDoc="0" locked="0" layoutInCell="1" allowOverlap="1">
                        <wp:simplePos x="0" y="0"/>
                        <wp:positionH relativeFrom="column">
                          <wp:posOffset>483235</wp:posOffset>
                        </wp:positionH>
                        <wp:positionV relativeFrom="paragraph">
                          <wp:posOffset>-1056005</wp:posOffset>
                        </wp:positionV>
                        <wp:extent cx="1480820" cy="1518285"/>
                        <wp:effectExtent l="0" t="0" r="12700" b="5715"/>
                        <wp:wrapSquare wrapText="bothSides"/>
                        <wp:docPr id="6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8"/>
                                <pic:cNvPicPr>
                                  <a:picLocks noChangeAspect="1"/>
                                </pic:cNvPicPr>
                              </pic:nvPicPr>
                              <pic:blipFill>
                                <a:blip r:embed="rId25"/>
                                <a:stretch>
                                  <a:fillRect/>
                                </a:stretch>
                              </pic:blipFill>
                              <pic:spPr>
                                <a:xfrm>
                                  <a:off x="0" y="0"/>
                                  <a:ext cx="1480820" cy="1518285"/>
                                </a:xfrm>
                                <a:prstGeom prst="rect">
                                  <a:avLst/>
                                </a:prstGeom>
                                <a:noFill/>
                                <a:ln>
                                  <a:noFill/>
                                </a:ln>
                              </pic:spPr>
                            </pic:pic>
                          </a:graphicData>
                        </a:graphic>
                      </wp:anchor>
                    </w:drawing>
                  </w:r>
                </w:p>
              </w:tc>
              <w:tc>
                <w:tcPr>
                  <w:tcW w:w="1298" w:type="pct"/>
                  <w:vAlign w:val="center"/>
                </w:tcPr>
                <w:p w14:paraId="72D63DE2">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一般固废仓库</w:t>
                  </w:r>
                </w:p>
              </w:tc>
              <w:tc>
                <w:tcPr>
                  <w:tcW w:w="1143" w:type="pct"/>
                  <w:vAlign w:val="center"/>
                </w:tcPr>
                <w:p w14:paraId="4E1C6E71">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表示一般固体废物贮存、处置场</w:t>
                  </w:r>
                </w:p>
              </w:tc>
            </w:tr>
            <w:tr w14:paraId="31704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500" w:type="pct"/>
                  <w:vAlign w:val="center"/>
                </w:tcPr>
                <w:p w14:paraId="25938948">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5</w:t>
                  </w:r>
                </w:p>
              </w:tc>
              <w:tc>
                <w:tcPr>
                  <w:tcW w:w="2058" w:type="pct"/>
                  <w:vAlign w:val="center"/>
                </w:tcPr>
                <w:p w14:paraId="48B4F224">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67456" behindDoc="0" locked="0" layoutInCell="1" allowOverlap="1">
                        <wp:simplePos x="0" y="0"/>
                        <wp:positionH relativeFrom="column">
                          <wp:posOffset>475615</wp:posOffset>
                        </wp:positionH>
                        <wp:positionV relativeFrom="paragraph">
                          <wp:posOffset>-846455</wp:posOffset>
                        </wp:positionV>
                        <wp:extent cx="1494790" cy="1278890"/>
                        <wp:effectExtent l="0" t="0" r="13970" b="1270"/>
                        <wp:wrapSquare wrapText="bothSides"/>
                        <wp:docPr id="7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9"/>
                                <pic:cNvPicPr>
                                  <a:picLocks noChangeAspect="1"/>
                                </pic:cNvPicPr>
                              </pic:nvPicPr>
                              <pic:blipFill>
                                <a:blip r:embed="rId26"/>
                                <a:stretch>
                                  <a:fillRect/>
                                </a:stretch>
                              </pic:blipFill>
                              <pic:spPr>
                                <a:xfrm>
                                  <a:off x="0" y="0"/>
                                  <a:ext cx="1494790" cy="1278890"/>
                                </a:xfrm>
                                <a:prstGeom prst="rect">
                                  <a:avLst/>
                                </a:prstGeom>
                                <a:noFill/>
                                <a:ln>
                                  <a:noFill/>
                                </a:ln>
                              </pic:spPr>
                            </pic:pic>
                          </a:graphicData>
                        </a:graphic>
                      </wp:anchor>
                    </w:drawing>
                  </w:r>
                </w:p>
              </w:tc>
              <w:tc>
                <w:tcPr>
                  <w:tcW w:w="1298" w:type="pct"/>
                  <w:vAlign w:val="center"/>
                </w:tcPr>
                <w:p w14:paraId="76929FD2">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危废仓库</w:t>
                  </w:r>
                </w:p>
              </w:tc>
              <w:tc>
                <w:tcPr>
                  <w:tcW w:w="1143" w:type="pct"/>
                  <w:vAlign w:val="center"/>
                </w:tcPr>
                <w:p w14:paraId="13641ACB">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表示噪声向外环境排放</w:t>
                  </w:r>
                </w:p>
              </w:tc>
            </w:tr>
          </w:tbl>
          <w:p w14:paraId="395403E8">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eastAsia"/>
                <w:bCs/>
                <w:color w:val="auto"/>
                <w:sz w:val="24"/>
                <w:highlight w:val="none"/>
              </w:rPr>
              <w:t>厂区的危废暂存间设置危险废物识别标识和危险废物贮存设施视频监控，按《危险废物贮存污染控制标准》</w:t>
            </w:r>
            <w:r>
              <w:rPr>
                <w:rFonts w:hint="eastAsia"/>
                <w:bCs/>
                <w:color w:val="auto"/>
                <w:sz w:val="24"/>
                <w:highlight w:val="none"/>
                <w:lang w:eastAsia="zh-CN"/>
              </w:rPr>
              <w:t>（</w:t>
            </w:r>
            <w:r>
              <w:rPr>
                <w:rFonts w:hint="eastAsia"/>
                <w:bCs/>
                <w:color w:val="auto"/>
                <w:sz w:val="24"/>
                <w:highlight w:val="none"/>
              </w:rPr>
              <w:t>GB18597-2023</w:t>
            </w:r>
            <w:r>
              <w:rPr>
                <w:rFonts w:hint="eastAsia"/>
                <w:bCs/>
                <w:color w:val="auto"/>
                <w:sz w:val="24"/>
                <w:highlight w:val="none"/>
                <w:lang w:eastAsia="zh-CN"/>
              </w:rPr>
              <w:t>）</w:t>
            </w:r>
            <w:r>
              <w:rPr>
                <w:rFonts w:hint="eastAsia"/>
                <w:bCs/>
                <w:color w:val="auto"/>
                <w:sz w:val="24"/>
                <w:highlight w:val="none"/>
              </w:rPr>
              <w:t>、《</w:t>
            </w:r>
            <w:r>
              <w:rPr>
                <w:rFonts w:hint="eastAsia"/>
                <w:bCs/>
                <w:color w:val="auto"/>
                <w:sz w:val="24"/>
                <w:highlight w:val="none"/>
                <w:lang w:val="en-US" w:eastAsia="zh-CN"/>
              </w:rPr>
              <w:t>危险</w:t>
            </w:r>
            <w:r>
              <w:rPr>
                <w:rFonts w:hint="eastAsia"/>
                <w:bCs/>
                <w:color w:val="auto"/>
                <w:sz w:val="24"/>
                <w:highlight w:val="none"/>
              </w:rPr>
              <w:t>废物收集</w:t>
            </w:r>
            <w:r>
              <w:rPr>
                <w:rFonts w:hint="eastAsia"/>
                <w:bCs/>
                <w:color w:val="auto"/>
                <w:sz w:val="24"/>
                <w:highlight w:val="none"/>
                <w:lang w:val="en-US" w:eastAsia="zh-CN"/>
              </w:rPr>
              <w:t xml:space="preserve"> </w:t>
            </w:r>
            <w:r>
              <w:rPr>
                <w:rFonts w:hint="eastAsia"/>
                <w:bCs/>
                <w:color w:val="auto"/>
                <w:sz w:val="24"/>
                <w:highlight w:val="none"/>
              </w:rPr>
              <w:t>贮存</w:t>
            </w:r>
            <w:r>
              <w:rPr>
                <w:rFonts w:hint="eastAsia"/>
                <w:bCs/>
                <w:color w:val="auto"/>
                <w:sz w:val="24"/>
                <w:highlight w:val="none"/>
                <w:lang w:val="en-US" w:eastAsia="zh-CN"/>
              </w:rPr>
              <w:t xml:space="preserve"> </w:t>
            </w:r>
            <w:r>
              <w:rPr>
                <w:rFonts w:hint="eastAsia"/>
                <w:bCs/>
                <w:color w:val="auto"/>
                <w:sz w:val="24"/>
                <w:highlight w:val="none"/>
              </w:rPr>
              <w:t>运输技术规范》</w:t>
            </w:r>
            <w:r>
              <w:rPr>
                <w:rFonts w:hint="eastAsia"/>
                <w:bCs/>
                <w:color w:val="auto"/>
                <w:sz w:val="24"/>
                <w:highlight w:val="none"/>
                <w:lang w:eastAsia="zh-CN"/>
              </w:rPr>
              <w:t>（</w:t>
            </w:r>
            <w:r>
              <w:rPr>
                <w:rFonts w:hint="eastAsia"/>
                <w:bCs/>
                <w:color w:val="auto"/>
                <w:sz w:val="24"/>
                <w:highlight w:val="none"/>
              </w:rPr>
              <w:t>HJ2025-2012</w:t>
            </w:r>
            <w:r>
              <w:rPr>
                <w:rFonts w:hint="eastAsia"/>
                <w:bCs/>
                <w:color w:val="auto"/>
                <w:sz w:val="24"/>
                <w:highlight w:val="none"/>
                <w:lang w:eastAsia="zh-CN"/>
              </w:rPr>
              <w:t>）</w:t>
            </w:r>
            <w:r>
              <w:rPr>
                <w:rFonts w:hint="eastAsia"/>
                <w:bCs/>
                <w:color w:val="auto"/>
                <w:sz w:val="24"/>
                <w:highlight w:val="none"/>
              </w:rPr>
              <w:t>、《危险废物识别标志设置技术规范（HJ1276-2022）等文件，危险废物识别标识规范化设置要求见下表。</w:t>
            </w:r>
          </w:p>
          <w:p w14:paraId="135F9D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color w:val="auto"/>
                <w:sz w:val="24"/>
                <w:highlight w:val="none"/>
              </w:rPr>
            </w:pPr>
            <w:r>
              <w:rPr>
                <w:rFonts w:hint="eastAsia"/>
                <w:b/>
                <w:color w:val="auto"/>
                <w:sz w:val="24"/>
                <w:highlight w:val="none"/>
              </w:rPr>
              <w:t>表4-</w:t>
            </w:r>
            <w:r>
              <w:rPr>
                <w:rFonts w:hint="eastAsia"/>
                <w:b/>
                <w:color w:val="auto"/>
                <w:sz w:val="24"/>
                <w:highlight w:val="none"/>
                <w:lang w:val="en-US" w:eastAsia="zh-CN"/>
              </w:rPr>
              <w:t>37</w:t>
            </w:r>
            <w:r>
              <w:rPr>
                <w:rFonts w:hint="eastAsia"/>
                <w:b/>
                <w:color w:val="auto"/>
                <w:sz w:val="24"/>
                <w:highlight w:val="none"/>
              </w:rPr>
              <w:t>危险废物识别标识规范化设置要求</w:t>
            </w:r>
          </w:p>
          <w:tbl>
            <w:tblPr>
              <w:tblStyle w:val="3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071"/>
              <w:gridCol w:w="2657"/>
              <w:gridCol w:w="4209"/>
            </w:tblGrid>
            <w:tr w14:paraId="69CAE6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 w:type="pct"/>
                  <w:vAlign w:val="center"/>
                </w:tcPr>
                <w:p w14:paraId="49757420">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default"/>
                      <w:b/>
                      <w:color w:val="auto"/>
                      <w:sz w:val="21"/>
                      <w:szCs w:val="21"/>
                      <w:highlight w:val="none"/>
                    </w:rPr>
                    <w:t>序号</w:t>
                  </w:r>
                </w:p>
              </w:tc>
              <w:tc>
                <w:tcPr>
                  <w:tcW w:w="607" w:type="pct"/>
                  <w:vAlign w:val="center"/>
                </w:tcPr>
                <w:p w14:paraId="0E465393">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标识</w:t>
                  </w:r>
                </w:p>
                <w:p w14:paraId="06955656">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名称</w:t>
                  </w:r>
                </w:p>
              </w:tc>
              <w:tc>
                <w:tcPr>
                  <w:tcW w:w="1506" w:type="pct"/>
                  <w:vAlign w:val="center"/>
                </w:tcPr>
                <w:p w14:paraId="180FFB54">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图案样式</w:t>
                  </w:r>
                </w:p>
              </w:tc>
              <w:tc>
                <w:tcPr>
                  <w:tcW w:w="2386" w:type="pct"/>
                  <w:vAlign w:val="center"/>
                </w:tcPr>
                <w:p w14:paraId="31E2E94D">
                  <w:pPr>
                    <w:keepNext w:val="0"/>
                    <w:keepLines w:val="0"/>
                    <w:suppressLineNumbers w:val="0"/>
                    <w:adjustRightInd w:val="0"/>
                    <w:snapToGrid w:val="0"/>
                    <w:spacing w:before="0" w:beforeAutospacing="0" w:after="0" w:afterAutospacing="0"/>
                    <w:ind w:left="0" w:leftChars="0" w:right="0" w:firstLine="0" w:firstLineChars="0"/>
                    <w:jc w:val="center"/>
                    <w:rPr>
                      <w:rFonts w:hint="default"/>
                      <w:b/>
                      <w:color w:val="auto"/>
                      <w:sz w:val="21"/>
                      <w:szCs w:val="21"/>
                      <w:highlight w:val="none"/>
                    </w:rPr>
                  </w:pPr>
                  <w:r>
                    <w:rPr>
                      <w:rFonts w:hint="eastAsia"/>
                      <w:b/>
                      <w:color w:val="auto"/>
                      <w:sz w:val="21"/>
                      <w:szCs w:val="21"/>
                      <w:highlight w:val="none"/>
                    </w:rPr>
                    <w:t>设置规范</w:t>
                  </w:r>
                </w:p>
              </w:tc>
            </w:tr>
            <w:tr w14:paraId="75D71B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 w:type="pct"/>
                  <w:vAlign w:val="center"/>
                </w:tcPr>
                <w:p w14:paraId="5C9A67BE">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1</w:t>
                  </w:r>
                </w:p>
              </w:tc>
              <w:tc>
                <w:tcPr>
                  <w:tcW w:w="607" w:type="pct"/>
                  <w:vAlign w:val="center"/>
                </w:tcPr>
                <w:p w14:paraId="389B847B">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危险废物贮存设施标志</w:t>
                  </w:r>
                </w:p>
              </w:tc>
              <w:tc>
                <w:tcPr>
                  <w:tcW w:w="1506" w:type="pct"/>
                  <w:vAlign w:val="center"/>
                </w:tcPr>
                <w:p w14:paraId="19766276">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68480" behindDoc="0" locked="0" layoutInCell="1" allowOverlap="1">
                        <wp:simplePos x="0" y="0"/>
                        <wp:positionH relativeFrom="column">
                          <wp:posOffset>62230</wp:posOffset>
                        </wp:positionH>
                        <wp:positionV relativeFrom="paragraph">
                          <wp:posOffset>174625</wp:posOffset>
                        </wp:positionV>
                        <wp:extent cx="1425575" cy="969645"/>
                        <wp:effectExtent l="0" t="0" r="6985" b="5715"/>
                        <wp:wrapSquare wrapText="bothSides"/>
                        <wp:docPr id="7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0"/>
                                <pic:cNvPicPr>
                                  <a:picLocks noChangeAspect="1"/>
                                </pic:cNvPicPr>
                              </pic:nvPicPr>
                              <pic:blipFill>
                                <a:blip r:embed="rId27"/>
                                <a:stretch>
                                  <a:fillRect/>
                                </a:stretch>
                              </pic:blipFill>
                              <pic:spPr>
                                <a:xfrm>
                                  <a:off x="0" y="0"/>
                                  <a:ext cx="1425575" cy="969645"/>
                                </a:xfrm>
                                <a:prstGeom prst="rect">
                                  <a:avLst/>
                                </a:prstGeom>
                                <a:noFill/>
                                <a:ln>
                                  <a:noFill/>
                                </a:ln>
                              </pic:spPr>
                            </pic:pic>
                          </a:graphicData>
                        </a:graphic>
                      </wp:anchor>
                    </w:drawing>
                  </w:r>
                </w:p>
              </w:tc>
              <w:tc>
                <w:tcPr>
                  <w:tcW w:w="2386" w:type="pct"/>
                  <w:vAlign w:val="center"/>
                </w:tcPr>
                <w:p w14:paraId="1EF8E4AE">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内容要求：</w:t>
                  </w:r>
                </w:p>
                <w:p w14:paraId="4D78A913">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（1）警告性图形标志应符合GB15562.2</w:t>
                  </w:r>
                </w:p>
                <w:p w14:paraId="6212DDA7">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中的要求。</w:t>
                  </w:r>
                </w:p>
                <w:p w14:paraId="4485AB0C">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（2）应以醒目的文字标注危险废物设施</w:t>
                  </w:r>
                </w:p>
                <w:p w14:paraId="31F34849">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的类型。</w:t>
                  </w:r>
                </w:p>
                <w:p w14:paraId="5332C7B6">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（3）应包含危险废物设施所属的单位名</w:t>
                  </w:r>
                </w:p>
                <w:p w14:paraId="04DA2CA7">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称、设施编码、负责人及联系方式。</w:t>
                  </w:r>
                </w:p>
                <w:p w14:paraId="0BAB91B9">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（4）设置二维码，对设施使用情况进行信息化管理。</w:t>
                  </w:r>
                </w:p>
              </w:tc>
            </w:tr>
            <w:tr w14:paraId="69072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 w:type="pct"/>
                  <w:vAlign w:val="center"/>
                </w:tcPr>
                <w:p w14:paraId="4B01A65D">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2</w:t>
                  </w:r>
                </w:p>
              </w:tc>
              <w:tc>
                <w:tcPr>
                  <w:tcW w:w="607" w:type="pct"/>
                  <w:vAlign w:val="center"/>
                </w:tcPr>
                <w:p w14:paraId="5D87566E">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危险废物贮存设施标志</w:t>
                  </w:r>
                </w:p>
              </w:tc>
              <w:tc>
                <w:tcPr>
                  <w:tcW w:w="1506" w:type="pct"/>
                  <w:vAlign w:val="center"/>
                </w:tcPr>
                <w:p w14:paraId="6A5F2517">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69504" behindDoc="0" locked="0" layoutInCell="1" allowOverlap="1">
                        <wp:simplePos x="0" y="0"/>
                        <wp:positionH relativeFrom="column">
                          <wp:posOffset>106045</wp:posOffset>
                        </wp:positionH>
                        <wp:positionV relativeFrom="paragraph">
                          <wp:posOffset>-6350</wp:posOffset>
                        </wp:positionV>
                        <wp:extent cx="1340485" cy="1204595"/>
                        <wp:effectExtent l="0" t="0" r="635" b="14605"/>
                        <wp:wrapSquare wrapText="bothSides"/>
                        <wp:docPr id="7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1"/>
                                <pic:cNvPicPr>
                                  <a:picLocks noChangeAspect="1"/>
                                </pic:cNvPicPr>
                              </pic:nvPicPr>
                              <pic:blipFill>
                                <a:blip r:embed="rId28"/>
                                <a:stretch>
                                  <a:fillRect/>
                                </a:stretch>
                              </pic:blipFill>
                              <pic:spPr>
                                <a:xfrm>
                                  <a:off x="0" y="0"/>
                                  <a:ext cx="1340485" cy="1204595"/>
                                </a:xfrm>
                                <a:prstGeom prst="rect">
                                  <a:avLst/>
                                </a:prstGeom>
                                <a:noFill/>
                                <a:ln>
                                  <a:noFill/>
                                </a:ln>
                              </pic:spPr>
                            </pic:pic>
                          </a:graphicData>
                        </a:graphic>
                      </wp:anchor>
                    </w:drawing>
                  </w:r>
                </w:p>
              </w:tc>
              <w:tc>
                <w:tcPr>
                  <w:tcW w:w="2386" w:type="pct"/>
                  <w:vAlign w:val="center"/>
                </w:tcPr>
                <w:p w14:paraId="428F5394">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内容要求：</w:t>
                  </w:r>
                </w:p>
                <w:p w14:paraId="5D8F13D0">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（1）应以醒目的方式标注</w:t>
                  </w:r>
                  <w:r>
                    <w:rPr>
                      <w:rFonts w:hint="eastAsia"/>
                      <w:b w:val="0"/>
                      <w:bCs/>
                      <w:color w:val="auto"/>
                      <w:sz w:val="21"/>
                      <w:szCs w:val="21"/>
                      <w:highlight w:val="none"/>
                      <w:lang w:eastAsia="zh-CN"/>
                    </w:rPr>
                    <w:t>“</w:t>
                  </w:r>
                  <w:r>
                    <w:rPr>
                      <w:rFonts w:hint="eastAsia"/>
                      <w:b w:val="0"/>
                      <w:bCs/>
                      <w:color w:val="auto"/>
                      <w:sz w:val="21"/>
                      <w:szCs w:val="21"/>
                      <w:highlight w:val="none"/>
                    </w:rPr>
                    <w:t>危险废物贮</w:t>
                  </w:r>
                </w:p>
                <w:p w14:paraId="02192B8D">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存分区标志</w:t>
                  </w:r>
                  <w:r>
                    <w:rPr>
                      <w:rFonts w:hint="eastAsia"/>
                      <w:b w:val="0"/>
                      <w:bCs/>
                      <w:color w:val="auto"/>
                      <w:sz w:val="21"/>
                      <w:szCs w:val="21"/>
                      <w:highlight w:val="none"/>
                      <w:lang w:eastAsia="zh-CN"/>
                    </w:rPr>
                    <w:t>”</w:t>
                  </w:r>
                  <w:r>
                    <w:rPr>
                      <w:rFonts w:hint="eastAsia"/>
                      <w:b w:val="0"/>
                      <w:bCs/>
                      <w:color w:val="auto"/>
                      <w:sz w:val="21"/>
                      <w:szCs w:val="21"/>
                      <w:highlight w:val="none"/>
                    </w:rPr>
                    <w:t>字样。</w:t>
                  </w:r>
                </w:p>
                <w:p w14:paraId="0FC72693">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（2）危险废物贮存分区标志应包含但不</w:t>
                  </w:r>
                </w:p>
                <w:p w14:paraId="0B9D58D3">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限于设施内部所有贮存分区的平面分布、各分区存放的危险废物信息、本贮</w:t>
                  </w:r>
                </w:p>
                <w:p w14:paraId="0740E21C">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存分区的具体位置、环境应急物资所在</w:t>
                  </w:r>
                </w:p>
                <w:p w14:paraId="06E2026E">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位置以及进出口位置和方向。</w:t>
                  </w:r>
                </w:p>
                <w:p w14:paraId="7EB8D406">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（3）可根据自身贮存设施建设情况，在危险废物贮存分区标志中添加收集池、导流沟和通道等信息。</w:t>
                  </w:r>
                </w:p>
                <w:p w14:paraId="165052C2">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（4）危险废物贮存分区标志的信息应随着设施内废物贮存情况的变化及时调整。</w:t>
                  </w:r>
                </w:p>
              </w:tc>
            </w:tr>
            <w:tr w14:paraId="1DE096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 w:type="pct"/>
                  <w:vAlign w:val="center"/>
                </w:tcPr>
                <w:p w14:paraId="67D4E3FE">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3</w:t>
                  </w:r>
                </w:p>
              </w:tc>
              <w:tc>
                <w:tcPr>
                  <w:tcW w:w="607" w:type="pct"/>
                  <w:vAlign w:val="center"/>
                </w:tcPr>
                <w:p w14:paraId="04FDE8AA">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eastAsia"/>
                      <w:b w:val="0"/>
                      <w:bCs/>
                      <w:color w:val="auto"/>
                      <w:sz w:val="21"/>
                      <w:szCs w:val="21"/>
                      <w:highlight w:val="none"/>
                    </w:rPr>
                    <w:t>危险废物标签</w:t>
                  </w:r>
                </w:p>
              </w:tc>
              <w:tc>
                <w:tcPr>
                  <w:tcW w:w="1506" w:type="pct"/>
                  <w:vAlign w:val="center"/>
                </w:tcPr>
                <w:p w14:paraId="046BE16C">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drawing>
                      <wp:anchor distT="0" distB="0" distL="114300" distR="114300" simplePos="0" relativeHeight="251670528" behindDoc="0" locked="0" layoutInCell="1" allowOverlap="1">
                        <wp:simplePos x="0" y="0"/>
                        <wp:positionH relativeFrom="column">
                          <wp:posOffset>98425</wp:posOffset>
                        </wp:positionH>
                        <wp:positionV relativeFrom="paragraph">
                          <wp:posOffset>107950</wp:posOffset>
                        </wp:positionV>
                        <wp:extent cx="1374775" cy="1255395"/>
                        <wp:effectExtent l="0" t="0" r="12065" b="9525"/>
                        <wp:wrapSquare wrapText="bothSides"/>
                        <wp:docPr id="7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2"/>
                                <pic:cNvPicPr>
                                  <a:picLocks noChangeAspect="1"/>
                                </pic:cNvPicPr>
                              </pic:nvPicPr>
                              <pic:blipFill>
                                <a:blip r:embed="rId29"/>
                                <a:stretch>
                                  <a:fillRect/>
                                </a:stretch>
                              </pic:blipFill>
                              <pic:spPr>
                                <a:xfrm>
                                  <a:off x="0" y="0"/>
                                  <a:ext cx="1374775" cy="1255395"/>
                                </a:xfrm>
                                <a:prstGeom prst="rect">
                                  <a:avLst/>
                                </a:prstGeom>
                                <a:noFill/>
                                <a:ln>
                                  <a:noFill/>
                                </a:ln>
                              </pic:spPr>
                            </pic:pic>
                          </a:graphicData>
                        </a:graphic>
                      </wp:anchor>
                    </w:drawing>
                  </w:r>
                </w:p>
              </w:tc>
              <w:tc>
                <w:tcPr>
                  <w:tcW w:w="2386" w:type="pct"/>
                  <w:vAlign w:val="center"/>
                </w:tcPr>
                <w:p w14:paraId="39D372E4">
                  <w:pPr>
                    <w:keepNext w:val="0"/>
                    <w:keepLines w:val="0"/>
                    <w:suppressLineNumbers w:val="0"/>
                    <w:adjustRightInd w:val="0"/>
                    <w:snapToGrid w:val="0"/>
                    <w:spacing w:before="0" w:beforeAutospacing="0" w:after="0" w:afterAutospacing="0"/>
                    <w:ind w:left="0" w:leftChars="0" w:right="0" w:firstLine="0" w:firstLineChars="0"/>
                    <w:jc w:val="center"/>
                    <w:rPr>
                      <w:rFonts w:hint="default"/>
                      <w:b w:val="0"/>
                      <w:bCs/>
                      <w:color w:val="auto"/>
                      <w:sz w:val="21"/>
                      <w:szCs w:val="21"/>
                      <w:highlight w:val="none"/>
                    </w:rPr>
                  </w:pPr>
                  <w:r>
                    <w:rPr>
                      <w:rFonts w:hint="default"/>
                      <w:b w:val="0"/>
                      <w:bCs/>
                      <w:color w:val="auto"/>
                      <w:sz w:val="21"/>
                      <w:szCs w:val="21"/>
                      <w:highlight w:val="none"/>
                    </w:rPr>
                    <w:t>内容要求：（1）应以醒目的字样标注</w:t>
                  </w:r>
                  <w:r>
                    <w:rPr>
                      <w:rFonts w:hint="eastAsia"/>
                      <w:b w:val="0"/>
                      <w:bCs/>
                      <w:color w:val="auto"/>
                      <w:sz w:val="21"/>
                      <w:szCs w:val="21"/>
                      <w:highlight w:val="none"/>
                      <w:lang w:eastAsia="zh-CN"/>
                    </w:rPr>
                    <w:t>“</w:t>
                  </w:r>
                  <w:r>
                    <w:rPr>
                      <w:rFonts w:hint="default"/>
                      <w:b w:val="0"/>
                      <w:bCs/>
                      <w:color w:val="auto"/>
                      <w:sz w:val="21"/>
                      <w:szCs w:val="21"/>
                      <w:highlight w:val="none"/>
                    </w:rPr>
                    <w:t>危险废物</w:t>
                  </w:r>
                  <w:r>
                    <w:rPr>
                      <w:rFonts w:hint="eastAsia"/>
                      <w:b w:val="0"/>
                      <w:bCs/>
                      <w:color w:val="auto"/>
                      <w:sz w:val="21"/>
                      <w:szCs w:val="21"/>
                      <w:highlight w:val="none"/>
                      <w:lang w:eastAsia="zh-CN"/>
                    </w:rPr>
                    <w:t>”</w:t>
                  </w:r>
                  <w:r>
                    <w:rPr>
                      <w:rFonts w:hint="default"/>
                      <w:b w:val="0"/>
                      <w:bCs/>
                      <w:color w:val="auto"/>
                      <w:sz w:val="21"/>
                      <w:szCs w:val="21"/>
                      <w:highlight w:val="none"/>
                    </w:rPr>
                    <w:t>。（2）应包含废物名称、废物类别、废物代码、废物形态、危险特性、主要成分、有害成分、注意事项、产生/收集单位名称、联系人、联系方式、产生日期、废物重量和备注。（3）设置危险废物数字识别码和二维码。</w:t>
                  </w:r>
                </w:p>
              </w:tc>
            </w:tr>
          </w:tbl>
          <w:p w14:paraId="2DBB24FA">
            <w:pPr>
              <w:keepNext w:val="0"/>
              <w:keepLines w:val="0"/>
              <w:suppressLineNumbers w:val="0"/>
              <w:adjustRightInd w:val="0"/>
              <w:snapToGrid w:val="0"/>
              <w:spacing w:before="0" w:beforeAutospacing="0" w:after="0" w:afterAutospacing="0" w:line="360" w:lineRule="auto"/>
              <w:ind w:left="0" w:right="0" w:firstLine="482" w:firstLineChars="200"/>
              <w:rPr>
                <w:rFonts w:hint="default"/>
                <w:b/>
                <w:color w:val="auto"/>
                <w:sz w:val="24"/>
                <w:highlight w:val="none"/>
              </w:rPr>
            </w:pPr>
            <w:r>
              <w:rPr>
                <w:rFonts w:hint="eastAsia"/>
                <w:b/>
                <w:color w:val="auto"/>
                <w:sz w:val="24"/>
                <w:highlight w:val="none"/>
                <w:lang w:eastAsia="zh-CN"/>
              </w:rPr>
              <w:t>5.</w:t>
            </w:r>
            <w:r>
              <w:rPr>
                <w:rFonts w:hint="default"/>
                <w:b/>
                <w:color w:val="auto"/>
                <w:sz w:val="24"/>
                <w:highlight w:val="none"/>
              </w:rPr>
              <w:t>建设项目竣工环境保护验收</w:t>
            </w:r>
          </w:p>
          <w:p w14:paraId="4E94470C">
            <w:pPr>
              <w:keepNext w:val="0"/>
              <w:keepLines w:val="0"/>
              <w:suppressLineNumbers w:val="0"/>
              <w:adjustRightInd w:val="0"/>
              <w:snapToGrid w:val="0"/>
              <w:spacing w:before="0" w:beforeAutospacing="0" w:after="0" w:afterAutospacing="0" w:line="360" w:lineRule="auto"/>
              <w:ind w:left="0" w:right="0" w:firstLine="480" w:firstLineChars="200"/>
              <w:rPr>
                <w:rFonts w:hint="default"/>
                <w:bCs/>
                <w:color w:val="auto"/>
                <w:sz w:val="24"/>
                <w:highlight w:val="yellow"/>
              </w:rPr>
            </w:pPr>
            <w:r>
              <w:rPr>
                <w:rFonts w:hint="default"/>
                <w:bCs/>
                <w:color w:val="auto"/>
                <w:sz w:val="24"/>
                <w:highlight w:val="none"/>
              </w:rPr>
              <w:t>按照《建设项目竣工环境保护验收暂行办法》（国环规环评〔2017〕4号），以及《建设项目竣工环境保护验收技术指南污染影响类》（生态环境部公告2018年第9号）等文件规定，建设单位应在设计、施工、运行中严格执行环境保护措施</w:t>
            </w:r>
            <w:r>
              <w:rPr>
                <w:rFonts w:hint="eastAsia"/>
                <w:bCs/>
                <w:color w:val="auto"/>
                <w:sz w:val="24"/>
                <w:highlight w:val="none"/>
                <w:lang w:eastAsia="zh-CN"/>
              </w:rPr>
              <w:t>“</w:t>
            </w:r>
            <w:r>
              <w:rPr>
                <w:rFonts w:hint="default"/>
                <w:bCs/>
                <w:color w:val="auto"/>
                <w:sz w:val="24"/>
                <w:highlight w:val="none"/>
              </w:rPr>
              <w:t>三同时</w:t>
            </w:r>
            <w:r>
              <w:rPr>
                <w:rFonts w:hint="eastAsia"/>
                <w:bCs/>
                <w:color w:val="auto"/>
                <w:sz w:val="24"/>
                <w:highlight w:val="none"/>
                <w:lang w:eastAsia="zh-CN"/>
              </w:rPr>
              <w:t>”</w:t>
            </w:r>
            <w:r>
              <w:rPr>
                <w:rFonts w:hint="default"/>
                <w:bCs/>
                <w:color w:val="auto"/>
                <w:sz w:val="24"/>
                <w:highlight w:val="none"/>
              </w:rPr>
              <w:t>制度，并在建设项目竣工后开展自主竣工环境保护验收工作。本项目应对配套建设的环境保护设施进行自主验收，开展竣工验收监测，编制验收报告，并向社会公开，并上报全国建设项目竣工环境保护验收信息系统。</w:t>
            </w:r>
          </w:p>
          <w:p w14:paraId="12AA2613">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b/>
                <w:color w:val="auto"/>
                <w:sz w:val="24"/>
                <w:highlight w:val="none"/>
              </w:rPr>
            </w:pPr>
            <w:r>
              <w:rPr>
                <w:rFonts w:hint="eastAsia"/>
                <w:b/>
                <w:color w:val="auto"/>
                <w:sz w:val="24"/>
                <w:highlight w:val="none"/>
                <w:lang w:val="en-US" w:eastAsia="zh-CN"/>
              </w:rPr>
              <w:t>九</w:t>
            </w:r>
            <w:r>
              <w:rPr>
                <w:rFonts w:hint="default"/>
                <w:b/>
                <w:color w:val="auto"/>
                <w:sz w:val="24"/>
                <w:highlight w:val="none"/>
              </w:rPr>
              <w:t>、建设项目</w:t>
            </w:r>
            <w:r>
              <w:rPr>
                <w:rFonts w:hint="eastAsia"/>
                <w:b/>
                <w:color w:val="auto"/>
                <w:sz w:val="24"/>
                <w:highlight w:val="none"/>
                <w:lang w:eastAsia="zh-CN"/>
              </w:rPr>
              <w:t>“</w:t>
            </w:r>
            <w:r>
              <w:rPr>
                <w:rFonts w:hint="default"/>
                <w:b/>
                <w:color w:val="auto"/>
                <w:sz w:val="24"/>
                <w:highlight w:val="none"/>
              </w:rPr>
              <w:t>三同时</w:t>
            </w:r>
            <w:r>
              <w:rPr>
                <w:rFonts w:hint="eastAsia"/>
                <w:b/>
                <w:color w:val="auto"/>
                <w:sz w:val="24"/>
                <w:highlight w:val="none"/>
                <w:lang w:eastAsia="zh-CN"/>
              </w:rPr>
              <w:t>”</w:t>
            </w:r>
            <w:r>
              <w:rPr>
                <w:rFonts w:hint="default"/>
                <w:b/>
                <w:color w:val="auto"/>
                <w:sz w:val="24"/>
                <w:highlight w:val="none"/>
              </w:rPr>
              <w:t>验收</w:t>
            </w:r>
          </w:p>
          <w:p w14:paraId="3C24DA9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bCs/>
                <w:color w:val="auto"/>
                <w:sz w:val="24"/>
                <w:highlight w:val="none"/>
              </w:rPr>
            </w:pPr>
            <w:r>
              <w:rPr>
                <w:rFonts w:hint="default"/>
                <w:bCs/>
                <w:color w:val="auto"/>
                <w:sz w:val="24"/>
                <w:highlight w:val="none"/>
              </w:rPr>
              <w:t>项目</w:t>
            </w:r>
            <w:r>
              <w:rPr>
                <w:rFonts w:hint="eastAsia" w:ascii="宋体" w:hAnsi="宋体" w:cs="宋体"/>
                <w:bCs/>
                <w:color w:val="auto"/>
                <w:sz w:val="24"/>
                <w:highlight w:val="none"/>
                <w:lang w:eastAsia="zh-CN"/>
              </w:rPr>
              <w:t>“</w:t>
            </w:r>
            <w:r>
              <w:rPr>
                <w:rFonts w:hint="eastAsia" w:ascii="宋体" w:hAnsi="宋体" w:cs="宋体"/>
                <w:bCs/>
                <w:color w:val="auto"/>
                <w:sz w:val="24"/>
                <w:highlight w:val="none"/>
              </w:rPr>
              <w:t>三同时</w:t>
            </w:r>
            <w:r>
              <w:rPr>
                <w:rFonts w:hint="eastAsia" w:ascii="宋体" w:hAnsi="宋体" w:cs="宋体"/>
                <w:bCs/>
                <w:color w:val="auto"/>
                <w:sz w:val="24"/>
                <w:highlight w:val="none"/>
                <w:lang w:eastAsia="zh-CN"/>
              </w:rPr>
              <w:t>”</w:t>
            </w:r>
            <w:r>
              <w:rPr>
                <w:rFonts w:hint="eastAsia"/>
                <w:bCs/>
                <w:color w:val="auto"/>
                <w:sz w:val="24"/>
                <w:highlight w:val="none"/>
                <w:lang w:val="en-US" w:eastAsia="zh-CN"/>
              </w:rPr>
              <w:t>验收</w:t>
            </w:r>
            <w:r>
              <w:rPr>
                <w:rFonts w:hint="default"/>
                <w:bCs/>
                <w:color w:val="auto"/>
                <w:sz w:val="24"/>
                <w:highlight w:val="none"/>
              </w:rPr>
              <w:t>一览表</w:t>
            </w:r>
            <w:r>
              <w:rPr>
                <w:rFonts w:hint="eastAsia"/>
                <w:bCs/>
                <w:color w:val="auto"/>
                <w:sz w:val="24"/>
                <w:highlight w:val="none"/>
                <w:lang w:val="en-US" w:eastAsia="zh-CN"/>
              </w:rPr>
              <w:t>及</w:t>
            </w:r>
            <w:r>
              <w:rPr>
                <w:rFonts w:hint="default"/>
                <w:bCs/>
                <w:color w:val="auto"/>
                <w:sz w:val="24"/>
                <w:highlight w:val="none"/>
              </w:rPr>
              <w:t>环保投资估算见下表。</w:t>
            </w:r>
          </w:p>
          <w:p w14:paraId="1918B19F">
            <w:pPr>
              <w:keepNext w:val="0"/>
              <w:keepLines w:val="0"/>
              <w:suppressLineNumbers w:val="0"/>
              <w:adjustRightInd w:val="0"/>
              <w:snapToGrid w:val="0"/>
              <w:spacing w:before="0" w:beforeAutospacing="0" w:after="0" w:afterAutospacing="0"/>
              <w:ind w:left="0" w:right="0"/>
              <w:jc w:val="center"/>
              <w:rPr>
                <w:rFonts w:hint="default"/>
                <w:b/>
                <w:color w:val="auto"/>
                <w:sz w:val="24"/>
                <w:highlight w:val="yellow"/>
              </w:rPr>
            </w:pPr>
            <w:r>
              <w:rPr>
                <w:rFonts w:hint="default"/>
                <w:b/>
                <w:color w:val="auto"/>
                <w:sz w:val="24"/>
                <w:highlight w:val="none"/>
              </w:rPr>
              <w:t>表4-</w:t>
            </w:r>
            <w:r>
              <w:rPr>
                <w:rFonts w:hint="eastAsia"/>
                <w:b/>
                <w:color w:val="auto"/>
                <w:sz w:val="24"/>
                <w:highlight w:val="none"/>
                <w:lang w:val="en-US" w:eastAsia="zh-CN"/>
              </w:rPr>
              <w:t>38</w:t>
            </w:r>
            <w:r>
              <w:rPr>
                <w:rFonts w:hint="default"/>
                <w:b/>
                <w:color w:val="auto"/>
                <w:sz w:val="24"/>
                <w:highlight w:val="none"/>
              </w:rPr>
              <w:t>项目</w:t>
            </w:r>
            <w:r>
              <w:rPr>
                <w:rFonts w:hint="eastAsia"/>
                <w:b/>
                <w:color w:val="auto"/>
                <w:sz w:val="24"/>
                <w:highlight w:val="none"/>
                <w:lang w:eastAsia="zh-CN"/>
              </w:rPr>
              <w:t>“</w:t>
            </w:r>
            <w:r>
              <w:rPr>
                <w:rFonts w:hint="default"/>
                <w:b/>
                <w:color w:val="auto"/>
                <w:sz w:val="24"/>
                <w:highlight w:val="none"/>
              </w:rPr>
              <w:t>三同时</w:t>
            </w:r>
            <w:r>
              <w:rPr>
                <w:rFonts w:hint="eastAsia"/>
                <w:b/>
                <w:color w:val="auto"/>
                <w:sz w:val="24"/>
                <w:highlight w:val="none"/>
                <w:lang w:eastAsia="zh-CN"/>
              </w:rPr>
              <w:t>”</w:t>
            </w:r>
            <w:r>
              <w:rPr>
                <w:rFonts w:hint="default"/>
                <w:b/>
                <w:color w:val="auto"/>
                <w:sz w:val="24"/>
                <w:highlight w:val="none"/>
              </w:rPr>
              <w:t>验收一览表</w:t>
            </w:r>
          </w:p>
          <w:tbl>
            <w:tblPr>
              <w:tblStyle w:val="38"/>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26"/>
              <w:gridCol w:w="899"/>
              <w:gridCol w:w="1096"/>
              <w:gridCol w:w="1335"/>
              <w:gridCol w:w="2116"/>
              <w:gridCol w:w="2365"/>
              <w:gridCol w:w="480"/>
            </w:tblGrid>
            <w:tr w14:paraId="51DD6CE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26" w:type="dxa"/>
                  <w:tcBorders>
                    <w:tl2br w:val="nil"/>
                    <w:tr2bl w:val="nil"/>
                  </w:tcBorders>
                  <w:noWrap w:val="0"/>
                  <w:vAlign w:val="center"/>
                </w:tcPr>
                <w:p w14:paraId="152C48B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类别</w:t>
                  </w:r>
                </w:p>
              </w:tc>
              <w:tc>
                <w:tcPr>
                  <w:tcW w:w="1995" w:type="dxa"/>
                  <w:gridSpan w:val="2"/>
                  <w:tcBorders>
                    <w:tl2br w:val="nil"/>
                    <w:tr2bl w:val="nil"/>
                  </w:tcBorders>
                  <w:noWrap w:val="0"/>
                  <w:vAlign w:val="center"/>
                </w:tcPr>
                <w:p w14:paraId="3561487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color w:val="auto"/>
                      <w:sz w:val="21"/>
                      <w:szCs w:val="21"/>
                    </w:rPr>
                    <w:t>污染源验收点</w:t>
                  </w:r>
                </w:p>
              </w:tc>
              <w:tc>
                <w:tcPr>
                  <w:tcW w:w="1335" w:type="dxa"/>
                  <w:tcBorders>
                    <w:tl2br w:val="nil"/>
                    <w:tr2bl w:val="nil"/>
                  </w:tcBorders>
                  <w:noWrap w:val="0"/>
                  <w:vAlign w:val="center"/>
                </w:tcPr>
                <w:p w14:paraId="5B15B6B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验收因子</w:t>
                  </w:r>
                </w:p>
              </w:tc>
              <w:tc>
                <w:tcPr>
                  <w:tcW w:w="2116" w:type="dxa"/>
                  <w:tcBorders>
                    <w:tl2br w:val="nil"/>
                    <w:tr2bl w:val="nil"/>
                  </w:tcBorders>
                  <w:noWrap w:val="0"/>
                  <w:vAlign w:val="center"/>
                </w:tcPr>
                <w:p w14:paraId="6698A6C3">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治理措施</w:t>
                  </w:r>
                </w:p>
              </w:tc>
              <w:tc>
                <w:tcPr>
                  <w:tcW w:w="2365" w:type="dxa"/>
                  <w:tcBorders>
                    <w:tl2br w:val="nil"/>
                    <w:tr2bl w:val="nil"/>
                  </w:tcBorders>
                  <w:noWrap w:val="0"/>
                  <w:vAlign w:val="center"/>
                </w:tcPr>
                <w:p w14:paraId="2494BDA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执行标准</w:t>
                  </w:r>
                </w:p>
              </w:tc>
              <w:tc>
                <w:tcPr>
                  <w:tcW w:w="480" w:type="dxa"/>
                  <w:tcBorders>
                    <w:tl2br w:val="nil"/>
                    <w:tr2bl w:val="nil"/>
                  </w:tcBorders>
                  <w:noWrap w:val="0"/>
                  <w:vAlign w:val="center"/>
                </w:tcPr>
                <w:p w14:paraId="6E9D1BC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验收要求</w:t>
                  </w:r>
                </w:p>
              </w:tc>
            </w:tr>
            <w:tr w14:paraId="7D8778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26" w:type="dxa"/>
                  <w:vMerge w:val="restart"/>
                  <w:tcBorders>
                    <w:tl2br w:val="nil"/>
                    <w:tr2bl w:val="nil"/>
                  </w:tcBorders>
                  <w:noWrap w:val="0"/>
                  <w:vAlign w:val="center"/>
                </w:tcPr>
                <w:p w14:paraId="419DC4E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废气</w:t>
                  </w:r>
                </w:p>
              </w:tc>
              <w:tc>
                <w:tcPr>
                  <w:tcW w:w="899" w:type="dxa"/>
                  <w:tcBorders>
                    <w:tl2br w:val="nil"/>
                    <w:tr2bl w:val="nil"/>
                  </w:tcBorders>
                  <w:noWrap w:val="0"/>
                  <w:vAlign w:val="center"/>
                </w:tcPr>
                <w:p w14:paraId="5E49E08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有组织</w:t>
                  </w:r>
                </w:p>
              </w:tc>
              <w:tc>
                <w:tcPr>
                  <w:tcW w:w="1096" w:type="dxa"/>
                  <w:tcBorders>
                    <w:tl2br w:val="nil"/>
                    <w:tr2bl w:val="nil"/>
                  </w:tcBorders>
                  <w:noWrap w:val="0"/>
                  <w:vAlign w:val="center"/>
                </w:tcPr>
                <w:p w14:paraId="40B80AD3">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DA001</w:t>
                  </w:r>
                </w:p>
              </w:tc>
              <w:tc>
                <w:tcPr>
                  <w:tcW w:w="1335" w:type="dxa"/>
                  <w:tcBorders>
                    <w:tl2br w:val="nil"/>
                    <w:tr2bl w:val="nil"/>
                  </w:tcBorders>
                  <w:noWrap w:val="0"/>
                  <w:vAlign w:val="center"/>
                </w:tcPr>
                <w:p w14:paraId="21FA770D">
                  <w:pPr>
                    <w:keepNext w:val="0"/>
                    <w:keepLines w:val="0"/>
                    <w:pageBreakBefore w:val="0"/>
                    <w:widowControl w:val="0"/>
                    <w:tabs>
                      <w:tab w:val="left" w:pos="523"/>
                      <w:tab w:val="center" w:pos="3957"/>
                    </w:tabs>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w:t>
                  </w:r>
                </w:p>
              </w:tc>
              <w:tc>
                <w:tcPr>
                  <w:tcW w:w="2116" w:type="dxa"/>
                  <w:tcBorders>
                    <w:tl2br w:val="nil"/>
                    <w:tr2bl w:val="nil"/>
                  </w:tcBorders>
                  <w:noWrap w:val="0"/>
                  <w:vAlign w:val="center"/>
                </w:tcPr>
                <w:p w14:paraId="42BD6CE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kern w:val="0"/>
                      <w:sz w:val="21"/>
                      <w:szCs w:val="21"/>
                      <w:lang w:val="en-US" w:eastAsia="zh-CN" w:bidi="ar"/>
                    </w:rPr>
                    <w:t>高压静电油烟净化器</w:t>
                  </w:r>
                  <w:r>
                    <w:rPr>
                      <w:rFonts w:hint="default" w:ascii="Times New Roman" w:hAnsi="Times New Roman" w:eastAsia="宋体" w:cs="Times New Roman"/>
                      <w:color w:val="auto"/>
                      <w:kern w:val="0"/>
                      <w:sz w:val="21"/>
                      <w:szCs w:val="21"/>
                      <w:lang w:bidi="ar"/>
                    </w:rPr>
                    <w:t>+15m排气筒，设计风量</w:t>
                  </w:r>
                  <w:r>
                    <w:rPr>
                      <w:rFonts w:hint="eastAsia" w:cs="Times New Roman"/>
                      <w:color w:val="auto"/>
                      <w:kern w:val="0"/>
                      <w:sz w:val="21"/>
                      <w:szCs w:val="21"/>
                      <w:lang w:val="en-US" w:eastAsia="zh-CN" w:bidi="ar"/>
                    </w:rPr>
                    <w:t>12</w:t>
                  </w:r>
                  <w:r>
                    <w:rPr>
                      <w:rFonts w:hint="default" w:ascii="Times New Roman" w:hAnsi="Times New Roman" w:eastAsia="宋体" w:cs="Times New Roman"/>
                      <w:color w:val="auto"/>
                      <w:kern w:val="0"/>
                      <w:sz w:val="21"/>
                      <w:szCs w:val="21"/>
                      <w:lang w:bidi="ar"/>
                    </w:rPr>
                    <w:t>000m³/h</w:t>
                  </w:r>
                </w:p>
              </w:tc>
              <w:tc>
                <w:tcPr>
                  <w:tcW w:w="2365" w:type="dxa"/>
                  <w:tcBorders>
                    <w:tl2br w:val="nil"/>
                    <w:tr2bl w:val="nil"/>
                  </w:tcBorders>
                  <w:noWrap w:val="0"/>
                  <w:vAlign w:val="center"/>
                </w:tcPr>
                <w:p w14:paraId="64626F71">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《大气污染物综合排放标准》</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DB32/4041-2021</w:t>
                  </w:r>
                  <w:r>
                    <w:rPr>
                      <w:rFonts w:hint="eastAsia" w:cs="Times New Roman"/>
                      <w:bCs/>
                      <w:color w:val="auto"/>
                      <w:sz w:val="21"/>
                      <w:szCs w:val="21"/>
                      <w:lang w:eastAsia="zh-CN"/>
                    </w:rPr>
                    <w:t>）</w:t>
                  </w:r>
                  <w:r>
                    <w:rPr>
                      <w:rFonts w:hint="eastAsia" w:cs="Times New Roman"/>
                      <w:bCs/>
                      <w:color w:val="auto"/>
                      <w:sz w:val="21"/>
                      <w:szCs w:val="21"/>
                      <w:lang w:val="en-US" w:eastAsia="zh-CN"/>
                    </w:rPr>
                    <w:t>表1标准</w:t>
                  </w:r>
                </w:p>
              </w:tc>
              <w:tc>
                <w:tcPr>
                  <w:tcW w:w="480" w:type="dxa"/>
                  <w:vMerge w:val="restart"/>
                  <w:tcBorders>
                    <w:tl2br w:val="nil"/>
                    <w:tr2bl w:val="nil"/>
                  </w:tcBorders>
                  <w:noWrap w:val="0"/>
                  <w:vAlign w:val="center"/>
                </w:tcPr>
                <w:p w14:paraId="69241243">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eastAsia" w:eastAsia="宋体"/>
                      <w:sz w:val="21"/>
                      <w:szCs w:val="21"/>
                    </w:rPr>
                    <w:t>满足环保要求</w:t>
                  </w:r>
                </w:p>
              </w:tc>
            </w:tr>
            <w:tr w14:paraId="0A4C64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37" w:hRule="atLeast"/>
                <w:jc w:val="center"/>
              </w:trPr>
              <w:tc>
                <w:tcPr>
                  <w:tcW w:w="526" w:type="dxa"/>
                  <w:vMerge w:val="continue"/>
                  <w:tcBorders>
                    <w:tl2br w:val="nil"/>
                    <w:tr2bl w:val="nil"/>
                  </w:tcBorders>
                  <w:noWrap w:val="0"/>
                  <w:vAlign w:val="center"/>
                </w:tcPr>
                <w:p w14:paraId="77A39F7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899" w:type="dxa"/>
                  <w:vMerge w:val="restart"/>
                  <w:tcBorders>
                    <w:tl2br w:val="nil"/>
                    <w:tr2bl w:val="nil"/>
                  </w:tcBorders>
                  <w:noWrap w:val="0"/>
                  <w:vAlign w:val="center"/>
                </w:tcPr>
                <w:p w14:paraId="2D07978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w:t>
                  </w:r>
                </w:p>
              </w:tc>
              <w:tc>
                <w:tcPr>
                  <w:tcW w:w="1096" w:type="dxa"/>
                  <w:tcBorders>
                    <w:tl2br w:val="nil"/>
                    <w:tr2bl w:val="nil"/>
                  </w:tcBorders>
                  <w:noWrap w:val="0"/>
                  <w:vAlign w:val="center"/>
                </w:tcPr>
                <w:p w14:paraId="36936F7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厂界</w:t>
                  </w:r>
                </w:p>
              </w:tc>
              <w:tc>
                <w:tcPr>
                  <w:tcW w:w="1335" w:type="dxa"/>
                  <w:tcBorders>
                    <w:tl2br w:val="nil"/>
                    <w:tr2bl w:val="nil"/>
                  </w:tcBorders>
                  <w:noWrap w:val="0"/>
                  <w:vAlign w:val="center"/>
                </w:tcPr>
                <w:p w14:paraId="56A7AF4D">
                  <w:pPr>
                    <w:keepNext w:val="0"/>
                    <w:keepLines w:val="0"/>
                    <w:pageBreakBefore w:val="0"/>
                    <w:widowControl w:val="0"/>
                    <w:tabs>
                      <w:tab w:val="left" w:pos="523"/>
                      <w:tab w:val="center" w:pos="3957"/>
                    </w:tabs>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w:t>
                  </w:r>
                </w:p>
              </w:tc>
              <w:tc>
                <w:tcPr>
                  <w:tcW w:w="2116" w:type="dxa"/>
                  <w:vMerge w:val="restart"/>
                  <w:tcBorders>
                    <w:tl2br w:val="nil"/>
                    <w:tr2bl w:val="nil"/>
                  </w:tcBorders>
                  <w:noWrap w:val="0"/>
                  <w:vAlign w:val="center"/>
                </w:tcPr>
                <w:p w14:paraId="4B4FF722">
                  <w:pPr>
                    <w:adjustRightInd w:val="0"/>
                    <w:snapToGrid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kern w:val="0"/>
                      <w:sz w:val="21"/>
                      <w:szCs w:val="21"/>
                    </w:rPr>
                    <w:t>加强管理，尽可能提高废气收集效率</w:t>
                  </w:r>
                </w:p>
              </w:tc>
              <w:tc>
                <w:tcPr>
                  <w:tcW w:w="2365" w:type="dxa"/>
                  <w:tcBorders>
                    <w:tl2br w:val="nil"/>
                    <w:tr2bl w:val="nil"/>
                  </w:tcBorders>
                  <w:noWrap w:val="0"/>
                  <w:vAlign w:val="center"/>
                </w:tcPr>
                <w:p w14:paraId="030D78D0">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《大气污染物综合排放标准》</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DB32/4041-2021</w:t>
                  </w:r>
                  <w:r>
                    <w:rPr>
                      <w:rFonts w:hint="eastAsia" w:cs="Times New Roman"/>
                      <w:bCs/>
                      <w:color w:val="auto"/>
                      <w:sz w:val="21"/>
                      <w:szCs w:val="21"/>
                      <w:lang w:eastAsia="zh-CN"/>
                    </w:rPr>
                    <w:t>）</w:t>
                  </w:r>
                  <w:r>
                    <w:rPr>
                      <w:rFonts w:hint="eastAsia" w:cs="Times New Roman"/>
                      <w:bCs/>
                      <w:color w:val="auto"/>
                      <w:sz w:val="21"/>
                      <w:szCs w:val="21"/>
                      <w:lang w:val="en-US" w:eastAsia="zh-CN"/>
                    </w:rPr>
                    <w:t>表3标准</w:t>
                  </w:r>
                </w:p>
              </w:tc>
              <w:tc>
                <w:tcPr>
                  <w:tcW w:w="480" w:type="dxa"/>
                  <w:vMerge w:val="continue"/>
                  <w:tcBorders>
                    <w:tl2br w:val="nil"/>
                    <w:tr2bl w:val="nil"/>
                  </w:tcBorders>
                  <w:noWrap w:val="0"/>
                  <w:vAlign w:val="center"/>
                </w:tcPr>
                <w:p w14:paraId="3ED20FE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0BAC1E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1" w:hRule="atLeast"/>
                <w:jc w:val="center"/>
              </w:trPr>
              <w:tc>
                <w:tcPr>
                  <w:tcW w:w="526" w:type="dxa"/>
                  <w:vMerge w:val="continue"/>
                  <w:tcBorders>
                    <w:tl2br w:val="nil"/>
                    <w:tr2bl w:val="nil"/>
                  </w:tcBorders>
                  <w:noWrap w:val="0"/>
                  <w:vAlign w:val="center"/>
                </w:tcPr>
                <w:p w14:paraId="598AEBF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sz w:val="21"/>
                      <w:szCs w:val="21"/>
                      <w:lang w:val="en-US" w:eastAsia="zh-CN"/>
                    </w:rPr>
                  </w:pPr>
                </w:p>
              </w:tc>
              <w:tc>
                <w:tcPr>
                  <w:tcW w:w="899" w:type="dxa"/>
                  <w:vMerge w:val="continue"/>
                  <w:tcBorders>
                    <w:tl2br w:val="nil"/>
                    <w:tr2bl w:val="nil"/>
                  </w:tcBorders>
                  <w:noWrap w:val="0"/>
                  <w:vAlign w:val="center"/>
                </w:tcPr>
                <w:p w14:paraId="359166A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p>
              </w:tc>
              <w:tc>
                <w:tcPr>
                  <w:tcW w:w="1096" w:type="dxa"/>
                  <w:tcBorders>
                    <w:tl2br w:val="nil"/>
                    <w:tr2bl w:val="nil"/>
                  </w:tcBorders>
                  <w:noWrap w:val="0"/>
                  <w:vAlign w:val="center"/>
                </w:tcPr>
                <w:p w14:paraId="55C4704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厂区内</w:t>
                  </w:r>
                </w:p>
              </w:tc>
              <w:tc>
                <w:tcPr>
                  <w:tcW w:w="1335" w:type="dxa"/>
                  <w:tcBorders>
                    <w:tl2br w:val="nil"/>
                    <w:tr2bl w:val="nil"/>
                  </w:tcBorders>
                  <w:noWrap w:val="0"/>
                  <w:vAlign w:val="center"/>
                </w:tcPr>
                <w:p w14:paraId="14BD0444">
                  <w:pPr>
                    <w:keepNext w:val="0"/>
                    <w:keepLines w:val="0"/>
                    <w:pageBreakBefore w:val="0"/>
                    <w:widowControl w:val="0"/>
                    <w:tabs>
                      <w:tab w:val="left" w:pos="523"/>
                      <w:tab w:val="center" w:pos="3957"/>
                    </w:tabs>
                    <w:kinsoku/>
                    <w:wordWrap/>
                    <w:overflowPunct/>
                    <w:topLinePunct w:val="0"/>
                    <w:autoSpaceDE/>
                    <w:autoSpaceDN/>
                    <w:bidi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w:t>
                  </w:r>
                </w:p>
              </w:tc>
              <w:tc>
                <w:tcPr>
                  <w:tcW w:w="2116" w:type="dxa"/>
                  <w:vMerge w:val="continue"/>
                  <w:tcBorders>
                    <w:tl2br w:val="nil"/>
                    <w:tr2bl w:val="nil"/>
                  </w:tcBorders>
                  <w:noWrap w:val="0"/>
                  <w:vAlign w:val="center"/>
                </w:tcPr>
                <w:p w14:paraId="2563A5BD">
                  <w:pPr>
                    <w:adjustRightInd w:val="0"/>
                    <w:snapToGrid w:val="0"/>
                    <w:spacing w:line="240" w:lineRule="auto"/>
                    <w:ind w:firstLine="0" w:firstLineChars="0"/>
                    <w:jc w:val="center"/>
                    <w:rPr>
                      <w:rFonts w:hint="default" w:ascii="Times New Roman" w:hAnsi="Times New Roman" w:eastAsia="宋体" w:cs="Times New Roman"/>
                      <w:sz w:val="21"/>
                      <w:szCs w:val="21"/>
                      <w:lang w:val="en-US" w:eastAsia="zh-CN"/>
                    </w:rPr>
                  </w:pPr>
                </w:p>
              </w:tc>
              <w:tc>
                <w:tcPr>
                  <w:tcW w:w="2365" w:type="dxa"/>
                  <w:tcBorders>
                    <w:tl2br w:val="nil"/>
                    <w:tr2bl w:val="nil"/>
                  </w:tcBorders>
                  <w:noWrap w:val="0"/>
                  <w:vAlign w:val="center"/>
                </w:tcPr>
                <w:p w14:paraId="287CF8EA">
                  <w:pPr>
                    <w:adjustRightInd w:val="0"/>
                    <w:snapToGri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《大气污染物综合排放标准》</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DB32/4041-2021</w:t>
                  </w:r>
                  <w:r>
                    <w:rPr>
                      <w:rFonts w:hint="eastAsia" w:cs="Times New Roman"/>
                      <w:bCs/>
                      <w:color w:val="auto"/>
                      <w:sz w:val="21"/>
                      <w:szCs w:val="21"/>
                      <w:lang w:eastAsia="zh-CN"/>
                    </w:rPr>
                    <w:t>）</w:t>
                  </w:r>
                  <w:r>
                    <w:rPr>
                      <w:rFonts w:hint="eastAsia" w:cs="Times New Roman"/>
                      <w:bCs/>
                      <w:color w:val="auto"/>
                      <w:sz w:val="21"/>
                      <w:szCs w:val="21"/>
                      <w:lang w:val="en-US" w:eastAsia="zh-CN"/>
                    </w:rPr>
                    <w:t>表2标准</w:t>
                  </w:r>
                </w:p>
              </w:tc>
              <w:tc>
                <w:tcPr>
                  <w:tcW w:w="480" w:type="dxa"/>
                  <w:vMerge w:val="continue"/>
                  <w:tcBorders>
                    <w:tl2br w:val="nil"/>
                    <w:tr2bl w:val="nil"/>
                  </w:tcBorders>
                  <w:noWrap w:val="0"/>
                  <w:vAlign w:val="center"/>
                </w:tcPr>
                <w:p w14:paraId="1878DC7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587B1F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26" w:type="dxa"/>
                  <w:vMerge w:val="restart"/>
                  <w:tcBorders>
                    <w:tl2br w:val="nil"/>
                    <w:tr2bl w:val="nil"/>
                  </w:tcBorders>
                  <w:noWrap w:val="0"/>
                  <w:vAlign w:val="center"/>
                </w:tcPr>
                <w:p w14:paraId="06933D2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1995" w:type="dxa"/>
                  <w:gridSpan w:val="2"/>
                  <w:tcBorders>
                    <w:tl2br w:val="nil"/>
                    <w:tr2bl w:val="nil"/>
                  </w:tcBorders>
                  <w:noWrap w:val="0"/>
                  <w:vAlign w:val="center"/>
                </w:tcPr>
                <w:p w14:paraId="02B76F3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生活污水</w:t>
                  </w:r>
                </w:p>
              </w:tc>
              <w:tc>
                <w:tcPr>
                  <w:tcW w:w="1335" w:type="dxa"/>
                  <w:tcBorders>
                    <w:tl2br w:val="nil"/>
                    <w:tr2bl w:val="nil"/>
                  </w:tcBorders>
                  <w:noWrap w:val="0"/>
                  <w:vAlign w:val="center"/>
                </w:tcPr>
                <w:p w14:paraId="5854070F">
                  <w:pPr>
                    <w:adjustRightInd w:val="0"/>
                    <w:snapToGrid w:val="0"/>
                    <w:spacing w:line="240" w:lineRule="auto"/>
                    <w:ind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color w:val="auto"/>
                      <w:kern w:val="0"/>
                      <w:sz w:val="21"/>
                      <w:szCs w:val="21"/>
                    </w:rPr>
                    <w:t>COD、</w:t>
                  </w:r>
                  <w:r>
                    <w:rPr>
                      <w:rFonts w:hint="eastAsia" w:cs="Times New Roman"/>
                      <w:color w:val="auto"/>
                      <w:kern w:val="0"/>
                      <w:sz w:val="21"/>
                      <w:szCs w:val="21"/>
                      <w:lang w:val="en-US" w:eastAsia="zh-CN"/>
                    </w:rPr>
                    <w:t>BOD</w:t>
                  </w:r>
                  <w:r>
                    <w:rPr>
                      <w:rFonts w:hint="eastAsia" w:cs="Times New Roman"/>
                      <w:color w:val="auto"/>
                      <w:kern w:val="0"/>
                      <w:sz w:val="21"/>
                      <w:szCs w:val="21"/>
                      <w:vertAlign w:val="subscript"/>
                      <w:lang w:val="en-US" w:eastAsia="zh-CN"/>
                    </w:rPr>
                    <w:t>5</w:t>
                  </w:r>
                  <w:r>
                    <w:rPr>
                      <w:rFonts w:hint="eastAsia" w:cs="Times New Roman"/>
                      <w:color w:val="auto"/>
                      <w:kern w:val="0"/>
                      <w:sz w:val="21"/>
                      <w:szCs w:val="21"/>
                      <w:lang w:val="en-US" w:eastAsia="zh-CN"/>
                    </w:rPr>
                    <w:t>、</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-N、TN、TP</w:t>
                  </w:r>
                </w:p>
              </w:tc>
              <w:tc>
                <w:tcPr>
                  <w:tcW w:w="2116" w:type="dxa"/>
                  <w:tcBorders>
                    <w:tl2br w:val="nil"/>
                    <w:tr2bl w:val="nil"/>
                  </w:tcBorders>
                  <w:noWrap w:val="0"/>
                  <w:vAlign w:val="center"/>
                </w:tcPr>
                <w:p w14:paraId="0EF46A5B">
                  <w:pPr>
                    <w:adjustRightInd w:val="0"/>
                    <w:snapToGrid w:val="0"/>
                    <w:spacing w:line="240" w:lineRule="auto"/>
                    <w:ind w:firstLine="0" w:firstLineChars="0"/>
                    <w:jc w:val="center"/>
                    <w:rPr>
                      <w:rFonts w:hint="default" w:ascii="Times New Roman" w:hAnsi="Times New Roman" w:eastAsia="宋体" w:cs="Times New Roman"/>
                      <w:bCs/>
                      <w:sz w:val="21"/>
                      <w:szCs w:val="21"/>
                      <w:lang w:val="en-US"/>
                    </w:rPr>
                  </w:pPr>
                  <w:r>
                    <w:rPr>
                      <w:rFonts w:hint="default" w:ascii="Times New Roman" w:hAnsi="Times New Roman" w:eastAsia="宋体" w:cs="Times New Roman"/>
                      <w:color w:val="auto"/>
                      <w:kern w:val="0"/>
                      <w:sz w:val="21"/>
                      <w:szCs w:val="21"/>
                    </w:rPr>
                    <w:t>化粪池</w:t>
                  </w:r>
                </w:p>
              </w:tc>
              <w:tc>
                <w:tcPr>
                  <w:tcW w:w="2365" w:type="dxa"/>
                  <w:tcBorders>
                    <w:tl2br w:val="nil"/>
                    <w:tr2bl w:val="nil"/>
                  </w:tcBorders>
                  <w:noWrap w:val="0"/>
                  <w:vAlign w:val="center"/>
                </w:tcPr>
                <w:p w14:paraId="6A7D4F65">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kern w:val="0"/>
                      <w:sz w:val="21"/>
                      <w:szCs w:val="21"/>
                    </w:rPr>
                    <w:t>接管达</w:t>
                  </w:r>
                  <w:r>
                    <w:rPr>
                      <w:rFonts w:hint="eastAsia" w:ascii="Times New Roman" w:hAnsi="Times New Roman" w:eastAsia="宋体" w:cs="Times New Roman"/>
                      <w:color w:val="auto"/>
                      <w:kern w:val="0"/>
                      <w:sz w:val="21"/>
                      <w:szCs w:val="21"/>
                      <w:lang w:eastAsia="zh-CN"/>
                    </w:rPr>
                    <w:t>新袁镇污水处理厂</w:t>
                  </w:r>
                  <w:r>
                    <w:rPr>
                      <w:rFonts w:hint="default" w:ascii="Times New Roman" w:hAnsi="Times New Roman" w:eastAsia="宋体" w:cs="Times New Roman"/>
                      <w:color w:val="auto"/>
                      <w:kern w:val="0"/>
                      <w:sz w:val="21"/>
                      <w:szCs w:val="21"/>
                    </w:rPr>
                    <w:t>接管标准</w:t>
                  </w:r>
                </w:p>
              </w:tc>
              <w:tc>
                <w:tcPr>
                  <w:tcW w:w="480" w:type="dxa"/>
                  <w:vMerge w:val="continue"/>
                  <w:tcBorders>
                    <w:tl2br w:val="nil"/>
                    <w:tr2bl w:val="nil"/>
                  </w:tcBorders>
                  <w:noWrap w:val="0"/>
                  <w:vAlign w:val="center"/>
                </w:tcPr>
                <w:p w14:paraId="089E53E3">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10FF65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26" w:type="dxa"/>
                  <w:vMerge w:val="continue"/>
                  <w:tcBorders>
                    <w:tl2br w:val="nil"/>
                    <w:tr2bl w:val="nil"/>
                  </w:tcBorders>
                  <w:noWrap w:val="0"/>
                  <w:vAlign w:val="center"/>
                </w:tcPr>
                <w:p w14:paraId="6FD10A3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rPr>
                  </w:pPr>
                </w:p>
              </w:tc>
              <w:tc>
                <w:tcPr>
                  <w:tcW w:w="1995" w:type="dxa"/>
                  <w:gridSpan w:val="2"/>
                  <w:tcBorders>
                    <w:tl2br w:val="nil"/>
                    <w:tr2bl w:val="nil"/>
                  </w:tcBorders>
                  <w:noWrap w:val="0"/>
                  <w:vAlign w:val="center"/>
                </w:tcPr>
                <w:p w14:paraId="33C3925C">
                  <w:pPr>
                    <w:keepNext w:val="0"/>
                    <w:keepLines w:val="0"/>
                    <w:pageBreakBefore w:val="0"/>
                    <w:widowControl w:val="0"/>
                    <w:kinsoku/>
                    <w:wordWrap/>
                    <w:overflowPunct/>
                    <w:topLinePunct w:val="0"/>
                    <w:autoSpaceDE/>
                    <w:autoSpaceDN/>
                    <w:bidi w:val="0"/>
                    <w:snapToGrid w:val="0"/>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eastAsia"/>
                      <w:sz w:val="21"/>
                      <w:szCs w:val="21"/>
                      <w:lang w:val="en-US" w:eastAsia="zh-CN"/>
                    </w:rPr>
                    <w:t>生产废水</w:t>
                  </w:r>
                </w:p>
              </w:tc>
              <w:tc>
                <w:tcPr>
                  <w:tcW w:w="1335" w:type="dxa"/>
                  <w:tcBorders>
                    <w:tl2br w:val="nil"/>
                    <w:tr2bl w:val="nil"/>
                  </w:tcBorders>
                  <w:noWrap w:val="0"/>
                  <w:vAlign w:val="center"/>
                </w:tcPr>
                <w:p w14:paraId="2E224D79">
                  <w:pPr>
                    <w:adjustRightInd w:val="0"/>
                    <w:snapToGrid w:val="0"/>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kern w:val="0"/>
                      <w:sz w:val="21"/>
                      <w:szCs w:val="21"/>
                    </w:rPr>
                    <w:t>COD、</w:t>
                  </w:r>
                  <w:r>
                    <w:rPr>
                      <w:rFonts w:hint="eastAsia" w:cs="Times New Roman"/>
                      <w:color w:val="auto"/>
                      <w:kern w:val="0"/>
                      <w:sz w:val="21"/>
                      <w:szCs w:val="21"/>
                      <w:lang w:val="en-US" w:eastAsia="zh-CN"/>
                    </w:rPr>
                    <w:t>BOD</w:t>
                  </w:r>
                  <w:r>
                    <w:rPr>
                      <w:rFonts w:hint="eastAsia" w:cs="Times New Roman"/>
                      <w:color w:val="auto"/>
                      <w:kern w:val="0"/>
                      <w:sz w:val="21"/>
                      <w:szCs w:val="21"/>
                      <w:vertAlign w:val="subscript"/>
                      <w:lang w:val="en-US" w:eastAsia="zh-CN"/>
                    </w:rPr>
                    <w:t>5</w:t>
                  </w:r>
                  <w:r>
                    <w:rPr>
                      <w:rFonts w:hint="eastAsia" w:cs="Times New Roman"/>
                      <w:color w:val="auto"/>
                      <w:kern w:val="0"/>
                      <w:sz w:val="21"/>
                      <w:szCs w:val="21"/>
                      <w:lang w:val="en-US" w:eastAsia="zh-CN"/>
                    </w:rPr>
                    <w:t>、</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-N、TN、TP</w:t>
                  </w:r>
                  <w:r>
                    <w:rPr>
                      <w:rFonts w:hint="eastAsia" w:ascii="Times New Roman" w:hAnsi="Times New Roman" w:eastAsia="宋体" w:cs="Times New Roman"/>
                      <w:color w:val="auto"/>
                      <w:kern w:val="0"/>
                      <w:sz w:val="21"/>
                      <w:szCs w:val="21"/>
                      <w:lang w:eastAsia="zh-CN"/>
                    </w:rPr>
                    <w:t>、</w:t>
                  </w:r>
                  <w:r>
                    <w:rPr>
                      <w:rFonts w:hint="eastAsia" w:ascii="Times New Roman" w:hAnsi="Times New Roman" w:eastAsia="宋体" w:cs="Times New Roman"/>
                      <w:color w:val="auto"/>
                      <w:kern w:val="0"/>
                      <w:sz w:val="21"/>
                      <w:szCs w:val="21"/>
                      <w:lang w:val="en-US" w:eastAsia="zh-CN"/>
                    </w:rPr>
                    <w:t>总锑、石油类</w:t>
                  </w:r>
                </w:p>
              </w:tc>
              <w:tc>
                <w:tcPr>
                  <w:tcW w:w="2116" w:type="dxa"/>
                  <w:tcBorders>
                    <w:tl2br w:val="nil"/>
                    <w:tr2bl w:val="nil"/>
                  </w:tcBorders>
                  <w:noWrap w:val="0"/>
                  <w:vAlign w:val="center"/>
                </w:tcPr>
                <w:p w14:paraId="042F9EF0">
                  <w:pPr>
                    <w:adjustRightInd w:val="0"/>
                    <w:snapToGrid w:val="0"/>
                    <w:spacing w:line="240" w:lineRule="auto"/>
                    <w:ind w:firstLine="0" w:firstLineChars="0"/>
                    <w:jc w:val="center"/>
                    <w:rPr>
                      <w:rFonts w:hint="default" w:ascii="Times New Roman" w:hAnsi="Times New Roman" w:eastAsia="宋体" w:cs="Times New Roman"/>
                      <w:sz w:val="21"/>
                      <w:szCs w:val="21"/>
                      <w:lang w:val="en-US" w:eastAsia="zh-CN"/>
                    </w:rPr>
                  </w:pPr>
                  <w:r>
                    <w:rPr>
                      <w:color w:val="auto"/>
                      <w:kern w:val="0"/>
                      <w:sz w:val="21"/>
                      <w:szCs w:val="21"/>
                    </w:rPr>
                    <w:t>污水站</w:t>
                  </w:r>
                  <w:r>
                    <w:rPr>
                      <w:rFonts w:hint="eastAsia"/>
                      <w:color w:val="auto"/>
                      <w:kern w:val="0"/>
                      <w:sz w:val="21"/>
                      <w:szCs w:val="21"/>
                      <w:lang w:val="en-US" w:eastAsia="zh-CN"/>
                    </w:rPr>
                    <w:t>1座</w:t>
                  </w:r>
                  <w:r>
                    <w:rPr>
                      <w:color w:val="auto"/>
                      <w:kern w:val="0"/>
                      <w:sz w:val="21"/>
                      <w:szCs w:val="21"/>
                    </w:rPr>
                    <w:t>，处理能力：1</w:t>
                  </w:r>
                  <w:r>
                    <w:rPr>
                      <w:rFonts w:hint="eastAsia"/>
                      <w:color w:val="auto"/>
                      <w:kern w:val="0"/>
                      <w:sz w:val="21"/>
                      <w:szCs w:val="21"/>
                      <w:lang w:val="en-US" w:eastAsia="zh-CN"/>
                    </w:rPr>
                    <w:t>2</w:t>
                  </w:r>
                  <w:r>
                    <w:rPr>
                      <w:color w:val="auto"/>
                      <w:kern w:val="0"/>
                      <w:sz w:val="21"/>
                      <w:szCs w:val="21"/>
                    </w:rPr>
                    <w:t>00m</w:t>
                  </w:r>
                  <w:r>
                    <w:rPr>
                      <w:color w:val="auto"/>
                      <w:kern w:val="0"/>
                      <w:sz w:val="21"/>
                      <w:szCs w:val="21"/>
                      <w:vertAlign w:val="superscript"/>
                    </w:rPr>
                    <w:t>3</w:t>
                  </w:r>
                  <w:r>
                    <w:rPr>
                      <w:color w:val="auto"/>
                      <w:kern w:val="0"/>
                      <w:sz w:val="21"/>
                      <w:szCs w:val="21"/>
                    </w:rPr>
                    <w:t>/d；工艺：</w:t>
                  </w:r>
                  <w:r>
                    <w:rPr>
                      <w:color w:val="auto"/>
                      <w:sz w:val="21"/>
                      <w:szCs w:val="21"/>
                    </w:rPr>
                    <w:t>调节+混凝气浮</w:t>
                  </w:r>
                  <w:r>
                    <w:rPr>
                      <w:rFonts w:hint="eastAsia"/>
                      <w:color w:val="auto"/>
                      <w:sz w:val="21"/>
                      <w:szCs w:val="21"/>
                      <w:lang w:val="en-US" w:eastAsia="zh-CN"/>
                    </w:rPr>
                    <w:t>+接触氧化</w:t>
                  </w:r>
                  <w:r>
                    <w:rPr>
                      <w:color w:val="auto"/>
                      <w:sz w:val="21"/>
                      <w:szCs w:val="21"/>
                    </w:rPr>
                    <w:t>+二沉+砂滤、</w:t>
                  </w:r>
                  <w:r>
                    <w:rPr>
                      <w:rFonts w:hint="eastAsia"/>
                      <w:color w:val="auto"/>
                      <w:sz w:val="21"/>
                      <w:szCs w:val="21"/>
                      <w:lang w:val="en-US" w:eastAsia="zh-CN"/>
                    </w:rPr>
                    <w:t>炭</w:t>
                  </w:r>
                  <w:r>
                    <w:rPr>
                      <w:color w:val="auto"/>
                      <w:sz w:val="21"/>
                      <w:szCs w:val="21"/>
                    </w:rPr>
                    <w:t>滤</w:t>
                  </w:r>
                </w:p>
              </w:tc>
              <w:tc>
                <w:tcPr>
                  <w:tcW w:w="2365" w:type="dxa"/>
                  <w:tcBorders>
                    <w:tl2br w:val="nil"/>
                    <w:tr2bl w:val="nil"/>
                  </w:tcBorders>
                  <w:noWrap w:val="0"/>
                  <w:vAlign w:val="center"/>
                </w:tcPr>
                <w:p w14:paraId="661385CD">
                  <w:pPr>
                    <w:adjustRightInd w:val="0"/>
                    <w:snapToGrid w:val="0"/>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olor w:val="auto"/>
                      <w:kern w:val="0"/>
                      <w:sz w:val="21"/>
                      <w:szCs w:val="21"/>
                      <w:lang w:eastAsia="zh-CN"/>
                    </w:rPr>
                    <w:t>达到</w:t>
                  </w:r>
                  <w:r>
                    <w:rPr>
                      <w:rFonts w:ascii="宋体" w:hAnsi="宋体" w:eastAsia="宋体" w:cs="宋体"/>
                      <w:color w:val="auto"/>
                      <w:sz w:val="21"/>
                      <w:szCs w:val="21"/>
                    </w:rPr>
                    <w:t>《城市污水再生利用工业用水水质》</w:t>
                  </w:r>
                  <w:r>
                    <w:rPr>
                      <w:rFonts w:hint="default" w:ascii="Times New Roman" w:hAnsi="Times New Roman" w:eastAsia="宋体" w:cs="Times New Roman"/>
                      <w:color w:val="auto"/>
                      <w:sz w:val="21"/>
                      <w:szCs w:val="21"/>
                    </w:rPr>
                    <w:t>（GB/T19923-2024）</w:t>
                  </w:r>
                  <w:r>
                    <w:rPr>
                      <w:color w:val="auto"/>
                      <w:kern w:val="0"/>
                      <w:sz w:val="21"/>
                      <w:szCs w:val="21"/>
                    </w:rPr>
                    <w:t>标准后回用至生产</w:t>
                  </w:r>
                </w:p>
              </w:tc>
              <w:tc>
                <w:tcPr>
                  <w:tcW w:w="480" w:type="dxa"/>
                  <w:vMerge w:val="continue"/>
                  <w:tcBorders>
                    <w:tl2br w:val="nil"/>
                    <w:tr2bl w:val="nil"/>
                  </w:tcBorders>
                  <w:noWrap w:val="0"/>
                  <w:vAlign w:val="center"/>
                </w:tcPr>
                <w:p w14:paraId="2F57184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269CF8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521" w:type="dxa"/>
                  <w:gridSpan w:val="3"/>
                  <w:tcBorders>
                    <w:tl2br w:val="nil"/>
                    <w:tr2bl w:val="nil"/>
                  </w:tcBorders>
                  <w:noWrap w:val="0"/>
                  <w:vAlign w:val="center"/>
                </w:tcPr>
                <w:p w14:paraId="173078F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噪声</w:t>
                  </w:r>
                </w:p>
              </w:tc>
              <w:tc>
                <w:tcPr>
                  <w:tcW w:w="1335" w:type="dxa"/>
                  <w:tcBorders>
                    <w:tl2br w:val="nil"/>
                    <w:tr2bl w:val="nil"/>
                  </w:tcBorders>
                  <w:noWrap w:val="0"/>
                  <w:vAlign w:val="center"/>
                </w:tcPr>
                <w:p w14:paraId="2180E6D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车间设备</w:t>
                  </w:r>
                </w:p>
              </w:tc>
              <w:tc>
                <w:tcPr>
                  <w:tcW w:w="2116" w:type="dxa"/>
                  <w:tcBorders>
                    <w:tl2br w:val="nil"/>
                    <w:tr2bl w:val="nil"/>
                  </w:tcBorders>
                  <w:noWrap w:val="0"/>
                  <w:vAlign w:val="center"/>
                </w:tcPr>
                <w:p w14:paraId="23F4B0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减振、厂房隔声、</w:t>
                  </w:r>
                </w:p>
                <w:p w14:paraId="6F9F6D1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合理布局</w:t>
                  </w:r>
                </w:p>
              </w:tc>
              <w:tc>
                <w:tcPr>
                  <w:tcW w:w="2365" w:type="dxa"/>
                  <w:tcBorders>
                    <w:tl2br w:val="nil"/>
                    <w:tr2bl w:val="nil"/>
                  </w:tcBorders>
                  <w:noWrap w:val="0"/>
                  <w:vAlign w:val="center"/>
                </w:tcPr>
                <w:p w14:paraId="3E6E527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《工业企业厂界环境噪声排放标准》（GB12348-2008）中的</w:t>
                  </w:r>
                  <w:r>
                    <w:rPr>
                      <w:rFonts w:hint="eastAsia"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eastAsia="zh-CN"/>
                    </w:rPr>
                    <w:t>类</w:t>
                  </w:r>
                  <w:r>
                    <w:rPr>
                      <w:rFonts w:hint="default" w:ascii="Times New Roman" w:hAnsi="Times New Roman" w:eastAsia="宋体" w:cs="Times New Roman"/>
                      <w:sz w:val="21"/>
                      <w:szCs w:val="21"/>
                    </w:rPr>
                    <w:t>标准值</w:t>
                  </w:r>
                </w:p>
              </w:tc>
              <w:tc>
                <w:tcPr>
                  <w:tcW w:w="480" w:type="dxa"/>
                  <w:vMerge w:val="continue"/>
                  <w:tcBorders>
                    <w:tl2br w:val="nil"/>
                    <w:tr2bl w:val="nil"/>
                  </w:tcBorders>
                  <w:noWrap w:val="0"/>
                  <w:vAlign w:val="center"/>
                </w:tcPr>
                <w:p w14:paraId="006E353A">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4662EA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521" w:type="dxa"/>
                  <w:gridSpan w:val="3"/>
                  <w:vMerge w:val="restart"/>
                  <w:tcBorders>
                    <w:tl2br w:val="nil"/>
                    <w:tr2bl w:val="nil"/>
                  </w:tcBorders>
                  <w:noWrap w:val="0"/>
                  <w:vAlign w:val="center"/>
                </w:tcPr>
                <w:p w14:paraId="79B3748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固废</w:t>
                  </w:r>
                </w:p>
              </w:tc>
              <w:tc>
                <w:tcPr>
                  <w:tcW w:w="1335" w:type="dxa"/>
                  <w:tcBorders>
                    <w:tl2br w:val="nil"/>
                    <w:tr2bl w:val="nil"/>
                  </w:tcBorders>
                  <w:noWrap w:val="0"/>
                  <w:vAlign w:val="center"/>
                </w:tcPr>
                <w:p w14:paraId="363665A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rPr>
                    <w:t>生活</w:t>
                  </w:r>
                  <w:r>
                    <w:rPr>
                      <w:rFonts w:hint="default" w:ascii="Times New Roman" w:hAnsi="Times New Roman" w:eastAsia="宋体" w:cs="Times New Roman"/>
                      <w:bCs/>
                      <w:sz w:val="21"/>
                      <w:szCs w:val="21"/>
                      <w:lang w:val="en-US" w:eastAsia="zh-CN"/>
                    </w:rPr>
                    <w:t>垃圾</w:t>
                  </w:r>
                </w:p>
              </w:tc>
              <w:tc>
                <w:tcPr>
                  <w:tcW w:w="2116" w:type="dxa"/>
                  <w:tcBorders>
                    <w:tl2br w:val="nil"/>
                    <w:tr2bl w:val="nil"/>
                  </w:tcBorders>
                  <w:noWrap w:val="0"/>
                  <w:vAlign w:val="center"/>
                </w:tcPr>
                <w:p w14:paraId="12F7A0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生活垃圾</w:t>
                  </w:r>
                  <w:r>
                    <w:rPr>
                      <w:rFonts w:hint="default" w:ascii="Times New Roman" w:hAnsi="Times New Roman" w:eastAsia="宋体" w:cs="Times New Roman"/>
                      <w:bCs/>
                      <w:sz w:val="21"/>
                      <w:szCs w:val="21"/>
                    </w:rPr>
                    <w:t>收集后统一环卫清运处理</w:t>
                  </w:r>
                </w:p>
              </w:tc>
              <w:tc>
                <w:tcPr>
                  <w:tcW w:w="2365" w:type="dxa"/>
                  <w:tcBorders>
                    <w:tl2br w:val="nil"/>
                    <w:tr2bl w:val="nil"/>
                  </w:tcBorders>
                  <w:noWrap w:val="0"/>
                  <w:vAlign w:val="center"/>
                </w:tcPr>
                <w:p w14:paraId="7657D30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《城市生活垃圾管理办法》（住房和城乡建设部令第24号，2015年5月4日修正）</w:t>
                  </w:r>
                </w:p>
              </w:tc>
              <w:tc>
                <w:tcPr>
                  <w:tcW w:w="480" w:type="dxa"/>
                  <w:vMerge w:val="continue"/>
                  <w:tcBorders>
                    <w:tl2br w:val="nil"/>
                    <w:tr2bl w:val="nil"/>
                  </w:tcBorders>
                  <w:noWrap w:val="0"/>
                  <w:vAlign w:val="center"/>
                </w:tcPr>
                <w:p w14:paraId="3D7AD3F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6A17BF7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521" w:type="dxa"/>
                  <w:gridSpan w:val="3"/>
                  <w:vMerge w:val="continue"/>
                  <w:tcBorders>
                    <w:tl2br w:val="nil"/>
                    <w:tr2bl w:val="nil"/>
                  </w:tcBorders>
                  <w:noWrap w:val="0"/>
                  <w:vAlign w:val="center"/>
                </w:tcPr>
                <w:p w14:paraId="6D96323F">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c>
                <w:tcPr>
                  <w:tcW w:w="1335" w:type="dxa"/>
                  <w:tcBorders>
                    <w:tl2br w:val="nil"/>
                    <w:tr2bl w:val="nil"/>
                  </w:tcBorders>
                  <w:noWrap w:val="0"/>
                  <w:vAlign w:val="center"/>
                </w:tcPr>
                <w:p w14:paraId="69F7CC3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一般固废</w:t>
                  </w:r>
                </w:p>
              </w:tc>
              <w:tc>
                <w:tcPr>
                  <w:tcW w:w="2116" w:type="dxa"/>
                  <w:tcBorders>
                    <w:tl2br w:val="nil"/>
                    <w:tr2bl w:val="nil"/>
                  </w:tcBorders>
                  <w:noWrap w:val="0"/>
                  <w:vAlign w:val="center"/>
                </w:tcPr>
                <w:p w14:paraId="783E2B89">
                  <w:pPr>
                    <w:pStyle w:val="31"/>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宋体" w:hAnsi="宋体" w:eastAsia="宋体"/>
                      <w:bCs/>
                      <w:kern w:val="2"/>
                      <w:sz w:val="21"/>
                      <w:szCs w:val="21"/>
                      <w:lang w:val="en-US" w:eastAsia="zh-CN" w:bidi="ar-SA"/>
                    </w:rPr>
                  </w:pPr>
                  <w:r>
                    <w:rPr>
                      <w:rFonts w:hint="eastAsia" w:ascii="Times New Roman" w:hAnsi="Times New Roman" w:eastAsia="宋体" w:cs="Times New Roman"/>
                      <w:color w:val="auto"/>
                      <w:sz w:val="21"/>
                      <w:szCs w:val="21"/>
                      <w:lang w:val="en-US" w:eastAsia="zh-CN"/>
                    </w:rPr>
                    <w:t>固废暂存区面积50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w:t>
                  </w:r>
                  <w:r>
                    <w:rPr>
                      <w:rFonts w:hint="eastAsia"/>
                      <w:color w:val="auto"/>
                      <w:sz w:val="21"/>
                      <w:szCs w:val="21"/>
                      <w:lang w:val="en-US" w:eastAsia="zh-CN"/>
                    </w:rPr>
                    <w:t>废丝、废布</w:t>
                  </w:r>
                  <w:r>
                    <w:rPr>
                      <w:rFonts w:hint="eastAsia" w:ascii="Times New Roman" w:hAnsi="Times New Roman" w:eastAsia="宋体" w:cs="Times New Roman"/>
                      <w:color w:val="auto"/>
                      <w:sz w:val="21"/>
                      <w:szCs w:val="21"/>
                      <w:lang w:val="en-US" w:eastAsia="zh-CN"/>
                    </w:rPr>
                    <w:t>相关单位</w:t>
                  </w:r>
                  <w:r>
                    <w:rPr>
                      <w:rFonts w:hint="default" w:ascii="Times New Roman" w:hAnsi="Times New Roman" w:eastAsia="宋体" w:cs="Times New Roman"/>
                      <w:color w:val="auto"/>
                      <w:sz w:val="21"/>
                      <w:szCs w:val="21"/>
                      <w:lang w:val="en-US" w:eastAsia="zh-CN"/>
                    </w:rPr>
                    <w:t>综合利用</w:t>
                  </w:r>
                </w:p>
              </w:tc>
              <w:tc>
                <w:tcPr>
                  <w:tcW w:w="2365" w:type="dxa"/>
                  <w:tcBorders>
                    <w:tl2br w:val="nil"/>
                    <w:tr2bl w:val="nil"/>
                  </w:tcBorders>
                  <w:noWrap w:val="0"/>
                  <w:vAlign w:val="center"/>
                </w:tcPr>
                <w:p w14:paraId="67B17E6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kern w:val="2"/>
                      <w:sz w:val="21"/>
                      <w:szCs w:val="21"/>
                      <w:lang w:val="en-US" w:eastAsia="zh-CN" w:bidi="ar-SA"/>
                    </w:rPr>
                    <w:t>《一般工业固体废物贮存和填埋污染控制标准》（GB18599-2020）</w:t>
                  </w:r>
                </w:p>
              </w:tc>
              <w:tc>
                <w:tcPr>
                  <w:tcW w:w="480" w:type="dxa"/>
                  <w:vMerge w:val="continue"/>
                  <w:tcBorders>
                    <w:tl2br w:val="nil"/>
                    <w:tr2bl w:val="nil"/>
                  </w:tcBorders>
                  <w:noWrap w:val="0"/>
                  <w:vAlign w:val="center"/>
                </w:tcPr>
                <w:p w14:paraId="616EAF7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2C11AA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521" w:type="dxa"/>
                  <w:gridSpan w:val="3"/>
                  <w:vMerge w:val="continue"/>
                  <w:tcBorders>
                    <w:tl2br w:val="nil"/>
                    <w:tr2bl w:val="nil"/>
                  </w:tcBorders>
                  <w:noWrap w:val="0"/>
                  <w:vAlign w:val="center"/>
                </w:tcPr>
                <w:p w14:paraId="2BA8EE2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c>
                <w:tcPr>
                  <w:tcW w:w="1335" w:type="dxa"/>
                  <w:tcBorders>
                    <w:tl2br w:val="nil"/>
                    <w:tr2bl w:val="nil"/>
                  </w:tcBorders>
                  <w:noWrap w:val="0"/>
                  <w:vAlign w:val="center"/>
                </w:tcPr>
                <w:p w14:paraId="6904DDB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危险废物</w:t>
                  </w:r>
                </w:p>
              </w:tc>
              <w:tc>
                <w:tcPr>
                  <w:tcW w:w="2116" w:type="dxa"/>
                  <w:tcBorders>
                    <w:tl2br w:val="nil"/>
                    <w:tr2bl w:val="nil"/>
                  </w:tcBorders>
                  <w:noWrap w:val="0"/>
                  <w:vAlign w:val="center"/>
                </w:tcPr>
                <w:p w14:paraId="2920BE2B">
                  <w:pPr>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eastAsia="宋体"/>
                      <w:kern w:val="2"/>
                      <w:sz w:val="21"/>
                      <w:szCs w:val="21"/>
                      <w:lang w:val="en-US" w:eastAsia="zh-CN" w:bidi="ar-SA"/>
                    </w:rPr>
                  </w:pPr>
                  <w:r>
                    <w:rPr>
                      <w:rFonts w:hint="default" w:ascii="Times New Roman" w:hAnsi="Times New Roman" w:eastAsia="宋体" w:cs="Times New Roman"/>
                      <w:sz w:val="21"/>
                      <w:szCs w:val="21"/>
                      <w:lang w:val="en-US" w:eastAsia="zh-CN"/>
                    </w:rPr>
                    <w:t>危废</w:t>
                  </w:r>
                  <w:r>
                    <w:rPr>
                      <w:rFonts w:hint="eastAsia" w:ascii="Times New Roman" w:hAnsi="Times New Roman" w:eastAsia="宋体" w:cs="Times New Roman"/>
                      <w:sz w:val="21"/>
                      <w:szCs w:val="21"/>
                      <w:lang w:val="en-US" w:eastAsia="zh-CN"/>
                    </w:rPr>
                    <w:t>仓库40</w:t>
                  </w:r>
                  <w:r>
                    <w:rPr>
                      <w:rFonts w:hint="default" w:ascii="Times New Roman" w:hAnsi="Times New Roman" w:eastAsia="宋体" w:cs="Times New Roman"/>
                      <w:color w:val="000000"/>
                      <w:sz w:val="21"/>
                      <w:szCs w:val="21"/>
                      <w:lang w:val="en-US" w:eastAsia="zh-CN"/>
                    </w:rPr>
                    <w:t>m</w:t>
                  </w:r>
                  <w:r>
                    <w:rPr>
                      <w:rFonts w:hint="default" w:ascii="Times New Roman" w:hAnsi="Times New Roman" w:eastAsia="宋体" w:cs="Times New Roman"/>
                      <w:color w:val="000000"/>
                      <w:sz w:val="21"/>
                      <w:szCs w:val="21"/>
                      <w:vertAlign w:val="superscript"/>
                      <w:lang w:val="en-US" w:eastAsia="zh-CN"/>
                    </w:rPr>
                    <w:t>2</w:t>
                  </w:r>
                  <w:r>
                    <w:rPr>
                      <w:rFonts w:hint="default" w:ascii="Times New Roman" w:hAnsi="Times New Roman" w:eastAsia="宋体" w:cs="Times New Roman"/>
                      <w:sz w:val="21"/>
                      <w:szCs w:val="21"/>
                      <w:lang w:val="en-US" w:eastAsia="zh-CN"/>
                    </w:rPr>
                    <w:t>，</w:t>
                  </w:r>
                  <w:r>
                    <w:rPr>
                      <w:rFonts w:hint="eastAsia" w:eastAsia="宋体"/>
                      <w:sz w:val="21"/>
                      <w:szCs w:val="21"/>
                      <w:highlight w:val="none"/>
                      <w:lang w:val="en-US" w:eastAsia="zh-CN"/>
                    </w:rPr>
                    <w:t>废油桶、废机油、油烟净化器废油、污（油）泥（待鉴别）、废过滤介质（待鉴别）</w:t>
                  </w:r>
                  <w:r>
                    <w:rPr>
                      <w:rFonts w:hint="default" w:ascii="Times New Roman" w:hAnsi="Times New Roman" w:eastAsia="宋体" w:cs="Times New Roman"/>
                      <w:sz w:val="21"/>
                      <w:szCs w:val="21"/>
                      <w:lang w:val="en-US" w:eastAsia="zh-CN"/>
                    </w:rPr>
                    <w:t>有资质的公司安全处置</w:t>
                  </w:r>
                </w:p>
              </w:tc>
              <w:tc>
                <w:tcPr>
                  <w:tcW w:w="2365" w:type="dxa"/>
                  <w:tcBorders>
                    <w:tl2br w:val="nil"/>
                    <w:tr2bl w:val="nil"/>
                  </w:tcBorders>
                  <w:noWrap w:val="0"/>
                  <w:vAlign w:val="center"/>
                </w:tcPr>
                <w:p w14:paraId="413401B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《危险废物贮存</w:t>
                  </w:r>
                </w:p>
                <w:p w14:paraId="30FDB60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污染控制标准》（GB18597- 20</w:t>
                  </w:r>
                  <w:r>
                    <w:rPr>
                      <w:rFonts w:hint="eastAsia" w:ascii="Times New Roman" w:hAnsi="Times New Roman" w:eastAsia="宋体" w:cs="Times New Roman"/>
                      <w:sz w:val="21"/>
                      <w:szCs w:val="21"/>
                      <w:lang w:val="en-US" w:eastAsia="zh-CN"/>
                    </w:rPr>
                    <w:t>23</w:t>
                  </w:r>
                  <w:r>
                    <w:rPr>
                      <w:rFonts w:hint="default" w:ascii="Times New Roman" w:hAnsi="Times New Roman" w:eastAsia="宋体" w:cs="Times New Roman"/>
                      <w:sz w:val="21"/>
                      <w:szCs w:val="21"/>
                      <w:lang w:val="en-US" w:eastAsia="zh-CN"/>
                    </w:rPr>
                    <w:t>）《危险废物转移联单管理办法》（总局令第5号</w:t>
                  </w:r>
                  <w:r>
                    <w:rPr>
                      <w:rFonts w:hint="eastAsia" w:ascii="Times New Roman" w:hAnsi="Times New Roman" w:eastAsia="宋体" w:cs="Times New Roman"/>
                      <w:sz w:val="21"/>
                      <w:szCs w:val="21"/>
                      <w:lang w:val="en-US" w:eastAsia="zh-CN"/>
                    </w:rPr>
                    <w:t>）</w:t>
                  </w:r>
                </w:p>
              </w:tc>
              <w:tc>
                <w:tcPr>
                  <w:tcW w:w="480" w:type="dxa"/>
                  <w:vMerge w:val="continue"/>
                  <w:tcBorders>
                    <w:tl2br w:val="nil"/>
                    <w:tr2bl w:val="nil"/>
                  </w:tcBorders>
                  <w:noWrap w:val="0"/>
                  <w:vAlign w:val="center"/>
                </w:tcPr>
                <w:p w14:paraId="58FC619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p>
              </w:tc>
            </w:tr>
            <w:tr w14:paraId="62136A5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521" w:type="dxa"/>
                  <w:gridSpan w:val="3"/>
                  <w:tcBorders>
                    <w:tl2br w:val="nil"/>
                    <w:tr2bl w:val="nil"/>
                  </w:tcBorders>
                  <w:noWrap w:val="0"/>
                  <w:vAlign w:val="center"/>
                </w:tcPr>
                <w:p w14:paraId="34A45E4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雨污分流、排污口规范化设置</w:t>
                  </w:r>
                </w:p>
              </w:tc>
              <w:tc>
                <w:tcPr>
                  <w:tcW w:w="3451" w:type="dxa"/>
                  <w:gridSpan w:val="2"/>
                  <w:tcBorders>
                    <w:tl2br w:val="nil"/>
                    <w:tr2bl w:val="nil"/>
                  </w:tcBorders>
                  <w:noWrap w:val="0"/>
                  <w:vAlign w:val="center"/>
                </w:tcPr>
                <w:p w14:paraId="46E845D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val="en-US" w:eastAsia="zh-CN"/>
                    </w:rPr>
                    <w:t>1个废气排放口、</w:t>
                  </w:r>
                  <w:r>
                    <w:rPr>
                      <w:rFonts w:hint="default" w:ascii="Times New Roman" w:hAnsi="Times New Roman" w:eastAsia="宋体" w:cs="Times New Roman"/>
                      <w:bCs/>
                      <w:sz w:val="21"/>
                      <w:szCs w:val="21"/>
                    </w:rPr>
                    <w:t>1个雨水排口、1个</w:t>
                  </w:r>
                  <w:r>
                    <w:rPr>
                      <w:rFonts w:hint="eastAsia" w:ascii="Times New Roman" w:hAnsi="Times New Roman" w:eastAsia="宋体" w:cs="Times New Roman"/>
                      <w:bCs/>
                      <w:sz w:val="21"/>
                      <w:szCs w:val="21"/>
                      <w:lang w:val="en-US" w:eastAsia="zh-CN"/>
                    </w:rPr>
                    <w:t>生活</w:t>
                  </w:r>
                  <w:r>
                    <w:rPr>
                      <w:rFonts w:hint="default" w:ascii="Times New Roman" w:hAnsi="Times New Roman" w:eastAsia="宋体" w:cs="Times New Roman"/>
                      <w:bCs/>
                      <w:sz w:val="21"/>
                      <w:szCs w:val="21"/>
                    </w:rPr>
                    <w:t>污水排口</w:t>
                  </w:r>
                </w:p>
              </w:tc>
              <w:tc>
                <w:tcPr>
                  <w:tcW w:w="2845" w:type="dxa"/>
                  <w:gridSpan w:val="2"/>
                  <w:tcBorders>
                    <w:tl2br w:val="nil"/>
                    <w:tr2bl w:val="nil"/>
                  </w:tcBorders>
                  <w:noWrap w:val="0"/>
                  <w:vAlign w:val="center"/>
                </w:tcPr>
                <w:p w14:paraId="03C30EE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排污口加装标识</w:t>
                  </w:r>
                </w:p>
              </w:tc>
            </w:tr>
            <w:tr w14:paraId="24E793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10" w:hRule="atLeast"/>
                <w:jc w:val="center"/>
              </w:trPr>
              <w:tc>
                <w:tcPr>
                  <w:tcW w:w="2521" w:type="dxa"/>
                  <w:gridSpan w:val="3"/>
                  <w:tcBorders>
                    <w:tl2br w:val="nil"/>
                    <w:tr2bl w:val="nil"/>
                  </w:tcBorders>
                  <w:noWrap w:val="0"/>
                  <w:vAlign w:val="center"/>
                </w:tcPr>
                <w:p w14:paraId="6D4A68F5">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bCs/>
                      <w:color w:val="auto"/>
                      <w:sz w:val="21"/>
                      <w:szCs w:val="21"/>
                      <w:lang w:eastAsia="zh-CN"/>
                    </w:rPr>
                  </w:pPr>
                  <w:r>
                    <w:rPr>
                      <w:rFonts w:hint="eastAsia"/>
                      <w:color w:val="auto"/>
                      <w:sz w:val="21"/>
                      <w:szCs w:val="18"/>
                    </w:rPr>
                    <w:t>事故应急和风险防范措施</w:t>
                  </w:r>
                </w:p>
              </w:tc>
              <w:tc>
                <w:tcPr>
                  <w:tcW w:w="6296" w:type="dxa"/>
                  <w:gridSpan w:val="4"/>
                  <w:tcBorders>
                    <w:tl2br w:val="nil"/>
                    <w:tr2bl w:val="nil"/>
                  </w:tcBorders>
                  <w:noWrap w:val="0"/>
                  <w:vAlign w:val="center"/>
                </w:tcPr>
                <w:p w14:paraId="4A7BF283">
                  <w:pPr>
                    <w:pStyle w:val="11"/>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（1）</w:t>
                  </w:r>
                  <w:r>
                    <w:rPr>
                      <w:rFonts w:hint="eastAsia" w:ascii="Times New Roman" w:hAnsi="Times New Roman" w:eastAsia="宋体" w:cs="Times New Roman"/>
                      <w:snapToGrid w:val="0"/>
                      <w:color w:val="auto"/>
                      <w:kern w:val="2"/>
                      <w:sz w:val="21"/>
                      <w:szCs w:val="21"/>
                      <w:lang w:val="en-US" w:eastAsia="zh-CN" w:bidi="ar-SA"/>
                    </w:rPr>
                    <w:t>危险物品的运输必须严格执行《危险货物运输规则》和《危险货物</w:t>
                  </w:r>
                  <w:r>
                    <w:rPr>
                      <w:rFonts w:hint="eastAsia" w:cs="Times New Roman"/>
                      <w:snapToGrid w:val="0"/>
                      <w:color w:val="auto"/>
                      <w:kern w:val="2"/>
                      <w:sz w:val="21"/>
                      <w:szCs w:val="21"/>
                      <w:lang w:val="en-US" w:eastAsia="zh-CN" w:bidi="ar-SA"/>
                    </w:rPr>
                    <w:t>道路</w:t>
                  </w:r>
                  <w:r>
                    <w:rPr>
                      <w:rFonts w:hint="eastAsia" w:ascii="Times New Roman" w:hAnsi="Times New Roman" w:eastAsia="宋体" w:cs="Times New Roman"/>
                      <w:snapToGrid w:val="0"/>
                      <w:color w:val="auto"/>
                      <w:kern w:val="2"/>
                      <w:sz w:val="21"/>
                      <w:szCs w:val="21"/>
                      <w:lang w:val="en-US" w:eastAsia="zh-CN" w:bidi="ar-SA"/>
                    </w:rPr>
                    <w:t>运输规则</w:t>
                  </w:r>
                  <w:r>
                    <w:rPr>
                      <w:rFonts w:hint="eastAsia" w:cs="Times New Roman"/>
                      <w:snapToGrid w:val="0"/>
                      <w:color w:val="auto"/>
                      <w:kern w:val="2"/>
                      <w:sz w:val="21"/>
                      <w:szCs w:val="21"/>
                      <w:lang w:val="en-US" w:eastAsia="zh-CN" w:bidi="ar-SA"/>
                    </w:rPr>
                    <w:t>（系列）</w:t>
                  </w:r>
                  <w:r>
                    <w:rPr>
                      <w:rFonts w:hint="eastAsia" w:ascii="Times New Roman" w:hAnsi="Times New Roman" w:eastAsia="宋体" w:cs="Times New Roman"/>
                      <w:snapToGrid w:val="0"/>
                      <w:color w:val="auto"/>
                      <w:kern w:val="2"/>
                      <w:sz w:val="21"/>
                      <w:szCs w:val="21"/>
                      <w:lang w:val="en-US" w:eastAsia="zh-CN" w:bidi="ar-SA"/>
                    </w:rPr>
                    <w:t>》</w:t>
                  </w:r>
                  <w:r>
                    <w:rPr>
                      <w:rFonts w:hint="eastAsia" w:cs="Times New Roman"/>
                      <w:snapToGrid w:val="0"/>
                      <w:color w:val="auto"/>
                      <w:kern w:val="2"/>
                      <w:sz w:val="21"/>
                      <w:szCs w:val="21"/>
                      <w:lang w:val="en-US" w:eastAsia="zh-CN" w:bidi="ar-SA"/>
                    </w:rPr>
                    <w:t>（JT/T 617-2018）</w:t>
                  </w:r>
                  <w:r>
                    <w:rPr>
                      <w:rFonts w:hint="eastAsia" w:ascii="Times New Roman" w:hAnsi="Times New Roman" w:eastAsia="宋体" w:cs="Times New Roman"/>
                      <w:snapToGrid w:val="0"/>
                      <w:color w:val="auto"/>
                      <w:kern w:val="2"/>
                      <w:sz w:val="21"/>
                      <w:szCs w:val="21"/>
                      <w:lang w:val="en-US" w:eastAsia="zh-CN" w:bidi="ar-SA"/>
                    </w:rPr>
                    <w:t>的有关规定。</w:t>
                  </w:r>
                </w:p>
                <w:p w14:paraId="22424667">
                  <w:pPr>
                    <w:pStyle w:val="11"/>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（2）</w:t>
                  </w:r>
                  <w:r>
                    <w:rPr>
                      <w:rFonts w:hint="eastAsia" w:ascii="Times New Roman" w:hAnsi="Times New Roman" w:eastAsia="宋体" w:cs="Times New Roman"/>
                      <w:snapToGrid w:val="0"/>
                      <w:color w:val="auto"/>
                      <w:kern w:val="2"/>
                      <w:sz w:val="21"/>
                      <w:szCs w:val="21"/>
                      <w:lang w:val="en-US" w:eastAsia="zh-CN" w:bidi="ar-SA"/>
                    </w:rPr>
                    <w:t>应加强安全消防设施的检查及管理，保证其处于</w:t>
                  </w:r>
                  <w:r>
                    <w:rPr>
                      <w:rFonts w:hint="eastAsia" w:cs="Times New Roman"/>
                      <w:snapToGrid w:val="0"/>
                      <w:color w:val="auto"/>
                      <w:kern w:val="2"/>
                      <w:sz w:val="21"/>
                      <w:szCs w:val="21"/>
                      <w:lang w:val="en-US" w:eastAsia="zh-CN" w:bidi="ar-SA"/>
                    </w:rPr>
                    <w:t>备用状态</w:t>
                  </w:r>
                  <w:r>
                    <w:rPr>
                      <w:rFonts w:hint="eastAsia" w:ascii="Times New Roman" w:hAnsi="Times New Roman" w:eastAsia="宋体" w:cs="Times New Roman"/>
                      <w:snapToGrid w:val="0"/>
                      <w:color w:val="auto"/>
                      <w:kern w:val="2"/>
                      <w:sz w:val="21"/>
                      <w:szCs w:val="21"/>
                      <w:lang w:val="en-US" w:eastAsia="zh-CN" w:bidi="ar-SA"/>
                    </w:rPr>
                    <w:t>。</w:t>
                  </w:r>
                </w:p>
                <w:p w14:paraId="0CE44BD2">
                  <w:pPr>
                    <w:pStyle w:val="11"/>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（3）</w:t>
                  </w:r>
                  <w:r>
                    <w:rPr>
                      <w:rFonts w:hint="eastAsia" w:ascii="Times New Roman" w:hAnsi="Times New Roman" w:eastAsia="宋体" w:cs="Times New Roman"/>
                      <w:snapToGrid w:val="0"/>
                      <w:color w:val="auto"/>
                      <w:kern w:val="2"/>
                      <w:sz w:val="21"/>
                      <w:szCs w:val="21"/>
                      <w:lang w:val="en-US" w:eastAsia="zh-CN" w:bidi="ar-SA"/>
                    </w:rPr>
                    <w:t>强化安全生产管理</w:t>
                  </w:r>
                  <w:r>
                    <w:rPr>
                      <w:rFonts w:hint="eastAsia" w:cs="Times New Roman"/>
                      <w:snapToGrid w:val="0"/>
                      <w:color w:val="auto"/>
                      <w:kern w:val="2"/>
                      <w:sz w:val="21"/>
                      <w:szCs w:val="21"/>
                      <w:lang w:val="en-US" w:eastAsia="zh-CN" w:bidi="ar-SA"/>
                    </w:rPr>
                    <w:t>，</w:t>
                  </w:r>
                  <w:r>
                    <w:rPr>
                      <w:rFonts w:hint="eastAsia" w:ascii="Times New Roman" w:hAnsi="Times New Roman" w:eastAsia="宋体" w:cs="Times New Roman"/>
                      <w:snapToGrid w:val="0"/>
                      <w:color w:val="auto"/>
                      <w:kern w:val="2"/>
                      <w:sz w:val="21"/>
                      <w:szCs w:val="21"/>
                      <w:lang w:val="en-US" w:eastAsia="zh-CN" w:bidi="ar-SA"/>
                    </w:rPr>
                    <w:t>制定岗位责任制，严格遵守操作规程。</w:t>
                  </w:r>
                </w:p>
                <w:p w14:paraId="2BFB2C7E">
                  <w:pPr>
                    <w:pStyle w:val="11"/>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（4）</w:t>
                  </w:r>
                  <w:r>
                    <w:rPr>
                      <w:rFonts w:hint="eastAsia" w:ascii="Times New Roman" w:hAnsi="Times New Roman" w:eastAsia="宋体" w:cs="Times New Roman"/>
                      <w:snapToGrid w:val="0"/>
                      <w:color w:val="auto"/>
                      <w:kern w:val="2"/>
                      <w:sz w:val="21"/>
                      <w:szCs w:val="21"/>
                      <w:lang w:val="en-US" w:eastAsia="zh-CN" w:bidi="ar-SA"/>
                    </w:rPr>
                    <w:t>定期检查、维护原料仓库油类储存区、废气处理设施、设备以确保正常运行。</w:t>
                  </w:r>
                </w:p>
                <w:p w14:paraId="3FF15B54">
                  <w:pPr>
                    <w:pStyle w:val="11"/>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（5）</w:t>
                  </w:r>
                  <w:r>
                    <w:rPr>
                      <w:rFonts w:hint="eastAsia" w:ascii="Times New Roman" w:hAnsi="Times New Roman" w:eastAsia="宋体" w:cs="Times New Roman"/>
                      <w:snapToGrid w:val="0"/>
                      <w:color w:val="auto"/>
                      <w:kern w:val="2"/>
                      <w:sz w:val="21"/>
                      <w:szCs w:val="21"/>
                      <w:lang w:val="en-US" w:eastAsia="zh-CN" w:bidi="ar-SA"/>
                    </w:rPr>
                    <w:t>危险暂存间要做好防风、防雨、防晒、防渗漏措施。</w:t>
                  </w:r>
                </w:p>
                <w:p w14:paraId="5F14BADB">
                  <w:pPr>
                    <w:pStyle w:val="11"/>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kern w:val="2"/>
                      <w:sz w:val="21"/>
                      <w:szCs w:val="21"/>
                      <w:lang w:val="en-US" w:eastAsia="zh-CN" w:bidi="ar-SA"/>
                    </w:rPr>
                    <w:t>（6）</w:t>
                  </w:r>
                  <w:r>
                    <w:rPr>
                      <w:rFonts w:hint="eastAsia" w:ascii="Times New Roman" w:hAnsi="Times New Roman" w:eastAsia="宋体" w:cs="Times New Roman"/>
                      <w:snapToGrid w:val="0"/>
                      <w:color w:val="auto"/>
                      <w:kern w:val="2"/>
                      <w:sz w:val="21"/>
                      <w:szCs w:val="21"/>
                      <w:lang w:val="en-US" w:eastAsia="zh-CN" w:bidi="ar-SA"/>
                    </w:rPr>
                    <w:t>设置应急事故水池等事故排水收集设施</w:t>
                  </w:r>
                  <w:r>
                    <w:rPr>
                      <w:rFonts w:hint="eastAsia" w:cs="Times New Roman"/>
                      <w:snapToGrid w:val="0"/>
                      <w:color w:val="auto"/>
                      <w:kern w:val="2"/>
                      <w:sz w:val="21"/>
                      <w:szCs w:val="21"/>
                      <w:lang w:val="en-US" w:eastAsia="zh-CN" w:bidi="ar-SA"/>
                    </w:rPr>
                    <w:t>；</w:t>
                  </w:r>
                  <w:r>
                    <w:rPr>
                      <w:rFonts w:hint="eastAsia" w:ascii="Times New Roman" w:hAnsi="Times New Roman" w:eastAsia="宋体" w:cs="Times New Roman"/>
                      <w:snapToGrid w:val="0"/>
                      <w:color w:val="auto"/>
                      <w:kern w:val="2"/>
                      <w:sz w:val="21"/>
                      <w:szCs w:val="21"/>
                      <w:lang w:val="en-US" w:eastAsia="zh-CN" w:bidi="ar-SA"/>
                    </w:rPr>
                    <w:t>应急事故水池等事故排水收集设施能自流式或确保事故状态下顺利收集泄漏物和消水，日常保持足够的事故排水缓冲容量</w:t>
                  </w:r>
                  <w:r>
                    <w:rPr>
                      <w:rFonts w:hint="eastAsia" w:cs="Times New Roman"/>
                      <w:snapToGrid w:val="0"/>
                      <w:color w:val="auto"/>
                      <w:kern w:val="2"/>
                      <w:sz w:val="21"/>
                      <w:szCs w:val="21"/>
                      <w:lang w:val="en-US" w:eastAsia="zh-CN" w:bidi="ar-SA"/>
                    </w:rPr>
                    <w:t>；</w:t>
                  </w:r>
                  <w:r>
                    <w:rPr>
                      <w:rFonts w:hint="eastAsia" w:ascii="Times New Roman" w:hAnsi="Times New Roman" w:eastAsia="宋体" w:cs="Times New Roman"/>
                      <w:snapToGrid w:val="0"/>
                      <w:color w:val="auto"/>
                      <w:kern w:val="2"/>
                      <w:sz w:val="21"/>
                      <w:szCs w:val="21"/>
                      <w:lang w:val="en-US" w:eastAsia="zh-CN" w:bidi="ar-SA"/>
                    </w:rPr>
                    <w:t>设抽水设施，并与</w:t>
                  </w:r>
                  <w:r>
                    <w:rPr>
                      <w:rFonts w:hint="eastAsia" w:cs="Times New Roman"/>
                      <w:snapToGrid w:val="0"/>
                      <w:color w:val="auto"/>
                      <w:kern w:val="2"/>
                      <w:sz w:val="21"/>
                      <w:szCs w:val="21"/>
                      <w:lang w:val="en-US" w:eastAsia="zh-CN" w:bidi="ar-SA"/>
                    </w:rPr>
                    <w:t>污水管网</w:t>
                  </w:r>
                  <w:r>
                    <w:rPr>
                      <w:rFonts w:hint="eastAsia" w:ascii="Times New Roman" w:hAnsi="Times New Roman" w:eastAsia="宋体" w:cs="Times New Roman"/>
                      <w:snapToGrid w:val="0"/>
                      <w:color w:val="auto"/>
                      <w:kern w:val="2"/>
                      <w:sz w:val="21"/>
                      <w:szCs w:val="21"/>
                      <w:lang w:val="en-US" w:eastAsia="zh-CN" w:bidi="ar-SA"/>
                    </w:rPr>
                    <w:t>连接。</w:t>
                  </w:r>
                </w:p>
                <w:p w14:paraId="48FDE8F9">
                  <w:pPr>
                    <w:pStyle w:val="11"/>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default" w:ascii="Times New Roman" w:hAnsi="Times New Roman" w:eastAsia="宋体" w:cs="Times New Roman"/>
                      <w:bCs/>
                      <w:color w:val="auto"/>
                      <w:sz w:val="21"/>
                      <w:szCs w:val="21"/>
                      <w:lang w:eastAsia="zh-CN"/>
                    </w:rPr>
                  </w:pPr>
                  <w:r>
                    <w:rPr>
                      <w:rFonts w:hint="eastAsia" w:cs="Times New Roman"/>
                      <w:snapToGrid w:val="0"/>
                      <w:color w:val="auto"/>
                      <w:kern w:val="2"/>
                      <w:sz w:val="21"/>
                      <w:szCs w:val="21"/>
                      <w:lang w:val="en-US" w:eastAsia="zh-CN" w:bidi="ar-SA"/>
                    </w:rPr>
                    <w:t>（7）</w:t>
                  </w:r>
                  <w:r>
                    <w:rPr>
                      <w:rFonts w:hint="eastAsia" w:ascii="Times New Roman" w:hAnsi="Times New Roman" w:eastAsia="宋体" w:cs="Times New Roman"/>
                      <w:snapToGrid w:val="0"/>
                      <w:color w:val="auto"/>
                      <w:kern w:val="2"/>
                      <w:sz w:val="21"/>
                      <w:szCs w:val="21"/>
                      <w:lang w:val="en-US" w:eastAsia="zh-CN" w:bidi="ar-SA"/>
                    </w:rPr>
                    <w:t>企业编制突发环境事件应急预案，配备应急器材，在发生泄漏、火灾和爆炸等事故时控制泄漏物和消防废水进入下水道。企业应完善突发环境事故应急措施。</w:t>
                  </w:r>
                </w:p>
              </w:tc>
            </w:tr>
            <w:tr w14:paraId="67F154A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521" w:type="dxa"/>
                  <w:gridSpan w:val="3"/>
                  <w:tcBorders>
                    <w:tl2br w:val="nil"/>
                    <w:tr2bl w:val="nil"/>
                  </w:tcBorders>
                  <w:noWrap w:val="0"/>
                  <w:vAlign w:val="center"/>
                </w:tcPr>
                <w:p w14:paraId="5379EE6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环境管理</w:t>
                  </w:r>
                </w:p>
              </w:tc>
              <w:tc>
                <w:tcPr>
                  <w:tcW w:w="1335" w:type="dxa"/>
                  <w:tcBorders>
                    <w:tl2br w:val="nil"/>
                    <w:tr2bl w:val="nil"/>
                  </w:tcBorders>
                  <w:noWrap w:val="0"/>
                  <w:vAlign w:val="center"/>
                </w:tcPr>
                <w:p w14:paraId="00928ED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环境管理机构和人员</w:t>
                  </w:r>
                </w:p>
              </w:tc>
              <w:tc>
                <w:tcPr>
                  <w:tcW w:w="4961" w:type="dxa"/>
                  <w:gridSpan w:val="3"/>
                  <w:tcBorders>
                    <w:tl2br w:val="nil"/>
                    <w:tr2bl w:val="nil"/>
                  </w:tcBorders>
                  <w:noWrap w:val="0"/>
                  <w:vAlign w:val="center"/>
                </w:tcPr>
                <w:p w14:paraId="03368B0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设单位须有1人以上的专门人员（或者兼职人员）负责日常环境管理工作，建立环境管理制度</w:t>
                  </w:r>
                </w:p>
              </w:tc>
            </w:tr>
          </w:tbl>
          <w:p w14:paraId="330B649A">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right="0" w:rightChars="0"/>
              <w:jc w:val="center"/>
              <w:textAlignment w:val="auto"/>
              <w:rPr>
                <w:b/>
                <w:bCs/>
                <w:color w:val="000000"/>
                <w:sz w:val="24"/>
                <w:lang w:val="zh-CN"/>
              </w:rPr>
            </w:pPr>
            <w:r>
              <w:rPr>
                <w:b/>
                <w:bCs/>
                <w:color w:val="000000"/>
                <w:sz w:val="24"/>
              </w:rPr>
              <w:t>表4-</w:t>
            </w:r>
            <w:r>
              <w:rPr>
                <w:rFonts w:hint="eastAsia"/>
                <w:b/>
                <w:bCs/>
                <w:color w:val="000000"/>
                <w:sz w:val="24"/>
                <w:lang w:val="en-US" w:eastAsia="zh-CN"/>
              </w:rPr>
              <w:t>39 项目环保投资估算</w:t>
            </w:r>
            <w:r>
              <w:rPr>
                <w:b/>
                <w:bCs/>
                <w:color w:val="000000"/>
                <w:sz w:val="24"/>
                <w:lang w:val="zh-CN"/>
              </w:rPr>
              <w:t>一览表</w:t>
            </w:r>
          </w:p>
          <w:tbl>
            <w:tblPr>
              <w:tblStyle w:val="39"/>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4809"/>
              <w:gridCol w:w="2941"/>
            </w:tblGrid>
            <w:tr w14:paraId="0C873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34" w:type="dxa"/>
                  <w:tcBorders>
                    <w:tl2br w:val="nil"/>
                    <w:tr2bl w:val="nil"/>
                  </w:tcBorders>
                  <w:noWrap w:val="0"/>
                  <w:vAlign w:val="center"/>
                </w:tcPr>
                <w:p w14:paraId="553D6C45">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序号</w:t>
                  </w:r>
                </w:p>
              </w:tc>
              <w:tc>
                <w:tcPr>
                  <w:tcW w:w="4654" w:type="dxa"/>
                  <w:tcBorders>
                    <w:tl2br w:val="nil"/>
                    <w:tr2bl w:val="nil"/>
                  </w:tcBorders>
                  <w:noWrap w:val="0"/>
                  <w:vAlign w:val="center"/>
                </w:tcPr>
                <w:p w14:paraId="1E30CDB4">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bCs w:val="0"/>
                      <w:sz w:val="21"/>
                      <w:szCs w:val="21"/>
                      <w:lang w:val="en-US" w:eastAsia="zh-CN"/>
                    </w:rPr>
                  </w:pPr>
                  <w:r>
                    <w:rPr>
                      <w:rFonts w:hint="eastAsia" w:ascii="Times New Roman" w:hAnsi="Times New Roman" w:eastAsia="宋体" w:cs="Times New Roman"/>
                      <w:b/>
                      <w:bCs w:val="0"/>
                      <w:sz w:val="21"/>
                      <w:szCs w:val="21"/>
                      <w:lang w:val="en-US" w:eastAsia="zh-CN"/>
                    </w:rPr>
                    <w:t>项目</w:t>
                  </w:r>
                </w:p>
              </w:tc>
              <w:tc>
                <w:tcPr>
                  <w:tcW w:w="2846" w:type="dxa"/>
                  <w:tcBorders>
                    <w:tl2br w:val="nil"/>
                    <w:tr2bl w:val="nil"/>
                  </w:tcBorders>
                  <w:noWrap w:val="0"/>
                  <w:vAlign w:val="center"/>
                </w:tcPr>
                <w:p w14:paraId="7698DA9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bCs w:val="0"/>
                      <w:sz w:val="21"/>
                      <w:szCs w:val="21"/>
                      <w:lang w:val="zh-CN"/>
                    </w:rPr>
                  </w:pPr>
                  <w:r>
                    <w:rPr>
                      <w:rFonts w:hint="eastAsia" w:ascii="Times New Roman" w:hAnsi="Times New Roman" w:eastAsia="宋体" w:cs="Times New Roman"/>
                      <w:b/>
                      <w:bCs w:val="0"/>
                      <w:sz w:val="21"/>
                      <w:szCs w:val="21"/>
                      <w:lang w:val="zh-CN"/>
                    </w:rPr>
                    <w:t>费用估算（万元）</w:t>
                  </w:r>
                </w:p>
              </w:tc>
            </w:tr>
            <w:tr w14:paraId="7760E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034" w:type="dxa"/>
                  <w:tcBorders>
                    <w:tl2br w:val="nil"/>
                    <w:tr2bl w:val="nil"/>
                  </w:tcBorders>
                  <w:noWrap w:val="0"/>
                  <w:vAlign w:val="center"/>
                </w:tcPr>
                <w:p w14:paraId="174C4FF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w:t>
                  </w:r>
                </w:p>
              </w:tc>
              <w:tc>
                <w:tcPr>
                  <w:tcW w:w="4654" w:type="dxa"/>
                  <w:tcBorders>
                    <w:tl2br w:val="nil"/>
                    <w:tr2bl w:val="nil"/>
                  </w:tcBorders>
                  <w:noWrap w:val="0"/>
                  <w:vAlign w:val="center"/>
                </w:tcPr>
                <w:p w14:paraId="3697926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废气处理：1套油烟净化器、集气罩、废气收集管道、风机等</w:t>
                  </w:r>
                </w:p>
              </w:tc>
              <w:tc>
                <w:tcPr>
                  <w:tcW w:w="2846" w:type="dxa"/>
                  <w:tcBorders>
                    <w:tl2br w:val="nil"/>
                    <w:tr2bl w:val="nil"/>
                  </w:tcBorders>
                  <w:noWrap w:val="0"/>
                  <w:vAlign w:val="center"/>
                </w:tcPr>
                <w:p w14:paraId="4F0B1F18">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30</w:t>
                  </w:r>
                </w:p>
              </w:tc>
            </w:tr>
            <w:tr w14:paraId="438B6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34" w:type="dxa"/>
                  <w:tcBorders>
                    <w:tl2br w:val="nil"/>
                    <w:tr2bl w:val="nil"/>
                  </w:tcBorders>
                  <w:noWrap w:val="0"/>
                  <w:vAlign w:val="center"/>
                </w:tcPr>
                <w:p w14:paraId="27E7682D">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2</w:t>
                  </w:r>
                </w:p>
              </w:tc>
              <w:tc>
                <w:tcPr>
                  <w:tcW w:w="4654" w:type="dxa"/>
                  <w:tcBorders>
                    <w:tl2br w:val="nil"/>
                    <w:tr2bl w:val="nil"/>
                  </w:tcBorders>
                  <w:noWrap w:val="0"/>
                  <w:vAlign w:val="center"/>
                </w:tcPr>
                <w:p w14:paraId="7AAC9DF2">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废水处理：调节+混凝气浮+接触氧化+二沉+砂滤、炭滤、化粪池、污水沟等</w:t>
                  </w:r>
                </w:p>
              </w:tc>
              <w:tc>
                <w:tcPr>
                  <w:tcW w:w="2846" w:type="dxa"/>
                  <w:tcBorders>
                    <w:tl2br w:val="nil"/>
                    <w:tr2bl w:val="nil"/>
                  </w:tcBorders>
                  <w:noWrap w:val="0"/>
                  <w:vAlign w:val="center"/>
                </w:tcPr>
                <w:p w14:paraId="71EC4BF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153</w:t>
                  </w:r>
                </w:p>
              </w:tc>
            </w:tr>
            <w:tr w14:paraId="06A6A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34" w:type="dxa"/>
                  <w:tcBorders>
                    <w:tl2br w:val="nil"/>
                    <w:tr2bl w:val="nil"/>
                  </w:tcBorders>
                  <w:noWrap w:val="0"/>
                  <w:vAlign w:val="center"/>
                </w:tcPr>
                <w:p w14:paraId="4929F60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3</w:t>
                  </w:r>
                </w:p>
              </w:tc>
              <w:tc>
                <w:tcPr>
                  <w:tcW w:w="4654" w:type="dxa"/>
                  <w:tcBorders>
                    <w:tl2br w:val="nil"/>
                    <w:tr2bl w:val="nil"/>
                  </w:tcBorders>
                  <w:noWrap w:val="0"/>
                  <w:vAlign w:val="center"/>
                </w:tcPr>
                <w:p w14:paraId="54FB7FD6">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zh-CN"/>
                    </w:rPr>
                  </w:pPr>
                  <w:r>
                    <w:rPr>
                      <w:rFonts w:hint="default" w:ascii="Times New Roman" w:hAnsi="Times New Roman" w:eastAsia="宋体" w:cs="Times New Roman"/>
                      <w:bCs/>
                      <w:sz w:val="21"/>
                      <w:szCs w:val="21"/>
                      <w:lang w:val="zh-CN"/>
                    </w:rPr>
                    <w:t>噪声处理：隔声降噪设施，设备维护等</w:t>
                  </w:r>
                </w:p>
              </w:tc>
              <w:tc>
                <w:tcPr>
                  <w:tcW w:w="2846" w:type="dxa"/>
                  <w:tcBorders>
                    <w:tl2br w:val="nil"/>
                    <w:tr2bl w:val="nil"/>
                  </w:tcBorders>
                  <w:noWrap w:val="0"/>
                  <w:vAlign w:val="center"/>
                </w:tcPr>
                <w:p w14:paraId="6558081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7</w:t>
                  </w:r>
                </w:p>
              </w:tc>
            </w:tr>
            <w:tr w14:paraId="54211C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34" w:type="dxa"/>
                  <w:tcBorders>
                    <w:tl2br w:val="nil"/>
                    <w:tr2bl w:val="nil"/>
                  </w:tcBorders>
                  <w:noWrap w:val="0"/>
                  <w:vAlign w:val="center"/>
                </w:tcPr>
                <w:p w14:paraId="596D0460">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4</w:t>
                  </w:r>
                </w:p>
              </w:tc>
              <w:tc>
                <w:tcPr>
                  <w:tcW w:w="4654" w:type="dxa"/>
                  <w:tcBorders>
                    <w:tl2br w:val="nil"/>
                    <w:tr2bl w:val="nil"/>
                  </w:tcBorders>
                  <w:noWrap w:val="0"/>
                  <w:vAlign w:val="center"/>
                </w:tcPr>
                <w:p w14:paraId="2FEC74A7">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zh-CN"/>
                    </w:rPr>
                  </w:pPr>
                  <w:r>
                    <w:rPr>
                      <w:rFonts w:hint="default" w:ascii="Times New Roman" w:hAnsi="Times New Roman" w:eastAsia="宋体" w:cs="Times New Roman"/>
                      <w:bCs/>
                      <w:sz w:val="21"/>
                      <w:szCs w:val="21"/>
                      <w:lang w:val="zh-CN"/>
                    </w:rPr>
                    <w:t>固废处理：固废、危废暂存及处置等</w:t>
                  </w:r>
                </w:p>
              </w:tc>
              <w:tc>
                <w:tcPr>
                  <w:tcW w:w="2846" w:type="dxa"/>
                  <w:tcBorders>
                    <w:tl2br w:val="nil"/>
                    <w:tr2bl w:val="nil"/>
                  </w:tcBorders>
                  <w:noWrap w:val="0"/>
                  <w:vAlign w:val="center"/>
                </w:tcPr>
                <w:p w14:paraId="041E5A3D">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10</w:t>
                  </w:r>
                </w:p>
              </w:tc>
            </w:tr>
            <w:tr w14:paraId="1C81B2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88" w:type="dxa"/>
                  <w:gridSpan w:val="2"/>
                  <w:tcBorders>
                    <w:tl2br w:val="nil"/>
                    <w:tr2bl w:val="nil"/>
                  </w:tcBorders>
                  <w:noWrap w:val="0"/>
                  <w:vAlign w:val="center"/>
                </w:tcPr>
                <w:p w14:paraId="1D09719C">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zh-CN"/>
                    </w:rPr>
                  </w:pPr>
                  <w:r>
                    <w:rPr>
                      <w:rFonts w:hint="eastAsia" w:ascii="Times New Roman" w:hAnsi="Times New Roman" w:eastAsia="宋体" w:cs="Times New Roman"/>
                      <w:bCs/>
                      <w:sz w:val="21"/>
                      <w:szCs w:val="21"/>
                      <w:lang w:val="en-US" w:eastAsia="zh-CN"/>
                    </w:rPr>
                    <w:t>合计</w:t>
                  </w:r>
                </w:p>
              </w:tc>
              <w:tc>
                <w:tcPr>
                  <w:tcW w:w="2846" w:type="dxa"/>
                  <w:tcBorders>
                    <w:tl2br w:val="nil"/>
                    <w:tr2bl w:val="nil"/>
                  </w:tcBorders>
                  <w:noWrap w:val="0"/>
                  <w:vAlign w:val="center"/>
                </w:tcPr>
                <w:p w14:paraId="7EB730AE">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200</w:t>
                  </w:r>
                </w:p>
              </w:tc>
            </w:tr>
            <w:tr w14:paraId="74C94A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688" w:type="dxa"/>
                  <w:gridSpan w:val="2"/>
                  <w:tcBorders>
                    <w:tl2br w:val="nil"/>
                    <w:tr2bl w:val="nil"/>
                  </w:tcBorders>
                  <w:noWrap w:val="0"/>
                  <w:vAlign w:val="center"/>
                </w:tcPr>
                <w:p w14:paraId="6A38DFB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zh-CN"/>
                    </w:rPr>
                  </w:pPr>
                  <w:r>
                    <w:rPr>
                      <w:rFonts w:hint="default" w:ascii="Times New Roman" w:hAnsi="Times New Roman" w:eastAsia="宋体" w:cs="Times New Roman"/>
                      <w:bCs/>
                      <w:sz w:val="21"/>
                      <w:szCs w:val="21"/>
                      <w:lang w:val="zh-CN"/>
                    </w:rPr>
                    <w:t>占项目总投资（</w:t>
                  </w:r>
                  <w:r>
                    <w:rPr>
                      <w:rFonts w:hint="eastAsia" w:ascii="Times New Roman" w:hAnsi="Times New Roman" w:eastAsia="宋体" w:cs="Times New Roman"/>
                      <w:bCs/>
                      <w:sz w:val="21"/>
                      <w:szCs w:val="21"/>
                      <w:lang w:val="en-US" w:eastAsia="zh-CN"/>
                    </w:rPr>
                    <w:t>12</w:t>
                  </w:r>
                  <w:r>
                    <w:rPr>
                      <w:rFonts w:hint="default" w:ascii="Times New Roman" w:hAnsi="Times New Roman" w:eastAsia="宋体" w:cs="Times New Roman"/>
                      <w:bCs/>
                      <w:sz w:val="21"/>
                      <w:szCs w:val="21"/>
                      <w:lang w:val="zh-CN"/>
                    </w:rPr>
                    <w:t>000万元）比例</w:t>
                  </w:r>
                </w:p>
              </w:tc>
              <w:tc>
                <w:tcPr>
                  <w:tcW w:w="2846" w:type="dxa"/>
                  <w:tcBorders>
                    <w:tl2br w:val="nil"/>
                    <w:tr2bl w:val="nil"/>
                  </w:tcBorders>
                  <w:noWrap w:val="0"/>
                  <w:vAlign w:val="center"/>
                </w:tcPr>
                <w:p w14:paraId="4E0BBEAB">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1.67%</w:t>
                  </w:r>
                </w:p>
              </w:tc>
            </w:tr>
          </w:tbl>
          <w:p w14:paraId="484643A1">
            <w:pPr>
              <w:pStyle w:val="15"/>
              <w:numPr>
                <w:ilvl w:val="0"/>
                <w:numId w:val="0"/>
              </w:numPr>
              <w:ind w:firstLine="480" w:firstLineChars="200"/>
              <w:rPr>
                <w:rFonts w:hint="default"/>
                <w:lang w:val="en-US" w:eastAsia="zh-CN"/>
              </w:rPr>
            </w:pPr>
          </w:p>
        </w:tc>
      </w:tr>
    </w:tbl>
    <w:p w14:paraId="5CCAEC9D">
      <w:pPr>
        <w:pStyle w:val="149"/>
        <w:spacing w:before="120"/>
        <w:jc w:val="both"/>
        <w:rPr>
          <w:color w:val="auto"/>
        </w:rPr>
        <w:sectPr>
          <w:pgSz w:w="11906" w:h="16838"/>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12" w:charSpace="0"/>
        </w:sectPr>
      </w:pPr>
    </w:p>
    <w:p w14:paraId="501B5959">
      <w:pPr>
        <w:pStyle w:val="30"/>
        <w:adjustRightInd w:val="0"/>
        <w:snapToGrid w:val="0"/>
        <w:spacing w:before="0" w:beforeAutospacing="0" w:after="0" w:afterAutospacing="0" w:line="240" w:lineRule="auto"/>
        <w:ind w:firstLine="0" w:firstLineChars="0"/>
        <w:jc w:val="center"/>
        <w:outlineLvl w:val="0"/>
        <w:rPr>
          <w:rFonts w:hint="default" w:ascii="Times New Roman" w:hAnsi="Times New Roman" w:eastAsia="宋体" w:cs="Times New Roman"/>
          <w:b/>
          <w:bCs/>
          <w:snapToGrid w:val="0"/>
          <w:color w:val="auto"/>
          <w:sz w:val="30"/>
          <w:szCs w:val="30"/>
        </w:rPr>
      </w:pPr>
      <w:bookmarkStart w:id="36" w:name="_Toc7041"/>
      <w:r>
        <w:rPr>
          <w:rFonts w:hint="default" w:ascii="Times New Roman" w:hAnsi="Times New Roman" w:eastAsia="宋体" w:cs="Times New Roman"/>
          <w:b/>
          <w:bCs/>
          <w:snapToGrid w:val="0"/>
          <w:color w:val="auto"/>
          <w:sz w:val="30"/>
          <w:szCs w:val="30"/>
        </w:rPr>
        <w:t>五、环境保护措施监督检查清单</w:t>
      </w:r>
    </w:p>
    <w:tbl>
      <w:tblPr>
        <w:tblStyle w:val="38"/>
        <w:tblW w:w="92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555"/>
        <w:gridCol w:w="1219"/>
        <w:gridCol w:w="1920"/>
        <w:gridCol w:w="1831"/>
        <w:gridCol w:w="2486"/>
      </w:tblGrid>
      <w:tr w14:paraId="2254B7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11" w:type="dxa"/>
            <w:tcBorders>
              <w:tl2br w:val="single" w:color="auto" w:sz="4" w:space="0"/>
            </w:tcBorders>
            <w:vAlign w:val="center"/>
          </w:tcPr>
          <w:p w14:paraId="0651858F">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内容</w:t>
            </w:r>
          </w:p>
          <w:p w14:paraId="2E6A243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p w14:paraId="4C55D0DA">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p w14:paraId="2AD6C040">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要素</w:t>
            </w:r>
          </w:p>
        </w:tc>
        <w:tc>
          <w:tcPr>
            <w:tcW w:w="1774" w:type="dxa"/>
            <w:gridSpan w:val="2"/>
            <w:vAlign w:val="center"/>
          </w:tcPr>
          <w:p w14:paraId="03E50F6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排放口</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编号、名称</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/污染源</w:t>
            </w:r>
          </w:p>
        </w:tc>
        <w:tc>
          <w:tcPr>
            <w:tcW w:w="1920" w:type="dxa"/>
            <w:vAlign w:val="center"/>
          </w:tcPr>
          <w:p w14:paraId="445E82D1">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污染物项目</w:t>
            </w:r>
          </w:p>
        </w:tc>
        <w:tc>
          <w:tcPr>
            <w:tcW w:w="1831" w:type="dxa"/>
            <w:vAlign w:val="center"/>
          </w:tcPr>
          <w:p w14:paraId="63FD5119">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环境保护措施</w:t>
            </w:r>
          </w:p>
        </w:tc>
        <w:tc>
          <w:tcPr>
            <w:tcW w:w="2486" w:type="dxa"/>
            <w:vAlign w:val="center"/>
          </w:tcPr>
          <w:p w14:paraId="54C5A39A">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执行标准</w:t>
            </w:r>
          </w:p>
        </w:tc>
      </w:tr>
      <w:tr w14:paraId="065FE2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211" w:type="dxa"/>
            <w:vMerge w:val="restart"/>
            <w:vAlign w:val="center"/>
          </w:tcPr>
          <w:p w14:paraId="0AB6BD1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大气环境</w:t>
            </w:r>
          </w:p>
        </w:tc>
        <w:tc>
          <w:tcPr>
            <w:tcW w:w="555" w:type="dxa"/>
            <w:vAlign w:val="center"/>
          </w:tcPr>
          <w:p w14:paraId="3EABB4FE">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有组织</w:t>
            </w:r>
          </w:p>
        </w:tc>
        <w:tc>
          <w:tcPr>
            <w:tcW w:w="1219" w:type="dxa"/>
            <w:vAlign w:val="center"/>
          </w:tcPr>
          <w:p w14:paraId="287DA3A0">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排气筒DA001/</w:t>
            </w:r>
            <w:r>
              <w:rPr>
                <w:rFonts w:hint="eastAsia" w:cs="Times New Roman"/>
                <w:color w:val="auto"/>
                <w:kern w:val="0"/>
                <w:sz w:val="21"/>
                <w:szCs w:val="21"/>
                <w:lang w:val="en-US" w:eastAsia="zh-CN"/>
              </w:rPr>
              <w:t>加弹</w:t>
            </w:r>
          </w:p>
        </w:tc>
        <w:tc>
          <w:tcPr>
            <w:tcW w:w="1920" w:type="dxa"/>
            <w:vAlign w:val="center"/>
          </w:tcPr>
          <w:p w14:paraId="6A97405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lang w:val="en-US" w:eastAsia="zh-CN" w:bidi="ar"/>
              </w:rPr>
              <w:t>非甲烷总烃</w:t>
            </w:r>
          </w:p>
        </w:tc>
        <w:tc>
          <w:tcPr>
            <w:tcW w:w="1831" w:type="dxa"/>
            <w:vAlign w:val="center"/>
          </w:tcPr>
          <w:p w14:paraId="3BC18421">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eastAsia" w:cs="Times New Roman"/>
                <w:color w:val="auto"/>
                <w:kern w:val="0"/>
                <w:sz w:val="21"/>
                <w:szCs w:val="21"/>
                <w:lang w:val="en-US" w:eastAsia="zh-CN" w:bidi="ar"/>
              </w:rPr>
              <w:t>高压静电油烟净化器</w:t>
            </w:r>
            <w:r>
              <w:rPr>
                <w:rFonts w:hint="default" w:ascii="Times New Roman" w:hAnsi="Times New Roman" w:eastAsia="宋体" w:cs="Times New Roman"/>
                <w:color w:val="auto"/>
                <w:kern w:val="0"/>
                <w:sz w:val="21"/>
                <w:szCs w:val="21"/>
                <w:lang w:bidi="ar"/>
              </w:rPr>
              <w:t>+15m排气筒，设计风量</w:t>
            </w:r>
            <w:r>
              <w:rPr>
                <w:rFonts w:hint="eastAsia" w:cs="Times New Roman"/>
                <w:color w:val="auto"/>
                <w:kern w:val="0"/>
                <w:sz w:val="21"/>
                <w:szCs w:val="21"/>
                <w:lang w:val="en-US" w:eastAsia="zh-CN" w:bidi="ar"/>
              </w:rPr>
              <w:t>12</w:t>
            </w:r>
            <w:r>
              <w:rPr>
                <w:rFonts w:hint="default" w:ascii="Times New Roman" w:hAnsi="Times New Roman" w:eastAsia="宋体" w:cs="Times New Roman"/>
                <w:color w:val="auto"/>
                <w:kern w:val="0"/>
                <w:sz w:val="21"/>
                <w:szCs w:val="21"/>
                <w:lang w:bidi="ar"/>
              </w:rPr>
              <w:t>000m³/h</w:t>
            </w:r>
          </w:p>
        </w:tc>
        <w:tc>
          <w:tcPr>
            <w:tcW w:w="2486" w:type="dxa"/>
            <w:vAlign w:val="center"/>
          </w:tcPr>
          <w:p w14:paraId="7D67183E">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Cs/>
                <w:color w:val="auto"/>
                <w:sz w:val="21"/>
                <w:szCs w:val="21"/>
              </w:rPr>
              <w:t>《大气污染物综合排放标准》</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DB32/4041-2021</w:t>
            </w:r>
            <w:r>
              <w:rPr>
                <w:rFonts w:hint="eastAsia" w:cs="Times New Roman"/>
                <w:bCs/>
                <w:color w:val="auto"/>
                <w:sz w:val="21"/>
                <w:szCs w:val="21"/>
                <w:lang w:eastAsia="zh-CN"/>
              </w:rPr>
              <w:t>）</w:t>
            </w:r>
            <w:r>
              <w:rPr>
                <w:rFonts w:hint="eastAsia" w:cs="Times New Roman"/>
                <w:bCs/>
                <w:color w:val="auto"/>
                <w:sz w:val="21"/>
                <w:szCs w:val="21"/>
                <w:lang w:val="en-US" w:eastAsia="zh-CN"/>
              </w:rPr>
              <w:t>表1标准</w:t>
            </w:r>
          </w:p>
        </w:tc>
      </w:tr>
      <w:tr w14:paraId="66A64E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11" w:type="dxa"/>
            <w:vMerge w:val="continue"/>
            <w:vAlign w:val="center"/>
          </w:tcPr>
          <w:p w14:paraId="1A54E79F">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555" w:type="dxa"/>
            <w:vMerge w:val="restart"/>
            <w:vAlign w:val="center"/>
          </w:tcPr>
          <w:p w14:paraId="7E22016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无组织</w:t>
            </w:r>
          </w:p>
        </w:tc>
        <w:tc>
          <w:tcPr>
            <w:tcW w:w="1219" w:type="dxa"/>
            <w:shd w:val="clear" w:color="auto" w:fill="auto"/>
            <w:vAlign w:val="center"/>
          </w:tcPr>
          <w:p w14:paraId="3275D2A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厂界</w:t>
            </w:r>
          </w:p>
        </w:tc>
        <w:tc>
          <w:tcPr>
            <w:tcW w:w="1920" w:type="dxa"/>
            <w:shd w:val="clear" w:color="auto" w:fill="auto"/>
            <w:vAlign w:val="center"/>
          </w:tcPr>
          <w:p w14:paraId="4A6C06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lang w:val="en-US"/>
              </w:rPr>
            </w:pPr>
            <w:r>
              <w:rPr>
                <w:rFonts w:hint="default" w:ascii="Times New Roman" w:hAnsi="Times New Roman" w:eastAsia="宋体" w:cs="Times New Roman"/>
                <w:color w:val="auto"/>
                <w:sz w:val="21"/>
                <w:szCs w:val="21"/>
                <w:lang w:val="en-US" w:eastAsia="zh-CN" w:bidi="ar"/>
              </w:rPr>
              <w:t>非甲烷总烃</w:t>
            </w:r>
          </w:p>
        </w:tc>
        <w:tc>
          <w:tcPr>
            <w:tcW w:w="1831" w:type="dxa"/>
            <w:vMerge w:val="restart"/>
            <w:vAlign w:val="center"/>
          </w:tcPr>
          <w:p w14:paraId="5FE7288E">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加强管理，尽可能提高废气收集效率</w:t>
            </w:r>
          </w:p>
        </w:tc>
        <w:tc>
          <w:tcPr>
            <w:tcW w:w="2486" w:type="dxa"/>
            <w:vAlign w:val="center"/>
          </w:tcPr>
          <w:p w14:paraId="6FC55810">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Cs/>
                <w:color w:val="auto"/>
                <w:sz w:val="21"/>
                <w:szCs w:val="21"/>
              </w:rPr>
              <w:t>《大气污染物综合排放标准》</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DB32/4041-2021</w:t>
            </w:r>
            <w:r>
              <w:rPr>
                <w:rFonts w:hint="eastAsia" w:cs="Times New Roman"/>
                <w:bCs/>
                <w:color w:val="auto"/>
                <w:sz w:val="21"/>
                <w:szCs w:val="21"/>
                <w:lang w:eastAsia="zh-CN"/>
              </w:rPr>
              <w:t>）</w:t>
            </w:r>
            <w:r>
              <w:rPr>
                <w:rFonts w:hint="eastAsia" w:cs="Times New Roman"/>
                <w:bCs/>
                <w:color w:val="auto"/>
                <w:sz w:val="21"/>
                <w:szCs w:val="21"/>
                <w:lang w:val="en-US" w:eastAsia="zh-CN"/>
              </w:rPr>
              <w:t>表3标准</w:t>
            </w:r>
          </w:p>
        </w:tc>
      </w:tr>
      <w:tr w14:paraId="7169F3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11" w:type="dxa"/>
            <w:vMerge w:val="continue"/>
            <w:vAlign w:val="center"/>
          </w:tcPr>
          <w:p w14:paraId="595E04E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555" w:type="dxa"/>
            <w:vMerge w:val="continue"/>
            <w:vAlign w:val="center"/>
          </w:tcPr>
          <w:p w14:paraId="0F694865">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219" w:type="dxa"/>
            <w:shd w:val="clear" w:color="auto" w:fill="auto"/>
            <w:vAlign w:val="center"/>
          </w:tcPr>
          <w:p w14:paraId="1CDED4E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厂区内</w:t>
            </w:r>
          </w:p>
        </w:tc>
        <w:tc>
          <w:tcPr>
            <w:tcW w:w="1920" w:type="dxa"/>
            <w:shd w:val="clear" w:color="auto" w:fill="auto"/>
            <w:vAlign w:val="center"/>
          </w:tcPr>
          <w:p w14:paraId="63CAF02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lang w:val="en-US" w:eastAsia="zh-CN" w:bidi="ar"/>
              </w:rPr>
              <w:t>非甲烷总烃</w:t>
            </w:r>
          </w:p>
        </w:tc>
        <w:tc>
          <w:tcPr>
            <w:tcW w:w="1831" w:type="dxa"/>
            <w:vMerge w:val="continue"/>
            <w:vAlign w:val="center"/>
          </w:tcPr>
          <w:p w14:paraId="04228A00">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2486" w:type="dxa"/>
            <w:vAlign w:val="center"/>
          </w:tcPr>
          <w:p w14:paraId="4A15585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Cs/>
                <w:color w:val="auto"/>
                <w:sz w:val="21"/>
                <w:szCs w:val="21"/>
              </w:rPr>
              <w:t>《大气污染物综合排放标准》</w:t>
            </w:r>
            <w:r>
              <w:rPr>
                <w:rFonts w:hint="eastAsia" w:cs="Times New Roman"/>
                <w:bCs/>
                <w:color w:val="auto"/>
                <w:sz w:val="21"/>
                <w:szCs w:val="21"/>
                <w:lang w:eastAsia="zh-CN"/>
              </w:rPr>
              <w:t>（</w:t>
            </w:r>
            <w:r>
              <w:rPr>
                <w:rFonts w:hint="default" w:ascii="Times New Roman" w:hAnsi="Times New Roman" w:eastAsia="宋体" w:cs="Times New Roman"/>
                <w:bCs/>
                <w:color w:val="auto"/>
                <w:sz w:val="21"/>
                <w:szCs w:val="21"/>
              </w:rPr>
              <w:t>DB32/4041-2021</w:t>
            </w:r>
            <w:r>
              <w:rPr>
                <w:rFonts w:hint="eastAsia" w:cs="Times New Roman"/>
                <w:bCs/>
                <w:color w:val="auto"/>
                <w:sz w:val="21"/>
                <w:szCs w:val="21"/>
                <w:lang w:eastAsia="zh-CN"/>
              </w:rPr>
              <w:t>）</w:t>
            </w:r>
            <w:r>
              <w:rPr>
                <w:rFonts w:hint="eastAsia" w:cs="Times New Roman"/>
                <w:bCs/>
                <w:color w:val="auto"/>
                <w:sz w:val="21"/>
                <w:szCs w:val="21"/>
                <w:lang w:val="en-US" w:eastAsia="zh-CN"/>
              </w:rPr>
              <w:t>表2标准</w:t>
            </w:r>
          </w:p>
        </w:tc>
      </w:tr>
      <w:tr w14:paraId="6A0445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11" w:type="dxa"/>
            <w:vMerge w:val="restart"/>
            <w:vAlign w:val="center"/>
          </w:tcPr>
          <w:p w14:paraId="72C88ED9">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地表水环境</w:t>
            </w:r>
          </w:p>
        </w:tc>
        <w:tc>
          <w:tcPr>
            <w:tcW w:w="1774" w:type="dxa"/>
            <w:gridSpan w:val="2"/>
            <w:vAlign w:val="center"/>
          </w:tcPr>
          <w:p w14:paraId="24EE3353">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生活污水</w:t>
            </w:r>
          </w:p>
        </w:tc>
        <w:tc>
          <w:tcPr>
            <w:tcW w:w="1920" w:type="dxa"/>
            <w:vAlign w:val="center"/>
          </w:tcPr>
          <w:p w14:paraId="2C48F4D2">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COD、</w:t>
            </w:r>
            <w:r>
              <w:rPr>
                <w:rFonts w:hint="eastAsia" w:cs="Times New Roman"/>
                <w:color w:val="auto"/>
                <w:kern w:val="0"/>
                <w:sz w:val="21"/>
                <w:szCs w:val="21"/>
                <w:lang w:val="en-US" w:eastAsia="zh-CN"/>
              </w:rPr>
              <w:t>BOD</w:t>
            </w:r>
            <w:r>
              <w:rPr>
                <w:rFonts w:hint="eastAsia" w:cs="Times New Roman"/>
                <w:color w:val="auto"/>
                <w:kern w:val="0"/>
                <w:sz w:val="21"/>
                <w:szCs w:val="21"/>
                <w:vertAlign w:val="subscript"/>
                <w:lang w:val="en-US" w:eastAsia="zh-CN"/>
              </w:rPr>
              <w:t>5</w:t>
            </w:r>
            <w:r>
              <w:rPr>
                <w:rFonts w:hint="eastAsia" w:cs="Times New Roman"/>
                <w:color w:val="auto"/>
                <w:kern w:val="0"/>
                <w:sz w:val="21"/>
                <w:szCs w:val="21"/>
                <w:lang w:val="en-US" w:eastAsia="zh-CN"/>
              </w:rPr>
              <w:t>、</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-N、TN、TP</w:t>
            </w:r>
          </w:p>
        </w:tc>
        <w:tc>
          <w:tcPr>
            <w:tcW w:w="1831" w:type="dxa"/>
            <w:vAlign w:val="center"/>
          </w:tcPr>
          <w:p w14:paraId="35B84C9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化粪池</w:t>
            </w:r>
          </w:p>
        </w:tc>
        <w:tc>
          <w:tcPr>
            <w:tcW w:w="2486" w:type="dxa"/>
            <w:vAlign w:val="center"/>
          </w:tcPr>
          <w:p w14:paraId="2CD284C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接管达</w:t>
            </w:r>
            <w:r>
              <w:rPr>
                <w:rFonts w:hint="eastAsia" w:ascii="Times New Roman" w:hAnsi="Times New Roman" w:eastAsia="宋体" w:cs="Times New Roman"/>
                <w:color w:val="auto"/>
                <w:kern w:val="0"/>
                <w:sz w:val="21"/>
                <w:szCs w:val="21"/>
                <w:lang w:eastAsia="zh-CN"/>
              </w:rPr>
              <w:t>新袁镇污水处理厂</w:t>
            </w:r>
            <w:r>
              <w:rPr>
                <w:rFonts w:hint="default" w:ascii="Times New Roman" w:hAnsi="Times New Roman" w:eastAsia="宋体" w:cs="Times New Roman"/>
                <w:color w:val="auto"/>
                <w:kern w:val="0"/>
                <w:sz w:val="21"/>
                <w:szCs w:val="21"/>
              </w:rPr>
              <w:t>接管标准</w:t>
            </w:r>
          </w:p>
        </w:tc>
      </w:tr>
      <w:tr w14:paraId="2FDC63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11" w:type="dxa"/>
            <w:vMerge w:val="continue"/>
            <w:vAlign w:val="center"/>
          </w:tcPr>
          <w:p w14:paraId="7E37FDCB">
            <w:pPr>
              <w:adjustRightInd w:val="0"/>
              <w:snapToGrid w:val="0"/>
              <w:spacing w:line="240" w:lineRule="auto"/>
              <w:ind w:firstLine="0" w:firstLineChars="0"/>
              <w:jc w:val="center"/>
              <w:rPr>
                <w:color w:val="auto"/>
              </w:rPr>
            </w:pPr>
          </w:p>
        </w:tc>
        <w:tc>
          <w:tcPr>
            <w:tcW w:w="1774" w:type="dxa"/>
            <w:gridSpan w:val="2"/>
            <w:vAlign w:val="center"/>
          </w:tcPr>
          <w:p w14:paraId="07ABC58A">
            <w:pPr>
              <w:adjustRightInd w:val="0"/>
              <w:snapToGrid w:val="0"/>
              <w:spacing w:line="240" w:lineRule="auto"/>
              <w:ind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生产废水</w:t>
            </w:r>
          </w:p>
        </w:tc>
        <w:tc>
          <w:tcPr>
            <w:tcW w:w="1920" w:type="dxa"/>
            <w:shd w:val="clear" w:color="auto" w:fill="auto"/>
            <w:vAlign w:val="center"/>
          </w:tcPr>
          <w:p w14:paraId="33325DD1">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COD、</w:t>
            </w:r>
            <w:r>
              <w:rPr>
                <w:rFonts w:hint="eastAsia" w:cs="Times New Roman"/>
                <w:color w:val="auto"/>
                <w:kern w:val="0"/>
                <w:sz w:val="21"/>
                <w:szCs w:val="21"/>
                <w:lang w:val="en-US" w:eastAsia="zh-CN"/>
              </w:rPr>
              <w:t>BOD</w:t>
            </w:r>
            <w:r>
              <w:rPr>
                <w:rFonts w:hint="eastAsia" w:cs="Times New Roman"/>
                <w:color w:val="auto"/>
                <w:kern w:val="0"/>
                <w:sz w:val="21"/>
                <w:szCs w:val="21"/>
                <w:vertAlign w:val="subscript"/>
                <w:lang w:val="en-US" w:eastAsia="zh-CN"/>
              </w:rPr>
              <w:t>5</w:t>
            </w:r>
            <w:r>
              <w:rPr>
                <w:rFonts w:hint="eastAsia" w:cs="Times New Roman"/>
                <w:color w:val="auto"/>
                <w:kern w:val="0"/>
                <w:sz w:val="21"/>
                <w:szCs w:val="21"/>
                <w:lang w:val="en-US" w:eastAsia="zh-CN"/>
              </w:rPr>
              <w:t>、</w:t>
            </w:r>
            <w:r>
              <w:rPr>
                <w:rFonts w:hint="default" w:ascii="Times New Roman" w:hAnsi="Times New Roman" w:eastAsia="宋体" w:cs="Times New Roman"/>
                <w:color w:val="auto"/>
                <w:kern w:val="0"/>
                <w:sz w:val="21"/>
                <w:szCs w:val="21"/>
              </w:rPr>
              <w:t>SS、NH</w:t>
            </w:r>
            <w:r>
              <w:rPr>
                <w:rFonts w:hint="default" w:ascii="Times New Roman" w:hAnsi="Times New Roman" w:eastAsia="宋体" w:cs="Times New Roman"/>
                <w:color w:val="auto"/>
                <w:kern w:val="0"/>
                <w:sz w:val="21"/>
                <w:szCs w:val="21"/>
                <w:vertAlign w:val="subscript"/>
              </w:rPr>
              <w:t>3</w:t>
            </w:r>
            <w:r>
              <w:rPr>
                <w:rFonts w:hint="default" w:ascii="Times New Roman" w:hAnsi="Times New Roman" w:eastAsia="宋体" w:cs="Times New Roman"/>
                <w:color w:val="auto"/>
                <w:kern w:val="0"/>
                <w:sz w:val="21"/>
                <w:szCs w:val="21"/>
              </w:rPr>
              <w:t>-N、TN、TP</w:t>
            </w:r>
            <w:r>
              <w:rPr>
                <w:rFonts w:hint="eastAsia" w:ascii="Times New Roman" w:hAnsi="Times New Roman" w:eastAsia="宋体" w:cs="Times New Roman"/>
                <w:color w:val="auto"/>
                <w:kern w:val="0"/>
                <w:sz w:val="21"/>
                <w:szCs w:val="21"/>
                <w:lang w:eastAsia="zh-CN"/>
              </w:rPr>
              <w:t>、</w:t>
            </w:r>
            <w:r>
              <w:rPr>
                <w:rFonts w:hint="eastAsia" w:ascii="Times New Roman" w:hAnsi="Times New Roman" w:eastAsia="宋体" w:cs="Times New Roman"/>
                <w:color w:val="auto"/>
                <w:kern w:val="0"/>
                <w:sz w:val="21"/>
                <w:szCs w:val="21"/>
                <w:lang w:val="en-US" w:eastAsia="zh-CN"/>
              </w:rPr>
              <w:t>总锑、石油类</w:t>
            </w:r>
          </w:p>
        </w:tc>
        <w:tc>
          <w:tcPr>
            <w:tcW w:w="1831" w:type="dxa"/>
            <w:shd w:val="clear" w:color="auto" w:fill="auto"/>
            <w:vAlign w:val="center"/>
          </w:tcPr>
          <w:p w14:paraId="5F4A895A">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color w:val="auto"/>
                <w:kern w:val="0"/>
                <w:sz w:val="21"/>
                <w:szCs w:val="21"/>
              </w:rPr>
              <w:t>污水站</w:t>
            </w:r>
            <w:r>
              <w:rPr>
                <w:rFonts w:hint="eastAsia"/>
                <w:color w:val="auto"/>
                <w:kern w:val="0"/>
                <w:sz w:val="21"/>
                <w:szCs w:val="21"/>
                <w:lang w:val="en-US" w:eastAsia="zh-CN"/>
              </w:rPr>
              <w:t>1座</w:t>
            </w:r>
            <w:r>
              <w:rPr>
                <w:color w:val="auto"/>
                <w:kern w:val="0"/>
                <w:sz w:val="21"/>
                <w:szCs w:val="21"/>
              </w:rPr>
              <w:t>，处理能力：1</w:t>
            </w:r>
            <w:r>
              <w:rPr>
                <w:rFonts w:hint="eastAsia"/>
                <w:color w:val="auto"/>
                <w:kern w:val="0"/>
                <w:sz w:val="21"/>
                <w:szCs w:val="21"/>
                <w:lang w:val="en-US" w:eastAsia="zh-CN"/>
              </w:rPr>
              <w:t>2</w:t>
            </w:r>
            <w:r>
              <w:rPr>
                <w:color w:val="auto"/>
                <w:kern w:val="0"/>
                <w:sz w:val="21"/>
                <w:szCs w:val="21"/>
              </w:rPr>
              <w:t>00m</w:t>
            </w:r>
            <w:r>
              <w:rPr>
                <w:color w:val="auto"/>
                <w:kern w:val="0"/>
                <w:sz w:val="21"/>
                <w:szCs w:val="21"/>
                <w:vertAlign w:val="superscript"/>
              </w:rPr>
              <w:t>3</w:t>
            </w:r>
            <w:r>
              <w:rPr>
                <w:color w:val="auto"/>
                <w:kern w:val="0"/>
                <w:sz w:val="21"/>
                <w:szCs w:val="21"/>
              </w:rPr>
              <w:t>/d；工艺：</w:t>
            </w:r>
            <w:r>
              <w:rPr>
                <w:color w:val="auto"/>
                <w:sz w:val="21"/>
                <w:szCs w:val="21"/>
              </w:rPr>
              <w:t>调节+混凝气浮</w:t>
            </w:r>
            <w:r>
              <w:rPr>
                <w:rFonts w:hint="eastAsia"/>
                <w:color w:val="auto"/>
                <w:sz w:val="21"/>
                <w:szCs w:val="21"/>
                <w:lang w:val="en-US" w:eastAsia="zh-CN"/>
              </w:rPr>
              <w:t>+接触氧化</w:t>
            </w:r>
            <w:r>
              <w:rPr>
                <w:color w:val="auto"/>
                <w:sz w:val="21"/>
                <w:szCs w:val="21"/>
              </w:rPr>
              <w:t>+二沉</w:t>
            </w:r>
            <w:r>
              <w:rPr>
                <w:rFonts w:hint="eastAsia"/>
                <w:color w:val="auto"/>
                <w:sz w:val="21"/>
                <w:szCs w:val="21"/>
                <w:lang w:val="en-US" w:eastAsia="zh-CN"/>
              </w:rPr>
              <w:t>+</w:t>
            </w:r>
            <w:r>
              <w:rPr>
                <w:color w:val="auto"/>
                <w:sz w:val="21"/>
                <w:szCs w:val="21"/>
              </w:rPr>
              <w:t>砂滤、</w:t>
            </w:r>
            <w:r>
              <w:rPr>
                <w:rFonts w:hint="eastAsia"/>
                <w:color w:val="auto"/>
                <w:sz w:val="21"/>
                <w:szCs w:val="21"/>
                <w:lang w:val="en-US" w:eastAsia="zh-CN"/>
              </w:rPr>
              <w:t>炭</w:t>
            </w:r>
            <w:r>
              <w:rPr>
                <w:color w:val="auto"/>
                <w:sz w:val="21"/>
                <w:szCs w:val="21"/>
              </w:rPr>
              <w:t>滤</w:t>
            </w:r>
          </w:p>
        </w:tc>
        <w:tc>
          <w:tcPr>
            <w:tcW w:w="2486" w:type="dxa"/>
            <w:shd w:val="clear" w:color="auto" w:fill="auto"/>
            <w:vAlign w:val="center"/>
          </w:tcPr>
          <w:p w14:paraId="67BE922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olor w:val="auto"/>
                <w:kern w:val="0"/>
                <w:sz w:val="21"/>
                <w:szCs w:val="21"/>
                <w:lang w:eastAsia="zh-CN"/>
              </w:rPr>
              <w:t>达到</w:t>
            </w:r>
            <w:r>
              <w:rPr>
                <w:rFonts w:ascii="宋体" w:hAnsi="宋体" w:eastAsia="宋体" w:cs="宋体"/>
                <w:color w:val="auto"/>
                <w:sz w:val="21"/>
                <w:szCs w:val="21"/>
              </w:rPr>
              <w:t>《城市污水再生利用工业用水水质》</w:t>
            </w:r>
            <w:r>
              <w:rPr>
                <w:rFonts w:hint="default" w:ascii="Times New Roman" w:hAnsi="Times New Roman" w:eastAsia="宋体" w:cs="Times New Roman"/>
                <w:color w:val="auto"/>
                <w:sz w:val="21"/>
                <w:szCs w:val="21"/>
              </w:rPr>
              <w:t>（GB/T19923-2024）</w:t>
            </w:r>
            <w:r>
              <w:rPr>
                <w:color w:val="auto"/>
                <w:kern w:val="0"/>
                <w:sz w:val="21"/>
                <w:szCs w:val="21"/>
              </w:rPr>
              <w:t>标准后回用至生产</w:t>
            </w:r>
          </w:p>
        </w:tc>
      </w:tr>
      <w:tr w14:paraId="3995B5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11" w:type="dxa"/>
            <w:vAlign w:val="center"/>
          </w:tcPr>
          <w:p w14:paraId="090DD50A">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声环境</w:t>
            </w:r>
          </w:p>
        </w:tc>
        <w:tc>
          <w:tcPr>
            <w:tcW w:w="1774" w:type="dxa"/>
            <w:gridSpan w:val="2"/>
            <w:vAlign w:val="center"/>
          </w:tcPr>
          <w:p w14:paraId="59B69482">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设备</w:t>
            </w:r>
          </w:p>
        </w:tc>
        <w:tc>
          <w:tcPr>
            <w:tcW w:w="1920" w:type="dxa"/>
            <w:vAlign w:val="center"/>
          </w:tcPr>
          <w:p w14:paraId="21B788DA">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噪声源强约为7</w:t>
            </w:r>
            <w:r>
              <w:rPr>
                <w:rFonts w:hint="eastAsia" w:cs="Times New Roman"/>
                <w:color w:val="auto"/>
                <w:kern w:val="0"/>
                <w:sz w:val="21"/>
                <w:szCs w:val="21"/>
                <w:lang w:val="en-US" w:eastAsia="zh-CN"/>
              </w:rPr>
              <w:t>0</w:t>
            </w:r>
            <w:r>
              <w:rPr>
                <w:rFonts w:hint="default" w:ascii="Times New Roman" w:hAnsi="Times New Roman" w:eastAsia="宋体" w:cs="Times New Roman"/>
                <w:color w:val="auto"/>
                <w:kern w:val="0"/>
                <w:sz w:val="21"/>
                <w:szCs w:val="21"/>
              </w:rPr>
              <w:t>-</w:t>
            </w:r>
            <w:r>
              <w:rPr>
                <w:rFonts w:hint="eastAsia" w:cs="Times New Roman"/>
                <w:color w:val="auto"/>
                <w:kern w:val="0"/>
                <w:sz w:val="21"/>
                <w:szCs w:val="21"/>
                <w:lang w:val="en-US" w:eastAsia="zh-CN"/>
              </w:rPr>
              <w:t>85</w:t>
            </w:r>
            <w:r>
              <w:rPr>
                <w:rFonts w:hint="default" w:ascii="Times New Roman" w:hAnsi="Times New Roman" w:eastAsia="宋体" w:cs="Times New Roman"/>
                <w:color w:val="auto"/>
                <w:kern w:val="0"/>
                <w:sz w:val="21"/>
                <w:szCs w:val="21"/>
              </w:rPr>
              <w:t>dB(A)</w:t>
            </w:r>
          </w:p>
        </w:tc>
        <w:tc>
          <w:tcPr>
            <w:tcW w:w="1831" w:type="dxa"/>
            <w:vAlign w:val="center"/>
          </w:tcPr>
          <w:p w14:paraId="7466CF6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bCs/>
                <w:color w:val="auto"/>
                <w:kern w:val="0"/>
                <w:sz w:val="21"/>
                <w:szCs w:val="21"/>
              </w:rPr>
              <w:t>设备合理化布置，安装隔声窗户，厂房隔声，距离衰减等</w:t>
            </w:r>
          </w:p>
        </w:tc>
        <w:tc>
          <w:tcPr>
            <w:tcW w:w="2486" w:type="dxa"/>
            <w:vAlign w:val="center"/>
          </w:tcPr>
          <w:p w14:paraId="28DB210C">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bCs/>
                <w:color w:val="auto"/>
                <w:kern w:val="0"/>
                <w:sz w:val="21"/>
                <w:szCs w:val="21"/>
              </w:rPr>
              <w:t>《工业企业厂界环境噪声排放标准》（GB12348-2008）中的3类标准值</w:t>
            </w:r>
          </w:p>
        </w:tc>
      </w:tr>
      <w:tr w14:paraId="7DC957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11" w:type="dxa"/>
            <w:vAlign w:val="center"/>
          </w:tcPr>
          <w:p w14:paraId="1FC8DB17">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电磁辐射</w:t>
            </w:r>
          </w:p>
        </w:tc>
        <w:tc>
          <w:tcPr>
            <w:tcW w:w="1774" w:type="dxa"/>
            <w:gridSpan w:val="2"/>
            <w:vAlign w:val="center"/>
          </w:tcPr>
          <w:p w14:paraId="5EC30475">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p>
        </w:tc>
        <w:tc>
          <w:tcPr>
            <w:tcW w:w="1920" w:type="dxa"/>
            <w:vAlign w:val="center"/>
          </w:tcPr>
          <w:p w14:paraId="6B8AD120">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p>
        </w:tc>
        <w:tc>
          <w:tcPr>
            <w:tcW w:w="1831" w:type="dxa"/>
            <w:vAlign w:val="center"/>
          </w:tcPr>
          <w:p w14:paraId="5CCDF3B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p>
        </w:tc>
        <w:tc>
          <w:tcPr>
            <w:tcW w:w="2486" w:type="dxa"/>
            <w:vAlign w:val="center"/>
          </w:tcPr>
          <w:p w14:paraId="690B36F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p>
        </w:tc>
      </w:tr>
      <w:tr w14:paraId="704CA1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11" w:type="dxa"/>
            <w:vMerge w:val="restart"/>
            <w:vAlign w:val="center"/>
          </w:tcPr>
          <w:p w14:paraId="17C39D17">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固体废物</w:t>
            </w:r>
          </w:p>
        </w:tc>
        <w:tc>
          <w:tcPr>
            <w:tcW w:w="1774" w:type="dxa"/>
            <w:gridSpan w:val="2"/>
            <w:vMerge w:val="restart"/>
            <w:vAlign w:val="center"/>
          </w:tcPr>
          <w:p w14:paraId="4D02DCD8">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一般固废</w:t>
            </w:r>
          </w:p>
        </w:tc>
        <w:tc>
          <w:tcPr>
            <w:tcW w:w="1920" w:type="dxa"/>
            <w:shd w:val="clear" w:color="auto" w:fill="auto"/>
            <w:vAlign w:val="center"/>
          </w:tcPr>
          <w:p w14:paraId="2FF8D808">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废丝</w:t>
            </w:r>
          </w:p>
        </w:tc>
        <w:tc>
          <w:tcPr>
            <w:tcW w:w="1831" w:type="dxa"/>
            <w:vMerge w:val="restart"/>
            <w:vAlign w:val="center"/>
          </w:tcPr>
          <w:p w14:paraId="382083BF">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一般固废仓库暂存后外售综合利用</w:t>
            </w:r>
          </w:p>
        </w:tc>
        <w:tc>
          <w:tcPr>
            <w:tcW w:w="2486" w:type="dxa"/>
            <w:vMerge w:val="restart"/>
            <w:vAlign w:val="center"/>
          </w:tcPr>
          <w:p w14:paraId="28952B29">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《一般工业固体废物贮存和填埋污染控制标准》（GB18599-2020）</w:t>
            </w:r>
          </w:p>
        </w:tc>
      </w:tr>
      <w:tr w14:paraId="28FB9D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11" w:type="dxa"/>
            <w:vMerge w:val="continue"/>
            <w:vAlign w:val="center"/>
          </w:tcPr>
          <w:p w14:paraId="3FFFB406">
            <w:pPr>
              <w:widowControl/>
              <w:adjustRightInd w:val="0"/>
              <w:snapToGrid w:val="0"/>
              <w:spacing w:line="240" w:lineRule="auto"/>
              <w:ind w:firstLine="0" w:firstLineChars="0"/>
              <w:jc w:val="center"/>
              <w:textAlignment w:val="center"/>
              <w:rPr>
                <w:color w:val="auto"/>
              </w:rPr>
            </w:pPr>
          </w:p>
        </w:tc>
        <w:tc>
          <w:tcPr>
            <w:tcW w:w="1774" w:type="dxa"/>
            <w:gridSpan w:val="2"/>
            <w:vMerge w:val="continue"/>
            <w:vAlign w:val="center"/>
          </w:tcPr>
          <w:p w14:paraId="5B806072">
            <w:pPr>
              <w:widowControl/>
              <w:adjustRightInd w:val="0"/>
              <w:snapToGrid w:val="0"/>
              <w:spacing w:line="240" w:lineRule="auto"/>
              <w:ind w:firstLine="0" w:firstLineChars="0"/>
              <w:jc w:val="center"/>
              <w:textAlignment w:val="center"/>
              <w:rPr>
                <w:color w:val="auto"/>
              </w:rPr>
            </w:pPr>
          </w:p>
        </w:tc>
        <w:tc>
          <w:tcPr>
            <w:tcW w:w="1920" w:type="dxa"/>
            <w:shd w:val="clear" w:color="auto" w:fill="auto"/>
            <w:vAlign w:val="center"/>
          </w:tcPr>
          <w:p w14:paraId="311B9FA8">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废布</w:t>
            </w:r>
          </w:p>
        </w:tc>
        <w:tc>
          <w:tcPr>
            <w:tcW w:w="1831" w:type="dxa"/>
            <w:vMerge w:val="continue"/>
            <w:vAlign w:val="center"/>
          </w:tcPr>
          <w:p w14:paraId="367CD381">
            <w:pPr>
              <w:widowControl/>
              <w:adjustRightInd w:val="0"/>
              <w:snapToGrid w:val="0"/>
              <w:spacing w:line="240" w:lineRule="auto"/>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c>
          <w:tcPr>
            <w:tcW w:w="2486" w:type="dxa"/>
            <w:vMerge w:val="continue"/>
            <w:vAlign w:val="center"/>
          </w:tcPr>
          <w:p w14:paraId="1A8AECFA">
            <w:pPr>
              <w:widowControl/>
              <w:adjustRightInd w:val="0"/>
              <w:snapToGrid w:val="0"/>
              <w:spacing w:line="240" w:lineRule="auto"/>
              <w:ind w:firstLine="0" w:firstLineChars="0"/>
              <w:jc w:val="center"/>
              <w:textAlignment w:val="center"/>
              <w:rPr>
                <w:rFonts w:hint="eastAsia" w:ascii="Times New Roman" w:hAnsi="Times New Roman" w:eastAsia="宋体" w:cs="Times New Roman"/>
                <w:color w:val="auto"/>
                <w:kern w:val="0"/>
                <w:sz w:val="21"/>
                <w:szCs w:val="21"/>
                <w:lang w:val="en-US" w:eastAsia="zh-CN" w:bidi="ar"/>
              </w:rPr>
            </w:pPr>
          </w:p>
        </w:tc>
      </w:tr>
      <w:tr w14:paraId="5961DF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211" w:type="dxa"/>
            <w:vMerge w:val="continue"/>
            <w:vAlign w:val="center"/>
          </w:tcPr>
          <w:p w14:paraId="52CE061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774" w:type="dxa"/>
            <w:gridSpan w:val="2"/>
            <w:vMerge w:val="restart"/>
            <w:vAlign w:val="center"/>
          </w:tcPr>
          <w:p w14:paraId="4A94D2E4">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危险废物</w:t>
            </w:r>
          </w:p>
        </w:tc>
        <w:tc>
          <w:tcPr>
            <w:tcW w:w="1920" w:type="dxa"/>
            <w:shd w:val="clear" w:color="auto" w:fill="auto"/>
            <w:vAlign w:val="center"/>
          </w:tcPr>
          <w:p w14:paraId="44948F3C">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废油桶</w:t>
            </w:r>
          </w:p>
        </w:tc>
        <w:tc>
          <w:tcPr>
            <w:tcW w:w="1831" w:type="dxa"/>
            <w:vMerge w:val="restart"/>
            <w:vAlign w:val="center"/>
          </w:tcPr>
          <w:p w14:paraId="7C4ACBC5">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危废仓库暂存后委托有资质单位安全处置</w:t>
            </w:r>
          </w:p>
        </w:tc>
        <w:tc>
          <w:tcPr>
            <w:tcW w:w="2486" w:type="dxa"/>
            <w:vMerge w:val="restart"/>
            <w:shd w:val="clear" w:color="auto" w:fill="auto"/>
            <w:vAlign w:val="center"/>
          </w:tcPr>
          <w:p w14:paraId="66B843BB">
            <w:pPr>
              <w:pStyle w:val="30"/>
              <w:widowControl w:val="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sz w:val="21"/>
                <w:szCs w:val="21"/>
                <w:lang w:bidi="ar"/>
              </w:rPr>
              <w:t>《危险废物贮存污染控制标准》</w:t>
            </w:r>
            <w:r>
              <w:rPr>
                <w:rFonts w:hint="eastAsia" w:ascii="Times New Roman" w:hAnsi="Times New Roman" w:cs="Times New Roman"/>
                <w:color w:val="auto"/>
                <w:sz w:val="21"/>
                <w:szCs w:val="21"/>
                <w:lang w:eastAsia="zh-CN" w:bidi="ar"/>
              </w:rPr>
              <w:t>（</w:t>
            </w:r>
            <w:r>
              <w:rPr>
                <w:rFonts w:hint="default" w:ascii="Times New Roman" w:hAnsi="Times New Roman" w:eastAsia="宋体" w:cs="Times New Roman"/>
                <w:color w:val="auto"/>
                <w:sz w:val="21"/>
                <w:szCs w:val="21"/>
                <w:lang w:bidi="ar"/>
              </w:rPr>
              <w:t>GB18597-2023</w:t>
            </w:r>
            <w:r>
              <w:rPr>
                <w:rFonts w:hint="eastAsia" w:ascii="Times New Roman" w:hAnsi="Times New Roman" w:cs="Times New Roman"/>
                <w:color w:val="auto"/>
                <w:sz w:val="21"/>
                <w:szCs w:val="21"/>
                <w:lang w:eastAsia="zh-CN" w:bidi="ar"/>
              </w:rPr>
              <w:t>）</w:t>
            </w:r>
          </w:p>
        </w:tc>
      </w:tr>
      <w:tr w14:paraId="11478A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211" w:type="dxa"/>
            <w:vMerge w:val="continue"/>
            <w:vAlign w:val="center"/>
          </w:tcPr>
          <w:p w14:paraId="575FF4E4">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774" w:type="dxa"/>
            <w:gridSpan w:val="2"/>
            <w:vMerge w:val="continue"/>
            <w:vAlign w:val="center"/>
          </w:tcPr>
          <w:p w14:paraId="63AE0A8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920" w:type="dxa"/>
            <w:shd w:val="clear" w:color="auto" w:fill="auto"/>
            <w:vAlign w:val="center"/>
          </w:tcPr>
          <w:p w14:paraId="6A579F7E">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废机油</w:t>
            </w:r>
          </w:p>
        </w:tc>
        <w:tc>
          <w:tcPr>
            <w:tcW w:w="1831" w:type="dxa"/>
            <w:vMerge w:val="continue"/>
            <w:vAlign w:val="center"/>
          </w:tcPr>
          <w:p w14:paraId="7074D597">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2486" w:type="dxa"/>
            <w:vMerge w:val="continue"/>
            <w:shd w:val="clear" w:color="auto" w:fill="auto"/>
            <w:vAlign w:val="center"/>
          </w:tcPr>
          <w:p w14:paraId="63121C9D">
            <w:pPr>
              <w:pStyle w:val="30"/>
              <w:widowControl w:val="0"/>
              <w:adjustRightInd w:val="0"/>
              <w:snapToGrid w:val="0"/>
              <w:spacing w:before="0" w:beforeAutospacing="0" w:after="0" w:afterAutospacing="0" w:line="240" w:lineRule="auto"/>
              <w:ind w:firstLine="0" w:firstLineChars="0"/>
              <w:jc w:val="center"/>
              <w:rPr>
                <w:rFonts w:hint="default" w:ascii="Times New Roman" w:hAnsi="Times New Roman" w:eastAsia="宋体" w:cs="Times New Roman"/>
                <w:color w:val="auto"/>
                <w:sz w:val="21"/>
                <w:szCs w:val="21"/>
                <w:lang w:bidi="ar"/>
              </w:rPr>
            </w:pPr>
          </w:p>
        </w:tc>
      </w:tr>
      <w:tr w14:paraId="46A22F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 w:hRule="atLeast"/>
          <w:jc w:val="center"/>
        </w:trPr>
        <w:tc>
          <w:tcPr>
            <w:tcW w:w="1211" w:type="dxa"/>
            <w:vMerge w:val="continue"/>
            <w:vAlign w:val="center"/>
          </w:tcPr>
          <w:p w14:paraId="5C92BB89">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774" w:type="dxa"/>
            <w:gridSpan w:val="2"/>
            <w:vMerge w:val="continue"/>
            <w:vAlign w:val="center"/>
          </w:tcPr>
          <w:p w14:paraId="3C049A45">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920" w:type="dxa"/>
            <w:shd w:val="clear" w:color="auto" w:fill="auto"/>
            <w:vAlign w:val="center"/>
          </w:tcPr>
          <w:p w14:paraId="003475B6">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b w:val="0"/>
                <w:bCs w:val="0"/>
                <w:color w:val="auto"/>
                <w:kern w:val="0"/>
                <w:sz w:val="21"/>
                <w:szCs w:val="21"/>
                <w:lang w:val="en-US" w:eastAsia="zh-CN"/>
              </w:rPr>
              <w:t>油烟净化器废油</w:t>
            </w:r>
          </w:p>
        </w:tc>
        <w:tc>
          <w:tcPr>
            <w:tcW w:w="1831" w:type="dxa"/>
            <w:vMerge w:val="continue"/>
            <w:vAlign w:val="center"/>
          </w:tcPr>
          <w:p w14:paraId="227CC272">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2486" w:type="dxa"/>
            <w:vMerge w:val="continue"/>
            <w:vAlign w:val="center"/>
          </w:tcPr>
          <w:p w14:paraId="663C8F7A">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r>
      <w:tr w14:paraId="4E5B26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 w:hRule="atLeast"/>
          <w:jc w:val="center"/>
        </w:trPr>
        <w:tc>
          <w:tcPr>
            <w:tcW w:w="1211" w:type="dxa"/>
            <w:vMerge w:val="continue"/>
            <w:vAlign w:val="center"/>
          </w:tcPr>
          <w:p w14:paraId="4F99801D">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774" w:type="dxa"/>
            <w:gridSpan w:val="2"/>
            <w:vMerge w:val="continue"/>
            <w:vAlign w:val="center"/>
          </w:tcPr>
          <w:p w14:paraId="1E92E7A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920" w:type="dxa"/>
            <w:shd w:val="clear" w:color="auto" w:fill="auto"/>
            <w:vAlign w:val="center"/>
          </w:tcPr>
          <w:p w14:paraId="7CF7466F">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污（油）泥</w:t>
            </w:r>
          </w:p>
        </w:tc>
        <w:tc>
          <w:tcPr>
            <w:tcW w:w="1831" w:type="dxa"/>
            <w:vMerge w:val="continue"/>
            <w:vAlign w:val="center"/>
          </w:tcPr>
          <w:p w14:paraId="7E41DA89">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2486" w:type="dxa"/>
            <w:vMerge w:val="continue"/>
            <w:vAlign w:val="center"/>
          </w:tcPr>
          <w:p w14:paraId="5048A809">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r>
      <w:tr w14:paraId="12885E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3" w:hRule="atLeast"/>
          <w:jc w:val="center"/>
        </w:trPr>
        <w:tc>
          <w:tcPr>
            <w:tcW w:w="1211" w:type="dxa"/>
            <w:vMerge w:val="continue"/>
            <w:vAlign w:val="center"/>
          </w:tcPr>
          <w:p w14:paraId="69CF140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774" w:type="dxa"/>
            <w:gridSpan w:val="2"/>
            <w:vMerge w:val="continue"/>
            <w:vAlign w:val="center"/>
          </w:tcPr>
          <w:p w14:paraId="15948D43">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920" w:type="dxa"/>
            <w:shd w:val="clear" w:color="auto" w:fill="auto"/>
            <w:vAlign w:val="center"/>
          </w:tcPr>
          <w:p w14:paraId="2CCBCD57">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生化污泥（待鉴别，鉴别前按危废管理）</w:t>
            </w:r>
          </w:p>
        </w:tc>
        <w:tc>
          <w:tcPr>
            <w:tcW w:w="1831" w:type="dxa"/>
            <w:vMerge w:val="continue"/>
            <w:vAlign w:val="center"/>
          </w:tcPr>
          <w:p w14:paraId="02173B4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2486" w:type="dxa"/>
            <w:vMerge w:val="continue"/>
            <w:vAlign w:val="center"/>
          </w:tcPr>
          <w:p w14:paraId="0E6C8E3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r>
      <w:tr w14:paraId="0A7525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 w:hRule="atLeast"/>
          <w:jc w:val="center"/>
        </w:trPr>
        <w:tc>
          <w:tcPr>
            <w:tcW w:w="1211" w:type="dxa"/>
            <w:vMerge w:val="continue"/>
            <w:vAlign w:val="center"/>
          </w:tcPr>
          <w:p w14:paraId="128541B4">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774" w:type="dxa"/>
            <w:gridSpan w:val="2"/>
            <w:vMerge w:val="continue"/>
            <w:vAlign w:val="center"/>
          </w:tcPr>
          <w:p w14:paraId="23DE6484">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920" w:type="dxa"/>
            <w:shd w:val="clear" w:color="auto" w:fill="auto"/>
            <w:vAlign w:val="center"/>
          </w:tcPr>
          <w:p w14:paraId="3A256CE2">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废过滤介质（待鉴别，鉴别前按危废管理）</w:t>
            </w:r>
          </w:p>
        </w:tc>
        <w:tc>
          <w:tcPr>
            <w:tcW w:w="1831" w:type="dxa"/>
            <w:vMerge w:val="continue"/>
            <w:vAlign w:val="center"/>
          </w:tcPr>
          <w:p w14:paraId="3710F6DE">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2486" w:type="dxa"/>
            <w:vMerge w:val="continue"/>
            <w:vAlign w:val="center"/>
          </w:tcPr>
          <w:p w14:paraId="63732B24">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r>
      <w:tr w14:paraId="491CB3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211" w:type="dxa"/>
            <w:vMerge w:val="continue"/>
            <w:vAlign w:val="center"/>
          </w:tcPr>
          <w:p w14:paraId="474C215F">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c>
          <w:tcPr>
            <w:tcW w:w="1774" w:type="dxa"/>
            <w:gridSpan w:val="2"/>
            <w:vAlign w:val="center"/>
          </w:tcPr>
          <w:p w14:paraId="6EAC026D">
            <w:pPr>
              <w:adjustRightInd w:val="0"/>
              <w:snapToGrid w:val="0"/>
              <w:spacing w:line="240" w:lineRule="auto"/>
              <w:ind w:firstLine="0" w:firstLineChars="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生活</w:t>
            </w:r>
            <w:r>
              <w:rPr>
                <w:rFonts w:hint="eastAsia" w:cs="Times New Roman"/>
                <w:color w:val="auto"/>
                <w:kern w:val="0"/>
                <w:sz w:val="21"/>
                <w:szCs w:val="21"/>
                <w:lang w:val="en-US" w:eastAsia="zh-CN"/>
              </w:rPr>
              <w:t>垃圾</w:t>
            </w:r>
          </w:p>
        </w:tc>
        <w:tc>
          <w:tcPr>
            <w:tcW w:w="1920" w:type="dxa"/>
            <w:vAlign w:val="center"/>
          </w:tcPr>
          <w:p w14:paraId="51D9019E">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生活垃圾</w:t>
            </w:r>
          </w:p>
        </w:tc>
        <w:tc>
          <w:tcPr>
            <w:tcW w:w="1831" w:type="dxa"/>
            <w:vAlign w:val="center"/>
          </w:tcPr>
          <w:p w14:paraId="4ECE30A9">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环卫收集</w:t>
            </w:r>
          </w:p>
        </w:tc>
        <w:tc>
          <w:tcPr>
            <w:tcW w:w="2486" w:type="dxa"/>
            <w:vAlign w:val="center"/>
          </w:tcPr>
          <w:p w14:paraId="27C7505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bCs/>
                <w:sz w:val="21"/>
                <w:szCs w:val="21"/>
                <w:lang w:val="en-US" w:eastAsia="zh-CN"/>
              </w:rPr>
              <w:t>《城市生活垃圾管理办法》（住房和城乡建设部令第24号，2015年5月4日修正）</w:t>
            </w:r>
          </w:p>
        </w:tc>
      </w:tr>
      <w:tr w14:paraId="627E55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211" w:type="dxa"/>
            <w:vAlign w:val="center"/>
          </w:tcPr>
          <w:p w14:paraId="4F72FBCB">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土壤及地下水污染防治措施</w:t>
            </w:r>
          </w:p>
        </w:tc>
        <w:tc>
          <w:tcPr>
            <w:tcW w:w="8011" w:type="dxa"/>
            <w:gridSpan w:val="5"/>
            <w:vAlign w:val="center"/>
          </w:tcPr>
          <w:p w14:paraId="1681AA74">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生</w:t>
            </w:r>
            <w:r>
              <w:rPr>
                <w:rFonts w:hint="eastAsia" w:ascii="Times New Roman" w:hAnsi="Times New Roman" w:eastAsia="宋体" w:cs="Times New Roman"/>
                <w:color w:val="auto"/>
                <w:kern w:val="0"/>
                <w:sz w:val="21"/>
                <w:szCs w:val="21"/>
                <w:lang w:val="en-US" w:eastAsia="zh-CN"/>
              </w:rPr>
              <w:t>产</w:t>
            </w:r>
            <w:r>
              <w:rPr>
                <w:rFonts w:hint="default" w:ascii="Times New Roman" w:hAnsi="Times New Roman" w:eastAsia="宋体" w:cs="Times New Roman"/>
                <w:color w:val="auto"/>
                <w:kern w:val="0"/>
                <w:sz w:val="21"/>
                <w:szCs w:val="21"/>
              </w:rPr>
              <w:t>车间、危废仓库</w:t>
            </w:r>
            <w:r>
              <w:rPr>
                <w:rFonts w:hint="eastAsia" w:cs="Times New Roman"/>
                <w:color w:val="auto"/>
                <w:kern w:val="0"/>
                <w:sz w:val="21"/>
                <w:szCs w:val="21"/>
                <w:lang w:eastAsia="zh-CN"/>
              </w:rPr>
              <w:t>、</w:t>
            </w:r>
            <w:r>
              <w:rPr>
                <w:rFonts w:hint="eastAsia" w:cs="Times New Roman"/>
                <w:color w:val="auto"/>
                <w:kern w:val="0"/>
                <w:sz w:val="21"/>
                <w:szCs w:val="21"/>
                <w:lang w:val="en-US" w:eastAsia="zh-CN"/>
              </w:rPr>
              <w:t>污水站</w:t>
            </w:r>
            <w:r>
              <w:rPr>
                <w:rFonts w:hint="default" w:ascii="Times New Roman" w:hAnsi="Times New Roman" w:eastAsia="宋体" w:cs="Times New Roman"/>
                <w:color w:val="auto"/>
                <w:kern w:val="0"/>
                <w:sz w:val="21"/>
                <w:szCs w:val="21"/>
              </w:rPr>
              <w:t>为重点污染防治区，防渗要求满足等效黏土防渗层Mb≧6.0m，渗透系数≤10</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vertAlign w:val="superscript"/>
              </w:rPr>
              <w:t>7</w:t>
            </w:r>
            <w:r>
              <w:rPr>
                <w:rFonts w:hint="default" w:ascii="Times New Roman" w:hAnsi="Times New Roman" w:eastAsia="宋体" w:cs="Times New Roman"/>
                <w:color w:val="auto"/>
                <w:kern w:val="0"/>
                <w:sz w:val="21"/>
                <w:szCs w:val="21"/>
              </w:rPr>
              <w:t>cm/s；</w:t>
            </w:r>
            <w:r>
              <w:rPr>
                <w:rFonts w:hint="eastAsia" w:cs="Times New Roman"/>
                <w:color w:val="auto"/>
                <w:kern w:val="0"/>
                <w:sz w:val="21"/>
                <w:szCs w:val="21"/>
                <w:lang w:val="en-US" w:eastAsia="zh-CN"/>
              </w:rPr>
              <w:t>原料暂存区、</w:t>
            </w:r>
            <w:r>
              <w:rPr>
                <w:rFonts w:hint="default" w:ascii="Times New Roman" w:hAnsi="Times New Roman" w:eastAsia="宋体" w:cs="Times New Roman"/>
                <w:color w:val="auto"/>
                <w:kern w:val="0"/>
                <w:sz w:val="21"/>
                <w:szCs w:val="21"/>
              </w:rPr>
              <w:t>一般固废仓库为一般防渗区，防渗要求满足等效黏土防渗层Mb≧1.5m，渗透系数≤10</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vertAlign w:val="superscript"/>
              </w:rPr>
              <w:t>7</w:t>
            </w:r>
            <w:r>
              <w:rPr>
                <w:rFonts w:hint="default" w:ascii="Times New Roman" w:hAnsi="Times New Roman" w:eastAsia="宋体" w:cs="Times New Roman"/>
                <w:color w:val="auto"/>
                <w:kern w:val="0"/>
                <w:sz w:val="21"/>
                <w:szCs w:val="21"/>
              </w:rPr>
              <w:t>cm/s；办公室简单防渗区，地面硬化处理</w:t>
            </w:r>
          </w:p>
        </w:tc>
      </w:tr>
      <w:tr w14:paraId="713F45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211" w:type="dxa"/>
            <w:vAlign w:val="center"/>
          </w:tcPr>
          <w:p w14:paraId="237B239C">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生态保护措施</w:t>
            </w:r>
          </w:p>
        </w:tc>
        <w:tc>
          <w:tcPr>
            <w:tcW w:w="8011" w:type="dxa"/>
            <w:gridSpan w:val="5"/>
            <w:vAlign w:val="center"/>
          </w:tcPr>
          <w:p w14:paraId="1E65B3B5">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建设项目对周围生态环境基本无影响</w:t>
            </w:r>
          </w:p>
        </w:tc>
      </w:tr>
      <w:tr w14:paraId="3B918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1211" w:type="dxa"/>
            <w:vAlign w:val="center"/>
          </w:tcPr>
          <w:p w14:paraId="445F8C10">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环境风险</w:t>
            </w:r>
          </w:p>
          <w:p w14:paraId="70480E28">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防范措施</w:t>
            </w:r>
          </w:p>
        </w:tc>
        <w:tc>
          <w:tcPr>
            <w:tcW w:w="8011" w:type="dxa"/>
            <w:gridSpan w:val="5"/>
            <w:vAlign w:val="center"/>
          </w:tcPr>
          <w:p w14:paraId="2408EAC7">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rPr>
            </w:pPr>
            <w:r>
              <w:rPr>
                <w:rFonts w:hint="eastAsia" w:cs="Times New Roman"/>
                <w:color w:val="auto"/>
                <w:kern w:val="0"/>
                <w:sz w:val="21"/>
                <w:szCs w:val="21"/>
                <w:lang w:eastAsia="zh-CN"/>
              </w:rPr>
              <w:t>（1）</w:t>
            </w:r>
            <w:r>
              <w:rPr>
                <w:rFonts w:hint="default" w:ascii="Times New Roman" w:hAnsi="Times New Roman" w:eastAsia="宋体" w:cs="Times New Roman"/>
                <w:color w:val="auto"/>
                <w:kern w:val="0"/>
                <w:sz w:val="21"/>
                <w:szCs w:val="21"/>
              </w:rPr>
              <w:t>危险物品的运输必须严格执行《危险货物运输规则》和</w:t>
            </w:r>
            <w:r>
              <w:rPr>
                <w:rFonts w:hint="eastAsia" w:ascii="Times New Roman" w:hAnsi="Times New Roman" w:eastAsia="宋体" w:cs="Times New Roman"/>
                <w:snapToGrid w:val="0"/>
                <w:color w:val="auto"/>
                <w:kern w:val="2"/>
                <w:sz w:val="21"/>
                <w:szCs w:val="21"/>
                <w:lang w:val="en-US" w:eastAsia="zh-CN" w:bidi="ar-SA"/>
              </w:rPr>
              <w:t>《危险货物</w:t>
            </w:r>
            <w:r>
              <w:rPr>
                <w:rFonts w:hint="eastAsia" w:cs="Times New Roman"/>
                <w:snapToGrid w:val="0"/>
                <w:color w:val="auto"/>
                <w:kern w:val="2"/>
                <w:sz w:val="21"/>
                <w:szCs w:val="21"/>
                <w:lang w:val="en-US" w:eastAsia="zh-CN" w:bidi="ar-SA"/>
              </w:rPr>
              <w:t>道路</w:t>
            </w:r>
            <w:r>
              <w:rPr>
                <w:rFonts w:hint="eastAsia" w:ascii="Times New Roman" w:hAnsi="Times New Roman" w:eastAsia="宋体" w:cs="Times New Roman"/>
                <w:snapToGrid w:val="0"/>
                <w:color w:val="auto"/>
                <w:kern w:val="2"/>
                <w:sz w:val="21"/>
                <w:szCs w:val="21"/>
                <w:lang w:val="en-US" w:eastAsia="zh-CN" w:bidi="ar-SA"/>
              </w:rPr>
              <w:t>运输规则</w:t>
            </w:r>
            <w:r>
              <w:rPr>
                <w:rFonts w:hint="eastAsia" w:cs="Times New Roman"/>
                <w:snapToGrid w:val="0"/>
                <w:color w:val="auto"/>
                <w:kern w:val="2"/>
                <w:sz w:val="21"/>
                <w:szCs w:val="21"/>
                <w:lang w:val="en-US" w:eastAsia="zh-CN" w:bidi="ar-SA"/>
              </w:rPr>
              <w:t>（系列）</w:t>
            </w:r>
            <w:r>
              <w:rPr>
                <w:rFonts w:hint="eastAsia" w:ascii="Times New Roman" w:hAnsi="Times New Roman" w:eastAsia="宋体" w:cs="Times New Roman"/>
                <w:snapToGrid w:val="0"/>
                <w:color w:val="auto"/>
                <w:kern w:val="2"/>
                <w:sz w:val="21"/>
                <w:szCs w:val="21"/>
                <w:lang w:val="en-US" w:eastAsia="zh-CN" w:bidi="ar-SA"/>
              </w:rPr>
              <w:t>》</w:t>
            </w:r>
            <w:r>
              <w:rPr>
                <w:rFonts w:hint="eastAsia" w:cs="Times New Roman"/>
                <w:snapToGrid w:val="0"/>
                <w:color w:val="auto"/>
                <w:kern w:val="2"/>
                <w:sz w:val="21"/>
                <w:szCs w:val="21"/>
                <w:lang w:val="en-US" w:eastAsia="zh-CN" w:bidi="ar-SA"/>
              </w:rPr>
              <w:t>（JT/T 617-2018）</w:t>
            </w:r>
            <w:r>
              <w:rPr>
                <w:rFonts w:hint="default" w:ascii="Times New Roman" w:hAnsi="Times New Roman" w:eastAsia="宋体" w:cs="Times New Roman"/>
                <w:color w:val="auto"/>
                <w:kern w:val="0"/>
                <w:sz w:val="21"/>
                <w:szCs w:val="21"/>
              </w:rPr>
              <w:t>的有关规定。</w:t>
            </w:r>
          </w:p>
          <w:p w14:paraId="41A4A470">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rPr>
            </w:pPr>
            <w:r>
              <w:rPr>
                <w:rFonts w:hint="eastAsia" w:cs="Times New Roman"/>
                <w:color w:val="auto"/>
                <w:kern w:val="0"/>
                <w:sz w:val="21"/>
                <w:szCs w:val="21"/>
                <w:lang w:eastAsia="zh-CN"/>
              </w:rPr>
              <w:t>（2）</w:t>
            </w:r>
            <w:r>
              <w:rPr>
                <w:rFonts w:hint="default" w:ascii="Times New Roman" w:hAnsi="Times New Roman" w:eastAsia="宋体" w:cs="Times New Roman"/>
                <w:color w:val="auto"/>
                <w:kern w:val="0"/>
                <w:sz w:val="21"/>
                <w:szCs w:val="21"/>
              </w:rPr>
              <w:t>应加强安全消防设施的检查及管理，保证其处于</w:t>
            </w:r>
            <w:r>
              <w:rPr>
                <w:rFonts w:hint="eastAsia" w:cs="Times New Roman"/>
                <w:color w:val="auto"/>
                <w:kern w:val="0"/>
                <w:sz w:val="21"/>
                <w:szCs w:val="21"/>
                <w:lang w:eastAsia="zh-CN"/>
              </w:rPr>
              <w:t>备用状态</w:t>
            </w:r>
            <w:r>
              <w:rPr>
                <w:rFonts w:hint="default" w:ascii="Times New Roman" w:hAnsi="Times New Roman" w:eastAsia="宋体" w:cs="Times New Roman"/>
                <w:color w:val="auto"/>
                <w:kern w:val="0"/>
                <w:sz w:val="21"/>
                <w:szCs w:val="21"/>
              </w:rPr>
              <w:t>。</w:t>
            </w:r>
          </w:p>
          <w:p w14:paraId="1A7D963F">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rPr>
            </w:pPr>
            <w:r>
              <w:rPr>
                <w:rFonts w:hint="eastAsia" w:cs="Times New Roman"/>
                <w:color w:val="auto"/>
                <w:kern w:val="0"/>
                <w:sz w:val="21"/>
                <w:szCs w:val="21"/>
                <w:lang w:eastAsia="zh-CN"/>
              </w:rPr>
              <w:t>（3）</w:t>
            </w:r>
            <w:r>
              <w:rPr>
                <w:rFonts w:hint="default" w:ascii="Times New Roman" w:hAnsi="Times New Roman" w:eastAsia="宋体" w:cs="Times New Roman"/>
                <w:color w:val="auto"/>
                <w:kern w:val="0"/>
                <w:sz w:val="21"/>
                <w:szCs w:val="21"/>
              </w:rPr>
              <w:t>强化安全生产管理</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制定岗位责任制，严格遵守操作规程。</w:t>
            </w:r>
          </w:p>
          <w:p w14:paraId="2CCCB449">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rPr>
            </w:pPr>
            <w:r>
              <w:rPr>
                <w:rFonts w:hint="eastAsia" w:cs="Times New Roman"/>
                <w:color w:val="auto"/>
                <w:kern w:val="0"/>
                <w:sz w:val="21"/>
                <w:szCs w:val="21"/>
                <w:lang w:eastAsia="zh-CN"/>
              </w:rPr>
              <w:t>（4）</w:t>
            </w:r>
            <w:r>
              <w:rPr>
                <w:rFonts w:hint="default" w:ascii="Times New Roman" w:hAnsi="Times New Roman" w:eastAsia="宋体" w:cs="Times New Roman"/>
                <w:color w:val="auto"/>
                <w:kern w:val="0"/>
                <w:sz w:val="21"/>
                <w:szCs w:val="21"/>
              </w:rPr>
              <w:t>定期检查、维护原料仓库油类储存区、废气处理设施、设备以确保正常运行。</w:t>
            </w:r>
          </w:p>
          <w:p w14:paraId="4320AA61">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rPr>
            </w:pPr>
            <w:r>
              <w:rPr>
                <w:rFonts w:hint="eastAsia" w:cs="Times New Roman"/>
                <w:color w:val="auto"/>
                <w:kern w:val="0"/>
                <w:sz w:val="21"/>
                <w:szCs w:val="21"/>
                <w:lang w:eastAsia="zh-CN"/>
              </w:rPr>
              <w:t>（5）</w:t>
            </w:r>
            <w:r>
              <w:rPr>
                <w:rFonts w:hint="default" w:ascii="Times New Roman" w:hAnsi="Times New Roman" w:eastAsia="宋体" w:cs="Times New Roman"/>
                <w:color w:val="auto"/>
                <w:kern w:val="0"/>
                <w:sz w:val="21"/>
                <w:szCs w:val="21"/>
              </w:rPr>
              <w:t>危险暂存间要做好防风、防雨、防晒、防渗漏措施。</w:t>
            </w:r>
          </w:p>
          <w:p w14:paraId="50A375C4">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rPr>
            </w:pPr>
            <w:r>
              <w:rPr>
                <w:rFonts w:hint="eastAsia" w:cs="Times New Roman"/>
                <w:color w:val="auto"/>
                <w:kern w:val="0"/>
                <w:sz w:val="21"/>
                <w:szCs w:val="21"/>
                <w:lang w:eastAsia="zh-CN"/>
              </w:rPr>
              <w:t>（6）</w:t>
            </w:r>
            <w:r>
              <w:rPr>
                <w:rFonts w:hint="default" w:ascii="Times New Roman" w:hAnsi="Times New Roman" w:eastAsia="宋体" w:cs="Times New Roman"/>
                <w:color w:val="auto"/>
                <w:kern w:val="0"/>
                <w:sz w:val="21"/>
                <w:szCs w:val="21"/>
              </w:rPr>
              <w:t>设置应急事故水池等事故排水收集设施</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应急事故水池等事故排水收集设施能自流式或确保事故状态下顺利收集泄漏物和消水，日常保持足够的事故排水缓冲容量</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设抽水设施，并与</w:t>
            </w:r>
            <w:r>
              <w:rPr>
                <w:rFonts w:hint="eastAsia" w:cs="Times New Roman"/>
                <w:color w:val="auto"/>
                <w:kern w:val="0"/>
                <w:sz w:val="21"/>
                <w:szCs w:val="21"/>
                <w:lang w:eastAsia="zh-CN"/>
              </w:rPr>
              <w:t>污水管网</w:t>
            </w:r>
            <w:r>
              <w:rPr>
                <w:rFonts w:hint="default" w:ascii="Times New Roman" w:hAnsi="Times New Roman" w:eastAsia="宋体" w:cs="Times New Roman"/>
                <w:color w:val="auto"/>
                <w:kern w:val="0"/>
                <w:sz w:val="21"/>
                <w:szCs w:val="21"/>
              </w:rPr>
              <w:t>连接。</w:t>
            </w:r>
          </w:p>
          <w:p w14:paraId="5097F188">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lang w:eastAsia="zh-CN"/>
              </w:rPr>
            </w:pPr>
            <w:r>
              <w:rPr>
                <w:rFonts w:hint="eastAsia" w:cs="Times New Roman"/>
                <w:color w:val="auto"/>
                <w:kern w:val="0"/>
                <w:sz w:val="21"/>
                <w:szCs w:val="21"/>
                <w:lang w:eastAsia="zh-CN"/>
              </w:rPr>
              <w:t>（7）</w:t>
            </w:r>
            <w:r>
              <w:rPr>
                <w:rFonts w:hint="default" w:ascii="Times New Roman" w:hAnsi="Times New Roman" w:eastAsia="宋体" w:cs="Times New Roman"/>
                <w:color w:val="auto"/>
                <w:kern w:val="0"/>
                <w:sz w:val="21"/>
                <w:szCs w:val="21"/>
              </w:rPr>
              <w:t>企业编制突发环境事件应急预案，配备应急器材，在发生泄漏、火灾和爆炸等事故时控制泄漏物和消防废水进入下水道。企业应完善突发环境事故应急措施。</w:t>
            </w:r>
          </w:p>
        </w:tc>
      </w:tr>
      <w:tr w14:paraId="56F4F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11" w:type="dxa"/>
            <w:vAlign w:val="center"/>
          </w:tcPr>
          <w:p w14:paraId="203CE2F3">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其他环境</w:t>
            </w:r>
          </w:p>
          <w:p w14:paraId="78CAE9C4">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管理要求</w:t>
            </w:r>
          </w:p>
        </w:tc>
        <w:tc>
          <w:tcPr>
            <w:tcW w:w="8011" w:type="dxa"/>
            <w:gridSpan w:val="5"/>
            <w:vAlign w:val="center"/>
          </w:tcPr>
          <w:p w14:paraId="08C8F7A1">
            <w:pPr>
              <w:keepNext/>
              <w:widowControl/>
              <w:adjustRightInd w:val="0"/>
              <w:snapToGrid w:val="0"/>
              <w:spacing w:line="240" w:lineRule="auto"/>
              <w:ind w:firstLine="0" w:firstLineChars="0"/>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1）环境管理计划</w:t>
            </w:r>
          </w:p>
          <w:p w14:paraId="2733CC15">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①严格执行“三同时”制度</w:t>
            </w:r>
          </w:p>
          <w:p w14:paraId="14DFADE7">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在项目筹备、设计和施工建设不同阶段，均应严格执行“三同时”制度，确保污染处理设施能够与生产工艺设施“同时设计、同时施工、同时竣工”。</w:t>
            </w:r>
          </w:p>
          <w:p w14:paraId="393BC54F">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②建立环境报告制度</w:t>
            </w:r>
          </w:p>
          <w:p w14:paraId="32E82F8B">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应按有关法规的要求，严格执行排污申报制度；此外，在项目工程排污发生重大变化、污染治理设施发生重大改变或拟实施新、改、新建项目时必须及时向相关环保行政主管部门申报。</w:t>
            </w:r>
          </w:p>
          <w:p w14:paraId="33AC4FD0">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③健全污染治理设施管理制度</w:t>
            </w:r>
          </w:p>
          <w:p w14:paraId="230B1973">
            <w:pPr>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建立健全污染治理设施的运行、检修、维护保养的作业规程和管理制度，将污染治理设施的管理与生产经营管理一同纳入公司日常管理工作的范畴，落实责任人，建立</w:t>
            </w:r>
            <w:r>
              <w:rPr>
                <w:rFonts w:hint="eastAsia" w:cs="Times New Roman"/>
                <w:color w:val="auto"/>
                <w:kern w:val="0"/>
                <w:sz w:val="21"/>
                <w:szCs w:val="21"/>
                <w:lang w:eastAsia="zh-CN"/>
              </w:rPr>
              <w:t>管理台账</w:t>
            </w:r>
            <w:r>
              <w:rPr>
                <w:rFonts w:hint="default" w:ascii="Times New Roman" w:hAnsi="Times New Roman" w:eastAsia="宋体" w:cs="Times New Roman"/>
                <w:color w:val="auto"/>
                <w:kern w:val="0"/>
                <w:sz w:val="21"/>
                <w:szCs w:val="21"/>
              </w:rPr>
              <w:t>。</w:t>
            </w:r>
          </w:p>
          <w:p w14:paraId="30F73A6A">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④建立环境目标管理责任制和奖惩条例</w:t>
            </w:r>
          </w:p>
          <w:p w14:paraId="728DF4E1">
            <w:pPr>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建立并实施各级人员的环境目标管理责任制，把环境目标责任完成情况与奖惩制度结合起来。设置环境保护奖惩条例，在公司内部形成注重环境管理，持续改进环境绩效的氛围。</w:t>
            </w:r>
          </w:p>
          <w:p w14:paraId="431D57E8">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⑤建设单位应通过“江苏省危险废物动态管理信息系统”</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江苏省环保厅网站</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进行危险废物申报登记。</w:t>
            </w:r>
          </w:p>
          <w:p w14:paraId="71121749">
            <w:pPr>
              <w:keepNext/>
              <w:widowControl/>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⑥建立风险管理及应急救援体系，执行环境监测计划、转移联单管理制度及国家和省有关转移管理的相关规定、处置过程安全操作规程、人员培训考核制度、档案管理制度、处置全过程管理制度。</w:t>
            </w:r>
          </w:p>
          <w:p w14:paraId="56A3946D">
            <w:pPr>
              <w:autoSpaceDE w:val="0"/>
              <w:autoSpaceDN w:val="0"/>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⑦规范建设危险废物贮存场所并按照要求设置警告标志，危废包装、容器和贮存场所应按照《危险废物贮存污染控制标准》</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GB18597-2023</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要求张贴标识。</w:t>
            </w:r>
          </w:p>
          <w:p w14:paraId="25F9038A">
            <w:pPr>
              <w:autoSpaceDE w:val="0"/>
              <w:autoSpaceDN w:val="0"/>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⑧</w:t>
            </w:r>
            <w:r>
              <w:rPr>
                <w:color w:val="auto"/>
                <w:kern w:val="0"/>
                <w:sz w:val="21"/>
                <w:szCs w:val="21"/>
              </w:rPr>
              <w:t>本项目行业分类为C1751化纤织造加工，对照《固定污染源排污许可分类管理名录》（2019年版），本项目属于“十二、纺织业17</w:t>
            </w:r>
            <w:r>
              <w:rPr>
                <w:rFonts w:hint="eastAsia"/>
                <w:color w:val="auto"/>
                <w:kern w:val="0"/>
                <w:sz w:val="21"/>
                <w:szCs w:val="21"/>
                <w:lang w:eastAsia="zh-CN"/>
              </w:rPr>
              <w:t>”“</w:t>
            </w:r>
            <w:r>
              <w:rPr>
                <w:color w:val="auto"/>
                <w:kern w:val="0"/>
                <w:sz w:val="21"/>
                <w:szCs w:val="21"/>
              </w:rPr>
              <w:t>化纤制造及印染精加工175</w:t>
            </w:r>
            <w:r>
              <w:rPr>
                <w:rFonts w:hint="eastAsia"/>
                <w:color w:val="auto"/>
                <w:kern w:val="0"/>
                <w:sz w:val="21"/>
                <w:szCs w:val="21"/>
                <w:lang w:eastAsia="zh-CN"/>
              </w:rPr>
              <w:t>”“</w:t>
            </w:r>
            <w:r>
              <w:rPr>
                <w:color w:val="auto"/>
                <w:kern w:val="0"/>
                <w:sz w:val="21"/>
                <w:szCs w:val="21"/>
              </w:rPr>
              <w:t>有喷水织造工序的”，需进行重点管理</w:t>
            </w:r>
            <w:r>
              <w:rPr>
                <w:rFonts w:hint="default" w:ascii="Times New Roman" w:hAnsi="Times New Roman" w:eastAsia="宋体" w:cs="Times New Roman"/>
                <w:color w:val="auto"/>
                <w:kern w:val="0"/>
                <w:sz w:val="21"/>
                <w:szCs w:val="21"/>
              </w:rPr>
              <w:t>。本项目建成后需在排污许可证平台填写基本信息、污染物排放去向、执行的污染物排放标准以及采取的污染防治措施等信息。</w:t>
            </w:r>
          </w:p>
          <w:p w14:paraId="580D87AB">
            <w:pPr>
              <w:adjustRightInd w:val="0"/>
              <w:snapToGrid w:val="0"/>
              <w:spacing w:line="240" w:lineRule="auto"/>
              <w:ind w:firstLine="0" w:firstLineChars="0"/>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2）自行监测计划</w:t>
            </w:r>
          </w:p>
          <w:p w14:paraId="1F762984">
            <w:pPr>
              <w:adjustRightInd w:val="0"/>
              <w:snapToGrid w:val="0"/>
              <w:spacing w:line="240" w:lineRule="auto"/>
              <w:ind w:firstLine="0" w:firstLineChars="0"/>
              <w:rPr>
                <w:rFonts w:hint="default" w:ascii="Times New Roman" w:hAnsi="Times New Roman" w:eastAsia="宋体" w:cs="Times New Roman"/>
                <w:color w:val="auto"/>
                <w:kern w:val="0"/>
                <w:sz w:val="21"/>
                <w:szCs w:val="21"/>
              </w:rPr>
            </w:pPr>
            <w:r>
              <w:rPr>
                <w:color w:val="auto"/>
                <w:sz w:val="21"/>
                <w:szCs w:val="21"/>
              </w:rPr>
              <w:t>根据</w:t>
            </w:r>
            <w:r>
              <w:rPr>
                <w:snapToGrid w:val="0"/>
                <w:color w:val="auto"/>
                <w:sz w:val="21"/>
                <w:szCs w:val="21"/>
              </w:rPr>
              <w:t>《排污单位自行监测技术指南总则》</w:t>
            </w:r>
            <w:r>
              <w:rPr>
                <w:rFonts w:hint="eastAsia"/>
                <w:snapToGrid w:val="0"/>
                <w:color w:val="auto"/>
                <w:sz w:val="21"/>
                <w:szCs w:val="21"/>
                <w:lang w:eastAsia="zh-CN"/>
              </w:rPr>
              <w:t>（</w:t>
            </w:r>
            <w:r>
              <w:rPr>
                <w:snapToGrid w:val="0"/>
                <w:color w:val="auto"/>
                <w:sz w:val="21"/>
                <w:szCs w:val="21"/>
              </w:rPr>
              <w:t>HJ819-2017</w:t>
            </w:r>
            <w:r>
              <w:rPr>
                <w:rFonts w:hint="eastAsia"/>
                <w:snapToGrid w:val="0"/>
                <w:color w:val="auto"/>
                <w:sz w:val="21"/>
                <w:szCs w:val="21"/>
                <w:lang w:eastAsia="zh-CN"/>
              </w:rPr>
              <w:t>）</w:t>
            </w:r>
            <w:r>
              <w:rPr>
                <w:snapToGrid w:val="0"/>
                <w:color w:val="auto"/>
                <w:sz w:val="21"/>
                <w:szCs w:val="21"/>
              </w:rPr>
              <w:t>、</w:t>
            </w:r>
            <w:r>
              <w:rPr>
                <w:rFonts w:eastAsia="瀹嬩綋"/>
                <w:color w:val="auto"/>
                <w:kern w:val="0"/>
                <w:sz w:val="21"/>
                <w:szCs w:val="21"/>
                <w:lang w:bidi="ar"/>
              </w:rPr>
              <w:t>同时参照</w:t>
            </w:r>
            <w:r>
              <w:rPr>
                <w:rFonts w:hint="eastAsia" w:eastAsia="宋体"/>
                <w:color w:val="auto"/>
                <w:kern w:val="0"/>
                <w:sz w:val="21"/>
                <w:szCs w:val="21"/>
                <w:lang w:eastAsia="zh-CN" w:bidi="ar"/>
              </w:rPr>
              <w:t>《排污单位自行监测技术指南纺织印染工业》（HJ879-2017）</w:t>
            </w:r>
            <w:r>
              <w:rPr>
                <w:rFonts w:hint="default" w:ascii="Times New Roman" w:hAnsi="Times New Roman" w:eastAsia="宋体" w:cs="Times New Roman"/>
                <w:color w:val="auto"/>
                <w:kern w:val="0"/>
                <w:sz w:val="21"/>
                <w:szCs w:val="21"/>
              </w:rPr>
              <w:t>，建设单位定期委托有资质的检</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监</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测机构代其开展自行监测，根据监测结果编写自行监测年度报告并上报当地环境保护主管部门。</w:t>
            </w:r>
          </w:p>
          <w:p w14:paraId="047EBCB4">
            <w:pPr>
              <w:adjustRightInd w:val="0"/>
              <w:snapToGrid w:val="0"/>
              <w:spacing w:line="240" w:lineRule="auto"/>
              <w:ind w:firstLine="0" w:firstLineChars="0"/>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3）验收监测计划</w:t>
            </w:r>
          </w:p>
          <w:p w14:paraId="0E191A81">
            <w:pPr>
              <w:adjustRightInd w:val="0"/>
              <w:snapToGrid w:val="0"/>
              <w:spacing w:line="240" w:lineRule="auto"/>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当本项目达到验收标准时根据《建设项目竣工环境保护验收技术指南污染影响类》委托有资质的检</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监</w:t>
            </w:r>
            <w:r>
              <w:rPr>
                <w:rFonts w:hint="eastAsia" w:cs="Times New Roman"/>
                <w:color w:val="auto"/>
                <w:kern w:val="0"/>
                <w:sz w:val="21"/>
                <w:szCs w:val="21"/>
                <w:lang w:eastAsia="zh-CN"/>
              </w:rPr>
              <w:t>）</w:t>
            </w:r>
            <w:r>
              <w:rPr>
                <w:rFonts w:hint="default" w:ascii="Times New Roman" w:hAnsi="Times New Roman" w:eastAsia="宋体" w:cs="Times New Roman"/>
                <w:color w:val="auto"/>
                <w:kern w:val="0"/>
                <w:sz w:val="21"/>
                <w:szCs w:val="21"/>
              </w:rPr>
              <w:t>测机构代其开展验收监测，根据监测结果编写验收监测报告。</w:t>
            </w:r>
          </w:p>
          <w:p w14:paraId="6FD80A86">
            <w:pPr>
              <w:adjustRightInd w:val="0"/>
              <w:snapToGrid w:val="0"/>
              <w:spacing w:line="240" w:lineRule="auto"/>
              <w:ind w:firstLine="0" w:firstLineChars="0"/>
              <w:jc w:val="center"/>
              <w:rPr>
                <w:rFonts w:hint="default" w:ascii="Times New Roman" w:hAnsi="Times New Roman" w:eastAsia="宋体" w:cs="Times New Roman"/>
                <w:color w:val="auto"/>
                <w:kern w:val="0"/>
                <w:sz w:val="21"/>
                <w:szCs w:val="21"/>
              </w:rPr>
            </w:pPr>
          </w:p>
        </w:tc>
      </w:tr>
      <w:bookmarkEnd w:id="36"/>
    </w:tbl>
    <w:p w14:paraId="4A97A056">
      <w:pPr>
        <w:pStyle w:val="30"/>
        <w:adjustRightInd w:val="0"/>
        <w:snapToGrid w:val="0"/>
        <w:spacing w:before="0" w:beforeAutospacing="0" w:after="0" w:afterAutospacing="0" w:line="480" w:lineRule="exact"/>
        <w:ind w:firstLine="0" w:firstLineChars="0"/>
        <w:jc w:val="center"/>
        <w:outlineLvl w:val="0"/>
        <w:rPr>
          <w:rFonts w:ascii="Times New Roman" w:hAnsi="Times New Roman"/>
          <w:snapToGrid w:val="0"/>
          <w:color w:val="auto"/>
        </w:rPr>
      </w:pPr>
      <w:bookmarkStart w:id="37" w:name="_Toc10537"/>
      <w:r>
        <w:rPr>
          <w:rFonts w:ascii="Times New Roman" w:hAnsi="Times New Roman"/>
          <w:snapToGrid w:val="0"/>
          <w:color w:val="auto"/>
        </w:rPr>
        <w:br w:type="page"/>
      </w:r>
      <w:r>
        <w:rPr>
          <w:rFonts w:ascii="Times New Roman" w:hAnsi="Times New Roman"/>
          <w:b/>
          <w:snapToGrid w:val="0"/>
          <w:color w:val="auto"/>
          <w:sz w:val="30"/>
          <w:szCs w:val="30"/>
        </w:rPr>
        <w:t>六、结论</w:t>
      </w:r>
      <w:bookmarkEnd w:id="37"/>
    </w:p>
    <w:tbl>
      <w:tblPr>
        <w:tblStyle w:val="3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14"/>
      </w:tblGrid>
      <w:tr w14:paraId="05FB23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tcPr>
          <w:p w14:paraId="34305EC5">
            <w:pPr>
              <w:spacing w:before="120" w:beforeLines="50" w:line="360" w:lineRule="auto"/>
              <w:ind w:firstLine="480"/>
              <w:rPr>
                <w:color w:val="auto"/>
              </w:rPr>
            </w:pPr>
            <w:r>
              <w:rPr>
                <w:rFonts w:hint="eastAsia"/>
                <w:color w:val="auto"/>
                <w:lang w:eastAsia="zh-CN"/>
              </w:rPr>
              <w:t>江苏青煊纺织有限公司</w:t>
            </w:r>
            <w:r>
              <w:rPr>
                <w:rFonts w:hint="eastAsia"/>
                <w:color w:val="auto"/>
                <w:szCs w:val="21"/>
                <w:lang w:eastAsia="zh-CN"/>
              </w:rPr>
              <w:t>年产3000万米化纤面料项目</w:t>
            </w:r>
            <w:r>
              <w:rPr>
                <w:color w:val="auto"/>
              </w:rPr>
              <w:t>拟建于</w:t>
            </w:r>
            <w:r>
              <w:rPr>
                <w:rFonts w:hint="eastAsia"/>
                <w:color w:val="auto"/>
                <w:szCs w:val="21"/>
                <w:lang w:eastAsia="zh-CN"/>
              </w:rPr>
              <w:t>宿迁市泗阳县新袁镇仁和路东侧、新河路南侧（3）2#厂房</w:t>
            </w:r>
            <w:r>
              <w:rPr>
                <w:color w:val="auto"/>
              </w:rPr>
              <w:t>。经分析论证后认为，本项目的建设符合国家和地方产业政策、符合“三线一单”的控制要求；项目采取的污染防治措施可行可靠，可有效实现污染物达标排放，总体上对评价区域环境影响较小，不会降低区域的环境功能区划的要求；项目各类固废能够妥善处置；项目环境风险在可接受范围内；项目的实施将带来一定的社会效益和经济效益。</w:t>
            </w:r>
          </w:p>
          <w:p w14:paraId="58212FBE">
            <w:pPr>
              <w:spacing w:line="360" w:lineRule="auto"/>
              <w:ind w:firstLine="480"/>
              <w:rPr>
                <w:bCs/>
                <w:color w:val="auto"/>
              </w:rPr>
            </w:pPr>
            <w:r>
              <w:rPr>
                <w:bCs/>
                <w:color w:val="auto"/>
              </w:rPr>
              <w:t>总体来看，在落实各项环境保护对策措施和环境管理要求、加强风险防范措施的前提下，从环保角度论证，本项目在拟建地建设是可行的。</w:t>
            </w:r>
          </w:p>
          <w:p w14:paraId="31DC50F5">
            <w:pPr>
              <w:spacing w:line="360" w:lineRule="auto"/>
              <w:ind w:firstLine="480"/>
              <w:jc w:val="center"/>
              <w:rPr>
                <w:color w:val="auto"/>
              </w:rPr>
            </w:pPr>
          </w:p>
        </w:tc>
      </w:tr>
    </w:tbl>
    <w:p w14:paraId="1E26D80D">
      <w:pPr>
        <w:ind w:firstLine="480"/>
        <w:rPr>
          <w:color w:val="auto"/>
        </w:rPr>
        <w:sectPr>
          <w:pgSz w:w="11906" w:h="16838"/>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26" w:charSpace="0"/>
        </w:sectPr>
      </w:pPr>
    </w:p>
    <w:p w14:paraId="6D588651">
      <w:pPr>
        <w:pStyle w:val="30"/>
        <w:adjustRightInd w:val="0"/>
        <w:snapToGrid w:val="0"/>
        <w:spacing w:before="0" w:beforeAutospacing="0" w:after="0" w:afterAutospacing="0" w:line="240" w:lineRule="auto"/>
        <w:ind w:firstLine="0" w:firstLineChars="0"/>
        <w:outlineLvl w:val="0"/>
        <w:rPr>
          <w:rFonts w:ascii="Times New Roman" w:hAnsi="Times New Roman"/>
          <w:snapToGrid w:val="0"/>
          <w:color w:val="auto"/>
          <w:sz w:val="32"/>
          <w:szCs w:val="32"/>
        </w:rPr>
      </w:pPr>
      <w:bookmarkStart w:id="38" w:name="_Toc4539"/>
      <w:r>
        <w:rPr>
          <w:rFonts w:ascii="Times New Roman" w:hAnsi="Times New Roman"/>
          <w:snapToGrid w:val="0"/>
          <w:color w:val="auto"/>
          <w:sz w:val="32"/>
          <w:szCs w:val="32"/>
        </w:rPr>
        <w:t>附表</w:t>
      </w:r>
      <w:bookmarkEnd w:id="38"/>
    </w:p>
    <w:p w14:paraId="17FFEC73">
      <w:pPr>
        <w:pStyle w:val="30"/>
        <w:adjustRightInd w:val="0"/>
        <w:snapToGrid w:val="0"/>
        <w:spacing w:before="0" w:beforeAutospacing="0" w:after="0" w:afterAutospacing="0" w:line="240" w:lineRule="auto"/>
        <w:ind w:firstLine="0" w:firstLineChars="0"/>
        <w:jc w:val="center"/>
        <w:outlineLvl w:val="0"/>
        <w:rPr>
          <w:rFonts w:ascii="Times New Roman" w:hAnsi="Times New Roman"/>
          <w:b/>
          <w:snapToGrid w:val="0"/>
          <w:color w:val="auto"/>
          <w:sz w:val="32"/>
          <w:szCs w:val="32"/>
        </w:rPr>
      </w:pPr>
      <w:bookmarkStart w:id="39" w:name="_Toc18646"/>
      <w:r>
        <w:rPr>
          <w:rFonts w:ascii="Times New Roman" w:hAnsi="Times New Roman"/>
          <w:b/>
          <w:snapToGrid w:val="0"/>
          <w:color w:val="auto"/>
          <w:sz w:val="32"/>
          <w:szCs w:val="32"/>
        </w:rPr>
        <w:t>建设项目污染物排放量汇总表</w:t>
      </w:r>
      <w:bookmarkEnd w:id="39"/>
    </w:p>
    <w:tbl>
      <w:tblPr>
        <w:tblStyle w:val="38"/>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235"/>
        <w:gridCol w:w="489"/>
        <w:gridCol w:w="1164"/>
        <w:gridCol w:w="1490"/>
        <w:gridCol w:w="1330"/>
        <w:gridCol w:w="1867"/>
        <w:gridCol w:w="1807"/>
        <w:gridCol w:w="1930"/>
        <w:gridCol w:w="2010"/>
        <w:gridCol w:w="964"/>
      </w:tblGrid>
      <w:tr w14:paraId="226F347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69" w:hRule="atLeast"/>
        </w:trPr>
        <w:tc>
          <w:tcPr>
            <w:tcW w:w="432" w:type="pct"/>
            <w:tcBorders>
              <w:tl2br w:val="nil"/>
              <w:tr2bl w:val="nil"/>
            </w:tcBorders>
            <w:tcMar>
              <w:left w:w="28" w:type="dxa"/>
              <w:right w:w="28" w:type="dxa"/>
            </w:tcMar>
            <w:vAlign w:val="center"/>
          </w:tcPr>
          <w:p w14:paraId="7244176F">
            <w:pPr>
              <w:pStyle w:val="167"/>
              <w:spacing w:before="0" w:beforeLines="0" w:after="0" w:afterLines="0" w:line="240" w:lineRule="auto"/>
              <w:ind w:firstLine="435"/>
              <w:rPr>
                <w:snapToGrid w:val="0"/>
                <w:color w:val="auto"/>
                <w:szCs w:val="21"/>
              </w:rPr>
            </w:pPr>
            <w:r>
              <w:rPr>
                <w:snapToGrid w:val="0"/>
                <w:color w:val="auto"/>
                <w:szCs w:val="21"/>
              </w:rPr>
              <w:t>项目</w:t>
            </w:r>
          </w:p>
          <w:p w14:paraId="664BD530">
            <w:pPr>
              <w:pStyle w:val="167"/>
              <w:spacing w:before="0" w:beforeLines="0" w:after="0" w:afterLines="0" w:line="240" w:lineRule="auto"/>
              <w:ind w:firstLine="105" w:firstLineChars="50"/>
              <w:jc w:val="both"/>
              <w:rPr>
                <w:snapToGrid w:val="0"/>
                <w:color w:val="auto"/>
                <w:szCs w:val="21"/>
              </w:rPr>
            </w:pPr>
            <w:r>
              <w:rPr>
                <w:snapToGrid w:val="0"/>
                <w:color w:val="auto"/>
                <w:szCs w:val="21"/>
              </w:rPr>
              <w:t>分类</w:t>
            </w:r>
          </w:p>
        </w:tc>
        <w:tc>
          <w:tcPr>
            <w:tcW w:w="578" w:type="pct"/>
            <w:gridSpan w:val="2"/>
            <w:tcBorders>
              <w:tl2br w:val="nil"/>
              <w:tr2bl w:val="nil"/>
            </w:tcBorders>
            <w:tcMar>
              <w:left w:w="28" w:type="dxa"/>
              <w:right w:w="28" w:type="dxa"/>
            </w:tcMar>
            <w:vAlign w:val="center"/>
          </w:tcPr>
          <w:p w14:paraId="56915681">
            <w:pPr>
              <w:pStyle w:val="167"/>
              <w:spacing w:before="0" w:beforeLines="0" w:after="0" w:afterLines="0" w:line="240" w:lineRule="auto"/>
              <w:rPr>
                <w:snapToGrid w:val="0"/>
                <w:color w:val="auto"/>
                <w:szCs w:val="21"/>
              </w:rPr>
            </w:pPr>
            <w:r>
              <w:rPr>
                <w:snapToGrid w:val="0"/>
                <w:color w:val="auto"/>
                <w:szCs w:val="21"/>
              </w:rPr>
              <w:t>污染物名称</w:t>
            </w:r>
          </w:p>
        </w:tc>
        <w:tc>
          <w:tcPr>
            <w:tcW w:w="521" w:type="pct"/>
            <w:tcBorders>
              <w:tl2br w:val="nil"/>
              <w:tr2bl w:val="nil"/>
            </w:tcBorders>
            <w:tcMar>
              <w:left w:w="28" w:type="dxa"/>
              <w:right w:w="28" w:type="dxa"/>
            </w:tcMar>
            <w:vAlign w:val="center"/>
          </w:tcPr>
          <w:p w14:paraId="795EF9A7">
            <w:pPr>
              <w:pStyle w:val="167"/>
              <w:spacing w:before="0" w:beforeLines="0" w:after="0" w:afterLines="0" w:line="240" w:lineRule="auto"/>
              <w:rPr>
                <w:snapToGrid w:val="0"/>
                <w:color w:val="auto"/>
                <w:szCs w:val="21"/>
              </w:rPr>
            </w:pPr>
            <w:r>
              <w:rPr>
                <w:snapToGrid w:val="0"/>
                <w:color w:val="auto"/>
                <w:szCs w:val="21"/>
              </w:rPr>
              <w:t>现有工程</w:t>
            </w:r>
          </w:p>
          <w:p w14:paraId="2E308C6A">
            <w:pPr>
              <w:pStyle w:val="167"/>
              <w:spacing w:before="0" w:beforeLines="0" w:after="0" w:afterLines="0" w:line="240" w:lineRule="auto"/>
              <w:rPr>
                <w:snapToGrid w:val="0"/>
                <w:color w:val="auto"/>
                <w:szCs w:val="21"/>
              </w:rPr>
            </w:pPr>
            <w:r>
              <w:rPr>
                <w:snapToGrid w:val="0"/>
                <w:color w:val="auto"/>
                <w:szCs w:val="21"/>
              </w:rPr>
              <w:t>排放量（固体废物产生量）</w:t>
            </w:r>
            <w:r>
              <w:rPr>
                <w:snapToGrid w:val="0"/>
                <w:color w:val="auto"/>
                <w:szCs w:val="21"/>
              </w:rPr>
              <w:fldChar w:fldCharType="begin"/>
            </w:r>
            <w:r>
              <w:rPr>
                <w:snapToGrid w:val="0"/>
                <w:color w:val="auto"/>
                <w:szCs w:val="21"/>
              </w:rPr>
              <w:instrText xml:space="preserve"> = 1 \* GB3 \* MERGEFORMAT </w:instrText>
            </w:r>
            <w:r>
              <w:rPr>
                <w:snapToGrid w:val="0"/>
                <w:color w:val="auto"/>
                <w:szCs w:val="21"/>
              </w:rPr>
              <w:fldChar w:fldCharType="separate"/>
            </w:r>
            <w:r>
              <w:rPr>
                <w:rFonts w:hint="eastAsia" w:cs="宋体"/>
                <w:color w:val="auto"/>
                <w:kern w:val="2"/>
                <w:szCs w:val="21"/>
              </w:rPr>
              <w:t>①</w:t>
            </w:r>
            <w:r>
              <w:rPr>
                <w:snapToGrid w:val="0"/>
                <w:color w:val="auto"/>
                <w:szCs w:val="21"/>
              </w:rPr>
              <w:fldChar w:fldCharType="end"/>
            </w:r>
          </w:p>
        </w:tc>
        <w:tc>
          <w:tcPr>
            <w:tcW w:w="465" w:type="pct"/>
            <w:tcBorders>
              <w:tl2br w:val="nil"/>
              <w:tr2bl w:val="nil"/>
            </w:tcBorders>
            <w:tcMar>
              <w:left w:w="28" w:type="dxa"/>
              <w:right w:w="28" w:type="dxa"/>
            </w:tcMar>
            <w:vAlign w:val="center"/>
          </w:tcPr>
          <w:p w14:paraId="48B075D8">
            <w:pPr>
              <w:pStyle w:val="167"/>
              <w:spacing w:before="0" w:beforeLines="0" w:after="0" w:afterLines="0" w:line="240" w:lineRule="auto"/>
              <w:rPr>
                <w:snapToGrid w:val="0"/>
                <w:color w:val="auto"/>
                <w:szCs w:val="21"/>
              </w:rPr>
            </w:pPr>
            <w:r>
              <w:rPr>
                <w:snapToGrid w:val="0"/>
                <w:color w:val="auto"/>
                <w:szCs w:val="21"/>
              </w:rPr>
              <w:t>现有工程</w:t>
            </w:r>
          </w:p>
          <w:p w14:paraId="513E287C">
            <w:pPr>
              <w:pStyle w:val="167"/>
              <w:spacing w:before="0" w:beforeLines="0" w:after="0" w:afterLines="0" w:line="240" w:lineRule="auto"/>
              <w:rPr>
                <w:snapToGrid w:val="0"/>
                <w:color w:val="auto"/>
                <w:szCs w:val="21"/>
              </w:rPr>
            </w:pPr>
            <w:r>
              <w:rPr>
                <w:snapToGrid w:val="0"/>
                <w:color w:val="auto"/>
                <w:szCs w:val="21"/>
              </w:rPr>
              <w:t>许可排放量</w:t>
            </w:r>
          </w:p>
          <w:p w14:paraId="369C6CAB">
            <w:pPr>
              <w:pStyle w:val="167"/>
              <w:spacing w:before="0" w:beforeLines="0" w:after="0" w:afterLines="0" w:line="240" w:lineRule="auto"/>
              <w:rPr>
                <w:snapToGrid w:val="0"/>
                <w:color w:val="auto"/>
                <w:szCs w:val="21"/>
              </w:rPr>
            </w:pPr>
            <w:r>
              <w:rPr>
                <w:snapToGrid w:val="0"/>
                <w:color w:val="auto"/>
                <w:szCs w:val="21"/>
              </w:rPr>
              <w:fldChar w:fldCharType="begin"/>
            </w:r>
            <w:r>
              <w:rPr>
                <w:snapToGrid w:val="0"/>
                <w:color w:val="auto"/>
                <w:szCs w:val="21"/>
              </w:rPr>
              <w:instrText xml:space="preserve"> = 2 \* GB3 \* MERGEFORMAT </w:instrText>
            </w:r>
            <w:r>
              <w:rPr>
                <w:snapToGrid w:val="0"/>
                <w:color w:val="auto"/>
                <w:szCs w:val="21"/>
              </w:rPr>
              <w:fldChar w:fldCharType="separate"/>
            </w:r>
            <w:r>
              <w:rPr>
                <w:rFonts w:hint="eastAsia" w:cs="宋体"/>
                <w:snapToGrid w:val="0"/>
                <w:color w:val="auto"/>
                <w:szCs w:val="21"/>
              </w:rPr>
              <w:t>②</w:t>
            </w:r>
            <w:r>
              <w:rPr>
                <w:snapToGrid w:val="0"/>
                <w:color w:val="auto"/>
                <w:szCs w:val="21"/>
              </w:rPr>
              <w:fldChar w:fldCharType="end"/>
            </w:r>
          </w:p>
        </w:tc>
        <w:tc>
          <w:tcPr>
            <w:tcW w:w="653" w:type="pct"/>
            <w:tcBorders>
              <w:tl2br w:val="nil"/>
              <w:tr2bl w:val="nil"/>
            </w:tcBorders>
            <w:tcMar>
              <w:left w:w="28" w:type="dxa"/>
              <w:right w:w="28" w:type="dxa"/>
            </w:tcMar>
            <w:vAlign w:val="center"/>
          </w:tcPr>
          <w:p w14:paraId="5B18B7ED">
            <w:pPr>
              <w:pStyle w:val="167"/>
              <w:spacing w:before="0" w:beforeLines="0" w:after="0" w:afterLines="0" w:line="240" w:lineRule="auto"/>
              <w:rPr>
                <w:snapToGrid w:val="0"/>
                <w:color w:val="auto"/>
                <w:szCs w:val="21"/>
              </w:rPr>
            </w:pPr>
            <w:r>
              <w:rPr>
                <w:snapToGrid w:val="0"/>
                <w:color w:val="auto"/>
                <w:szCs w:val="21"/>
              </w:rPr>
              <w:t>在建工程</w:t>
            </w:r>
          </w:p>
          <w:p w14:paraId="50E84C30">
            <w:pPr>
              <w:pStyle w:val="167"/>
              <w:spacing w:before="0" w:beforeLines="0" w:after="0" w:afterLines="0" w:line="240" w:lineRule="auto"/>
              <w:rPr>
                <w:snapToGrid w:val="0"/>
                <w:color w:val="auto"/>
                <w:szCs w:val="21"/>
              </w:rPr>
            </w:pPr>
            <w:r>
              <w:rPr>
                <w:snapToGrid w:val="0"/>
                <w:color w:val="auto"/>
                <w:szCs w:val="21"/>
              </w:rPr>
              <w:t>排放量（固体废物产生量）</w:t>
            </w:r>
            <w:r>
              <w:rPr>
                <w:snapToGrid w:val="0"/>
                <w:color w:val="auto"/>
                <w:szCs w:val="21"/>
              </w:rPr>
              <w:fldChar w:fldCharType="begin"/>
            </w:r>
            <w:r>
              <w:rPr>
                <w:snapToGrid w:val="0"/>
                <w:color w:val="auto"/>
                <w:szCs w:val="21"/>
              </w:rPr>
              <w:instrText xml:space="preserve"> = 3 \* GB3 \* MERGEFORMAT </w:instrText>
            </w:r>
            <w:r>
              <w:rPr>
                <w:snapToGrid w:val="0"/>
                <w:color w:val="auto"/>
                <w:szCs w:val="21"/>
              </w:rPr>
              <w:fldChar w:fldCharType="separate"/>
            </w:r>
            <w:r>
              <w:rPr>
                <w:rFonts w:hint="eastAsia" w:cs="宋体"/>
                <w:color w:val="auto"/>
                <w:kern w:val="2"/>
                <w:szCs w:val="21"/>
              </w:rPr>
              <w:t>③</w:t>
            </w:r>
            <w:r>
              <w:rPr>
                <w:snapToGrid w:val="0"/>
                <w:color w:val="auto"/>
                <w:szCs w:val="21"/>
              </w:rPr>
              <w:fldChar w:fldCharType="end"/>
            </w:r>
          </w:p>
        </w:tc>
        <w:tc>
          <w:tcPr>
            <w:tcW w:w="632" w:type="pct"/>
            <w:tcBorders>
              <w:tl2br w:val="nil"/>
              <w:tr2bl w:val="nil"/>
            </w:tcBorders>
            <w:tcMar>
              <w:left w:w="28" w:type="dxa"/>
              <w:right w:w="28" w:type="dxa"/>
            </w:tcMar>
            <w:vAlign w:val="center"/>
          </w:tcPr>
          <w:p w14:paraId="769B8C21">
            <w:pPr>
              <w:pStyle w:val="167"/>
              <w:spacing w:before="0" w:beforeLines="0" w:after="0" w:afterLines="0" w:line="240" w:lineRule="auto"/>
              <w:rPr>
                <w:snapToGrid w:val="0"/>
                <w:color w:val="auto"/>
                <w:szCs w:val="21"/>
              </w:rPr>
            </w:pPr>
            <w:r>
              <w:rPr>
                <w:snapToGrid w:val="0"/>
                <w:color w:val="auto"/>
                <w:szCs w:val="21"/>
              </w:rPr>
              <w:t>本项目</w:t>
            </w:r>
          </w:p>
          <w:p w14:paraId="7B6BD076">
            <w:pPr>
              <w:pStyle w:val="167"/>
              <w:spacing w:before="0" w:beforeLines="0" w:after="0" w:afterLines="0" w:line="240" w:lineRule="auto"/>
              <w:rPr>
                <w:snapToGrid w:val="0"/>
                <w:color w:val="auto"/>
                <w:szCs w:val="21"/>
              </w:rPr>
            </w:pPr>
            <w:r>
              <w:rPr>
                <w:snapToGrid w:val="0"/>
                <w:color w:val="auto"/>
                <w:szCs w:val="21"/>
              </w:rPr>
              <w:t>排放量（固体废物产生量）</w:t>
            </w:r>
            <w:r>
              <w:rPr>
                <w:snapToGrid w:val="0"/>
                <w:color w:val="auto"/>
                <w:szCs w:val="21"/>
              </w:rPr>
              <w:fldChar w:fldCharType="begin"/>
            </w:r>
            <w:r>
              <w:rPr>
                <w:snapToGrid w:val="0"/>
                <w:color w:val="auto"/>
                <w:szCs w:val="21"/>
              </w:rPr>
              <w:instrText xml:space="preserve"> = 4 \* GB3 \* MERGEFORMAT </w:instrText>
            </w:r>
            <w:r>
              <w:rPr>
                <w:snapToGrid w:val="0"/>
                <w:color w:val="auto"/>
                <w:szCs w:val="21"/>
              </w:rPr>
              <w:fldChar w:fldCharType="separate"/>
            </w:r>
            <w:r>
              <w:rPr>
                <w:rFonts w:hint="eastAsia" w:cs="宋体"/>
                <w:color w:val="auto"/>
                <w:kern w:val="2"/>
                <w:szCs w:val="21"/>
              </w:rPr>
              <w:t>④</w:t>
            </w:r>
            <w:r>
              <w:rPr>
                <w:snapToGrid w:val="0"/>
                <w:color w:val="auto"/>
                <w:szCs w:val="21"/>
              </w:rPr>
              <w:fldChar w:fldCharType="end"/>
            </w:r>
          </w:p>
        </w:tc>
        <w:tc>
          <w:tcPr>
            <w:tcW w:w="675" w:type="pct"/>
            <w:tcBorders>
              <w:tl2br w:val="nil"/>
              <w:tr2bl w:val="nil"/>
            </w:tcBorders>
            <w:tcMar>
              <w:left w:w="28" w:type="dxa"/>
              <w:right w:w="28" w:type="dxa"/>
            </w:tcMar>
            <w:vAlign w:val="center"/>
          </w:tcPr>
          <w:p w14:paraId="7B272D3F">
            <w:pPr>
              <w:pStyle w:val="167"/>
              <w:spacing w:before="0" w:beforeLines="0" w:after="0" w:afterLines="0" w:line="240" w:lineRule="auto"/>
              <w:rPr>
                <w:snapToGrid w:val="0"/>
                <w:color w:val="auto"/>
                <w:szCs w:val="21"/>
              </w:rPr>
            </w:pPr>
            <w:r>
              <w:rPr>
                <w:snapToGrid w:val="0"/>
                <w:color w:val="auto"/>
                <w:szCs w:val="21"/>
              </w:rPr>
              <w:t>以新带老削减量（新建项目不填）</w:t>
            </w:r>
            <w:r>
              <w:rPr>
                <w:snapToGrid w:val="0"/>
                <w:color w:val="auto"/>
                <w:szCs w:val="21"/>
              </w:rPr>
              <w:fldChar w:fldCharType="begin"/>
            </w:r>
            <w:r>
              <w:rPr>
                <w:snapToGrid w:val="0"/>
                <w:color w:val="auto"/>
                <w:szCs w:val="21"/>
              </w:rPr>
              <w:instrText xml:space="preserve"> = 5 \* GB3 \* MERGEFORMAT </w:instrText>
            </w:r>
            <w:r>
              <w:rPr>
                <w:snapToGrid w:val="0"/>
                <w:color w:val="auto"/>
                <w:szCs w:val="21"/>
              </w:rPr>
              <w:fldChar w:fldCharType="separate"/>
            </w:r>
            <w:r>
              <w:rPr>
                <w:rFonts w:hint="eastAsia" w:cs="宋体"/>
                <w:snapToGrid w:val="0"/>
                <w:color w:val="auto"/>
                <w:szCs w:val="21"/>
              </w:rPr>
              <w:t>⑤</w:t>
            </w:r>
            <w:r>
              <w:rPr>
                <w:snapToGrid w:val="0"/>
                <w:color w:val="auto"/>
                <w:szCs w:val="21"/>
              </w:rPr>
              <w:fldChar w:fldCharType="end"/>
            </w:r>
          </w:p>
        </w:tc>
        <w:tc>
          <w:tcPr>
            <w:tcW w:w="703" w:type="pct"/>
            <w:tcBorders>
              <w:tl2br w:val="nil"/>
              <w:tr2bl w:val="nil"/>
            </w:tcBorders>
            <w:tcMar>
              <w:left w:w="28" w:type="dxa"/>
              <w:right w:w="28" w:type="dxa"/>
            </w:tcMar>
            <w:vAlign w:val="center"/>
          </w:tcPr>
          <w:p w14:paraId="275175A2">
            <w:pPr>
              <w:pStyle w:val="167"/>
              <w:spacing w:before="0" w:beforeLines="0" w:after="0" w:afterLines="0" w:line="240" w:lineRule="auto"/>
              <w:rPr>
                <w:snapToGrid w:val="0"/>
                <w:color w:val="auto"/>
                <w:szCs w:val="21"/>
              </w:rPr>
            </w:pPr>
            <w:r>
              <w:rPr>
                <w:snapToGrid w:val="0"/>
                <w:color w:val="auto"/>
                <w:szCs w:val="21"/>
              </w:rPr>
              <w:t>本项目建成后</w:t>
            </w:r>
          </w:p>
          <w:p w14:paraId="613587B8">
            <w:pPr>
              <w:pStyle w:val="167"/>
              <w:spacing w:before="0" w:beforeLines="0" w:after="0" w:afterLines="0" w:line="240" w:lineRule="auto"/>
              <w:rPr>
                <w:snapToGrid w:val="0"/>
                <w:color w:val="auto"/>
                <w:szCs w:val="21"/>
              </w:rPr>
            </w:pPr>
            <w:r>
              <w:rPr>
                <w:snapToGrid w:val="0"/>
                <w:color w:val="auto"/>
                <w:szCs w:val="21"/>
              </w:rPr>
              <w:t>全厂排放量（固体废物产生量）</w:t>
            </w:r>
            <w:r>
              <w:rPr>
                <w:snapToGrid w:val="0"/>
                <w:color w:val="auto"/>
                <w:szCs w:val="21"/>
              </w:rPr>
              <w:fldChar w:fldCharType="begin"/>
            </w:r>
            <w:r>
              <w:rPr>
                <w:snapToGrid w:val="0"/>
                <w:color w:val="auto"/>
                <w:szCs w:val="21"/>
              </w:rPr>
              <w:instrText xml:space="preserve"> = 6 \* GB3 \* MERGEFORMAT </w:instrText>
            </w:r>
            <w:r>
              <w:rPr>
                <w:snapToGrid w:val="0"/>
                <w:color w:val="auto"/>
                <w:szCs w:val="21"/>
              </w:rPr>
              <w:fldChar w:fldCharType="separate"/>
            </w:r>
            <w:r>
              <w:rPr>
                <w:rFonts w:hint="eastAsia" w:cs="宋体"/>
                <w:snapToGrid w:val="0"/>
                <w:color w:val="auto"/>
                <w:szCs w:val="21"/>
              </w:rPr>
              <w:t>⑥</w:t>
            </w:r>
            <w:r>
              <w:rPr>
                <w:snapToGrid w:val="0"/>
                <w:color w:val="auto"/>
                <w:szCs w:val="21"/>
              </w:rPr>
              <w:fldChar w:fldCharType="end"/>
            </w:r>
          </w:p>
        </w:tc>
        <w:tc>
          <w:tcPr>
            <w:tcW w:w="337" w:type="pct"/>
            <w:tcBorders>
              <w:tl2br w:val="nil"/>
              <w:tr2bl w:val="nil"/>
            </w:tcBorders>
            <w:tcMar>
              <w:left w:w="28" w:type="dxa"/>
              <w:right w:w="28" w:type="dxa"/>
            </w:tcMar>
            <w:vAlign w:val="center"/>
          </w:tcPr>
          <w:p w14:paraId="5276E40C">
            <w:pPr>
              <w:pStyle w:val="167"/>
              <w:spacing w:before="0" w:beforeLines="0" w:after="0" w:afterLines="0" w:line="240" w:lineRule="auto"/>
              <w:rPr>
                <w:snapToGrid w:val="0"/>
                <w:color w:val="auto"/>
                <w:szCs w:val="21"/>
              </w:rPr>
            </w:pPr>
            <w:r>
              <w:rPr>
                <w:snapToGrid w:val="0"/>
                <w:color w:val="auto"/>
                <w:szCs w:val="21"/>
              </w:rPr>
              <w:t>变化量</w:t>
            </w:r>
          </w:p>
          <w:p w14:paraId="3CD3EF6D">
            <w:pPr>
              <w:pStyle w:val="167"/>
              <w:spacing w:before="0" w:beforeLines="0" w:after="0" w:afterLines="0" w:line="240" w:lineRule="auto"/>
              <w:rPr>
                <w:snapToGrid w:val="0"/>
                <w:color w:val="auto"/>
                <w:szCs w:val="21"/>
              </w:rPr>
            </w:pPr>
            <w:r>
              <w:rPr>
                <w:snapToGrid w:val="0"/>
                <w:color w:val="auto"/>
                <w:szCs w:val="21"/>
              </w:rPr>
              <w:fldChar w:fldCharType="begin"/>
            </w:r>
            <w:r>
              <w:rPr>
                <w:snapToGrid w:val="0"/>
                <w:color w:val="auto"/>
                <w:szCs w:val="21"/>
              </w:rPr>
              <w:instrText xml:space="preserve"> = 7 \* GB3 \* MERGEFORMAT </w:instrText>
            </w:r>
            <w:r>
              <w:rPr>
                <w:snapToGrid w:val="0"/>
                <w:color w:val="auto"/>
                <w:szCs w:val="21"/>
              </w:rPr>
              <w:fldChar w:fldCharType="separate"/>
            </w:r>
            <w:r>
              <w:rPr>
                <w:rFonts w:hint="eastAsia" w:cs="宋体"/>
                <w:snapToGrid w:val="0"/>
                <w:color w:val="auto"/>
                <w:szCs w:val="21"/>
              </w:rPr>
              <w:t>⑦</w:t>
            </w:r>
            <w:r>
              <w:rPr>
                <w:snapToGrid w:val="0"/>
                <w:color w:val="auto"/>
                <w:szCs w:val="21"/>
              </w:rPr>
              <w:fldChar w:fldCharType="end"/>
            </w:r>
          </w:p>
        </w:tc>
      </w:tr>
      <w:tr w14:paraId="10013E8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tcBorders>
              <w:tl2br w:val="nil"/>
              <w:tr2bl w:val="nil"/>
            </w:tcBorders>
            <w:vAlign w:val="center"/>
          </w:tcPr>
          <w:p w14:paraId="03B07334">
            <w:pPr>
              <w:pStyle w:val="167"/>
              <w:spacing w:before="0" w:beforeLines="0" w:after="0" w:afterLines="0" w:line="240" w:lineRule="auto"/>
              <w:rPr>
                <w:snapToGrid w:val="0"/>
                <w:color w:val="auto"/>
                <w:szCs w:val="21"/>
              </w:rPr>
            </w:pPr>
            <w:r>
              <w:rPr>
                <w:snapToGrid w:val="0"/>
                <w:color w:val="auto"/>
                <w:szCs w:val="21"/>
              </w:rPr>
              <w:t>废气</w:t>
            </w:r>
          </w:p>
        </w:tc>
        <w:tc>
          <w:tcPr>
            <w:tcW w:w="171" w:type="pct"/>
            <w:tcBorders>
              <w:tl2br w:val="nil"/>
              <w:tr2bl w:val="nil"/>
            </w:tcBorders>
            <w:vAlign w:val="center"/>
          </w:tcPr>
          <w:p w14:paraId="4CB6E4A5">
            <w:pPr>
              <w:spacing w:line="240" w:lineRule="auto"/>
              <w:ind w:firstLine="0" w:firstLineChars="0"/>
              <w:jc w:val="center"/>
              <w:rPr>
                <w:color w:val="auto"/>
                <w:sz w:val="21"/>
                <w:szCs w:val="21"/>
              </w:rPr>
            </w:pPr>
            <w:r>
              <w:rPr>
                <w:rFonts w:hint="eastAsia"/>
                <w:color w:val="auto"/>
                <w:sz w:val="21"/>
                <w:szCs w:val="21"/>
              </w:rPr>
              <w:t>有组织</w:t>
            </w:r>
          </w:p>
        </w:tc>
        <w:tc>
          <w:tcPr>
            <w:tcW w:w="407" w:type="pct"/>
            <w:tcBorders>
              <w:tl2br w:val="nil"/>
              <w:tr2bl w:val="nil"/>
            </w:tcBorders>
            <w:vAlign w:val="center"/>
          </w:tcPr>
          <w:p w14:paraId="0094AEFB">
            <w:pPr>
              <w:spacing w:line="240" w:lineRule="auto"/>
              <w:ind w:firstLine="0" w:firstLineChars="0"/>
              <w:jc w:val="center"/>
              <w:rPr>
                <w:rFonts w:hint="eastAsia" w:eastAsia="宋体"/>
                <w:color w:val="auto"/>
                <w:sz w:val="21"/>
                <w:szCs w:val="21"/>
                <w:lang w:eastAsia="zh-CN"/>
              </w:rPr>
            </w:pPr>
            <w:r>
              <w:rPr>
                <w:rFonts w:hint="eastAsia"/>
                <w:color w:val="auto"/>
                <w:sz w:val="21"/>
                <w:szCs w:val="21"/>
              </w:rPr>
              <w:t>VOCs</w:t>
            </w:r>
            <w:r>
              <w:rPr>
                <w:rFonts w:hint="eastAsia"/>
                <w:color w:val="auto"/>
                <w:sz w:val="21"/>
                <w:szCs w:val="21"/>
                <w:lang w:eastAsia="zh-CN"/>
              </w:rPr>
              <w:t>（</w:t>
            </w:r>
            <w:r>
              <w:rPr>
                <w:rFonts w:hint="eastAsia"/>
                <w:color w:val="auto"/>
                <w:sz w:val="21"/>
                <w:szCs w:val="21"/>
                <w:lang w:val="en-US" w:eastAsia="zh-CN"/>
              </w:rPr>
              <w:t>以非甲烷总烃表征</w:t>
            </w:r>
            <w:r>
              <w:rPr>
                <w:rFonts w:hint="eastAsia"/>
                <w:color w:val="auto"/>
                <w:sz w:val="21"/>
                <w:szCs w:val="21"/>
                <w:lang w:eastAsia="zh-CN"/>
              </w:rPr>
              <w:t>）</w:t>
            </w:r>
          </w:p>
        </w:tc>
        <w:tc>
          <w:tcPr>
            <w:tcW w:w="521" w:type="pct"/>
            <w:tcBorders>
              <w:tl2br w:val="nil"/>
              <w:tr2bl w:val="nil"/>
            </w:tcBorders>
            <w:vAlign w:val="center"/>
          </w:tcPr>
          <w:p w14:paraId="01BDD82F">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465" w:type="pct"/>
            <w:tcBorders>
              <w:tl2br w:val="nil"/>
              <w:tr2bl w:val="nil"/>
            </w:tcBorders>
            <w:vAlign w:val="center"/>
          </w:tcPr>
          <w:p w14:paraId="7A4D8FE5">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653" w:type="pct"/>
            <w:tcBorders>
              <w:tl2br w:val="nil"/>
              <w:tr2bl w:val="nil"/>
            </w:tcBorders>
            <w:vAlign w:val="center"/>
          </w:tcPr>
          <w:p w14:paraId="01CC9E11">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632" w:type="pct"/>
            <w:tcBorders>
              <w:tl2br w:val="nil"/>
              <w:tr2bl w:val="nil"/>
            </w:tcBorders>
            <w:vAlign w:val="center"/>
          </w:tcPr>
          <w:p w14:paraId="6AA844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sz w:val="21"/>
                <w:szCs w:val="21"/>
                <w:lang w:val="en-US" w:eastAsia="zh-CN"/>
              </w:rPr>
            </w:pPr>
            <w:r>
              <w:rPr>
                <w:rFonts w:hint="eastAsia"/>
                <w:color w:val="auto"/>
                <w:sz w:val="21"/>
                <w:szCs w:val="21"/>
                <w:lang w:val="en-US" w:eastAsia="zh-CN"/>
              </w:rPr>
              <w:t>0.235</w:t>
            </w:r>
          </w:p>
        </w:tc>
        <w:tc>
          <w:tcPr>
            <w:tcW w:w="675" w:type="pct"/>
            <w:tcBorders>
              <w:tl2br w:val="nil"/>
              <w:tr2bl w:val="nil"/>
            </w:tcBorders>
            <w:vAlign w:val="center"/>
          </w:tcPr>
          <w:p w14:paraId="51A032E0">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703" w:type="pct"/>
            <w:tcBorders>
              <w:tl2br w:val="nil"/>
              <w:tr2bl w:val="nil"/>
            </w:tcBorders>
            <w:shd w:val="clear" w:color="auto" w:fill="auto"/>
            <w:vAlign w:val="center"/>
          </w:tcPr>
          <w:p w14:paraId="7671FE7C">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0.235</w:t>
            </w:r>
          </w:p>
        </w:tc>
        <w:tc>
          <w:tcPr>
            <w:tcW w:w="337" w:type="pct"/>
            <w:tcBorders>
              <w:tl2br w:val="nil"/>
              <w:tr2bl w:val="nil"/>
            </w:tcBorders>
            <w:shd w:val="clear" w:color="auto" w:fill="auto"/>
            <w:vAlign w:val="center"/>
          </w:tcPr>
          <w:p w14:paraId="406E9DCB">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+0.235</w:t>
            </w:r>
          </w:p>
        </w:tc>
      </w:tr>
      <w:tr w14:paraId="1FA3FC2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restart"/>
            <w:tcBorders>
              <w:tl2br w:val="nil"/>
              <w:tr2bl w:val="nil"/>
            </w:tcBorders>
            <w:vAlign w:val="center"/>
          </w:tcPr>
          <w:p w14:paraId="6D91D9CA">
            <w:pPr>
              <w:pStyle w:val="167"/>
              <w:spacing w:before="0" w:beforeLines="0" w:after="0" w:afterLines="0" w:line="240" w:lineRule="auto"/>
              <w:rPr>
                <w:snapToGrid w:val="0"/>
                <w:color w:val="auto"/>
                <w:szCs w:val="21"/>
              </w:rPr>
            </w:pPr>
            <w:r>
              <w:rPr>
                <w:snapToGrid w:val="0"/>
                <w:color w:val="auto"/>
                <w:szCs w:val="21"/>
              </w:rPr>
              <w:t>废水</w:t>
            </w:r>
          </w:p>
        </w:tc>
        <w:tc>
          <w:tcPr>
            <w:tcW w:w="578" w:type="pct"/>
            <w:gridSpan w:val="2"/>
            <w:tcBorders>
              <w:tl2br w:val="nil"/>
              <w:tr2bl w:val="nil"/>
            </w:tcBorders>
            <w:vAlign w:val="center"/>
          </w:tcPr>
          <w:p w14:paraId="3D17BE03">
            <w:pPr>
              <w:pStyle w:val="167"/>
              <w:spacing w:before="0" w:beforeLines="0" w:after="0" w:afterLines="0" w:line="240" w:lineRule="auto"/>
              <w:rPr>
                <w:b/>
                <w:color w:val="auto"/>
                <w:szCs w:val="21"/>
              </w:rPr>
            </w:pPr>
            <w:r>
              <w:rPr>
                <w:color w:val="auto"/>
                <w:szCs w:val="21"/>
              </w:rPr>
              <w:t>废水量</w:t>
            </w:r>
          </w:p>
        </w:tc>
        <w:tc>
          <w:tcPr>
            <w:tcW w:w="521" w:type="pct"/>
            <w:tcBorders>
              <w:tl2br w:val="nil"/>
              <w:tr2bl w:val="nil"/>
            </w:tcBorders>
            <w:vAlign w:val="center"/>
          </w:tcPr>
          <w:p w14:paraId="6C5863C4">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4A87737F">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5547E8C8">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vAlign w:val="center"/>
          </w:tcPr>
          <w:p w14:paraId="54A781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
                <w:color w:val="auto"/>
                <w:sz w:val="21"/>
                <w:szCs w:val="21"/>
                <w:lang w:val="en-US" w:eastAsia="zh-CN"/>
              </w:rPr>
            </w:pPr>
            <w:r>
              <w:rPr>
                <w:rFonts w:hint="eastAsia"/>
                <w:color w:val="auto"/>
                <w:sz w:val="21"/>
                <w:szCs w:val="21"/>
                <w:lang w:val="en-US" w:eastAsia="zh-CN"/>
              </w:rPr>
              <w:t>600</w:t>
            </w:r>
          </w:p>
        </w:tc>
        <w:tc>
          <w:tcPr>
            <w:tcW w:w="675" w:type="pct"/>
            <w:tcBorders>
              <w:tl2br w:val="nil"/>
              <w:tr2bl w:val="nil"/>
            </w:tcBorders>
            <w:vAlign w:val="center"/>
          </w:tcPr>
          <w:p w14:paraId="37AB3E41">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42EDD9FD">
            <w:pPr>
              <w:spacing w:line="240" w:lineRule="auto"/>
              <w:ind w:firstLine="0" w:firstLineChars="0"/>
              <w:jc w:val="center"/>
              <w:rPr>
                <w:rFonts w:hint="default" w:ascii="Times New Roman" w:hAnsi="Times New Roman" w:eastAsia="宋体" w:cs="Times New Roman"/>
                <w:b/>
                <w:color w:val="auto"/>
                <w:kern w:val="2"/>
                <w:sz w:val="21"/>
                <w:szCs w:val="21"/>
                <w:lang w:val="en-US" w:eastAsia="zh-CN" w:bidi="ar-SA"/>
              </w:rPr>
            </w:pPr>
            <w:r>
              <w:rPr>
                <w:rFonts w:hint="eastAsia"/>
                <w:color w:val="auto"/>
                <w:sz w:val="21"/>
                <w:szCs w:val="21"/>
                <w:lang w:val="en-US" w:eastAsia="zh-CN"/>
              </w:rPr>
              <w:t>600</w:t>
            </w:r>
          </w:p>
        </w:tc>
        <w:tc>
          <w:tcPr>
            <w:tcW w:w="337" w:type="pct"/>
            <w:tcBorders>
              <w:tl2br w:val="nil"/>
              <w:tr2bl w:val="nil"/>
            </w:tcBorders>
            <w:shd w:val="clear" w:color="auto" w:fill="auto"/>
            <w:vAlign w:val="center"/>
          </w:tcPr>
          <w:p w14:paraId="7E3E21E0">
            <w:pPr>
              <w:spacing w:line="240" w:lineRule="auto"/>
              <w:ind w:firstLine="0" w:firstLineChars="0"/>
              <w:jc w:val="center"/>
              <w:rPr>
                <w:rFonts w:hint="default" w:ascii="Times New Roman" w:hAnsi="Times New Roman" w:eastAsia="宋体" w:cs="Times New Roman"/>
                <w:b/>
                <w:color w:val="auto"/>
                <w:kern w:val="2"/>
                <w:sz w:val="21"/>
                <w:szCs w:val="21"/>
                <w:lang w:val="en-US" w:eastAsia="zh-CN" w:bidi="ar-SA"/>
              </w:rPr>
            </w:pPr>
            <w:r>
              <w:rPr>
                <w:rFonts w:hint="eastAsia"/>
                <w:color w:val="auto"/>
                <w:sz w:val="21"/>
                <w:szCs w:val="21"/>
                <w:lang w:val="en-US" w:eastAsia="zh-CN"/>
              </w:rPr>
              <w:t>+600</w:t>
            </w:r>
          </w:p>
        </w:tc>
      </w:tr>
      <w:tr w14:paraId="2269B9B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0BB297AF">
            <w:pPr>
              <w:pStyle w:val="167"/>
              <w:spacing w:before="0" w:beforeLines="0" w:after="0" w:afterLines="0" w:line="240" w:lineRule="auto"/>
              <w:rPr>
                <w:snapToGrid w:val="0"/>
                <w:color w:val="auto"/>
                <w:szCs w:val="21"/>
              </w:rPr>
            </w:pPr>
          </w:p>
        </w:tc>
        <w:tc>
          <w:tcPr>
            <w:tcW w:w="578" w:type="pct"/>
            <w:gridSpan w:val="2"/>
            <w:tcBorders>
              <w:tl2br w:val="nil"/>
              <w:tr2bl w:val="nil"/>
            </w:tcBorders>
            <w:vAlign w:val="center"/>
          </w:tcPr>
          <w:p w14:paraId="74602125">
            <w:pPr>
              <w:pStyle w:val="167"/>
              <w:spacing w:before="0" w:beforeLines="0" w:after="0" w:afterLines="0" w:line="240" w:lineRule="auto"/>
              <w:rPr>
                <w:b/>
                <w:color w:val="auto"/>
                <w:szCs w:val="21"/>
              </w:rPr>
            </w:pPr>
            <w:r>
              <w:rPr>
                <w:color w:val="auto"/>
                <w:szCs w:val="21"/>
              </w:rPr>
              <w:t>COD</w:t>
            </w:r>
          </w:p>
        </w:tc>
        <w:tc>
          <w:tcPr>
            <w:tcW w:w="521" w:type="pct"/>
            <w:tcBorders>
              <w:tl2br w:val="nil"/>
              <w:tr2bl w:val="nil"/>
            </w:tcBorders>
            <w:vAlign w:val="center"/>
          </w:tcPr>
          <w:p w14:paraId="3C91DFD4">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3BB34CC1">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6AF3542E">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2C5DE61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0.168</w:t>
            </w:r>
          </w:p>
        </w:tc>
        <w:tc>
          <w:tcPr>
            <w:tcW w:w="675" w:type="pct"/>
            <w:tcBorders>
              <w:tl2br w:val="nil"/>
              <w:tr2bl w:val="nil"/>
            </w:tcBorders>
            <w:vAlign w:val="center"/>
          </w:tcPr>
          <w:p w14:paraId="460F8E47">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2D3B4B28">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0.168</w:t>
            </w:r>
          </w:p>
        </w:tc>
        <w:tc>
          <w:tcPr>
            <w:tcW w:w="337" w:type="pct"/>
            <w:tcBorders>
              <w:tl2br w:val="nil"/>
              <w:tr2bl w:val="nil"/>
            </w:tcBorders>
            <w:shd w:val="clear" w:color="auto" w:fill="auto"/>
            <w:vAlign w:val="center"/>
          </w:tcPr>
          <w:p w14:paraId="6430BEED">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+0.168</w:t>
            </w:r>
          </w:p>
        </w:tc>
      </w:tr>
      <w:tr w14:paraId="78ECCA1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6EBE4C3A">
            <w:pPr>
              <w:pStyle w:val="167"/>
              <w:spacing w:before="0" w:beforeLines="0" w:after="0" w:afterLines="0" w:line="240" w:lineRule="auto"/>
              <w:rPr>
                <w:snapToGrid w:val="0"/>
                <w:color w:val="auto"/>
                <w:szCs w:val="21"/>
              </w:rPr>
            </w:pPr>
          </w:p>
        </w:tc>
        <w:tc>
          <w:tcPr>
            <w:tcW w:w="578" w:type="pct"/>
            <w:gridSpan w:val="2"/>
            <w:tcBorders>
              <w:tl2br w:val="nil"/>
              <w:tr2bl w:val="nil"/>
            </w:tcBorders>
            <w:vAlign w:val="center"/>
          </w:tcPr>
          <w:p w14:paraId="0CAE9CFE">
            <w:pPr>
              <w:pStyle w:val="167"/>
              <w:spacing w:before="0" w:beforeLines="0" w:after="0" w:afterLines="0" w:line="240" w:lineRule="auto"/>
              <w:rPr>
                <w:rFonts w:hint="default" w:eastAsia="宋体"/>
                <w:color w:val="auto"/>
                <w:szCs w:val="21"/>
                <w:lang w:val="en-US" w:eastAsia="zh-CN"/>
              </w:rPr>
            </w:pPr>
            <w:r>
              <w:rPr>
                <w:rFonts w:hint="eastAsia"/>
                <w:color w:val="auto"/>
                <w:szCs w:val="21"/>
                <w:lang w:val="en-US" w:eastAsia="zh-CN"/>
              </w:rPr>
              <w:t>BOD</w:t>
            </w:r>
            <w:r>
              <w:rPr>
                <w:rFonts w:hint="eastAsia"/>
                <w:color w:val="auto"/>
                <w:szCs w:val="21"/>
                <w:vertAlign w:val="subscript"/>
                <w:lang w:val="en-US" w:eastAsia="zh-CN"/>
              </w:rPr>
              <w:t>5</w:t>
            </w:r>
          </w:p>
        </w:tc>
        <w:tc>
          <w:tcPr>
            <w:tcW w:w="521" w:type="pct"/>
            <w:tcBorders>
              <w:tl2br w:val="nil"/>
              <w:tr2bl w:val="nil"/>
            </w:tcBorders>
            <w:vAlign w:val="center"/>
          </w:tcPr>
          <w:p w14:paraId="64196B73">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44928702">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147663AD">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336B007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0.096</w:t>
            </w:r>
          </w:p>
        </w:tc>
        <w:tc>
          <w:tcPr>
            <w:tcW w:w="675" w:type="pct"/>
            <w:tcBorders>
              <w:tl2br w:val="nil"/>
              <w:tr2bl w:val="nil"/>
            </w:tcBorders>
            <w:shd w:val="clear" w:color="auto" w:fill="auto"/>
            <w:vAlign w:val="center"/>
          </w:tcPr>
          <w:p w14:paraId="514E0382">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rFonts w:ascii="Times New Roman" w:hAnsi="Times New Roman" w:eastAsia="宋体" w:cs="Times New Roman"/>
                <w:snapToGrid w:val="0"/>
                <w:color w:val="auto"/>
                <w:kern w:val="0"/>
                <w:sz w:val="21"/>
                <w:szCs w:val="21"/>
                <w:lang w:val="en-US" w:eastAsia="zh-CN" w:bidi="ar-SA"/>
              </w:rPr>
            </w:pPr>
            <w:r>
              <w:rPr>
                <w:snapToGrid w:val="0"/>
                <w:color w:val="auto"/>
                <w:szCs w:val="21"/>
              </w:rPr>
              <w:t>-</w:t>
            </w:r>
          </w:p>
        </w:tc>
        <w:tc>
          <w:tcPr>
            <w:tcW w:w="703" w:type="pct"/>
            <w:tcBorders>
              <w:tl2br w:val="nil"/>
              <w:tr2bl w:val="nil"/>
            </w:tcBorders>
            <w:shd w:val="clear" w:color="auto" w:fill="auto"/>
            <w:vAlign w:val="center"/>
          </w:tcPr>
          <w:p w14:paraId="0A31476D">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0.096</w:t>
            </w:r>
          </w:p>
        </w:tc>
        <w:tc>
          <w:tcPr>
            <w:tcW w:w="337" w:type="pct"/>
            <w:tcBorders>
              <w:tl2br w:val="nil"/>
              <w:tr2bl w:val="nil"/>
            </w:tcBorders>
            <w:shd w:val="clear" w:color="auto" w:fill="auto"/>
            <w:vAlign w:val="center"/>
          </w:tcPr>
          <w:p w14:paraId="56D1985E">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+0.096</w:t>
            </w:r>
          </w:p>
        </w:tc>
      </w:tr>
      <w:tr w14:paraId="3C58FEC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10BD2EA0">
            <w:pPr>
              <w:pStyle w:val="167"/>
              <w:spacing w:before="0" w:beforeLines="0" w:after="0" w:afterLines="0" w:line="240" w:lineRule="auto"/>
              <w:rPr>
                <w:snapToGrid w:val="0"/>
                <w:color w:val="auto"/>
                <w:szCs w:val="21"/>
              </w:rPr>
            </w:pPr>
          </w:p>
        </w:tc>
        <w:tc>
          <w:tcPr>
            <w:tcW w:w="578" w:type="pct"/>
            <w:gridSpan w:val="2"/>
            <w:tcBorders>
              <w:tl2br w:val="nil"/>
              <w:tr2bl w:val="nil"/>
            </w:tcBorders>
            <w:vAlign w:val="center"/>
          </w:tcPr>
          <w:p w14:paraId="1C997AAF">
            <w:pPr>
              <w:pStyle w:val="167"/>
              <w:spacing w:before="0" w:beforeLines="0" w:after="0" w:afterLines="0" w:line="240" w:lineRule="auto"/>
              <w:rPr>
                <w:b/>
                <w:color w:val="auto"/>
                <w:szCs w:val="21"/>
              </w:rPr>
            </w:pPr>
            <w:r>
              <w:rPr>
                <w:color w:val="auto"/>
                <w:szCs w:val="21"/>
              </w:rPr>
              <w:t>SS</w:t>
            </w:r>
          </w:p>
        </w:tc>
        <w:tc>
          <w:tcPr>
            <w:tcW w:w="521" w:type="pct"/>
            <w:tcBorders>
              <w:tl2br w:val="nil"/>
              <w:tr2bl w:val="nil"/>
            </w:tcBorders>
            <w:vAlign w:val="center"/>
          </w:tcPr>
          <w:p w14:paraId="526F8438">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271C0832">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781EA873">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6E3D46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0.096</w:t>
            </w:r>
          </w:p>
        </w:tc>
        <w:tc>
          <w:tcPr>
            <w:tcW w:w="675" w:type="pct"/>
            <w:tcBorders>
              <w:tl2br w:val="nil"/>
              <w:tr2bl w:val="nil"/>
            </w:tcBorders>
            <w:vAlign w:val="center"/>
          </w:tcPr>
          <w:p w14:paraId="55A9DA8B">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7069962C">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0.096</w:t>
            </w:r>
          </w:p>
        </w:tc>
        <w:tc>
          <w:tcPr>
            <w:tcW w:w="337" w:type="pct"/>
            <w:tcBorders>
              <w:tl2br w:val="nil"/>
              <w:tr2bl w:val="nil"/>
            </w:tcBorders>
            <w:shd w:val="clear" w:color="auto" w:fill="auto"/>
            <w:vAlign w:val="center"/>
          </w:tcPr>
          <w:p w14:paraId="0809A3CA">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+0.096</w:t>
            </w:r>
          </w:p>
        </w:tc>
      </w:tr>
      <w:tr w14:paraId="7F19B62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53499013">
            <w:pPr>
              <w:pStyle w:val="167"/>
              <w:spacing w:before="0" w:beforeLines="0" w:after="0" w:afterLines="0" w:line="240" w:lineRule="auto"/>
              <w:rPr>
                <w:snapToGrid w:val="0"/>
                <w:color w:val="auto"/>
                <w:szCs w:val="21"/>
              </w:rPr>
            </w:pPr>
          </w:p>
        </w:tc>
        <w:tc>
          <w:tcPr>
            <w:tcW w:w="578" w:type="pct"/>
            <w:gridSpan w:val="2"/>
            <w:tcBorders>
              <w:tl2br w:val="nil"/>
              <w:tr2bl w:val="nil"/>
            </w:tcBorders>
            <w:vAlign w:val="center"/>
          </w:tcPr>
          <w:p w14:paraId="4107D3AF">
            <w:pPr>
              <w:pStyle w:val="167"/>
              <w:spacing w:before="0" w:beforeLines="0" w:after="0" w:afterLines="0" w:line="240" w:lineRule="auto"/>
              <w:rPr>
                <w:b/>
                <w:color w:val="auto"/>
                <w:szCs w:val="21"/>
              </w:rPr>
            </w:pPr>
            <w:r>
              <w:rPr>
                <w:color w:val="auto"/>
                <w:szCs w:val="21"/>
              </w:rPr>
              <w:t>氨氮</w:t>
            </w:r>
          </w:p>
        </w:tc>
        <w:tc>
          <w:tcPr>
            <w:tcW w:w="521" w:type="pct"/>
            <w:tcBorders>
              <w:tl2br w:val="nil"/>
              <w:tr2bl w:val="nil"/>
            </w:tcBorders>
            <w:vAlign w:val="center"/>
          </w:tcPr>
          <w:p w14:paraId="6EDA435C">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73BF00D6">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1861E851">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142D6B7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0.018</w:t>
            </w:r>
          </w:p>
        </w:tc>
        <w:tc>
          <w:tcPr>
            <w:tcW w:w="675" w:type="pct"/>
            <w:tcBorders>
              <w:tl2br w:val="nil"/>
              <w:tr2bl w:val="nil"/>
            </w:tcBorders>
            <w:vAlign w:val="center"/>
          </w:tcPr>
          <w:p w14:paraId="6BEF54ED">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2EB02B99">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0.018</w:t>
            </w:r>
          </w:p>
        </w:tc>
        <w:tc>
          <w:tcPr>
            <w:tcW w:w="337" w:type="pct"/>
            <w:tcBorders>
              <w:tl2br w:val="nil"/>
              <w:tr2bl w:val="nil"/>
            </w:tcBorders>
            <w:shd w:val="clear" w:color="auto" w:fill="auto"/>
            <w:vAlign w:val="center"/>
          </w:tcPr>
          <w:p w14:paraId="30CAB83D">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+0.018</w:t>
            </w:r>
          </w:p>
        </w:tc>
      </w:tr>
      <w:tr w14:paraId="7673324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51AA37FF">
            <w:pPr>
              <w:pStyle w:val="167"/>
              <w:spacing w:before="0" w:beforeLines="0" w:after="0" w:afterLines="0" w:line="240" w:lineRule="auto"/>
              <w:rPr>
                <w:snapToGrid w:val="0"/>
                <w:color w:val="auto"/>
                <w:szCs w:val="21"/>
              </w:rPr>
            </w:pPr>
          </w:p>
        </w:tc>
        <w:tc>
          <w:tcPr>
            <w:tcW w:w="578" w:type="pct"/>
            <w:gridSpan w:val="2"/>
            <w:tcBorders>
              <w:tl2br w:val="nil"/>
              <w:tr2bl w:val="nil"/>
            </w:tcBorders>
            <w:vAlign w:val="center"/>
          </w:tcPr>
          <w:p w14:paraId="318FB86F">
            <w:pPr>
              <w:pStyle w:val="167"/>
              <w:spacing w:before="0" w:beforeLines="0" w:after="0" w:afterLines="0" w:line="240" w:lineRule="auto"/>
              <w:rPr>
                <w:rFonts w:hint="eastAsia" w:eastAsia="宋体"/>
                <w:b w:val="0"/>
                <w:bCs/>
                <w:color w:val="auto"/>
                <w:szCs w:val="21"/>
                <w:lang w:val="en-US" w:eastAsia="zh-CN"/>
              </w:rPr>
            </w:pPr>
            <w:r>
              <w:rPr>
                <w:rFonts w:hint="eastAsia"/>
                <w:b w:val="0"/>
                <w:bCs/>
                <w:color w:val="auto"/>
                <w:szCs w:val="21"/>
                <w:lang w:val="en-US" w:eastAsia="zh-CN"/>
              </w:rPr>
              <w:t>总磷</w:t>
            </w:r>
          </w:p>
        </w:tc>
        <w:tc>
          <w:tcPr>
            <w:tcW w:w="521" w:type="pct"/>
            <w:tcBorders>
              <w:tl2br w:val="nil"/>
              <w:tr2bl w:val="nil"/>
            </w:tcBorders>
            <w:vAlign w:val="center"/>
          </w:tcPr>
          <w:p w14:paraId="57649691">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4C822975">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389789B5">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71AC15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0.0012</w:t>
            </w:r>
          </w:p>
        </w:tc>
        <w:tc>
          <w:tcPr>
            <w:tcW w:w="675" w:type="pct"/>
            <w:tcBorders>
              <w:tl2br w:val="nil"/>
              <w:tr2bl w:val="nil"/>
            </w:tcBorders>
            <w:vAlign w:val="center"/>
          </w:tcPr>
          <w:p w14:paraId="34605A27">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7EBA5E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0.0012</w:t>
            </w:r>
          </w:p>
        </w:tc>
        <w:tc>
          <w:tcPr>
            <w:tcW w:w="337" w:type="pct"/>
            <w:tcBorders>
              <w:tl2br w:val="nil"/>
              <w:tr2bl w:val="nil"/>
            </w:tcBorders>
            <w:shd w:val="clear" w:color="auto" w:fill="auto"/>
            <w:vAlign w:val="center"/>
          </w:tcPr>
          <w:p w14:paraId="4980CE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+0.0012</w:t>
            </w:r>
          </w:p>
        </w:tc>
      </w:tr>
      <w:tr w14:paraId="73909EA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3783C99B">
            <w:pPr>
              <w:pStyle w:val="167"/>
              <w:spacing w:before="0" w:beforeLines="0" w:after="0" w:afterLines="0" w:line="240" w:lineRule="auto"/>
              <w:rPr>
                <w:snapToGrid w:val="0"/>
                <w:color w:val="auto"/>
                <w:szCs w:val="21"/>
              </w:rPr>
            </w:pPr>
          </w:p>
        </w:tc>
        <w:tc>
          <w:tcPr>
            <w:tcW w:w="578" w:type="pct"/>
            <w:gridSpan w:val="2"/>
            <w:tcBorders>
              <w:tl2br w:val="nil"/>
              <w:tr2bl w:val="nil"/>
            </w:tcBorders>
            <w:vAlign w:val="center"/>
          </w:tcPr>
          <w:p w14:paraId="77311C03">
            <w:pPr>
              <w:pStyle w:val="167"/>
              <w:spacing w:before="0" w:beforeLines="0" w:after="0" w:afterLines="0" w:line="240" w:lineRule="auto"/>
              <w:rPr>
                <w:rFonts w:hint="eastAsia" w:eastAsia="宋体"/>
                <w:b w:val="0"/>
                <w:bCs/>
                <w:color w:val="auto"/>
                <w:szCs w:val="21"/>
                <w:lang w:val="en-US" w:eastAsia="zh-CN"/>
              </w:rPr>
            </w:pPr>
            <w:r>
              <w:rPr>
                <w:rFonts w:hint="eastAsia"/>
                <w:b w:val="0"/>
                <w:bCs/>
                <w:color w:val="auto"/>
                <w:szCs w:val="21"/>
                <w:lang w:val="en-US" w:eastAsia="zh-CN"/>
              </w:rPr>
              <w:t>总氮</w:t>
            </w:r>
          </w:p>
        </w:tc>
        <w:tc>
          <w:tcPr>
            <w:tcW w:w="521" w:type="pct"/>
            <w:tcBorders>
              <w:tl2br w:val="nil"/>
              <w:tr2bl w:val="nil"/>
            </w:tcBorders>
            <w:vAlign w:val="center"/>
          </w:tcPr>
          <w:p w14:paraId="50DA7C0B">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7566C25A">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66A9A053">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6DC5D3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0.024</w:t>
            </w:r>
          </w:p>
        </w:tc>
        <w:tc>
          <w:tcPr>
            <w:tcW w:w="675" w:type="pct"/>
            <w:tcBorders>
              <w:tl2br w:val="nil"/>
              <w:tr2bl w:val="nil"/>
            </w:tcBorders>
            <w:vAlign w:val="center"/>
          </w:tcPr>
          <w:p w14:paraId="4E64C969">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2BA036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0.024</w:t>
            </w:r>
          </w:p>
        </w:tc>
        <w:tc>
          <w:tcPr>
            <w:tcW w:w="337" w:type="pct"/>
            <w:tcBorders>
              <w:tl2br w:val="nil"/>
              <w:tr2bl w:val="nil"/>
            </w:tcBorders>
            <w:shd w:val="clear" w:color="auto" w:fill="auto"/>
            <w:vAlign w:val="center"/>
          </w:tcPr>
          <w:p w14:paraId="7A7314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+0.024</w:t>
            </w:r>
          </w:p>
        </w:tc>
      </w:tr>
      <w:tr w14:paraId="0EC7B0D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79" w:hRule="atLeast"/>
        </w:trPr>
        <w:tc>
          <w:tcPr>
            <w:tcW w:w="432" w:type="pct"/>
            <w:vMerge w:val="restart"/>
            <w:tcBorders>
              <w:tl2br w:val="nil"/>
              <w:tr2bl w:val="nil"/>
            </w:tcBorders>
            <w:vAlign w:val="center"/>
          </w:tcPr>
          <w:p w14:paraId="63DBD0AF">
            <w:pPr>
              <w:pStyle w:val="167"/>
              <w:spacing w:before="0" w:beforeLines="0" w:after="0" w:afterLines="0" w:line="240" w:lineRule="auto"/>
              <w:rPr>
                <w:snapToGrid w:val="0"/>
                <w:color w:val="auto"/>
                <w:szCs w:val="21"/>
              </w:rPr>
            </w:pPr>
            <w:r>
              <w:rPr>
                <w:snapToGrid w:val="0"/>
                <w:color w:val="auto"/>
                <w:szCs w:val="21"/>
              </w:rPr>
              <w:t>一般工业</w:t>
            </w:r>
          </w:p>
          <w:p w14:paraId="3DB2331D">
            <w:pPr>
              <w:pStyle w:val="167"/>
              <w:spacing w:before="0" w:beforeLines="0" w:after="0" w:afterLines="0" w:line="240" w:lineRule="auto"/>
              <w:rPr>
                <w:snapToGrid w:val="0"/>
                <w:color w:val="auto"/>
                <w:szCs w:val="21"/>
              </w:rPr>
            </w:pPr>
            <w:r>
              <w:rPr>
                <w:snapToGrid w:val="0"/>
                <w:color w:val="auto"/>
                <w:szCs w:val="21"/>
              </w:rPr>
              <w:t>固体废物</w:t>
            </w:r>
          </w:p>
        </w:tc>
        <w:tc>
          <w:tcPr>
            <w:tcW w:w="578" w:type="pct"/>
            <w:gridSpan w:val="2"/>
            <w:tcBorders>
              <w:tl2br w:val="nil"/>
              <w:tr2bl w:val="nil"/>
            </w:tcBorders>
            <w:shd w:val="clear" w:color="auto" w:fill="auto"/>
            <w:vAlign w:val="center"/>
          </w:tcPr>
          <w:p w14:paraId="605D1859">
            <w:pPr>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废丝</w:t>
            </w:r>
          </w:p>
        </w:tc>
        <w:tc>
          <w:tcPr>
            <w:tcW w:w="521" w:type="pct"/>
            <w:tcBorders>
              <w:tl2br w:val="nil"/>
              <w:tr2bl w:val="nil"/>
            </w:tcBorders>
            <w:vAlign w:val="center"/>
          </w:tcPr>
          <w:p w14:paraId="5DFE93DC">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5B39DA89">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1712F56E">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5671504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c>
          <w:tcPr>
            <w:tcW w:w="675" w:type="pct"/>
            <w:tcBorders>
              <w:tl2br w:val="nil"/>
              <w:tr2bl w:val="nil"/>
            </w:tcBorders>
            <w:vAlign w:val="center"/>
          </w:tcPr>
          <w:p w14:paraId="2CB84B61">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450B7847">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c>
          <w:tcPr>
            <w:tcW w:w="337" w:type="pct"/>
            <w:tcBorders>
              <w:tl2br w:val="nil"/>
              <w:tr2bl w:val="nil"/>
            </w:tcBorders>
            <w:shd w:val="clear" w:color="auto" w:fill="auto"/>
            <w:vAlign w:val="center"/>
          </w:tcPr>
          <w:p w14:paraId="6698FD89">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r>
      <w:tr w14:paraId="22FE9BD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79" w:hRule="atLeast"/>
        </w:trPr>
        <w:tc>
          <w:tcPr>
            <w:tcW w:w="432" w:type="pct"/>
            <w:vMerge w:val="continue"/>
            <w:tcBorders>
              <w:tl2br w:val="nil"/>
              <w:tr2bl w:val="nil"/>
            </w:tcBorders>
            <w:vAlign w:val="center"/>
          </w:tcPr>
          <w:p w14:paraId="3CB34D4E">
            <w:pPr>
              <w:spacing w:line="240" w:lineRule="auto"/>
              <w:ind w:firstLine="0" w:firstLineChars="0"/>
              <w:jc w:val="center"/>
              <w:rPr>
                <w:color w:val="auto"/>
              </w:rPr>
            </w:pPr>
          </w:p>
        </w:tc>
        <w:tc>
          <w:tcPr>
            <w:tcW w:w="578" w:type="pct"/>
            <w:gridSpan w:val="2"/>
            <w:tcBorders>
              <w:tl2br w:val="nil"/>
              <w:tr2bl w:val="nil"/>
            </w:tcBorders>
            <w:shd w:val="clear" w:color="auto" w:fill="auto"/>
            <w:vAlign w:val="center"/>
          </w:tcPr>
          <w:p w14:paraId="2DA94412">
            <w:pPr>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废布</w:t>
            </w:r>
          </w:p>
        </w:tc>
        <w:tc>
          <w:tcPr>
            <w:tcW w:w="521" w:type="pct"/>
            <w:tcBorders>
              <w:tl2br w:val="nil"/>
              <w:tr2bl w:val="nil"/>
            </w:tcBorders>
            <w:vAlign w:val="center"/>
          </w:tcPr>
          <w:p w14:paraId="0E1093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rPr>
            </w:pPr>
            <w:r>
              <w:rPr>
                <w:rFonts w:hint="eastAsia"/>
                <w:snapToGrid w:val="0"/>
                <w:color w:val="auto"/>
                <w:szCs w:val="21"/>
              </w:rPr>
              <w:t>-</w:t>
            </w:r>
          </w:p>
        </w:tc>
        <w:tc>
          <w:tcPr>
            <w:tcW w:w="465" w:type="pct"/>
            <w:tcBorders>
              <w:tl2br w:val="nil"/>
              <w:tr2bl w:val="nil"/>
            </w:tcBorders>
            <w:vAlign w:val="center"/>
          </w:tcPr>
          <w:p w14:paraId="4540E5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rPr>
            </w:pPr>
            <w:r>
              <w:rPr>
                <w:rFonts w:hint="eastAsia"/>
                <w:snapToGrid w:val="0"/>
                <w:color w:val="auto"/>
                <w:szCs w:val="21"/>
              </w:rPr>
              <w:t>-</w:t>
            </w:r>
          </w:p>
        </w:tc>
        <w:tc>
          <w:tcPr>
            <w:tcW w:w="653" w:type="pct"/>
            <w:tcBorders>
              <w:tl2br w:val="nil"/>
              <w:tr2bl w:val="nil"/>
            </w:tcBorders>
            <w:vAlign w:val="center"/>
          </w:tcPr>
          <w:p w14:paraId="66CDB7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rPr>
            </w:pPr>
            <w:r>
              <w:rPr>
                <w:rFonts w:hint="eastAsia"/>
                <w:snapToGrid w:val="0"/>
                <w:color w:val="auto"/>
                <w:szCs w:val="21"/>
              </w:rPr>
              <w:t>-</w:t>
            </w:r>
          </w:p>
        </w:tc>
        <w:tc>
          <w:tcPr>
            <w:tcW w:w="632" w:type="pct"/>
            <w:tcBorders>
              <w:tl2br w:val="nil"/>
              <w:tr2bl w:val="nil"/>
            </w:tcBorders>
            <w:shd w:val="clear" w:color="auto" w:fill="auto"/>
            <w:vAlign w:val="center"/>
          </w:tcPr>
          <w:p w14:paraId="2C12F7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c>
          <w:tcPr>
            <w:tcW w:w="675" w:type="pct"/>
            <w:tcBorders>
              <w:tl2br w:val="nil"/>
              <w:tr2bl w:val="nil"/>
            </w:tcBorders>
            <w:vAlign w:val="center"/>
          </w:tcPr>
          <w:p w14:paraId="2E5B56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rPr>
            </w:pPr>
            <w:r>
              <w:rPr>
                <w:rFonts w:hint="eastAsia"/>
                <w:snapToGrid w:val="0"/>
                <w:color w:val="auto"/>
                <w:szCs w:val="21"/>
              </w:rPr>
              <w:t>-</w:t>
            </w:r>
          </w:p>
        </w:tc>
        <w:tc>
          <w:tcPr>
            <w:tcW w:w="703" w:type="pct"/>
            <w:tcBorders>
              <w:tl2br w:val="nil"/>
              <w:tr2bl w:val="nil"/>
            </w:tcBorders>
            <w:shd w:val="clear" w:color="auto" w:fill="auto"/>
            <w:vAlign w:val="center"/>
          </w:tcPr>
          <w:p w14:paraId="1F3F5875">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c>
          <w:tcPr>
            <w:tcW w:w="337" w:type="pct"/>
            <w:tcBorders>
              <w:tl2br w:val="nil"/>
              <w:tr2bl w:val="nil"/>
            </w:tcBorders>
            <w:shd w:val="clear" w:color="auto" w:fill="auto"/>
            <w:vAlign w:val="center"/>
          </w:tcPr>
          <w:p w14:paraId="0DB9B1DF">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p>
        </w:tc>
      </w:tr>
      <w:tr w14:paraId="26AEF7D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restart"/>
            <w:tcBorders>
              <w:tl2br w:val="nil"/>
              <w:tr2bl w:val="nil"/>
            </w:tcBorders>
            <w:vAlign w:val="center"/>
          </w:tcPr>
          <w:p w14:paraId="0E308385">
            <w:pPr>
              <w:pStyle w:val="167"/>
              <w:spacing w:before="0" w:beforeLines="0" w:after="0" w:afterLines="0" w:line="240" w:lineRule="auto"/>
              <w:rPr>
                <w:snapToGrid w:val="0"/>
                <w:color w:val="auto"/>
                <w:szCs w:val="21"/>
              </w:rPr>
            </w:pPr>
            <w:r>
              <w:rPr>
                <w:rFonts w:hint="eastAsia"/>
                <w:snapToGrid w:val="0"/>
                <w:color w:val="auto"/>
                <w:szCs w:val="21"/>
              </w:rPr>
              <w:t>危险</w:t>
            </w:r>
            <w:r>
              <w:rPr>
                <w:snapToGrid w:val="0"/>
                <w:color w:val="auto"/>
                <w:szCs w:val="21"/>
              </w:rPr>
              <w:t>废物</w:t>
            </w:r>
          </w:p>
        </w:tc>
        <w:tc>
          <w:tcPr>
            <w:tcW w:w="578" w:type="pct"/>
            <w:gridSpan w:val="2"/>
            <w:tcBorders>
              <w:tl2br w:val="nil"/>
              <w:tr2bl w:val="nil"/>
            </w:tcBorders>
            <w:shd w:val="clear" w:color="auto" w:fill="auto"/>
            <w:vAlign w:val="center"/>
          </w:tcPr>
          <w:p w14:paraId="371DB8EF">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废油桶</w:t>
            </w:r>
          </w:p>
        </w:tc>
        <w:tc>
          <w:tcPr>
            <w:tcW w:w="521" w:type="pct"/>
            <w:tcBorders>
              <w:tl2br w:val="nil"/>
              <w:tr2bl w:val="nil"/>
            </w:tcBorders>
            <w:vAlign w:val="center"/>
          </w:tcPr>
          <w:p w14:paraId="26473713">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465" w:type="pct"/>
            <w:tcBorders>
              <w:tl2br w:val="nil"/>
              <w:tr2bl w:val="nil"/>
            </w:tcBorders>
            <w:vAlign w:val="center"/>
          </w:tcPr>
          <w:p w14:paraId="41C9AA2F">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53" w:type="pct"/>
            <w:tcBorders>
              <w:tl2br w:val="nil"/>
              <w:tr2bl w:val="nil"/>
            </w:tcBorders>
            <w:vAlign w:val="center"/>
          </w:tcPr>
          <w:p w14:paraId="539D61E0">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632" w:type="pct"/>
            <w:tcBorders>
              <w:tl2br w:val="nil"/>
              <w:tr2bl w:val="nil"/>
            </w:tcBorders>
            <w:shd w:val="clear" w:color="auto" w:fill="auto"/>
            <w:vAlign w:val="center"/>
          </w:tcPr>
          <w:p w14:paraId="5635A3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0.1</w:t>
            </w:r>
          </w:p>
        </w:tc>
        <w:tc>
          <w:tcPr>
            <w:tcW w:w="675" w:type="pct"/>
            <w:tcBorders>
              <w:tl2br w:val="nil"/>
              <w:tr2bl w:val="nil"/>
            </w:tcBorders>
            <w:vAlign w:val="center"/>
          </w:tcPr>
          <w:p w14:paraId="07357904">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snapToGrid w:val="0"/>
                <w:color w:val="auto"/>
                <w:szCs w:val="21"/>
              </w:rPr>
              <w:t>-</w:t>
            </w:r>
          </w:p>
        </w:tc>
        <w:tc>
          <w:tcPr>
            <w:tcW w:w="703" w:type="pct"/>
            <w:tcBorders>
              <w:tl2br w:val="nil"/>
              <w:tr2bl w:val="nil"/>
            </w:tcBorders>
            <w:shd w:val="clear" w:color="auto" w:fill="auto"/>
            <w:vAlign w:val="center"/>
          </w:tcPr>
          <w:p w14:paraId="06330197">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0.1</w:t>
            </w:r>
          </w:p>
        </w:tc>
        <w:tc>
          <w:tcPr>
            <w:tcW w:w="337" w:type="pct"/>
            <w:tcBorders>
              <w:tl2br w:val="nil"/>
              <w:tr2bl w:val="nil"/>
            </w:tcBorders>
            <w:shd w:val="clear" w:color="auto" w:fill="auto"/>
            <w:vAlign w:val="center"/>
          </w:tcPr>
          <w:p w14:paraId="24C3DAE2">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+0.1</w:t>
            </w:r>
          </w:p>
        </w:tc>
      </w:tr>
      <w:tr w14:paraId="05BD496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306AFE1D">
            <w:pPr>
              <w:pStyle w:val="167"/>
              <w:spacing w:before="0" w:beforeLines="0" w:after="0" w:afterLines="0" w:line="240" w:lineRule="auto"/>
              <w:rPr>
                <w:snapToGrid w:val="0"/>
                <w:color w:val="auto"/>
                <w:szCs w:val="21"/>
              </w:rPr>
            </w:pPr>
          </w:p>
        </w:tc>
        <w:tc>
          <w:tcPr>
            <w:tcW w:w="578" w:type="pct"/>
            <w:gridSpan w:val="2"/>
            <w:tcBorders>
              <w:tl2br w:val="nil"/>
              <w:tr2bl w:val="nil"/>
            </w:tcBorders>
            <w:shd w:val="clear" w:color="auto" w:fill="auto"/>
            <w:vAlign w:val="center"/>
          </w:tcPr>
          <w:p w14:paraId="4901DDFA">
            <w:pPr>
              <w:snapToGrid w:val="0"/>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废机油</w:t>
            </w:r>
          </w:p>
        </w:tc>
        <w:tc>
          <w:tcPr>
            <w:tcW w:w="521" w:type="pct"/>
            <w:tcBorders>
              <w:tl2br w:val="nil"/>
              <w:tr2bl w:val="nil"/>
            </w:tcBorders>
            <w:vAlign w:val="center"/>
          </w:tcPr>
          <w:p w14:paraId="4D5E784A">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465" w:type="pct"/>
            <w:tcBorders>
              <w:tl2br w:val="nil"/>
              <w:tr2bl w:val="nil"/>
            </w:tcBorders>
            <w:vAlign w:val="center"/>
          </w:tcPr>
          <w:p w14:paraId="0CC403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color w:val="auto"/>
                <w:szCs w:val="21"/>
              </w:rPr>
            </w:pPr>
            <w:r>
              <w:rPr>
                <w:rFonts w:hint="eastAsia"/>
                <w:snapToGrid w:val="0"/>
                <w:color w:val="auto"/>
                <w:szCs w:val="21"/>
              </w:rPr>
              <w:t>-</w:t>
            </w:r>
          </w:p>
        </w:tc>
        <w:tc>
          <w:tcPr>
            <w:tcW w:w="653" w:type="pct"/>
            <w:tcBorders>
              <w:tl2br w:val="nil"/>
              <w:tr2bl w:val="nil"/>
            </w:tcBorders>
            <w:vAlign w:val="center"/>
          </w:tcPr>
          <w:p w14:paraId="6059DB7A">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632" w:type="pct"/>
            <w:tcBorders>
              <w:tl2br w:val="nil"/>
              <w:tr2bl w:val="nil"/>
            </w:tcBorders>
            <w:shd w:val="clear" w:color="auto" w:fill="auto"/>
            <w:vAlign w:val="center"/>
          </w:tcPr>
          <w:p w14:paraId="52A8466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w:t>
            </w:r>
          </w:p>
        </w:tc>
        <w:tc>
          <w:tcPr>
            <w:tcW w:w="675" w:type="pct"/>
            <w:tcBorders>
              <w:tl2br w:val="nil"/>
              <w:tr2bl w:val="nil"/>
            </w:tcBorders>
            <w:vAlign w:val="center"/>
          </w:tcPr>
          <w:p w14:paraId="42291F65">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703" w:type="pct"/>
            <w:tcBorders>
              <w:tl2br w:val="nil"/>
              <w:tr2bl w:val="nil"/>
            </w:tcBorders>
            <w:shd w:val="clear" w:color="auto" w:fill="auto"/>
            <w:vAlign w:val="center"/>
          </w:tcPr>
          <w:p w14:paraId="634A83D7">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w:t>
            </w:r>
          </w:p>
        </w:tc>
        <w:tc>
          <w:tcPr>
            <w:tcW w:w="337" w:type="pct"/>
            <w:tcBorders>
              <w:tl2br w:val="nil"/>
              <w:tr2bl w:val="nil"/>
            </w:tcBorders>
            <w:shd w:val="clear" w:color="auto" w:fill="auto"/>
            <w:vAlign w:val="center"/>
          </w:tcPr>
          <w:p w14:paraId="27A01D8F">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+0.2</w:t>
            </w:r>
          </w:p>
        </w:tc>
      </w:tr>
      <w:tr w14:paraId="7F6FE6A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176A7C17">
            <w:pPr>
              <w:pStyle w:val="167"/>
              <w:spacing w:before="0" w:beforeLines="0" w:after="0" w:afterLines="0" w:line="240" w:lineRule="auto"/>
              <w:rPr>
                <w:snapToGrid w:val="0"/>
                <w:color w:val="auto"/>
                <w:szCs w:val="21"/>
              </w:rPr>
            </w:pPr>
          </w:p>
        </w:tc>
        <w:tc>
          <w:tcPr>
            <w:tcW w:w="578" w:type="pct"/>
            <w:gridSpan w:val="2"/>
            <w:tcBorders>
              <w:tl2br w:val="nil"/>
              <w:tr2bl w:val="nil"/>
            </w:tcBorders>
            <w:shd w:val="clear" w:color="auto" w:fill="auto"/>
            <w:vAlign w:val="center"/>
          </w:tcPr>
          <w:p w14:paraId="09D88E1F">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b w:val="0"/>
                <w:bCs w:val="0"/>
                <w:color w:val="auto"/>
                <w:kern w:val="0"/>
                <w:sz w:val="21"/>
                <w:szCs w:val="21"/>
                <w:lang w:val="en-US" w:eastAsia="zh-CN"/>
              </w:rPr>
              <w:t>油烟净化器废油</w:t>
            </w:r>
          </w:p>
        </w:tc>
        <w:tc>
          <w:tcPr>
            <w:tcW w:w="521" w:type="pct"/>
            <w:tcBorders>
              <w:tl2br w:val="nil"/>
              <w:tr2bl w:val="nil"/>
            </w:tcBorders>
            <w:vAlign w:val="center"/>
          </w:tcPr>
          <w:p w14:paraId="1BAEBC2B">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465" w:type="pct"/>
            <w:tcBorders>
              <w:tl2br w:val="nil"/>
              <w:tr2bl w:val="nil"/>
            </w:tcBorders>
            <w:vAlign w:val="center"/>
          </w:tcPr>
          <w:p w14:paraId="0DE6CB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color w:val="auto"/>
                <w:szCs w:val="21"/>
              </w:rPr>
            </w:pPr>
            <w:r>
              <w:rPr>
                <w:rFonts w:hint="eastAsia"/>
                <w:snapToGrid w:val="0"/>
                <w:color w:val="auto"/>
                <w:szCs w:val="21"/>
              </w:rPr>
              <w:t>-</w:t>
            </w:r>
          </w:p>
        </w:tc>
        <w:tc>
          <w:tcPr>
            <w:tcW w:w="653" w:type="pct"/>
            <w:tcBorders>
              <w:tl2br w:val="nil"/>
              <w:tr2bl w:val="nil"/>
            </w:tcBorders>
            <w:vAlign w:val="center"/>
          </w:tcPr>
          <w:p w14:paraId="4C20D253">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632" w:type="pct"/>
            <w:tcBorders>
              <w:tl2br w:val="nil"/>
              <w:tr2bl w:val="nil"/>
            </w:tcBorders>
            <w:shd w:val="clear" w:color="auto" w:fill="auto"/>
            <w:vAlign w:val="center"/>
          </w:tcPr>
          <w:p w14:paraId="449BBD3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w:t>
            </w:r>
          </w:p>
        </w:tc>
        <w:tc>
          <w:tcPr>
            <w:tcW w:w="675" w:type="pct"/>
            <w:tcBorders>
              <w:tl2br w:val="nil"/>
              <w:tr2bl w:val="nil"/>
            </w:tcBorders>
            <w:vAlign w:val="center"/>
          </w:tcPr>
          <w:p w14:paraId="6269D9A7">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snapToGrid w:val="0"/>
                <w:color w:val="auto"/>
                <w:szCs w:val="21"/>
              </w:rPr>
            </w:pPr>
            <w:r>
              <w:rPr>
                <w:rFonts w:hint="eastAsia"/>
                <w:snapToGrid w:val="0"/>
                <w:color w:val="auto"/>
                <w:szCs w:val="21"/>
              </w:rPr>
              <w:t>-</w:t>
            </w:r>
          </w:p>
        </w:tc>
        <w:tc>
          <w:tcPr>
            <w:tcW w:w="703" w:type="pct"/>
            <w:tcBorders>
              <w:tl2br w:val="nil"/>
              <w:tr2bl w:val="nil"/>
            </w:tcBorders>
            <w:shd w:val="clear" w:color="auto" w:fill="auto"/>
            <w:vAlign w:val="center"/>
          </w:tcPr>
          <w:p w14:paraId="348F6369">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w:t>
            </w:r>
          </w:p>
        </w:tc>
        <w:tc>
          <w:tcPr>
            <w:tcW w:w="337" w:type="pct"/>
            <w:tcBorders>
              <w:tl2br w:val="nil"/>
              <w:tr2bl w:val="nil"/>
            </w:tcBorders>
            <w:shd w:val="clear" w:color="auto" w:fill="auto"/>
            <w:vAlign w:val="center"/>
          </w:tcPr>
          <w:p w14:paraId="3DA419D7">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w:t>
            </w:r>
          </w:p>
        </w:tc>
      </w:tr>
      <w:tr w14:paraId="3425B77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4FE52E47">
            <w:pPr>
              <w:pStyle w:val="167"/>
              <w:spacing w:before="0" w:beforeLines="0" w:after="0" w:afterLines="0" w:line="240" w:lineRule="auto"/>
              <w:rPr>
                <w:snapToGrid w:val="0"/>
                <w:color w:val="auto"/>
                <w:szCs w:val="21"/>
              </w:rPr>
            </w:pPr>
          </w:p>
        </w:tc>
        <w:tc>
          <w:tcPr>
            <w:tcW w:w="578" w:type="pct"/>
            <w:gridSpan w:val="2"/>
            <w:tcBorders>
              <w:tl2br w:val="nil"/>
              <w:tr2bl w:val="nil"/>
            </w:tcBorders>
            <w:shd w:val="clear" w:color="auto" w:fill="auto"/>
            <w:vAlign w:val="center"/>
          </w:tcPr>
          <w:p w14:paraId="4232A6FA">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污（油）泥</w:t>
            </w:r>
          </w:p>
        </w:tc>
        <w:tc>
          <w:tcPr>
            <w:tcW w:w="521" w:type="pct"/>
            <w:tcBorders>
              <w:tl2br w:val="nil"/>
              <w:tr2bl w:val="nil"/>
            </w:tcBorders>
            <w:vAlign w:val="center"/>
          </w:tcPr>
          <w:p w14:paraId="654E07C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465" w:type="pct"/>
            <w:tcBorders>
              <w:tl2br w:val="nil"/>
              <w:tr2bl w:val="nil"/>
            </w:tcBorders>
            <w:vAlign w:val="center"/>
          </w:tcPr>
          <w:p w14:paraId="136E6D4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653" w:type="pct"/>
            <w:tcBorders>
              <w:tl2br w:val="nil"/>
              <w:tr2bl w:val="nil"/>
            </w:tcBorders>
            <w:vAlign w:val="center"/>
          </w:tcPr>
          <w:p w14:paraId="731E1B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632" w:type="pct"/>
            <w:tcBorders>
              <w:tl2br w:val="nil"/>
              <w:tr2bl w:val="nil"/>
            </w:tcBorders>
            <w:shd w:val="clear" w:color="auto" w:fill="auto"/>
            <w:vAlign w:val="center"/>
          </w:tcPr>
          <w:p w14:paraId="6CEFA0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17.675</w:t>
            </w:r>
          </w:p>
        </w:tc>
        <w:tc>
          <w:tcPr>
            <w:tcW w:w="675" w:type="pct"/>
            <w:tcBorders>
              <w:tl2br w:val="nil"/>
              <w:tr2bl w:val="nil"/>
            </w:tcBorders>
            <w:vAlign w:val="center"/>
          </w:tcPr>
          <w:p w14:paraId="2B9935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703" w:type="pct"/>
            <w:tcBorders>
              <w:tl2br w:val="nil"/>
              <w:tr2bl w:val="nil"/>
            </w:tcBorders>
            <w:shd w:val="clear" w:color="auto" w:fill="auto"/>
            <w:vAlign w:val="center"/>
          </w:tcPr>
          <w:p w14:paraId="4AEDC215">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17.675</w:t>
            </w:r>
          </w:p>
        </w:tc>
        <w:tc>
          <w:tcPr>
            <w:tcW w:w="337" w:type="pct"/>
            <w:tcBorders>
              <w:tl2br w:val="nil"/>
              <w:tr2bl w:val="nil"/>
            </w:tcBorders>
            <w:shd w:val="clear" w:color="auto" w:fill="auto"/>
            <w:vAlign w:val="center"/>
          </w:tcPr>
          <w:p w14:paraId="1170081D">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+17.675</w:t>
            </w:r>
          </w:p>
        </w:tc>
      </w:tr>
      <w:tr w14:paraId="198777C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95" w:hRule="atLeast"/>
        </w:trPr>
        <w:tc>
          <w:tcPr>
            <w:tcW w:w="432" w:type="pct"/>
            <w:vMerge w:val="continue"/>
            <w:tcBorders>
              <w:tl2br w:val="nil"/>
              <w:tr2bl w:val="nil"/>
            </w:tcBorders>
            <w:vAlign w:val="center"/>
          </w:tcPr>
          <w:p w14:paraId="76C6188E">
            <w:pPr>
              <w:pStyle w:val="167"/>
              <w:spacing w:before="0" w:beforeLines="0" w:after="0" w:afterLines="0" w:line="240" w:lineRule="auto"/>
              <w:rPr>
                <w:snapToGrid w:val="0"/>
                <w:color w:val="auto"/>
                <w:szCs w:val="21"/>
              </w:rPr>
            </w:pPr>
          </w:p>
        </w:tc>
        <w:tc>
          <w:tcPr>
            <w:tcW w:w="578" w:type="pct"/>
            <w:gridSpan w:val="2"/>
            <w:tcBorders>
              <w:tl2br w:val="nil"/>
              <w:tr2bl w:val="nil"/>
            </w:tcBorders>
            <w:shd w:val="clear" w:color="auto" w:fill="auto"/>
            <w:vAlign w:val="center"/>
          </w:tcPr>
          <w:p w14:paraId="1C9B40F5">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生化污泥（待鉴别，鉴别前按危废管理）</w:t>
            </w:r>
          </w:p>
        </w:tc>
        <w:tc>
          <w:tcPr>
            <w:tcW w:w="521" w:type="pct"/>
            <w:tcBorders>
              <w:tl2br w:val="nil"/>
              <w:tr2bl w:val="nil"/>
            </w:tcBorders>
            <w:vAlign w:val="center"/>
          </w:tcPr>
          <w:p w14:paraId="56DCED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465" w:type="pct"/>
            <w:tcBorders>
              <w:tl2br w:val="nil"/>
              <w:tr2bl w:val="nil"/>
            </w:tcBorders>
            <w:vAlign w:val="center"/>
          </w:tcPr>
          <w:p w14:paraId="4ACB0D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653" w:type="pct"/>
            <w:tcBorders>
              <w:tl2br w:val="nil"/>
              <w:tr2bl w:val="nil"/>
            </w:tcBorders>
            <w:vAlign w:val="center"/>
          </w:tcPr>
          <w:p w14:paraId="697DA6D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632" w:type="pct"/>
            <w:tcBorders>
              <w:tl2br w:val="nil"/>
              <w:tr2bl w:val="nil"/>
            </w:tcBorders>
            <w:shd w:val="clear" w:color="auto" w:fill="auto"/>
            <w:vAlign w:val="center"/>
          </w:tcPr>
          <w:p w14:paraId="245E42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206.55</w:t>
            </w:r>
          </w:p>
        </w:tc>
        <w:tc>
          <w:tcPr>
            <w:tcW w:w="675" w:type="pct"/>
            <w:tcBorders>
              <w:tl2br w:val="nil"/>
              <w:tr2bl w:val="nil"/>
            </w:tcBorders>
            <w:vAlign w:val="center"/>
          </w:tcPr>
          <w:p w14:paraId="7524E1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703" w:type="pct"/>
            <w:tcBorders>
              <w:tl2br w:val="nil"/>
              <w:tr2bl w:val="nil"/>
            </w:tcBorders>
            <w:shd w:val="clear" w:color="auto" w:fill="auto"/>
            <w:vAlign w:val="center"/>
          </w:tcPr>
          <w:p w14:paraId="1A4D5CDC">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206.55</w:t>
            </w:r>
          </w:p>
        </w:tc>
        <w:tc>
          <w:tcPr>
            <w:tcW w:w="337" w:type="pct"/>
            <w:tcBorders>
              <w:tl2br w:val="nil"/>
              <w:tr2bl w:val="nil"/>
            </w:tcBorders>
            <w:shd w:val="clear" w:color="auto" w:fill="auto"/>
            <w:vAlign w:val="center"/>
          </w:tcPr>
          <w:p w14:paraId="174F4C21">
            <w:pPr>
              <w:snapToGrid w:val="0"/>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+206.55</w:t>
            </w:r>
          </w:p>
        </w:tc>
      </w:tr>
      <w:tr w14:paraId="3202D87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vMerge w:val="continue"/>
            <w:tcBorders>
              <w:tl2br w:val="nil"/>
              <w:tr2bl w:val="nil"/>
            </w:tcBorders>
            <w:vAlign w:val="center"/>
          </w:tcPr>
          <w:p w14:paraId="6005604D">
            <w:pPr>
              <w:pStyle w:val="167"/>
              <w:spacing w:before="0" w:beforeLines="0" w:after="0" w:afterLines="0" w:line="240" w:lineRule="auto"/>
              <w:rPr>
                <w:snapToGrid w:val="0"/>
                <w:color w:val="auto"/>
                <w:szCs w:val="21"/>
              </w:rPr>
            </w:pPr>
          </w:p>
        </w:tc>
        <w:tc>
          <w:tcPr>
            <w:tcW w:w="578" w:type="pct"/>
            <w:gridSpan w:val="2"/>
            <w:tcBorders>
              <w:tl2br w:val="nil"/>
              <w:tr2bl w:val="nil"/>
            </w:tcBorders>
            <w:shd w:val="clear" w:color="auto" w:fill="auto"/>
            <w:vAlign w:val="center"/>
          </w:tcPr>
          <w:p w14:paraId="42482B84">
            <w:pPr>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废过滤介质</w:t>
            </w:r>
            <w:r>
              <w:rPr>
                <w:rFonts w:hint="eastAsia"/>
                <w:color w:val="auto"/>
                <w:sz w:val="21"/>
                <w:szCs w:val="21"/>
                <w:highlight w:val="none"/>
                <w:lang w:val="en-US" w:eastAsia="zh-CN"/>
              </w:rPr>
              <w:t>（待鉴别，鉴别前按危废管理）</w:t>
            </w:r>
          </w:p>
        </w:tc>
        <w:tc>
          <w:tcPr>
            <w:tcW w:w="521" w:type="pct"/>
            <w:tcBorders>
              <w:tl2br w:val="nil"/>
              <w:tr2bl w:val="nil"/>
            </w:tcBorders>
            <w:shd w:val="clear" w:color="auto" w:fill="auto"/>
            <w:vAlign w:val="center"/>
          </w:tcPr>
          <w:p w14:paraId="6D8ADD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napToGrid w:val="0"/>
                <w:color w:val="auto"/>
                <w:kern w:val="2"/>
                <w:sz w:val="24"/>
                <w:szCs w:val="21"/>
                <w:lang w:val="en-US" w:eastAsia="zh-CN" w:bidi="ar-SA"/>
              </w:rPr>
            </w:pPr>
            <w:r>
              <w:rPr>
                <w:rFonts w:hint="eastAsia"/>
                <w:snapToGrid w:val="0"/>
                <w:color w:val="auto"/>
                <w:szCs w:val="21"/>
              </w:rPr>
              <w:t>-</w:t>
            </w:r>
          </w:p>
        </w:tc>
        <w:tc>
          <w:tcPr>
            <w:tcW w:w="465" w:type="pct"/>
            <w:tcBorders>
              <w:tl2br w:val="nil"/>
              <w:tr2bl w:val="nil"/>
            </w:tcBorders>
            <w:shd w:val="clear" w:color="auto" w:fill="auto"/>
            <w:vAlign w:val="center"/>
          </w:tcPr>
          <w:p w14:paraId="740F62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napToGrid w:val="0"/>
                <w:color w:val="auto"/>
                <w:kern w:val="2"/>
                <w:sz w:val="24"/>
                <w:szCs w:val="21"/>
                <w:lang w:val="en-US" w:eastAsia="zh-CN" w:bidi="ar-SA"/>
              </w:rPr>
            </w:pPr>
            <w:r>
              <w:rPr>
                <w:rFonts w:hint="eastAsia"/>
                <w:snapToGrid w:val="0"/>
                <w:color w:val="auto"/>
                <w:szCs w:val="21"/>
              </w:rPr>
              <w:t>-</w:t>
            </w:r>
          </w:p>
        </w:tc>
        <w:tc>
          <w:tcPr>
            <w:tcW w:w="653" w:type="pct"/>
            <w:tcBorders>
              <w:tl2br w:val="nil"/>
              <w:tr2bl w:val="nil"/>
            </w:tcBorders>
            <w:shd w:val="clear" w:color="auto" w:fill="auto"/>
            <w:vAlign w:val="center"/>
          </w:tcPr>
          <w:p w14:paraId="252C9FE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napToGrid w:val="0"/>
                <w:color w:val="auto"/>
                <w:kern w:val="2"/>
                <w:sz w:val="24"/>
                <w:szCs w:val="21"/>
                <w:lang w:val="en-US" w:eastAsia="zh-CN" w:bidi="ar-SA"/>
              </w:rPr>
            </w:pPr>
            <w:r>
              <w:rPr>
                <w:rFonts w:hint="eastAsia"/>
                <w:snapToGrid w:val="0"/>
                <w:color w:val="auto"/>
                <w:szCs w:val="21"/>
              </w:rPr>
              <w:t>-</w:t>
            </w:r>
          </w:p>
        </w:tc>
        <w:tc>
          <w:tcPr>
            <w:tcW w:w="632" w:type="pct"/>
            <w:tcBorders>
              <w:tl2br w:val="nil"/>
              <w:tr2bl w:val="nil"/>
            </w:tcBorders>
            <w:shd w:val="clear" w:color="auto" w:fill="auto"/>
            <w:vAlign w:val="center"/>
          </w:tcPr>
          <w:p w14:paraId="434A843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18.4</w:t>
            </w:r>
          </w:p>
        </w:tc>
        <w:tc>
          <w:tcPr>
            <w:tcW w:w="675" w:type="pct"/>
            <w:tcBorders>
              <w:tl2br w:val="nil"/>
              <w:tr2bl w:val="nil"/>
            </w:tcBorders>
            <w:vAlign w:val="center"/>
          </w:tcPr>
          <w:p w14:paraId="0AEC59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703" w:type="pct"/>
            <w:tcBorders>
              <w:tl2br w:val="nil"/>
              <w:tr2bl w:val="nil"/>
            </w:tcBorders>
            <w:shd w:val="clear" w:color="auto" w:fill="auto"/>
            <w:vAlign w:val="center"/>
          </w:tcPr>
          <w:p w14:paraId="7BDB7C9A">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18.4</w:t>
            </w:r>
          </w:p>
        </w:tc>
        <w:tc>
          <w:tcPr>
            <w:tcW w:w="337" w:type="pct"/>
            <w:tcBorders>
              <w:tl2br w:val="nil"/>
              <w:tr2bl w:val="nil"/>
            </w:tcBorders>
            <w:shd w:val="clear" w:color="auto" w:fill="auto"/>
            <w:vAlign w:val="center"/>
          </w:tcPr>
          <w:p w14:paraId="09372927">
            <w:pPr>
              <w:snapToGrid w:val="0"/>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+18.4</w:t>
            </w:r>
          </w:p>
        </w:tc>
      </w:tr>
      <w:tr w14:paraId="46CB18A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2" w:hRule="atLeast"/>
        </w:trPr>
        <w:tc>
          <w:tcPr>
            <w:tcW w:w="432" w:type="pct"/>
            <w:tcBorders>
              <w:tl2br w:val="nil"/>
              <w:tr2bl w:val="nil"/>
            </w:tcBorders>
            <w:vAlign w:val="center"/>
          </w:tcPr>
          <w:p w14:paraId="403ECB0F">
            <w:pPr>
              <w:pStyle w:val="167"/>
              <w:spacing w:before="0" w:beforeLines="0" w:after="0" w:afterLines="0" w:line="240" w:lineRule="auto"/>
              <w:rPr>
                <w:rFonts w:hint="eastAsia" w:eastAsia="宋体"/>
                <w:snapToGrid w:val="0"/>
                <w:color w:val="auto"/>
                <w:szCs w:val="21"/>
                <w:lang w:val="en-US" w:eastAsia="zh-CN"/>
              </w:rPr>
            </w:pPr>
            <w:r>
              <w:rPr>
                <w:rFonts w:hint="eastAsia"/>
                <w:snapToGrid w:val="0"/>
                <w:color w:val="auto"/>
                <w:szCs w:val="21"/>
                <w:lang w:val="en-US" w:eastAsia="zh-CN"/>
              </w:rPr>
              <w:t>生活垃圾</w:t>
            </w:r>
          </w:p>
        </w:tc>
        <w:tc>
          <w:tcPr>
            <w:tcW w:w="578" w:type="pct"/>
            <w:gridSpan w:val="2"/>
            <w:tcBorders>
              <w:tl2br w:val="nil"/>
              <w:tr2bl w:val="nil"/>
            </w:tcBorders>
            <w:vAlign w:val="center"/>
          </w:tcPr>
          <w:p w14:paraId="00993A30">
            <w:pPr>
              <w:spacing w:line="240" w:lineRule="auto"/>
              <w:ind w:firstLine="0" w:firstLineChars="0"/>
              <w:jc w:val="center"/>
              <w:rPr>
                <w:rFonts w:hint="eastAsia" w:eastAsia="宋体"/>
                <w:color w:val="auto"/>
                <w:sz w:val="21"/>
                <w:szCs w:val="21"/>
                <w:lang w:val="en-US" w:eastAsia="zh-CN"/>
              </w:rPr>
            </w:pPr>
            <w:r>
              <w:rPr>
                <w:rFonts w:hint="eastAsia"/>
                <w:color w:val="auto"/>
                <w:sz w:val="21"/>
                <w:szCs w:val="21"/>
                <w:lang w:val="en-US" w:eastAsia="zh-CN"/>
              </w:rPr>
              <w:t>生活垃圾</w:t>
            </w:r>
          </w:p>
        </w:tc>
        <w:tc>
          <w:tcPr>
            <w:tcW w:w="521" w:type="pct"/>
            <w:tcBorders>
              <w:tl2br w:val="nil"/>
              <w:tr2bl w:val="nil"/>
            </w:tcBorders>
            <w:vAlign w:val="center"/>
          </w:tcPr>
          <w:p w14:paraId="1E229866">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465" w:type="pct"/>
            <w:tcBorders>
              <w:tl2br w:val="nil"/>
              <w:tr2bl w:val="nil"/>
            </w:tcBorders>
            <w:vAlign w:val="center"/>
          </w:tcPr>
          <w:p w14:paraId="433F370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color w:val="auto"/>
                <w:szCs w:val="21"/>
              </w:rPr>
            </w:pPr>
            <w:r>
              <w:rPr>
                <w:rFonts w:hint="eastAsia"/>
                <w:snapToGrid w:val="0"/>
                <w:color w:val="auto"/>
                <w:szCs w:val="21"/>
              </w:rPr>
              <w:t>-</w:t>
            </w:r>
          </w:p>
        </w:tc>
        <w:tc>
          <w:tcPr>
            <w:tcW w:w="653" w:type="pct"/>
            <w:tcBorders>
              <w:tl2br w:val="nil"/>
              <w:tr2bl w:val="nil"/>
            </w:tcBorders>
            <w:vAlign w:val="center"/>
          </w:tcPr>
          <w:p w14:paraId="4DA11D2E">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632" w:type="pct"/>
            <w:tcBorders>
              <w:tl2br w:val="nil"/>
              <w:tr2bl w:val="nil"/>
            </w:tcBorders>
            <w:vAlign w:val="center"/>
          </w:tcPr>
          <w:p w14:paraId="7E5E84B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lang w:val="en-US" w:eastAsia="zh-CN"/>
              </w:rPr>
            </w:pPr>
            <w:r>
              <w:rPr>
                <w:rFonts w:hint="eastAsia"/>
                <w:color w:val="auto"/>
                <w:sz w:val="21"/>
                <w:szCs w:val="21"/>
                <w:lang w:val="en-US" w:eastAsia="zh-CN"/>
              </w:rPr>
              <w:t>7.5</w:t>
            </w:r>
          </w:p>
        </w:tc>
        <w:tc>
          <w:tcPr>
            <w:tcW w:w="675" w:type="pct"/>
            <w:tcBorders>
              <w:tl2br w:val="nil"/>
              <w:tr2bl w:val="nil"/>
            </w:tcBorders>
            <w:vAlign w:val="center"/>
          </w:tcPr>
          <w:p w14:paraId="166B2D07">
            <w:pPr>
              <w:pStyle w:val="167"/>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center"/>
              <w:textAlignment w:val="auto"/>
              <w:rPr>
                <w:rFonts w:hint="eastAsia"/>
                <w:snapToGrid w:val="0"/>
                <w:color w:val="auto"/>
                <w:szCs w:val="21"/>
              </w:rPr>
            </w:pPr>
            <w:r>
              <w:rPr>
                <w:rFonts w:hint="eastAsia"/>
                <w:snapToGrid w:val="0"/>
                <w:color w:val="auto"/>
                <w:szCs w:val="21"/>
              </w:rPr>
              <w:t>-</w:t>
            </w:r>
          </w:p>
        </w:tc>
        <w:tc>
          <w:tcPr>
            <w:tcW w:w="703" w:type="pct"/>
            <w:tcBorders>
              <w:tl2br w:val="nil"/>
              <w:tr2bl w:val="nil"/>
            </w:tcBorders>
            <w:shd w:val="clear" w:color="auto" w:fill="auto"/>
            <w:vAlign w:val="center"/>
          </w:tcPr>
          <w:p w14:paraId="3F012553">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7.5</w:t>
            </w:r>
          </w:p>
        </w:tc>
        <w:tc>
          <w:tcPr>
            <w:tcW w:w="337" w:type="pct"/>
            <w:tcBorders>
              <w:tl2br w:val="nil"/>
              <w:tr2bl w:val="nil"/>
            </w:tcBorders>
            <w:shd w:val="clear" w:color="auto" w:fill="auto"/>
            <w:vAlign w:val="center"/>
          </w:tcPr>
          <w:p w14:paraId="6E715096">
            <w:pPr>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+7.5</w:t>
            </w:r>
          </w:p>
        </w:tc>
      </w:tr>
    </w:tbl>
    <w:p w14:paraId="4D406533">
      <w:pPr>
        <w:pStyle w:val="133"/>
        <w:spacing w:beforeLines="0" w:afterLines="0" w:line="240" w:lineRule="auto"/>
        <w:ind w:firstLine="0" w:firstLineChars="0"/>
        <w:jc w:val="left"/>
        <w:rPr>
          <w:rFonts w:ascii="Times New Roman"/>
          <w:snapToGrid w:val="0"/>
          <w:color w:val="auto"/>
          <w:spacing w:val="-6"/>
          <w:kern w:val="21"/>
          <w:sz w:val="21"/>
          <w:szCs w:val="21"/>
        </w:rPr>
      </w:pPr>
      <w:r>
        <w:rPr>
          <w:rFonts w:ascii="Times New Roman"/>
          <w:snapToGrid w:val="0"/>
          <w:color w:val="auto"/>
          <w:kern w:val="21"/>
          <w:sz w:val="21"/>
          <w:szCs w:val="21"/>
        </w:rPr>
        <w:t>注：</w:t>
      </w:r>
      <w:r>
        <w:rPr>
          <w:rFonts w:ascii="Times New Roman"/>
          <w:snapToGrid w:val="0"/>
          <w:color w:val="auto"/>
          <w:spacing w:val="-16"/>
          <w:kern w:val="21"/>
          <w:sz w:val="21"/>
          <w:szCs w:val="21"/>
        </w:rPr>
        <w:fldChar w:fldCharType="begin"/>
      </w:r>
      <w:r>
        <w:rPr>
          <w:rFonts w:ascii="Times New Roman"/>
          <w:snapToGrid w:val="0"/>
          <w:color w:val="auto"/>
          <w:spacing w:val="-16"/>
          <w:kern w:val="21"/>
          <w:sz w:val="21"/>
          <w:szCs w:val="21"/>
        </w:rPr>
        <w:instrText xml:space="preserve"> = 6 \* GB3 \* MERGEFORMAT </w:instrText>
      </w:r>
      <w:r>
        <w:rPr>
          <w:rFonts w:ascii="Times New Roman"/>
          <w:snapToGrid w:val="0"/>
          <w:color w:val="auto"/>
          <w:spacing w:val="-16"/>
          <w:kern w:val="21"/>
          <w:sz w:val="21"/>
          <w:szCs w:val="21"/>
        </w:rPr>
        <w:fldChar w:fldCharType="separate"/>
      </w:r>
      <w:r>
        <w:rPr>
          <w:rFonts w:hint="eastAsia" w:ascii="Times New Roman" w:cs="宋体"/>
          <w:color w:val="auto"/>
          <w:sz w:val="21"/>
          <w:szCs w:val="21"/>
        </w:rPr>
        <w:t>⑥</w:t>
      </w:r>
      <w:r>
        <w:rPr>
          <w:rFonts w:ascii="Times New Roman"/>
          <w:snapToGrid w:val="0"/>
          <w:color w:val="auto"/>
          <w:spacing w:val="-16"/>
          <w:kern w:val="21"/>
          <w:sz w:val="21"/>
          <w:szCs w:val="21"/>
        </w:rPr>
        <w:fldChar w:fldCharType="end"/>
      </w:r>
      <w:r>
        <w:rPr>
          <w:rFonts w:ascii="Times New Roman"/>
          <w:snapToGrid w:val="0"/>
          <w:color w:val="auto"/>
          <w:spacing w:val="-1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1 \* GB3 \* MERGEFORMAT </w:instrText>
      </w:r>
      <w:r>
        <w:rPr>
          <w:rFonts w:ascii="Times New Roman"/>
          <w:snapToGrid w:val="0"/>
          <w:color w:val="auto"/>
          <w:spacing w:val="-6"/>
          <w:kern w:val="21"/>
          <w:sz w:val="21"/>
          <w:szCs w:val="21"/>
        </w:rPr>
        <w:fldChar w:fldCharType="separate"/>
      </w:r>
      <w:r>
        <w:rPr>
          <w:rFonts w:hint="eastAsia" w:ascii="Times New Roman" w:cs="宋体"/>
          <w:color w:val="auto"/>
          <w:sz w:val="21"/>
          <w:szCs w:val="21"/>
        </w:rPr>
        <w:t>①</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3 \* GB3 \* MERGEFORMAT </w:instrText>
      </w:r>
      <w:r>
        <w:rPr>
          <w:rFonts w:ascii="Times New Roman"/>
          <w:snapToGrid w:val="0"/>
          <w:color w:val="auto"/>
          <w:spacing w:val="-6"/>
          <w:kern w:val="21"/>
          <w:sz w:val="21"/>
          <w:szCs w:val="21"/>
        </w:rPr>
        <w:fldChar w:fldCharType="separate"/>
      </w:r>
      <w:r>
        <w:rPr>
          <w:rFonts w:hint="eastAsia" w:ascii="Times New Roman" w:cs="宋体"/>
          <w:color w:val="auto"/>
          <w:sz w:val="21"/>
          <w:szCs w:val="21"/>
        </w:rPr>
        <w:t>③</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4 \* GB3 \* MERGEFORMAT </w:instrText>
      </w:r>
      <w:r>
        <w:rPr>
          <w:rFonts w:ascii="Times New Roman"/>
          <w:snapToGrid w:val="0"/>
          <w:color w:val="auto"/>
          <w:spacing w:val="-6"/>
          <w:kern w:val="21"/>
          <w:sz w:val="21"/>
          <w:szCs w:val="21"/>
        </w:rPr>
        <w:fldChar w:fldCharType="separate"/>
      </w:r>
      <w:r>
        <w:rPr>
          <w:rFonts w:hint="eastAsia" w:ascii="Times New Roman" w:cs="宋体"/>
          <w:color w:val="auto"/>
          <w:sz w:val="21"/>
          <w:szCs w:val="21"/>
        </w:rPr>
        <w:t>④</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16"/>
          <w:kern w:val="21"/>
          <w:sz w:val="21"/>
          <w:szCs w:val="21"/>
        </w:rPr>
        <w:fldChar w:fldCharType="begin"/>
      </w:r>
      <w:r>
        <w:rPr>
          <w:rFonts w:ascii="Times New Roman"/>
          <w:snapToGrid w:val="0"/>
          <w:color w:val="auto"/>
          <w:spacing w:val="-16"/>
          <w:kern w:val="21"/>
          <w:sz w:val="21"/>
          <w:szCs w:val="21"/>
        </w:rPr>
        <w:instrText xml:space="preserve"> = 5 \* GB3 \* MERGEFORMAT </w:instrText>
      </w:r>
      <w:r>
        <w:rPr>
          <w:rFonts w:ascii="Times New Roman"/>
          <w:snapToGrid w:val="0"/>
          <w:color w:val="auto"/>
          <w:spacing w:val="-16"/>
          <w:kern w:val="21"/>
          <w:sz w:val="21"/>
          <w:szCs w:val="21"/>
        </w:rPr>
        <w:fldChar w:fldCharType="separate"/>
      </w:r>
      <w:r>
        <w:rPr>
          <w:rFonts w:hint="eastAsia" w:ascii="Times New Roman" w:cs="宋体"/>
          <w:color w:val="auto"/>
          <w:sz w:val="21"/>
          <w:szCs w:val="21"/>
        </w:rPr>
        <w:t>⑤</w:t>
      </w:r>
      <w:r>
        <w:rPr>
          <w:rFonts w:ascii="Times New Roman"/>
          <w:snapToGrid w:val="0"/>
          <w:color w:val="auto"/>
          <w:spacing w:val="-16"/>
          <w:kern w:val="21"/>
          <w:sz w:val="21"/>
          <w:szCs w:val="21"/>
        </w:rPr>
        <w:fldChar w:fldCharType="end"/>
      </w:r>
      <w:r>
        <w:rPr>
          <w:rFonts w:ascii="Times New Roman"/>
          <w:snapToGrid w:val="0"/>
          <w:color w:val="auto"/>
          <w:spacing w:val="-1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7 \* GB3 \* MERGEFORMAT </w:instrText>
      </w:r>
      <w:r>
        <w:rPr>
          <w:rFonts w:ascii="Times New Roman"/>
          <w:snapToGrid w:val="0"/>
          <w:color w:val="auto"/>
          <w:spacing w:val="-6"/>
          <w:kern w:val="21"/>
          <w:sz w:val="21"/>
          <w:szCs w:val="21"/>
        </w:rPr>
        <w:fldChar w:fldCharType="separate"/>
      </w:r>
      <w:r>
        <w:rPr>
          <w:rFonts w:hint="eastAsia" w:ascii="Times New Roman" w:cs="宋体"/>
          <w:color w:val="auto"/>
          <w:sz w:val="21"/>
          <w:szCs w:val="21"/>
        </w:rPr>
        <w:t>⑦</w:t>
      </w:r>
      <w:r>
        <w:rPr>
          <w:rFonts w:ascii="Times New Roman"/>
          <w:snapToGrid w:val="0"/>
          <w:color w:val="auto"/>
          <w:spacing w:val="-6"/>
          <w:kern w:val="21"/>
          <w:sz w:val="21"/>
          <w:szCs w:val="21"/>
        </w:rPr>
        <w:fldChar w:fldCharType="end"/>
      </w:r>
      <w:r>
        <w:rPr>
          <w:rFonts w:ascii="Times New Roman"/>
          <w:snapToGrid w:val="0"/>
          <w:color w:val="auto"/>
          <w:spacing w:val="-6"/>
          <w:kern w:val="21"/>
          <w:sz w:val="21"/>
          <w:szCs w:val="21"/>
        </w:rPr>
        <w:t>=</w:t>
      </w:r>
      <w:r>
        <w:rPr>
          <w:rFonts w:ascii="Times New Roman"/>
          <w:snapToGrid w:val="0"/>
          <w:color w:val="auto"/>
          <w:spacing w:val="-16"/>
          <w:kern w:val="21"/>
          <w:sz w:val="21"/>
          <w:szCs w:val="21"/>
        </w:rPr>
        <w:fldChar w:fldCharType="begin"/>
      </w:r>
      <w:r>
        <w:rPr>
          <w:rFonts w:ascii="Times New Roman"/>
          <w:snapToGrid w:val="0"/>
          <w:color w:val="auto"/>
          <w:spacing w:val="-16"/>
          <w:kern w:val="21"/>
          <w:sz w:val="21"/>
          <w:szCs w:val="21"/>
        </w:rPr>
        <w:instrText xml:space="preserve"> = 6 \* GB3 \* MERGEFORMAT </w:instrText>
      </w:r>
      <w:r>
        <w:rPr>
          <w:rFonts w:ascii="Times New Roman"/>
          <w:snapToGrid w:val="0"/>
          <w:color w:val="auto"/>
          <w:spacing w:val="-16"/>
          <w:kern w:val="21"/>
          <w:sz w:val="21"/>
          <w:szCs w:val="21"/>
        </w:rPr>
        <w:fldChar w:fldCharType="separate"/>
      </w:r>
      <w:r>
        <w:rPr>
          <w:rFonts w:hint="eastAsia" w:ascii="Times New Roman" w:cs="宋体"/>
          <w:color w:val="auto"/>
          <w:sz w:val="21"/>
          <w:szCs w:val="21"/>
        </w:rPr>
        <w:t>⑥</w:t>
      </w:r>
      <w:r>
        <w:rPr>
          <w:rFonts w:ascii="Times New Roman"/>
          <w:snapToGrid w:val="0"/>
          <w:color w:val="auto"/>
          <w:spacing w:val="-16"/>
          <w:kern w:val="21"/>
          <w:sz w:val="21"/>
          <w:szCs w:val="21"/>
        </w:rPr>
        <w:fldChar w:fldCharType="end"/>
      </w:r>
      <w:r>
        <w:rPr>
          <w:rFonts w:ascii="Times New Roman"/>
          <w:snapToGrid w:val="0"/>
          <w:color w:val="auto"/>
          <w:spacing w:val="-16"/>
          <w:kern w:val="21"/>
          <w:sz w:val="21"/>
          <w:szCs w:val="21"/>
        </w:rPr>
        <w:t>-</w:t>
      </w:r>
      <w:r>
        <w:rPr>
          <w:rFonts w:ascii="Times New Roman"/>
          <w:snapToGrid w:val="0"/>
          <w:color w:val="auto"/>
          <w:spacing w:val="-6"/>
          <w:kern w:val="21"/>
          <w:sz w:val="21"/>
          <w:szCs w:val="21"/>
        </w:rPr>
        <w:fldChar w:fldCharType="begin"/>
      </w:r>
      <w:r>
        <w:rPr>
          <w:rFonts w:ascii="Times New Roman"/>
          <w:snapToGrid w:val="0"/>
          <w:color w:val="auto"/>
          <w:spacing w:val="-6"/>
          <w:kern w:val="21"/>
          <w:sz w:val="21"/>
          <w:szCs w:val="21"/>
        </w:rPr>
        <w:instrText xml:space="preserve"> = 1 \* GB3 \* MERGEFORMAT </w:instrText>
      </w:r>
      <w:r>
        <w:rPr>
          <w:rFonts w:ascii="Times New Roman"/>
          <w:snapToGrid w:val="0"/>
          <w:color w:val="auto"/>
          <w:spacing w:val="-6"/>
          <w:kern w:val="21"/>
          <w:sz w:val="21"/>
          <w:szCs w:val="21"/>
        </w:rPr>
        <w:fldChar w:fldCharType="separate"/>
      </w:r>
      <w:r>
        <w:rPr>
          <w:rFonts w:hint="eastAsia" w:ascii="Times New Roman" w:cs="宋体"/>
          <w:color w:val="auto"/>
          <w:sz w:val="21"/>
          <w:szCs w:val="21"/>
        </w:rPr>
        <w:t>①</w:t>
      </w:r>
      <w:r>
        <w:rPr>
          <w:rFonts w:ascii="Times New Roman"/>
          <w:snapToGrid w:val="0"/>
          <w:color w:val="auto"/>
          <w:spacing w:val="-6"/>
          <w:kern w:val="21"/>
          <w:sz w:val="21"/>
          <w:szCs w:val="21"/>
        </w:rPr>
        <w:fldChar w:fldCharType="end"/>
      </w:r>
    </w:p>
    <w:p w14:paraId="0F90B260">
      <w:pPr>
        <w:pStyle w:val="30"/>
        <w:adjustRightInd w:val="0"/>
        <w:snapToGrid w:val="0"/>
        <w:spacing w:before="0" w:beforeAutospacing="0" w:after="0" w:afterAutospacing="0" w:line="20" w:lineRule="exact"/>
        <w:ind w:firstLine="0" w:firstLineChars="0"/>
        <w:rPr>
          <w:rFonts w:ascii="Times New Roman" w:hAnsi="Times New Roman"/>
          <w:color w:val="auto"/>
        </w:rPr>
      </w:pPr>
    </w:p>
    <w:sectPr>
      <w:footerReference r:id="rId14" w:type="default"/>
      <w:pgSz w:w="16838" w:h="11906" w:orient="landscape"/>
      <w:pgMar w:top="1304" w:right="1304" w:bottom="1304" w:left="1304"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体">
    <w:altName w:val="宋体"/>
    <w:panose1 w:val="00000000000000000000"/>
    <w:charset w:val="86"/>
    <w:family w:val="roma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Palatino">
    <w:altName w:val="Palatino Linotype"/>
    <w:panose1 w:val="02040602050305020304"/>
    <w:charset w:val="00"/>
    <w:family w:val="roman"/>
    <w:pitch w:val="default"/>
    <w:sig w:usb0="00000000" w:usb1="00000000" w:usb2="00000000" w:usb3="00000000" w:csb0="00000093" w:csb1="00000000"/>
  </w:font>
  <w:font w:name="Palatino Linotype">
    <w:panose1 w:val="02040502050505030304"/>
    <w:charset w:val="00"/>
    <w:family w:val="auto"/>
    <w:pitch w:val="default"/>
    <w:sig w:usb0="E0000287" w:usb1="40000013" w:usb2="00000000" w:usb3="00000000" w:csb0="2000019F" w:csb1="00000000"/>
  </w:font>
  <w:font w:name="Wingdings 2">
    <w:panose1 w:val="05020102010507070707"/>
    <w:charset w:val="02"/>
    <w:family w:val="roman"/>
    <w:pitch w:val="default"/>
    <w:sig w:usb0="00000000" w:usb1="00000000" w:usb2="00000000" w:usb3="00000000" w:csb0="80000000" w:csb1="0000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604D4">
    <w:pPr>
      <w:pStyle w:val="2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18BCA">
    <w:pPr>
      <w:pStyle w:val="23"/>
      <w:framePr w:wrap="around" w:vAnchor="text" w:hAnchor="margin" w:xAlign="center" w:y="1"/>
      <w:ind w:firstLine="360"/>
      <w:rPr>
        <w:rStyle w:val="43"/>
      </w:rPr>
    </w:pPr>
    <w:r>
      <w:fldChar w:fldCharType="begin"/>
    </w:r>
    <w:r>
      <w:rPr>
        <w:rStyle w:val="43"/>
      </w:rPr>
      <w:instrText xml:space="preserve">PAGE  </w:instrText>
    </w:r>
    <w:r>
      <w:fldChar w:fldCharType="end"/>
    </w:r>
  </w:p>
  <w:p w14:paraId="48FB5603">
    <w:pPr>
      <w:pStyle w:val="2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FD50C">
    <w:pPr>
      <w:pStyle w:val="2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013E2">
    <w:pPr>
      <w:pStyle w:val="23"/>
      <w:ind w:firstLine="360"/>
      <w:jc w:val="center"/>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75970">
    <w:pPr>
      <w:pStyle w:val="23"/>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9731"/>
                          </w:sdtPr>
                          <w:sdtContent>
                            <w:p w14:paraId="4C166273">
                              <w:pPr>
                                <w:pStyle w:val="23"/>
                                <w:ind w:firstLine="360"/>
                                <w:jc w:val="center"/>
                              </w:pPr>
                              <w:r>
                                <w:fldChar w:fldCharType="begin"/>
                              </w:r>
                              <w:r>
                                <w:instrText xml:space="preserve">PAGE   \* MERGEFORMAT</w:instrText>
                              </w:r>
                              <w:r>
                                <w:fldChar w:fldCharType="separate"/>
                              </w:r>
                              <w:r>
                                <w:rPr>
                                  <w:lang w:val="zh-CN"/>
                                </w:rPr>
                                <w:t>59</w:t>
                              </w:r>
                              <w:r>
                                <w:fldChar w:fldCharType="end"/>
                              </w:r>
                            </w:p>
                          </w:sdtContent>
                        </w:sdt>
                        <w:p w14:paraId="64E2C628">
                          <w:pPr>
                            <w:pStyle w:val="1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sdt>
                    <w:sdtPr>
                      <w:id w:val="147469731"/>
                    </w:sdtPr>
                    <w:sdtContent>
                      <w:p w14:paraId="4C166273">
                        <w:pPr>
                          <w:pStyle w:val="23"/>
                          <w:ind w:firstLine="360"/>
                          <w:jc w:val="center"/>
                        </w:pPr>
                        <w:r>
                          <w:fldChar w:fldCharType="begin"/>
                        </w:r>
                        <w:r>
                          <w:instrText xml:space="preserve">PAGE   \* MERGEFORMAT</w:instrText>
                        </w:r>
                        <w:r>
                          <w:fldChar w:fldCharType="separate"/>
                        </w:r>
                        <w:r>
                          <w:rPr>
                            <w:lang w:val="zh-CN"/>
                          </w:rPr>
                          <w:t>59</w:t>
                        </w:r>
                        <w:r>
                          <w:fldChar w:fldCharType="end"/>
                        </w:r>
                      </w:p>
                    </w:sdtContent>
                  </w:sdt>
                  <w:p w14:paraId="64E2C628">
                    <w:pPr>
                      <w:pStyle w:val="14"/>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2D365">
    <w:pPr>
      <w:pStyle w:val="23"/>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3535" cy="254000"/>
              <wp:effectExtent l="0" t="0" r="0" b="0"/>
              <wp:wrapNone/>
              <wp:docPr id="10" name="文本框 6"/>
              <wp:cNvGraphicFramePr/>
              <a:graphic xmlns:a="http://schemas.openxmlformats.org/drawingml/2006/main">
                <a:graphicData uri="http://schemas.microsoft.com/office/word/2010/wordprocessingShape">
                  <wps:wsp>
                    <wps:cNvSpPr txBox="1"/>
                    <wps:spPr>
                      <a:xfrm>
                        <a:off x="0" y="0"/>
                        <a:ext cx="343535" cy="254000"/>
                      </a:xfrm>
                      <a:prstGeom prst="rect">
                        <a:avLst/>
                      </a:prstGeom>
                      <a:noFill/>
                      <a:ln>
                        <a:noFill/>
                      </a:ln>
                    </wps:spPr>
                    <wps:txbx>
                      <w:txbxContent>
                        <w:p w14:paraId="08F9928A">
                          <w:pPr>
                            <w:pStyle w:val="23"/>
                            <w:ind w:firstLine="360"/>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20pt;width:27.05pt;mso-position-horizontal:center;mso-position-horizontal-relative:margin;mso-wrap-style:none;z-index:251659264;mso-width-relative:page;mso-height-relative:page;" filled="f" stroked="f" coordsize="21600,21600" o:gfxdata="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IMVa6nRAAAAAwEAAA8AAAAAAAAAAQAgAAAAIgAAAGRycy9kb3ducmV2Lnht&#10;bFBLAQIUABQAAAAIAIdO4kA4+enIxwEAAIwDAAAOAAAAAAAAAAEAIAAAACABAABkcnMvZTJvRG9j&#10;LnhtbFBLBQYAAAAABgAGAFkBAABZBQAAAAA=&#10;">
              <v:fill on="f" focussize="0,0"/>
              <v:stroke on="f"/>
              <v:imagedata o:title=""/>
              <o:lock v:ext="edit" aspectratio="f"/>
              <v:textbox inset="0mm,0mm,0mm,0mm" style="mso-fit-shape-to-text:t;">
                <w:txbxContent>
                  <w:p w14:paraId="08F9928A">
                    <w:pPr>
                      <w:pStyle w:val="23"/>
                      <w:ind w:firstLine="360"/>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20AC6">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46A13">
    <w:pPr>
      <w:pStyle w:val="2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17AD6">
    <w:pPr>
      <w:pStyle w:val="2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72AE0">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A31D78"/>
    <w:multiLevelType w:val="singleLevel"/>
    <w:tmpl w:val="D9A31D78"/>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1">
    <w:nsid w:val="E97734C3"/>
    <w:multiLevelType w:val="singleLevel"/>
    <w:tmpl w:val="E97734C3"/>
    <w:lvl w:ilvl="0" w:tentative="0">
      <w:start w:val="8"/>
      <w:numFmt w:val="decimal"/>
      <w:suff w:val="nothing"/>
      <w:lvlText w:val="%1）"/>
      <w:lvlJc w:val="left"/>
    </w:lvl>
  </w:abstractNum>
  <w:abstractNum w:abstractNumId="2">
    <w:nsid w:val="010D0A6F"/>
    <w:multiLevelType w:val="singleLevel"/>
    <w:tmpl w:val="010D0A6F"/>
    <w:lvl w:ilvl="0" w:tentative="0">
      <w:start w:val="5"/>
      <w:numFmt w:val="decimal"/>
      <w:suff w:val="nothing"/>
      <w:lvlText w:val="%1、"/>
      <w:lvlJc w:val="left"/>
    </w:lvl>
  </w:abstractNum>
  <w:abstractNum w:abstractNumId="3">
    <w:nsid w:val="129A023A"/>
    <w:multiLevelType w:val="singleLevel"/>
    <w:tmpl w:val="129A023A"/>
    <w:lvl w:ilvl="0" w:tentative="0">
      <w:start w:val="5"/>
      <w:numFmt w:val="chineseCounting"/>
      <w:suff w:val="nothing"/>
      <w:lvlText w:val="%1、"/>
      <w:lvlJc w:val="left"/>
      <w:rPr>
        <w:rFonts w:hint="eastAsia"/>
      </w:rPr>
    </w:lvl>
  </w:abstractNum>
  <w:abstractNum w:abstractNumId="4">
    <w:nsid w:val="2E67386B"/>
    <w:multiLevelType w:val="singleLevel"/>
    <w:tmpl w:val="2E67386B"/>
    <w:lvl w:ilvl="0" w:tentative="0">
      <w:start w:val="2"/>
      <w:numFmt w:val="decimal"/>
      <w:suff w:val="nothing"/>
      <w:lvlText w:val="%1）"/>
      <w:lvlJc w:val="left"/>
    </w:lvl>
  </w:abstractNum>
  <w:abstractNum w:abstractNumId="5">
    <w:nsid w:val="37DC2CCD"/>
    <w:multiLevelType w:val="singleLevel"/>
    <w:tmpl w:val="37DC2CCD"/>
    <w:lvl w:ilvl="0" w:tentative="0">
      <w:start w:val="1"/>
      <w:numFmt w:val="decimal"/>
      <w:pStyle w:val="235"/>
      <w:lvlText w:val="表4-%1"/>
      <w:lvlJc w:val="left"/>
      <w:pPr>
        <w:tabs>
          <w:tab w:val="left" w:pos="420"/>
        </w:tabs>
        <w:ind w:left="4625" w:hanging="425"/>
      </w:pPr>
      <w:rPr>
        <w:rFonts w:hint="default" w:ascii="Times New Roman" w:hAnsi="Times New Roman" w:eastAsia="黑体" w:cs="Times New Roman"/>
        <w:szCs w:val="21"/>
      </w:rPr>
    </w:lvl>
  </w:abstractNum>
  <w:num w:numId="1">
    <w:abstractNumId w:val="0"/>
  </w:num>
  <w:num w:numId="2">
    <w:abstractNumId w:val="5"/>
  </w:num>
  <w:num w:numId="3">
    <w:abstractNumId w:val="2"/>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YzY2Q5N2IwNjlhOWQ5OTM0ODg5Y2VhNGYzNGU3ZmMifQ=="/>
  </w:docVars>
  <w:rsids>
    <w:rsidRoot w:val="00172A27"/>
    <w:rsid w:val="00000576"/>
    <w:rsid w:val="0000263A"/>
    <w:rsid w:val="00004AD4"/>
    <w:rsid w:val="00004C0D"/>
    <w:rsid w:val="000051E1"/>
    <w:rsid w:val="00006009"/>
    <w:rsid w:val="000060B3"/>
    <w:rsid w:val="00011A29"/>
    <w:rsid w:val="00011C10"/>
    <w:rsid w:val="00012049"/>
    <w:rsid w:val="000120DF"/>
    <w:rsid w:val="000128B0"/>
    <w:rsid w:val="00013CAF"/>
    <w:rsid w:val="00014DF2"/>
    <w:rsid w:val="00015034"/>
    <w:rsid w:val="000160C2"/>
    <w:rsid w:val="00016DFE"/>
    <w:rsid w:val="00017110"/>
    <w:rsid w:val="000177FE"/>
    <w:rsid w:val="000254BC"/>
    <w:rsid w:val="000259A7"/>
    <w:rsid w:val="000272FC"/>
    <w:rsid w:val="000275A8"/>
    <w:rsid w:val="0003034E"/>
    <w:rsid w:val="00030A8C"/>
    <w:rsid w:val="00030F4F"/>
    <w:rsid w:val="00030F98"/>
    <w:rsid w:val="00031B15"/>
    <w:rsid w:val="00031F06"/>
    <w:rsid w:val="00036F29"/>
    <w:rsid w:val="00037A51"/>
    <w:rsid w:val="00037EF3"/>
    <w:rsid w:val="000428B6"/>
    <w:rsid w:val="0004317E"/>
    <w:rsid w:val="0004364B"/>
    <w:rsid w:val="00043B0C"/>
    <w:rsid w:val="00045FF4"/>
    <w:rsid w:val="0005080C"/>
    <w:rsid w:val="000512E1"/>
    <w:rsid w:val="0005277F"/>
    <w:rsid w:val="00053681"/>
    <w:rsid w:val="00054DB8"/>
    <w:rsid w:val="0005538A"/>
    <w:rsid w:val="0005675D"/>
    <w:rsid w:val="00057755"/>
    <w:rsid w:val="0006020D"/>
    <w:rsid w:val="00061B1F"/>
    <w:rsid w:val="0006254D"/>
    <w:rsid w:val="00065843"/>
    <w:rsid w:val="00065E6E"/>
    <w:rsid w:val="00065FE2"/>
    <w:rsid w:val="0006639D"/>
    <w:rsid w:val="000714D7"/>
    <w:rsid w:val="0007158F"/>
    <w:rsid w:val="000733C4"/>
    <w:rsid w:val="000740CF"/>
    <w:rsid w:val="00074783"/>
    <w:rsid w:val="00077270"/>
    <w:rsid w:val="00077D39"/>
    <w:rsid w:val="00080285"/>
    <w:rsid w:val="00080560"/>
    <w:rsid w:val="0008070B"/>
    <w:rsid w:val="000810AC"/>
    <w:rsid w:val="0008162E"/>
    <w:rsid w:val="00081A02"/>
    <w:rsid w:val="00082231"/>
    <w:rsid w:val="00086DC9"/>
    <w:rsid w:val="00086E93"/>
    <w:rsid w:val="000900CB"/>
    <w:rsid w:val="00092D38"/>
    <w:rsid w:val="0009377B"/>
    <w:rsid w:val="00094BA0"/>
    <w:rsid w:val="000957D0"/>
    <w:rsid w:val="00095DA6"/>
    <w:rsid w:val="000974AB"/>
    <w:rsid w:val="000A0FF3"/>
    <w:rsid w:val="000A20C9"/>
    <w:rsid w:val="000A42A8"/>
    <w:rsid w:val="000A4DC5"/>
    <w:rsid w:val="000A50F2"/>
    <w:rsid w:val="000A58C8"/>
    <w:rsid w:val="000A5C38"/>
    <w:rsid w:val="000A69C9"/>
    <w:rsid w:val="000A73E9"/>
    <w:rsid w:val="000B058F"/>
    <w:rsid w:val="000B0AF8"/>
    <w:rsid w:val="000B1A0C"/>
    <w:rsid w:val="000B3098"/>
    <w:rsid w:val="000B337E"/>
    <w:rsid w:val="000B3439"/>
    <w:rsid w:val="000B4467"/>
    <w:rsid w:val="000B4DB9"/>
    <w:rsid w:val="000B5479"/>
    <w:rsid w:val="000B5536"/>
    <w:rsid w:val="000B5E04"/>
    <w:rsid w:val="000B5EED"/>
    <w:rsid w:val="000B654A"/>
    <w:rsid w:val="000B65F9"/>
    <w:rsid w:val="000B6DA2"/>
    <w:rsid w:val="000B7BBB"/>
    <w:rsid w:val="000B7C36"/>
    <w:rsid w:val="000C09AC"/>
    <w:rsid w:val="000C0E04"/>
    <w:rsid w:val="000C10C3"/>
    <w:rsid w:val="000C2C05"/>
    <w:rsid w:val="000C2CBA"/>
    <w:rsid w:val="000C2DD0"/>
    <w:rsid w:val="000C4503"/>
    <w:rsid w:val="000C4D78"/>
    <w:rsid w:val="000C62E6"/>
    <w:rsid w:val="000C767F"/>
    <w:rsid w:val="000D03D3"/>
    <w:rsid w:val="000D1500"/>
    <w:rsid w:val="000D230C"/>
    <w:rsid w:val="000D2697"/>
    <w:rsid w:val="000D2C5E"/>
    <w:rsid w:val="000D2CC3"/>
    <w:rsid w:val="000D3F9D"/>
    <w:rsid w:val="000D41C1"/>
    <w:rsid w:val="000D4B4B"/>
    <w:rsid w:val="000D50A1"/>
    <w:rsid w:val="000D58EA"/>
    <w:rsid w:val="000D5A44"/>
    <w:rsid w:val="000D6E47"/>
    <w:rsid w:val="000D76B2"/>
    <w:rsid w:val="000E043E"/>
    <w:rsid w:val="000E0A9F"/>
    <w:rsid w:val="000E128C"/>
    <w:rsid w:val="000E244B"/>
    <w:rsid w:val="000E2580"/>
    <w:rsid w:val="000E3ED2"/>
    <w:rsid w:val="000E4057"/>
    <w:rsid w:val="000E4D2C"/>
    <w:rsid w:val="000E4E48"/>
    <w:rsid w:val="000E56A9"/>
    <w:rsid w:val="000E75BC"/>
    <w:rsid w:val="000E7A87"/>
    <w:rsid w:val="000F026A"/>
    <w:rsid w:val="000F0625"/>
    <w:rsid w:val="000F1272"/>
    <w:rsid w:val="000F1BD0"/>
    <w:rsid w:val="000F3312"/>
    <w:rsid w:val="000F33F7"/>
    <w:rsid w:val="000F350F"/>
    <w:rsid w:val="000F351D"/>
    <w:rsid w:val="000F60E5"/>
    <w:rsid w:val="000F6669"/>
    <w:rsid w:val="000F67F7"/>
    <w:rsid w:val="000F7BFF"/>
    <w:rsid w:val="0010088F"/>
    <w:rsid w:val="00100D15"/>
    <w:rsid w:val="001023E7"/>
    <w:rsid w:val="00102E34"/>
    <w:rsid w:val="0010547B"/>
    <w:rsid w:val="00107607"/>
    <w:rsid w:val="00107704"/>
    <w:rsid w:val="0010783B"/>
    <w:rsid w:val="001079BA"/>
    <w:rsid w:val="00107FAA"/>
    <w:rsid w:val="00110DBE"/>
    <w:rsid w:val="0011160A"/>
    <w:rsid w:val="001116A4"/>
    <w:rsid w:val="00111E13"/>
    <w:rsid w:val="00112C5D"/>
    <w:rsid w:val="00113B1C"/>
    <w:rsid w:val="00114966"/>
    <w:rsid w:val="00115530"/>
    <w:rsid w:val="00115D39"/>
    <w:rsid w:val="001226ED"/>
    <w:rsid w:val="00122757"/>
    <w:rsid w:val="00123945"/>
    <w:rsid w:val="00123B09"/>
    <w:rsid w:val="001246B5"/>
    <w:rsid w:val="0012495C"/>
    <w:rsid w:val="00125052"/>
    <w:rsid w:val="0012505E"/>
    <w:rsid w:val="00125BE7"/>
    <w:rsid w:val="00126BCC"/>
    <w:rsid w:val="00130B76"/>
    <w:rsid w:val="00131F42"/>
    <w:rsid w:val="00132ACE"/>
    <w:rsid w:val="0013379C"/>
    <w:rsid w:val="00133836"/>
    <w:rsid w:val="001357F1"/>
    <w:rsid w:val="0013674A"/>
    <w:rsid w:val="001369EE"/>
    <w:rsid w:val="0013731D"/>
    <w:rsid w:val="00140FA8"/>
    <w:rsid w:val="00141B41"/>
    <w:rsid w:val="00142FEB"/>
    <w:rsid w:val="00143A2D"/>
    <w:rsid w:val="001446F5"/>
    <w:rsid w:val="00145853"/>
    <w:rsid w:val="00145A41"/>
    <w:rsid w:val="00145F7C"/>
    <w:rsid w:val="00146CEE"/>
    <w:rsid w:val="00147343"/>
    <w:rsid w:val="0014784D"/>
    <w:rsid w:val="00150D23"/>
    <w:rsid w:val="00151675"/>
    <w:rsid w:val="00151C1D"/>
    <w:rsid w:val="00152607"/>
    <w:rsid w:val="001561A4"/>
    <w:rsid w:val="00157435"/>
    <w:rsid w:val="00157A8C"/>
    <w:rsid w:val="00161FFE"/>
    <w:rsid w:val="001621F0"/>
    <w:rsid w:val="00162386"/>
    <w:rsid w:val="0016240D"/>
    <w:rsid w:val="00163C54"/>
    <w:rsid w:val="00164401"/>
    <w:rsid w:val="0016768E"/>
    <w:rsid w:val="00167A6F"/>
    <w:rsid w:val="00170ABE"/>
    <w:rsid w:val="001720AA"/>
    <w:rsid w:val="001727F7"/>
    <w:rsid w:val="00172D5F"/>
    <w:rsid w:val="00172E33"/>
    <w:rsid w:val="001737DF"/>
    <w:rsid w:val="0017504D"/>
    <w:rsid w:val="001753A8"/>
    <w:rsid w:val="00175F13"/>
    <w:rsid w:val="0017671A"/>
    <w:rsid w:val="00177074"/>
    <w:rsid w:val="00177422"/>
    <w:rsid w:val="00177A0A"/>
    <w:rsid w:val="00182AD4"/>
    <w:rsid w:val="00182E3E"/>
    <w:rsid w:val="001842CD"/>
    <w:rsid w:val="00184442"/>
    <w:rsid w:val="00184590"/>
    <w:rsid w:val="0018524B"/>
    <w:rsid w:val="001853E3"/>
    <w:rsid w:val="001870D1"/>
    <w:rsid w:val="0018781E"/>
    <w:rsid w:val="00190E34"/>
    <w:rsid w:val="001912F3"/>
    <w:rsid w:val="0019153A"/>
    <w:rsid w:val="00191CE0"/>
    <w:rsid w:val="0019262D"/>
    <w:rsid w:val="001926F9"/>
    <w:rsid w:val="001954AB"/>
    <w:rsid w:val="001A0E4A"/>
    <w:rsid w:val="001A0FEC"/>
    <w:rsid w:val="001A14B4"/>
    <w:rsid w:val="001A1522"/>
    <w:rsid w:val="001A1797"/>
    <w:rsid w:val="001A1B35"/>
    <w:rsid w:val="001A2685"/>
    <w:rsid w:val="001A48A2"/>
    <w:rsid w:val="001A4F50"/>
    <w:rsid w:val="001A57B4"/>
    <w:rsid w:val="001A6F61"/>
    <w:rsid w:val="001B016B"/>
    <w:rsid w:val="001B1555"/>
    <w:rsid w:val="001B72B8"/>
    <w:rsid w:val="001C01E3"/>
    <w:rsid w:val="001C0CAC"/>
    <w:rsid w:val="001C19A1"/>
    <w:rsid w:val="001C2350"/>
    <w:rsid w:val="001C391E"/>
    <w:rsid w:val="001C6317"/>
    <w:rsid w:val="001C659E"/>
    <w:rsid w:val="001C69B3"/>
    <w:rsid w:val="001C6AB3"/>
    <w:rsid w:val="001D18F3"/>
    <w:rsid w:val="001D3274"/>
    <w:rsid w:val="001D3A5C"/>
    <w:rsid w:val="001D46AF"/>
    <w:rsid w:val="001D4A15"/>
    <w:rsid w:val="001D5282"/>
    <w:rsid w:val="001D5595"/>
    <w:rsid w:val="001D6285"/>
    <w:rsid w:val="001D76A1"/>
    <w:rsid w:val="001D7874"/>
    <w:rsid w:val="001D7F22"/>
    <w:rsid w:val="001E09D1"/>
    <w:rsid w:val="001E21B9"/>
    <w:rsid w:val="001E4EB6"/>
    <w:rsid w:val="001E50FF"/>
    <w:rsid w:val="001E741C"/>
    <w:rsid w:val="001E768F"/>
    <w:rsid w:val="001E7A55"/>
    <w:rsid w:val="001E7CEC"/>
    <w:rsid w:val="001F0CB4"/>
    <w:rsid w:val="001F0F17"/>
    <w:rsid w:val="001F146E"/>
    <w:rsid w:val="001F3347"/>
    <w:rsid w:val="001F34F6"/>
    <w:rsid w:val="001F3AFE"/>
    <w:rsid w:val="001F540A"/>
    <w:rsid w:val="001F5B27"/>
    <w:rsid w:val="001F69E4"/>
    <w:rsid w:val="001F6ADB"/>
    <w:rsid w:val="001F6C50"/>
    <w:rsid w:val="001F6E89"/>
    <w:rsid w:val="00201180"/>
    <w:rsid w:val="00201E83"/>
    <w:rsid w:val="0020220B"/>
    <w:rsid w:val="00202EE5"/>
    <w:rsid w:val="0020380A"/>
    <w:rsid w:val="002052CC"/>
    <w:rsid w:val="0020590F"/>
    <w:rsid w:val="002061BE"/>
    <w:rsid w:val="002062A9"/>
    <w:rsid w:val="002063FD"/>
    <w:rsid w:val="00206D6D"/>
    <w:rsid w:val="00207D90"/>
    <w:rsid w:val="002111B7"/>
    <w:rsid w:val="002125B4"/>
    <w:rsid w:val="00215378"/>
    <w:rsid w:val="002155B8"/>
    <w:rsid w:val="002166D7"/>
    <w:rsid w:val="002170B4"/>
    <w:rsid w:val="002224AD"/>
    <w:rsid w:val="00223C08"/>
    <w:rsid w:val="00224839"/>
    <w:rsid w:val="002249B2"/>
    <w:rsid w:val="00224AB6"/>
    <w:rsid w:val="00226574"/>
    <w:rsid w:val="00226DD6"/>
    <w:rsid w:val="002278EC"/>
    <w:rsid w:val="00230C0A"/>
    <w:rsid w:val="00231256"/>
    <w:rsid w:val="002318E0"/>
    <w:rsid w:val="00232345"/>
    <w:rsid w:val="0023280E"/>
    <w:rsid w:val="0023289D"/>
    <w:rsid w:val="00232EB8"/>
    <w:rsid w:val="002331AA"/>
    <w:rsid w:val="00233AC6"/>
    <w:rsid w:val="0023645B"/>
    <w:rsid w:val="002377D1"/>
    <w:rsid w:val="00237BD8"/>
    <w:rsid w:val="00241238"/>
    <w:rsid w:val="00243B29"/>
    <w:rsid w:val="00244406"/>
    <w:rsid w:val="0024485B"/>
    <w:rsid w:val="002453A7"/>
    <w:rsid w:val="00245D22"/>
    <w:rsid w:val="00245D50"/>
    <w:rsid w:val="002468F9"/>
    <w:rsid w:val="00246BED"/>
    <w:rsid w:val="002506BC"/>
    <w:rsid w:val="00252785"/>
    <w:rsid w:val="00252902"/>
    <w:rsid w:val="00253912"/>
    <w:rsid w:val="0025392C"/>
    <w:rsid w:val="00253C56"/>
    <w:rsid w:val="00254345"/>
    <w:rsid w:val="00255B32"/>
    <w:rsid w:val="00255D66"/>
    <w:rsid w:val="00256803"/>
    <w:rsid w:val="0025755A"/>
    <w:rsid w:val="002576E0"/>
    <w:rsid w:val="00260799"/>
    <w:rsid w:val="00260CE6"/>
    <w:rsid w:val="002611B9"/>
    <w:rsid w:val="0026300D"/>
    <w:rsid w:val="002638C7"/>
    <w:rsid w:val="00264557"/>
    <w:rsid w:val="002657A0"/>
    <w:rsid w:val="002663A4"/>
    <w:rsid w:val="00270C0C"/>
    <w:rsid w:val="00273434"/>
    <w:rsid w:val="00273895"/>
    <w:rsid w:val="0027595D"/>
    <w:rsid w:val="002804AC"/>
    <w:rsid w:val="002805AB"/>
    <w:rsid w:val="00282764"/>
    <w:rsid w:val="00283012"/>
    <w:rsid w:val="00283743"/>
    <w:rsid w:val="00283802"/>
    <w:rsid w:val="00283832"/>
    <w:rsid w:val="0028388C"/>
    <w:rsid w:val="00284204"/>
    <w:rsid w:val="00285A94"/>
    <w:rsid w:val="002873DB"/>
    <w:rsid w:val="00290037"/>
    <w:rsid w:val="00290243"/>
    <w:rsid w:val="00290443"/>
    <w:rsid w:val="0029083C"/>
    <w:rsid w:val="00291773"/>
    <w:rsid w:val="00292171"/>
    <w:rsid w:val="00292B5F"/>
    <w:rsid w:val="002933C5"/>
    <w:rsid w:val="00296A2A"/>
    <w:rsid w:val="00297083"/>
    <w:rsid w:val="00297548"/>
    <w:rsid w:val="00297886"/>
    <w:rsid w:val="00297A37"/>
    <w:rsid w:val="002A0276"/>
    <w:rsid w:val="002A1336"/>
    <w:rsid w:val="002A168C"/>
    <w:rsid w:val="002A3DC7"/>
    <w:rsid w:val="002A3E39"/>
    <w:rsid w:val="002A456F"/>
    <w:rsid w:val="002A5186"/>
    <w:rsid w:val="002A5B14"/>
    <w:rsid w:val="002A78A3"/>
    <w:rsid w:val="002B0C3C"/>
    <w:rsid w:val="002B1F80"/>
    <w:rsid w:val="002B41BA"/>
    <w:rsid w:val="002B49E2"/>
    <w:rsid w:val="002B6861"/>
    <w:rsid w:val="002B6C26"/>
    <w:rsid w:val="002B79A9"/>
    <w:rsid w:val="002B7B00"/>
    <w:rsid w:val="002B7C44"/>
    <w:rsid w:val="002C0FD0"/>
    <w:rsid w:val="002C2B17"/>
    <w:rsid w:val="002C3626"/>
    <w:rsid w:val="002C3A51"/>
    <w:rsid w:val="002C4D55"/>
    <w:rsid w:val="002C7E25"/>
    <w:rsid w:val="002D0353"/>
    <w:rsid w:val="002D086A"/>
    <w:rsid w:val="002D3DD0"/>
    <w:rsid w:val="002D4857"/>
    <w:rsid w:val="002D5584"/>
    <w:rsid w:val="002D66B2"/>
    <w:rsid w:val="002D68A5"/>
    <w:rsid w:val="002D70F0"/>
    <w:rsid w:val="002D742B"/>
    <w:rsid w:val="002E0181"/>
    <w:rsid w:val="002E1F3A"/>
    <w:rsid w:val="002E298A"/>
    <w:rsid w:val="002E2E92"/>
    <w:rsid w:val="002E3E78"/>
    <w:rsid w:val="002E4015"/>
    <w:rsid w:val="002E4BA4"/>
    <w:rsid w:val="002E704F"/>
    <w:rsid w:val="002F0628"/>
    <w:rsid w:val="002F06FC"/>
    <w:rsid w:val="002F1289"/>
    <w:rsid w:val="002F265F"/>
    <w:rsid w:val="002F2C94"/>
    <w:rsid w:val="002F2DB5"/>
    <w:rsid w:val="002F405C"/>
    <w:rsid w:val="002F4CDA"/>
    <w:rsid w:val="002F6B2A"/>
    <w:rsid w:val="00301978"/>
    <w:rsid w:val="00301B36"/>
    <w:rsid w:val="0030332C"/>
    <w:rsid w:val="003051C2"/>
    <w:rsid w:val="00306D3A"/>
    <w:rsid w:val="0030751F"/>
    <w:rsid w:val="0031026B"/>
    <w:rsid w:val="00310625"/>
    <w:rsid w:val="00311767"/>
    <w:rsid w:val="00312296"/>
    <w:rsid w:val="003137B2"/>
    <w:rsid w:val="00314F0E"/>
    <w:rsid w:val="003163DD"/>
    <w:rsid w:val="00316D35"/>
    <w:rsid w:val="00317946"/>
    <w:rsid w:val="00320A54"/>
    <w:rsid w:val="00321D8E"/>
    <w:rsid w:val="00323CFF"/>
    <w:rsid w:val="00323DE5"/>
    <w:rsid w:val="00324469"/>
    <w:rsid w:val="0032564E"/>
    <w:rsid w:val="00325928"/>
    <w:rsid w:val="003266B5"/>
    <w:rsid w:val="00327B5A"/>
    <w:rsid w:val="003301ED"/>
    <w:rsid w:val="0033073C"/>
    <w:rsid w:val="00330C29"/>
    <w:rsid w:val="00331930"/>
    <w:rsid w:val="00332311"/>
    <w:rsid w:val="00332863"/>
    <w:rsid w:val="00334143"/>
    <w:rsid w:val="00334D11"/>
    <w:rsid w:val="0033684D"/>
    <w:rsid w:val="00336D88"/>
    <w:rsid w:val="00337B42"/>
    <w:rsid w:val="00340700"/>
    <w:rsid w:val="00341B42"/>
    <w:rsid w:val="0034348F"/>
    <w:rsid w:val="00344447"/>
    <w:rsid w:val="0034716A"/>
    <w:rsid w:val="003474A7"/>
    <w:rsid w:val="00350310"/>
    <w:rsid w:val="00350CED"/>
    <w:rsid w:val="00351615"/>
    <w:rsid w:val="00352576"/>
    <w:rsid w:val="003528D5"/>
    <w:rsid w:val="003528D9"/>
    <w:rsid w:val="003538BC"/>
    <w:rsid w:val="00354AA3"/>
    <w:rsid w:val="00356402"/>
    <w:rsid w:val="00356653"/>
    <w:rsid w:val="0035743F"/>
    <w:rsid w:val="00357BE2"/>
    <w:rsid w:val="003601A7"/>
    <w:rsid w:val="00360A97"/>
    <w:rsid w:val="0036170C"/>
    <w:rsid w:val="00361ADA"/>
    <w:rsid w:val="0036337B"/>
    <w:rsid w:val="00363B61"/>
    <w:rsid w:val="00365FD1"/>
    <w:rsid w:val="00366C28"/>
    <w:rsid w:val="00366E0F"/>
    <w:rsid w:val="00370DA4"/>
    <w:rsid w:val="00371B70"/>
    <w:rsid w:val="003732CF"/>
    <w:rsid w:val="003738BA"/>
    <w:rsid w:val="00375C7F"/>
    <w:rsid w:val="0038104D"/>
    <w:rsid w:val="00381A72"/>
    <w:rsid w:val="00382FBB"/>
    <w:rsid w:val="003838C0"/>
    <w:rsid w:val="00384676"/>
    <w:rsid w:val="00384F9E"/>
    <w:rsid w:val="003862C1"/>
    <w:rsid w:val="003868E6"/>
    <w:rsid w:val="00386E99"/>
    <w:rsid w:val="00386F9E"/>
    <w:rsid w:val="00390857"/>
    <w:rsid w:val="00391DBE"/>
    <w:rsid w:val="00391F5B"/>
    <w:rsid w:val="0039490C"/>
    <w:rsid w:val="00394913"/>
    <w:rsid w:val="00394E4E"/>
    <w:rsid w:val="00395458"/>
    <w:rsid w:val="00397A04"/>
    <w:rsid w:val="003A0371"/>
    <w:rsid w:val="003A3B3B"/>
    <w:rsid w:val="003A4BF3"/>
    <w:rsid w:val="003A57CB"/>
    <w:rsid w:val="003A5D32"/>
    <w:rsid w:val="003A6A6F"/>
    <w:rsid w:val="003A6E66"/>
    <w:rsid w:val="003B033E"/>
    <w:rsid w:val="003B0821"/>
    <w:rsid w:val="003B10CF"/>
    <w:rsid w:val="003B11AC"/>
    <w:rsid w:val="003B1814"/>
    <w:rsid w:val="003B3F77"/>
    <w:rsid w:val="003B420D"/>
    <w:rsid w:val="003B4F33"/>
    <w:rsid w:val="003B7CE1"/>
    <w:rsid w:val="003C17C5"/>
    <w:rsid w:val="003C226A"/>
    <w:rsid w:val="003C2F1F"/>
    <w:rsid w:val="003C4452"/>
    <w:rsid w:val="003C445F"/>
    <w:rsid w:val="003C4547"/>
    <w:rsid w:val="003C4F07"/>
    <w:rsid w:val="003C656D"/>
    <w:rsid w:val="003C6C16"/>
    <w:rsid w:val="003C78ED"/>
    <w:rsid w:val="003D0637"/>
    <w:rsid w:val="003D069F"/>
    <w:rsid w:val="003D352A"/>
    <w:rsid w:val="003D41D2"/>
    <w:rsid w:val="003D5701"/>
    <w:rsid w:val="003D70C5"/>
    <w:rsid w:val="003D739F"/>
    <w:rsid w:val="003D794D"/>
    <w:rsid w:val="003E2415"/>
    <w:rsid w:val="003E2D71"/>
    <w:rsid w:val="003E3058"/>
    <w:rsid w:val="003E5063"/>
    <w:rsid w:val="003E5381"/>
    <w:rsid w:val="003E6535"/>
    <w:rsid w:val="003E66F3"/>
    <w:rsid w:val="003E6868"/>
    <w:rsid w:val="003E6DD7"/>
    <w:rsid w:val="003E76A9"/>
    <w:rsid w:val="003F0809"/>
    <w:rsid w:val="003F2F49"/>
    <w:rsid w:val="003F3960"/>
    <w:rsid w:val="003F43C7"/>
    <w:rsid w:val="003F49FF"/>
    <w:rsid w:val="003F6717"/>
    <w:rsid w:val="003F6A8C"/>
    <w:rsid w:val="003F755C"/>
    <w:rsid w:val="003F7A56"/>
    <w:rsid w:val="003F7EE1"/>
    <w:rsid w:val="00401306"/>
    <w:rsid w:val="004026AE"/>
    <w:rsid w:val="00402850"/>
    <w:rsid w:val="00402DF5"/>
    <w:rsid w:val="004042B4"/>
    <w:rsid w:val="00406F01"/>
    <w:rsid w:val="004079D8"/>
    <w:rsid w:val="0041115B"/>
    <w:rsid w:val="004114BF"/>
    <w:rsid w:val="004117C6"/>
    <w:rsid w:val="004128AB"/>
    <w:rsid w:val="00413E94"/>
    <w:rsid w:val="00414E99"/>
    <w:rsid w:val="00415B0C"/>
    <w:rsid w:val="00416D50"/>
    <w:rsid w:val="00416E37"/>
    <w:rsid w:val="00416FD5"/>
    <w:rsid w:val="00417772"/>
    <w:rsid w:val="004178A3"/>
    <w:rsid w:val="00420E6A"/>
    <w:rsid w:val="00421774"/>
    <w:rsid w:val="00422B61"/>
    <w:rsid w:val="004241F4"/>
    <w:rsid w:val="00424306"/>
    <w:rsid w:val="004247BC"/>
    <w:rsid w:val="00425A9E"/>
    <w:rsid w:val="00426D6B"/>
    <w:rsid w:val="00431753"/>
    <w:rsid w:val="00431E6C"/>
    <w:rsid w:val="00431FB9"/>
    <w:rsid w:val="0043219C"/>
    <w:rsid w:val="00432B51"/>
    <w:rsid w:val="00433598"/>
    <w:rsid w:val="00433602"/>
    <w:rsid w:val="00433624"/>
    <w:rsid w:val="00433CE7"/>
    <w:rsid w:val="00440741"/>
    <w:rsid w:val="00443C40"/>
    <w:rsid w:val="00444560"/>
    <w:rsid w:val="00447677"/>
    <w:rsid w:val="00450D7A"/>
    <w:rsid w:val="00452738"/>
    <w:rsid w:val="00452D5B"/>
    <w:rsid w:val="00452E07"/>
    <w:rsid w:val="004540BB"/>
    <w:rsid w:val="00454ADD"/>
    <w:rsid w:val="00455102"/>
    <w:rsid w:val="0045597A"/>
    <w:rsid w:val="00456091"/>
    <w:rsid w:val="004600A1"/>
    <w:rsid w:val="00460F64"/>
    <w:rsid w:val="00461A57"/>
    <w:rsid w:val="00462531"/>
    <w:rsid w:val="004646FD"/>
    <w:rsid w:val="00465507"/>
    <w:rsid w:val="00466321"/>
    <w:rsid w:val="004674CF"/>
    <w:rsid w:val="00470554"/>
    <w:rsid w:val="00472DBE"/>
    <w:rsid w:val="00473767"/>
    <w:rsid w:val="0047388F"/>
    <w:rsid w:val="00474340"/>
    <w:rsid w:val="004743C9"/>
    <w:rsid w:val="00474EA7"/>
    <w:rsid w:val="00476DC7"/>
    <w:rsid w:val="00477199"/>
    <w:rsid w:val="004772CB"/>
    <w:rsid w:val="0048028B"/>
    <w:rsid w:val="0048239A"/>
    <w:rsid w:val="004825B0"/>
    <w:rsid w:val="004827AA"/>
    <w:rsid w:val="004831E5"/>
    <w:rsid w:val="00484B9B"/>
    <w:rsid w:val="004855F6"/>
    <w:rsid w:val="00485D9F"/>
    <w:rsid w:val="004865EE"/>
    <w:rsid w:val="0048661E"/>
    <w:rsid w:val="00490CCE"/>
    <w:rsid w:val="00491767"/>
    <w:rsid w:val="00492A30"/>
    <w:rsid w:val="00492D72"/>
    <w:rsid w:val="004941BA"/>
    <w:rsid w:val="00494670"/>
    <w:rsid w:val="0049603B"/>
    <w:rsid w:val="0049707D"/>
    <w:rsid w:val="00497114"/>
    <w:rsid w:val="004A2679"/>
    <w:rsid w:val="004A292D"/>
    <w:rsid w:val="004A3113"/>
    <w:rsid w:val="004A321C"/>
    <w:rsid w:val="004A3823"/>
    <w:rsid w:val="004A4567"/>
    <w:rsid w:val="004A4E8E"/>
    <w:rsid w:val="004A7284"/>
    <w:rsid w:val="004B13F8"/>
    <w:rsid w:val="004B1581"/>
    <w:rsid w:val="004B2069"/>
    <w:rsid w:val="004B294E"/>
    <w:rsid w:val="004B2A5D"/>
    <w:rsid w:val="004B3CD3"/>
    <w:rsid w:val="004B54DF"/>
    <w:rsid w:val="004B7BDD"/>
    <w:rsid w:val="004C1E7E"/>
    <w:rsid w:val="004C3547"/>
    <w:rsid w:val="004C5958"/>
    <w:rsid w:val="004C6891"/>
    <w:rsid w:val="004C6AA1"/>
    <w:rsid w:val="004C6F20"/>
    <w:rsid w:val="004C74EF"/>
    <w:rsid w:val="004C766C"/>
    <w:rsid w:val="004D02F9"/>
    <w:rsid w:val="004D04D7"/>
    <w:rsid w:val="004D0522"/>
    <w:rsid w:val="004D2204"/>
    <w:rsid w:val="004D36B5"/>
    <w:rsid w:val="004D3ECE"/>
    <w:rsid w:val="004D3F1D"/>
    <w:rsid w:val="004D5F89"/>
    <w:rsid w:val="004D7566"/>
    <w:rsid w:val="004E01F1"/>
    <w:rsid w:val="004E2EEF"/>
    <w:rsid w:val="004E679A"/>
    <w:rsid w:val="004E6946"/>
    <w:rsid w:val="004E6BE2"/>
    <w:rsid w:val="004E7033"/>
    <w:rsid w:val="004F018B"/>
    <w:rsid w:val="004F1851"/>
    <w:rsid w:val="004F1AD8"/>
    <w:rsid w:val="004F1F47"/>
    <w:rsid w:val="004F2474"/>
    <w:rsid w:val="004F472E"/>
    <w:rsid w:val="004F488B"/>
    <w:rsid w:val="004F59DB"/>
    <w:rsid w:val="004F5A37"/>
    <w:rsid w:val="004F646A"/>
    <w:rsid w:val="004F772E"/>
    <w:rsid w:val="00501AF6"/>
    <w:rsid w:val="00502097"/>
    <w:rsid w:val="0050289B"/>
    <w:rsid w:val="00503930"/>
    <w:rsid w:val="005039CB"/>
    <w:rsid w:val="00504E9B"/>
    <w:rsid w:val="0050558F"/>
    <w:rsid w:val="00506286"/>
    <w:rsid w:val="00506E69"/>
    <w:rsid w:val="00510813"/>
    <w:rsid w:val="00510DB2"/>
    <w:rsid w:val="00511990"/>
    <w:rsid w:val="00511DE0"/>
    <w:rsid w:val="0051232A"/>
    <w:rsid w:val="0051454E"/>
    <w:rsid w:val="00514870"/>
    <w:rsid w:val="00514B9B"/>
    <w:rsid w:val="00514CB8"/>
    <w:rsid w:val="00515EA5"/>
    <w:rsid w:val="00517F02"/>
    <w:rsid w:val="00520037"/>
    <w:rsid w:val="00520111"/>
    <w:rsid w:val="0052011E"/>
    <w:rsid w:val="0052012C"/>
    <w:rsid w:val="005202F3"/>
    <w:rsid w:val="00521AB6"/>
    <w:rsid w:val="0052423B"/>
    <w:rsid w:val="00524303"/>
    <w:rsid w:val="00525011"/>
    <w:rsid w:val="005258A2"/>
    <w:rsid w:val="00525A15"/>
    <w:rsid w:val="00525B60"/>
    <w:rsid w:val="00525D02"/>
    <w:rsid w:val="00532AEE"/>
    <w:rsid w:val="0053334D"/>
    <w:rsid w:val="00534DD9"/>
    <w:rsid w:val="00536C82"/>
    <w:rsid w:val="005401AE"/>
    <w:rsid w:val="00540C3C"/>
    <w:rsid w:val="005410CD"/>
    <w:rsid w:val="00541558"/>
    <w:rsid w:val="00542734"/>
    <w:rsid w:val="00542794"/>
    <w:rsid w:val="00542C79"/>
    <w:rsid w:val="00542CBC"/>
    <w:rsid w:val="00542E07"/>
    <w:rsid w:val="00542FE1"/>
    <w:rsid w:val="005430ED"/>
    <w:rsid w:val="005444F1"/>
    <w:rsid w:val="00544802"/>
    <w:rsid w:val="005450B3"/>
    <w:rsid w:val="00545424"/>
    <w:rsid w:val="00545DDD"/>
    <w:rsid w:val="005460CB"/>
    <w:rsid w:val="005472EC"/>
    <w:rsid w:val="00553999"/>
    <w:rsid w:val="00554A7B"/>
    <w:rsid w:val="0055534E"/>
    <w:rsid w:val="00555439"/>
    <w:rsid w:val="0055572C"/>
    <w:rsid w:val="00555CEC"/>
    <w:rsid w:val="00560722"/>
    <w:rsid w:val="0056106A"/>
    <w:rsid w:val="00562C6D"/>
    <w:rsid w:val="00563AD9"/>
    <w:rsid w:val="00564CE6"/>
    <w:rsid w:val="00564EE5"/>
    <w:rsid w:val="00565C39"/>
    <w:rsid w:val="00566FD0"/>
    <w:rsid w:val="005675A4"/>
    <w:rsid w:val="00571C05"/>
    <w:rsid w:val="005720AE"/>
    <w:rsid w:val="00574454"/>
    <w:rsid w:val="00574A47"/>
    <w:rsid w:val="00575060"/>
    <w:rsid w:val="00575538"/>
    <w:rsid w:val="00575DAC"/>
    <w:rsid w:val="005766F3"/>
    <w:rsid w:val="00576D8E"/>
    <w:rsid w:val="00580F2E"/>
    <w:rsid w:val="00582181"/>
    <w:rsid w:val="005823FD"/>
    <w:rsid w:val="00582C16"/>
    <w:rsid w:val="00582EBC"/>
    <w:rsid w:val="005845AD"/>
    <w:rsid w:val="00585342"/>
    <w:rsid w:val="00585D59"/>
    <w:rsid w:val="00585F01"/>
    <w:rsid w:val="0058797A"/>
    <w:rsid w:val="00587ED0"/>
    <w:rsid w:val="00590F7E"/>
    <w:rsid w:val="00591E10"/>
    <w:rsid w:val="00594D77"/>
    <w:rsid w:val="005960A4"/>
    <w:rsid w:val="005969E4"/>
    <w:rsid w:val="005A06B7"/>
    <w:rsid w:val="005A0704"/>
    <w:rsid w:val="005A126D"/>
    <w:rsid w:val="005A1759"/>
    <w:rsid w:val="005A1E86"/>
    <w:rsid w:val="005A326F"/>
    <w:rsid w:val="005A39C8"/>
    <w:rsid w:val="005A4A64"/>
    <w:rsid w:val="005A68A7"/>
    <w:rsid w:val="005B0099"/>
    <w:rsid w:val="005B0BE4"/>
    <w:rsid w:val="005B1466"/>
    <w:rsid w:val="005B22B0"/>
    <w:rsid w:val="005B4016"/>
    <w:rsid w:val="005B4A38"/>
    <w:rsid w:val="005C2165"/>
    <w:rsid w:val="005D09A8"/>
    <w:rsid w:val="005D0A7B"/>
    <w:rsid w:val="005D0F9F"/>
    <w:rsid w:val="005D36AB"/>
    <w:rsid w:val="005D38BE"/>
    <w:rsid w:val="005D3C8A"/>
    <w:rsid w:val="005D3E7D"/>
    <w:rsid w:val="005D54F4"/>
    <w:rsid w:val="005D7084"/>
    <w:rsid w:val="005E00AE"/>
    <w:rsid w:val="005E101E"/>
    <w:rsid w:val="005E1E64"/>
    <w:rsid w:val="005E395E"/>
    <w:rsid w:val="005E60FA"/>
    <w:rsid w:val="005E66EE"/>
    <w:rsid w:val="005E7EA5"/>
    <w:rsid w:val="005F07A0"/>
    <w:rsid w:val="005F0BCE"/>
    <w:rsid w:val="005F14EE"/>
    <w:rsid w:val="005F1A72"/>
    <w:rsid w:val="005F1D71"/>
    <w:rsid w:val="005F5273"/>
    <w:rsid w:val="005F6BC4"/>
    <w:rsid w:val="005F72F4"/>
    <w:rsid w:val="006008C8"/>
    <w:rsid w:val="00600B7A"/>
    <w:rsid w:val="00601AE1"/>
    <w:rsid w:val="00601C26"/>
    <w:rsid w:val="00602B10"/>
    <w:rsid w:val="00602E56"/>
    <w:rsid w:val="00603030"/>
    <w:rsid w:val="00603266"/>
    <w:rsid w:val="00603882"/>
    <w:rsid w:val="00603FF0"/>
    <w:rsid w:val="006050AD"/>
    <w:rsid w:val="00605708"/>
    <w:rsid w:val="0060584D"/>
    <w:rsid w:val="0060683F"/>
    <w:rsid w:val="00613F24"/>
    <w:rsid w:val="006140C0"/>
    <w:rsid w:val="0061430E"/>
    <w:rsid w:val="00617CC3"/>
    <w:rsid w:val="006200AD"/>
    <w:rsid w:val="00622759"/>
    <w:rsid w:val="00623024"/>
    <w:rsid w:val="00626498"/>
    <w:rsid w:val="00626AA5"/>
    <w:rsid w:val="00626D16"/>
    <w:rsid w:val="006314E4"/>
    <w:rsid w:val="00633D2A"/>
    <w:rsid w:val="00633F11"/>
    <w:rsid w:val="0063550D"/>
    <w:rsid w:val="00635553"/>
    <w:rsid w:val="006355E4"/>
    <w:rsid w:val="00635D1C"/>
    <w:rsid w:val="0063656D"/>
    <w:rsid w:val="00636D77"/>
    <w:rsid w:val="006376CA"/>
    <w:rsid w:val="006377A6"/>
    <w:rsid w:val="00637A3D"/>
    <w:rsid w:val="00637C33"/>
    <w:rsid w:val="006403E3"/>
    <w:rsid w:val="00640EA9"/>
    <w:rsid w:val="006411EF"/>
    <w:rsid w:val="006426AC"/>
    <w:rsid w:val="00642B22"/>
    <w:rsid w:val="006435B0"/>
    <w:rsid w:val="00644650"/>
    <w:rsid w:val="00644C4A"/>
    <w:rsid w:val="006460D6"/>
    <w:rsid w:val="00650378"/>
    <w:rsid w:val="00651151"/>
    <w:rsid w:val="00651EE8"/>
    <w:rsid w:val="00651F83"/>
    <w:rsid w:val="00651FC3"/>
    <w:rsid w:val="00654F79"/>
    <w:rsid w:val="006552D6"/>
    <w:rsid w:val="00655DB0"/>
    <w:rsid w:val="00656DBE"/>
    <w:rsid w:val="006572AB"/>
    <w:rsid w:val="00660159"/>
    <w:rsid w:val="00663E26"/>
    <w:rsid w:val="00666041"/>
    <w:rsid w:val="006675F5"/>
    <w:rsid w:val="006715E0"/>
    <w:rsid w:val="00671F31"/>
    <w:rsid w:val="006726D3"/>
    <w:rsid w:val="00672A1F"/>
    <w:rsid w:val="00673CDD"/>
    <w:rsid w:val="006741CF"/>
    <w:rsid w:val="006748B8"/>
    <w:rsid w:val="0067560B"/>
    <w:rsid w:val="00675C9B"/>
    <w:rsid w:val="00676466"/>
    <w:rsid w:val="00677120"/>
    <w:rsid w:val="006775C3"/>
    <w:rsid w:val="00677792"/>
    <w:rsid w:val="00680BA0"/>
    <w:rsid w:val="0068128E"/>
    <w:rsid w:val="00683A53"/>
    <w:rsid w:val="00683CC5"/>
    <w:rsid w:val="00684549"/>
    <w:rsid w:val="006849A0"/>
    <w:rsid w:val="0068565F"/>
    <w:rsid w:val="00685B48"/>
    <w:rsid w:val="00685DF9"/>
    <w:rsid w:val="006865EE"/>
    <w:rsid w:val="00687E89"/>
    <w:rsid w:val="00691483"/>
    <w:rsid w:val="006919BD"/>
    <w:rsid w:val="00692388"/>
    <w:rsid w:val="0069290A"/>
    <w:rsid w:val="0069466D"/>
    <w:rsid w:val="0069500E"/>
    <w:rsid w:val="0069569D"/>
    <w:rsid w:val="006967E1"/>
    <w:rsid w:val="0069775A"/>
    <w:rsid w:val="00697813"/>
    <w:rsid w:val="006A07F4"/>
    <w:rsid w:val="006A20AA"/>
    <w:rsid w:val="006A388F"/>
    <w:rsid w:val="006A3EE8"/>
    <w:rsid w:val="006A72BF"/>
    <w:rsid w:val="006B03F2"/>
    <w:rsid w:val="006B044B"/>
    <w:rsid w:val="006B1407"/>
    <w:rsid w:val="006B14C3"/>
    <w:rsid w:val="006B17FF"/>
    <w:rsid w:val="006B1BD7"/>
    <w:rsid w:val="006B309E"/>
    <w:rsid w:val="006B37DC"/>
    <w:rsid w:val="006B38BA"/>
    <w:rsid w:val="006B4F68"/>
    <w:rsid w:val="006C0592"/>
    <w:rsid w:val="006C1168"/>
    <w:rsid w:val="006C135E"/>
    <w:rsid w:val="006C203B"/>
    <w:rsid w:val="006C272E"/>
    <w:rsid w:val="006C2845"/>
    <w:rsid w:val="006C3847"/>
    <w:rsid w:val="006C4898"/>
    <w:rsid w:val="006C5479"/>
    <w:rsid w:val="006C55F4"/>
    <w:rsid w:val="006C6BF9"/>
    <w:rsid w:val="006D13B5"/>
    <w:rsid w:val="006D2758"/>
    <w:rsid w:val="006D2A89"/>
    <w:rsid w:val="006D2AFF"/>
    <w:rsid w:val="006D39EA"/>
    <w:rsid w:val="006D3FFC"/>
    <w:rsid w:val="006D484C"/>
    <w:rsid w:val="006D5182"/>
    <w:rsid w:val="006D5E9F"/>
    <w:rsid w:val="006D6331"/>
    <w:rsid w:val="006D63D4"/>
    <w:rsid w:val="006D6E44"/>
    <w:rsid w:val="006E12FF"/>
    <w:rsid w:val="006E1F3B"/>
    <w:rsid w:val="006E34F3"/>
    <w:rsid w:val="006E607E"/>
    <w:rsid w:val="006E7F64"/>
    <w:rsid w:val="006F0433"/>
    <w:rsid w:val="006F07D6"/>
    <w:rsid w:val="006F0C62"/>
    <w:rsid w:val="006F14B6"/>
    <w:rsid w:val="006F175B"/>
    <w:rsid w:val="006F1A1D"/>
    <w:rsid w:val="006F2B7F"/>
    <w:rsid w:val="006F5358"/>
    <w:rsid w:val="006F67BD"/>
    <w:rsid w:val="006F6A52"/>
    <w:rsid w:val="006F76FB"/>
    <w:rsid w:val="006F78B0"/>
    <w:rsid w:val="00700DAA"/>
    <w:rsid w:val="0070320F"/>
    <w:rsid w:val="007038CB"/>
    <w:rsid w:val="007042E0"/>
    <w:rsid w:val="00704BB2"/>
    <w:rsid w:val="00706C5D"/>
    <w:rsid w:val="00707B75"/>
    <w:rsid w:val="007107C1"/>
    <w:rsid w:val="0071081D"/>
    <w:rsid w:val="007125E9"/>
    <w:rsid w:val="00713ACC"/>
    <w:rsid w:val="00713CE2"/>
    <w:rsid w:val="007150C8"/>
    <w:rsid w:val="00715E6B"/>
    <w:rsid w:val="007163C4"/>
    <w:rsid w:val="00716F92"/>
    <w:rsid w:val="00721B53"/>
    <w:rsid w:val="00722CE4"/>
    <w:rsid w:val="00722E20"/>
    <w:rsid w:val="00723C88"/>
    <w:rsid w:val="0072463F"/>
    <w:rsid w:val="00730088"/>
    <w:rsid w:val="00732160"/>
    <w:rsid w:val="00732922"/>
    <w:rsid w:val="00732A82"/>
    <w:rsid w:val="00732DF3"/>
    <w:rsid w:val="0073339F"/>
    <w:rsid w:val="007335B3"/>
    <w:rsid w:val="00733C04"/>
    <w:rsid w:val="00734320"/>
    <w:rsid w:val="00734492"/>
    <w:rsid w:val="00735446"/>
    <w:rsid w:val="00737260"/>
    <w:rsid w:val="007408CD"/>
    <w:rsid w:val="00740A81"/>
    <w:rsid w:val="00742C08"/>
    <w:rsid w:val="00743676"/>
    <w:rsid w:val="0074487F"/>
    <w:rsid w:val="007453BD"/>
    <w:rsid w:val="00745CEA"/>
    <w:rsid w:val="00746396"/>
    <w:rsid w:val="00746B54"/>
    <w:rsid w:val="00750E08"/>
    <w:rsid w:val="0075162E"/>
    <w:rsid w:val="00751F1E"/>
    <w:rsid w:val="00752E4E"/>
    <w:rsid w:val="00754034"/>
    <w:rsid w:val="00754F23"/>
    <w:rsid w:val="00756556"/>
    <w:rsid w:val="00756814"/>
    <w:rsid w:val="00756AAB"/>
    <w:rsid w:val="00760D5F"/>
    <w:rsid w:val="007618C4"/>
    <w:rsid w:val="0076288B"/>
    <w:rsid w:val="007660AA"/>
    <w:rsid w:val="00766922"/>
    <w:rsid w:val="00767980"/>
    <w:rsid w:val="00767D82"/>
    <w:rsid w:val="00767DF7"/>
    <w:rsid w:val="00767E72"/>
    <w:rsid w:val="00770B19"/>
    <w:rsid w:val="00771FCF"/>
    <w:rsid w:val="0077336D"/>
    <w:rsid w:val="007734F9"/>
    <w:rsid w:val="00774154"/>
    <w:rsid w:val="0077463F"/>
    <w:rsid w:val="0077575E"/>
    <w:rsid w:val="00776087"/>
    <w:rsid w:val="00776DA8"/>
    <w:rsid w:val="00776E3A"/>
    <w:rsid w:val="00780E2A"/>
    <w:rsid w:val="00781FAB"/>
    <w:rsid w:val="007834F6"/>
    <w:rsid w:val="00783685"/>
    <w:rsid w:val="007836C0"/>
    <w:rsid w:val="007836EA"/>
    <w:rsid w:val="00784B47"/>
    <w:rsid w:val="00784CDA"/>
    <w:rsid w:val="0078586E"/>
    <w:rsid w:val="00787D57"/>
    <w:rsid w:val="007906C4"/>
    <w:rsid w:val="00791751"/>
    <w:rsid w:val="00792567"/>
    <w:rsid w:val="007940EA"/>
    <w:rsid w:val="00794ECF"/>
    <w:rsid w:val="007967E8"/>
    <w:rsid w:val="00796919"/>
    <w:rsid w:val="00797678"/>
    <w:rsid w:val="007A1D1C"/>
    <w:rsid w:val="007A2170"/>
    <w:rsid w:val="007A22BF"/>
    <w:rsid w:val="007A24A5"/>
    <w:rsid w:val="007A3323"/>
    <w:rsid w:val="007A3C9F"/>
    <w:rsid w:val="007A4D6B"/>
    <w:rsid w:val="007A5C0C"/>
    <w:rsid w:val="007B0D77"/>
    <w:rsid w:val="007B11E4"/>
    <w:rsid w:val="007B137E"/>
    <w:rsid w:val="007B1AD8"/>
    <w:rsid w:val="007B2B6B"/>
    <w:rsid w:val="007B3534"/>
    <w:rsid w:val="007B3F13"/>
    <w:rsid w:val="007B4415"/>
    <w:rsid w:val="007B4D45"/>
    <w:rsid w:val="007B63B1"/>
    <w:rsid w:val="007B72B8"/>
    <w:rsid w:val="007B7A58"/>
    <w:rsid w:val="007C0DBC"/>
    <w:rsid w:val="007C21B5"/>
    <w:rsid w:val="007C33BD"/>
    <w:rsid w:val="007C42AD"/>
    <w:rsid w:val="007C4880"/>
    <w:rsid w:val="007C49F5"/>
    <w:rsid w:val="007C5CCD"/>
    <w:rsid w:val="007C65A2"/>
    <w:rsid w:val="007D0023"/>
    <w:rsid w:val="007D076F"/>
    <w:rsid w:val="007D0D54"/>
    <w:rsid w:val="007D1A5D"/>
    <w:rsid w:val="007D2152"/>
    <w:rsid w:val="007D2398"/>
    <w:rsid w:val="007D3407"/>
    <w:rsid w:val="007D3487"/>
    <w:rsid w:val="007D3FEF"/>
    <w:rsid w:val="007D5A42"/>
    <w:rsid w:val="007D5D54"/>
    <w:rsid w:val="007D68C6"/>
    <w:rsid w:val="007E039A"/>
    <w:rsid w:val="007E0C78"/>
    <w:rsid w:val="007E0F3D"/>
    <w:rsid w:val="007E262B"/>
    <w:rsid w:val="007E3B72"/>
    <w:rsid w:val="007E42CA"/>
    <w:rsid w:val="007E4BD2"/>
    <w:rsid w:val="007E574F"/>
    <w:rsid w:val="007E7384"/>
    <w:rsid w:val="007E7856"/>
    <w:rsid w:val="007E7EEA"/>
    <w:rsid w:val="007F1F41"/>
    <w:rsid w:val="007F2900"/>
    <w:rsid w:val="007F435D"/>
    <w:rsid w:val="007F4F6B"/>
    <w:rsid w:val="007F590F"/>
    <w:rsid w:val="007F5C50"/>
    <w:rsid w:val="007F5E1C"/>
    <w:rsid w:val="007F7C5E"/>
    <w:rsid w:val="00800A7D"/>
    <w:rsid w:val="00800C70"/>
    <w:rsid w:val="00800FD6"/>
    <w:rsid w:val="008011B9"/>
    <w:rsid w:val="00801393"/>
    <w:rsid w:val="00802F88"/>
    <w:rsid w:val="0080375C"/>
    <w:rsid w:val="008042F7"/>
    <w:rsid w:val="00804F4B"/>
    <w:rsid w:val="00805368"/>
    <w:rsid w:val="008064B5"/>
    <w:rsid w:val="00806CC0"/>
    <w:rsid w:val="008116C9"/>
    <w:rsid w:val="0081293E"/>
    <w:rsid w:val="008133EB"/>
    <w:rsid w:val="00813871"/>
    <w:rsid w:val="00813EB7"/>
    <w:rsid w:val="008140B6"/>
    <w:rsid w:val="00815465"/>
    <w:rsid w:val="00816950"/>
    <w:rsid w:val="00817E9A"/>
    <w:rsid w:val="00821AB0"/>
    <w:rsid w:val="0082552E"/>
    <w:rsid w:val="008264BA"/>
    <w:rsid w:val="00827517"/>
    <w:rsid w:val="008300DD"/>
    <w:rsid w:val="008306BD"/>
    <w:rsid w:val="00830766"/>
    <w:rsid w:val="00831601"/>
    <w:rsid w:val="00831A80"/>
    <w:rsid w:val="0083229F"/>
    <w:rsid w:val="008330A9"/>
    <w:rsid w:val="0083314D"/>
    <w:rsid w:val="00833743"/>
    <w:rsid w:val="00833E69"/>
    <w:rsid w:val="008340A4"/>
    <w:rsid w:val="00835297"/>
    <w:rsid w:val="00837B3D"/>
    <w:rsid w:val="008403E8"/>
    <w:rsid w:val="00840945"/>
    <w:rsid w:val="00841565"/>
    <w:rsid w:val="00841AA7"/>
    <w:rsid w:val="00841B66"/>
    <w:rsid w:val="00841E0D"/>
    <w:rsid w:val="00842625"/>
    <w:rsid w:val="00844586"/>
    <w:rsid w:val="00845BFB"/>
    <w:rsid w:val="00850478"/>
    <w:rsid w:val="008514F9"/>
    <w:rsid w:val="0085176F"/>
    <w:rsid w:val="00855466"/>
    <w:rsid w:val="00855D27"/>
    <w:rsid w:val="00855F73"/>
    <w:rsid w:val="00860079"/>
    <w:rsid w:val="008607DD"/>
    <w:rsid w:val="00860D18"/>
    <w:rsid w:val="00862B61"/>
    <w:rsid w:val="008650F7"/>
    <w:rsid w:val="008662B1"/>
    <w:rsid w:val="0087135F"/>
    <w:rsid w:val="00872D94"/>
    <w:rsid w:val="00873B56"/>
    <w:rsid w:val="0087427D"/>
    <w:rsid w:val="00875F0B"/>
    <w:rsid w:val="00880364"/>
    <w:rsid w:val="00880A77"/>
    <w:rsid w:val="008830F1"/>
    <w:rsid w:val="0088473E"/>
    <w:rsid w:val="00885A92"/>
    <w:rsid w:val="00886781"/>
    <w:rsid w:val="008868C1"/>
    <w:rsid w:val="008901F9"/>
    <w:rsid w:val="00891592"/>
    <w:rsid w:val="00891E9E"/>
    <w:rsid w:val="00893633"/>
    <w:rsid w:val="008940E1"/>
    <w:rsid w:val="00895B1F"/>
    <w:rsid w:val="008960EF"/>
    <w:rsid w:val="008A07B3"/>
    <w:rsid w:val="008A0C07"/>
    <w:rsid w:val="008A17F9"/>
    <w:rsid w:val="008A1A71"/>
    <w:rsid w:val="008A21CE"/>
    <w:rsid w:val="008A2F58"/>
    <w:rsid w:val="008A2F68"/>
    <w:rsid w:val="008A50AD"/>
    <w:rsid w:val="008A614C"/>
    <w:rsid w:val="008A7505"/>
    <w:rsid w:val="008A782C"/>
    <w:rsid w:val="008B0456"/>
    <w:rsid w:val="008B04E3"/>
    <w:rsid w:val="008B0F6A"/>
    <w:rsid w:val="008B360A"/>
    <w:rsid w:val="008B4183"/>
    <w:rsid w:val="008B4927"/>
    <w:rsid w:val="008B4C1A"/>
    <w:rsid w:val="008B4D1C"/>
    <w:rsid w:val="008B4FA6"/>
    <w:rsid w:val="008B5282"/>
    <w:rsid w:val="008B5614"/>
    <w:rsid w:val="008B748A"/>
    <w:rsid w:val="008B753A"/>
    <w:rsid w:val="008B7C17"/>
    <w:rsid w:val="008C02F6"/>
    <w:rsid w:val="008C251E"/>
    <w:rsid w:val="008C2877"/>
    <w:rsid w:val="008C2D01"/>
    <w:rsid w:val="008C40E6"/>
    <w:rsid w:val="008C6E11"/>
    <w:rsid w:val="008C7748"/>
    <w:rsid w:val="008D0460"/>
    <w:rsid w:val="008D0C72"/>
    <w:rsid w:val="008D0F7A"/>
    <w:rsid w:val="008D1AFD"/>
    <w:rsid w:val="008D1B31"/>
    <w:rsid w:val="008D3529"/>
    <w:rsid w:val="008D38F1"/>
    <w:rsid w:val="008D3F30"/>
    <w:rsid w:val="008D4B43"/>
    <w:rsid w:val="008D68E4"/>
    <w:rsid w:val="008D6DA3"/>
    <w:rsid w:val="008D71AC"/>
    <w:rsid w:val="008D7E1B"/>
    <w:rsid w:val="008D7F61"/>
    <w:rsid w:val="008E0506"/>
    <w:rsid w:val="008E0CFF"/>
    <w:rsid w:val="008E0F42"/>
    <w:rsid w:val="008E1456"/>
    <w:rsid w:val="008E1492"/>
    <w:rsid w:val="008E42BE"/>
    <w:rsid w:val="008E5D6B"/>
    <w:rsid w:val="008E5DB7"/>
    <w:rsid w:val="008E76F0"/>
    <w:rsid w:val="008F0628"/>
    <w:rsid w:val="008F1084"/>
    <w:rsid w:val="008F15FE"/>
    <w:rsid w:val="008F1851"/>
    <w:rsid w:val="008F1FF5"/>
    <w:rsid w:val="008F24EB"/>
    <w:rsid w:val="008F2D29"/>
    <w:rsid w:val="008F4067"/>
    <w:rsid w:val="008F4DA2"/>
    <w:rsid w:val="008F5187"/>
    <w:rsid w:val="008F60D8"/>
    <w:rsid w:val="008F65C8"/>
    <w:rsid w:val="008F70A7"/>
    <w:rsid w:val="0090249D"/>
    <w:rsid w:val="00902727"/>
    <w:rsid w:val="00902A85"/>
    <w:rsid w:val="0090312B"/>
    <w:rsid w:val="00904CB8"/>
    <w:rsid w:val="00905AB5"/>
    <w:rsid w:val="00907765"/>
    <w:rsid w:val="00907975"/>
    <w:rsid w:val="00911FA4"/>
    <w:rsid w:val="00916551"/>
    <w:rsid w:val="0091689E"/>
    <w:rsid w:val="0091735A"/>
    <w:rsid w:val="0091736D"/>
    <w:rsid w:val="0092057D"/>
    <w:rsid w:val="009223D7"/>
    <w:rsid w:val="00923E3C"/>
    <w:rsid w:val="009253FB"/>
    <w:rsid w:val="009277EA"/>
    <w:rsid w:val="00930197"/>
    <w:rsid w:val="0093037A"/>
    <w:rsid w:val="00930447"/>
    <w:rsid w:val="00931740"/>
    <w:rsid w:val="0093216D"/>
    <w:rsid w:val="0093235F"/>
    <w:rsid w:val="00935003"/>
    <w:rsid w:val="009359AD"/>
    <w:rsid w:val="00935A5F"/>
    <w:rsid w:val="00937D7B"/>
    <w:rsid w:val="00941001"/>
    <w:rsid w:val="0094154D"/>
    <w:rsid w:val="009423C4"/>
    <w:rsid w:val="00943BAE"/>
    <w:rsid w:val="0094505B"/>
    <w:rsid w:val="00946A33"/>
    <w:rsid w:val="00946FD9"/>
    <w:rsid w:val="009471BE"/>
    <w:rsid w:val="009501E5"/>
    <w:rsid w:val="0095155F"/>
    <w:rsid w:val="00953BD3"/>
    <w:rsid w:val="0095437C"/>
    <w:rsid w:val="00954429"/>
    <w:rsid w:val="0095494F"/>
    <w:rsid w:val="00955BD5"/>
    <w:rsid w:val="009563CE"/>
    <w:rsid w:val="00961D98"/>
    <w:rsid w:val="00964CD6"/>
    <w:rsid w:val="009657EC"/>
    <w:rsid w:val="00966B07"/>
    <w:rsid w:val="009677CB"/>
    <w:rsid w:val="00970E27"/>
    <w:rsid w:val="00970E5F"/>
    <w:rsid w:val="009730D2"/>
    <w:rsid w:val="00974698"/>
    <w:rsid w:val="00974D2A"/>
    <w:rsid w:val="00974E26"/>
    <w:rsid w:val="00974E71"/>
    <w:rsid w:val="00974F0D"/>
    <w:rsid w:val="009762FF"/>
    <w:rsid w:val="00976328"/>
    <w:rsid w:val="0097680D"/>
    <w:rsid w:val="0097689D"/>
    <w:rsid w:val="00976E47"/>
    <w:rsid w:val="00977C4D"/>
    <w:rsid w:val="00982438"/>
    <w:rsid w:val="0098404C"/>
    <w:rsid w:val="00985283"/>
    <w:rsid w:val="00986127"/>
    <w:rsid w:val="009861B3"/>
    <w:rsid w:val="009862DB"/>
    <w:rsid w:val="00987338"/>
    <w:rsid w:val="00991198"/>
    <w:rsid w:val="00992D1E"/>
    <w:rsid w:val="0099530D"/>
    <w:rsid w:val="00995992"/>
    <w:rsid w:val="00997C8E"/>
    <w:rsid w:val="00997ECF"/>
    <w:rsid w:val="009A03E5"/>
    <w:rsid w:val="009A07AC"/>
    <w:rsid w:val="009A0F3B"/>
    <w:rsid w:val="009A185C"/>
    <w:rsid w:val="009A1BB4"/>
    <w:rsid w:val="009A2628"/>
    <w:rsid w:val="009A2E13"/>
    <w:rsid w:val="009A31DA"/>
    <w:rsid w:val="009A3200"/>
    <w:rsid w:val="009A3FBE"/>
    <w:rsid w:val="009A53FD"/>
    <w:rsid w:val="009A5523"/>
    <w:rsid w:val="009A6037"/>
    <w:rsid w:val="009A65DD"/>
    <w:rsid w:val="009A693F"/>
    <w:rsid w:val="009B0897"/>
    <w:rsid w:val="009B39C0"/>
    <w:rsid w:val="009B3DA4"/>
    <w:rsid w:val="009B787A"/>
    <w:rsid w:val="009B7BD9"/>
    <w:rsid w:val="009C0650"/>
    <w:rsid w:val="009C0F34"/>
    <w:rsid w:val="009C2C32"/>
    <w:rsid w:val="009C46B9"/>
    <w:rsid w:val="009C4DCA"/>
    <w:rsid w:val="009C5231"/>
    <w:rsid w:val="009C5491"/>
    <w:rsid w:val="009C6043"/>
    <w:rsid w:val="009C60F7"/>
    <w:rsid w:val="009C6B6B"/>
    <w:rsid w:val="009C7487"/>
    <w:rsid w:val="009C7DD5"/>
    <w:rsid w:val="009D289A"/>
    <w:rsid w:val="009D5BF9"/>
    <w:rsid w:val="009D65FB"/>
    <w:rsid w:val="009D6C82"/>
    <w:rsid w:val="009D7138"/>
    <w:rsid w:val="009D7688"/>
    <w:rsid w:val="009E227D"/>
    <w:rsid w:val="009E2AA9"/>
    <w:rsid w:val="009E34E1"/>
    <w:rsid w:val="009E5019"/>
    <w:rsid w:val="009E5122"/>
    <w:rsid w:val="009E5143"/>
    <w:rsid w:val="009E5178"/>
    <w:rsid w:val="009E55FE"/>
    <w:rsid w:val="009E5635"/>
    <w:rsid w:val="009F15D2"/>
    <w:rsid w:val="009F1BC6"/>
    <w:rsid w:val="009F2508"/>
    <w:rsid w:val="009F28B6"/>
    <w:rsid w:val="009F2981"/>
    <w:rsid w:val="009F2D39"/>
    <w:rsid w:val="009F30D0"/>
    <w:rsid w:val="009F353C"/>
    <w:rsid w:val="009F433E"/>
    <w:rsid w:val="009F4396"/>
    <w:rsid w:val="009F528D"/>
    <w:rsid w:val="009F5695"/>
    <w:rsid w:val="009F5A2F"/>
    <w:rsid w:val="00A00125"/>
    <w:rsid w:val="00A0092E"/>
    <w:rsid w:val="00A00AEB"/>
    <w:rsid w:val="00A0125E"/>
    <w:rsid w:val="00A01628"/>
    <w:rsid w:val="00A018E3"/>
    <w:rsid w:val="00A04993"/>
    <w:rsid w:val="00A04F1B"/>
    <w:rsid w:val="00A0501B"/>
    <w:rsid w:val="00A075D9"/>
    <w:rsid w:val="00A07738"/>
    <w:rsid w:val="00A11C72"/>
    <w:rsid w:val="00A1249D"/>
    <w:rsid w:val="00A14947"/>
    <w:rsid w:val="00A1546B"/>
    <w:rsid w:val="00A15F26"/>
    <w:rsid w:val="00A20905"/>
    <w:rsid w:val="00A2483A"/>
    <w:rsid w:val="00A25DF6"/>
    <w:rsid w:val="00A25F7A"/>
    <w:rsid w:val="00A31014"/>
    <w:rsid w:val="00A322BD"/>
    <w:rsid w:val="00A32959"/>
    <w:rsid w:val="00A32A83"/>
    <w:rsid w:val="00A34810"/>
    <w:rsid w:val="00A3495C"/>
    <w:rsid w:val="00A36731"/>
    <w:rsid w:val="00A368DB"/>
    <w:rsid w:val="00A40D40"/>
    <w:rsid w:val="00A40E44"/>
    <w:rsid w:val="00A416EB"/>
    <w:rsid w:val="00A41A6E"/>
    <w:rsid w:val="00A423AA"/>
    <w:rsid w:val="00A45822"/>
    <w:rsid w:val="00A459FA"/>
    <w:rsid w:val="00A46CAD"/>
    <w:rsid w:val="00A46E59"/>
    <w:rsid w:val="00A4782C"/>
    <w:rsid w:val="00A5261A"/>
    <w:rsid w:val="00A52AC3"/>
    <w:rsid w:val="00A538AF"/>
    <w:rsid w:val="00A53DB3"/>
    <w:rsid w:val="00A53EC6"/>
    <w:rsid w:val="00A5448A"/>
    <w:rsid w:val="00A547DC"/>
    <w:rsid w:val="00A54C1F"/>
    <w:rsid w:val="00A55B23"/>
    <w:rsid w:val="00A55C0F"/>
    <w:rsid w:val="00A62B8D"/>
    <w:rsid w:val="00A633F1"/>
    <w:rsid w:val="00A63DEA"/>
    <w:rsid w:val="00A63F72"/>
    <w:rsid w:val="00A643D7"/>
    <w:rsid w:val="00A6479C"/>
    <w:rsid w:val="00A6569C"/>
    <w:rsid w:val="00A663F1"/>
    <w:rsid w:val="00A670D5"/>
    <w:rsid w:val="00A6792A"/>
    <w:rsid w:val="00A70258"/>
    <w:rsid w:val="00A7324F"/>
    <w:rsid w:val="00A735B5"/>
    <w:rsid w:val="00A739D5"/>
    <w:rsid w:val="00A73B64"/>
    <w:rsid w:val="00A75AA9"/>
    <w:rsid w:val="00A76E33"/>
    <w:rsid w:val="00A76EE2"/>
    <w:rsid w:val="00A77BB0"/>
    <w:rsid w:val="00A77F79"/>
    <w:rsid w:val="00A80A26"/>
    <w:rsid w:val="00A81456"/>
    <w:rsid w:val="00A8183A"/>
    <w:rsid w:val="00A81D34"/>
    <w:rsid w:val="00A8376E"/>
    <w:rsid w:val="00A83938"/>
    <w:rsid w:val="00A83BD7"/>
    <w:rsid w:val="00A841E7"/>
    <w:rsid w:val="00A8454D"/>
    <w:rsid w:val="00A85893"/>
    <w:rsid w:val="00A8713F"/>
    <w:rsid w:val="00A87DE4"/>
    <w:rsid w:val="00A9048D"/>
    <w:rsid w:val="00A906DB"/>
    <w:rsid w:val="00A90BA1"/>
    <w:rsid w:val="00A91216"/>
    <w:rsid w:val="00A93516"/>
    <w:rsid w:val="00A93ECE"/>
    <w:rsid w:val="00A9531E"/>
    <w:rsid w:val="00A95866"/>
    <w:rsid w:val="00A95B6B"/>
    <w:rsid w:val="00A95E1D"/>
    <w:rsid w:val="00A97A9A"/>
    <w:rsid w:val="00AA02BB"/>
    <w:rsid w:val="00AA0671"/>
    <w:rsid w:val="00AA1BA4"/>
    <w:rsid w:val="00AA1FDB"/>
    <w:rsid w:val="00AA2531"/>
    <w:rsid w:val="00AA26F5"/>
    <w:rsid w:val="00AA27F3"/>
    <w:rsid w:val="00AA2DC7"/>
    <w:rsid w:val="00AA36E6"/>
    <w:rsid w:val="00AA4AB0"/>
    <w:rsid w:val="00AA5884"/>
    <w:rsid w:val="00AA5E0B"/>
    <w:rsid w:val="00AA70F9"/>
    <w:rsid w:val="00AB064E"/>
    <w:rsid w:val="00AB1E09"/>
    <w:rsid w:val="00AB5330"/>
    <w:rsid w:val="00AB5607"/>
    <w:rsid w:val="00AB589A"/>
    <w:rsid w:val="00AB6777"/>
    <w:rsid w:val="00AB747D"/>
    <w:rsid w:val="00AB7747"/>
    <w:rsid w:val="00AC02FC"/>
    <w:rsid w:val="00AC0DA9"/>
    <w:rsid w:val="00AC14CE"/>
    <w:rsid w:val="00AC2109"/>
    <w:rsid w:val="00AC2A56"/>
    <w:rsid w:val="00AC3EA0"/>
    <w:rsid w:val="00AC49C3"/>
    <w:rsid w:val="00AC57ED"/>
    <w:rsid w:val="00AC75B9"/>
    <w:rsid w:val="00AD055E"/>
    <w:rsid w:val="00AD1485"/>
    <w:rsid w:val="00AD1AA5"/>
    <w:rsid w:val="00AD2147"/>
    <w:rsid w:val="00AD27BE"/>
    <w:rsid w:val="00AD29B0"/>
    <w:rsid w:val="00AD2CBF"/>
    <w:rsid w:val="00AD47A7"/>
    <w:rsid w:val="00AD56BC"/>
    <w:rsid w:val="00AD7A54"/>
    <w:rsid w:val="00AE1DAE"/>
    <w:rsid w:val="00AE4587"/>
    <w:rsid w:val="00AE508A"/>
    <w:rsid w:val="00AE53B2"/>
    <w:rsid w:val="00AE5DE8"/>
    <w:rsid w:val="00AE65F2"/>
    <w:rsid w:val="00AF011D"/>
    <w:rsid w:val="00AF0C9E"/>
    <w:rsid w:val="00AF0CBF"/>
    <w:rsid w:val="00AF1409"/>
    <w:rsid w:val="00AF257F"/>
    <w:rsid w:val="00AF25CF"/>
    <w:rsid w:val="00AF33CF"/>
    <w:rsid w:val="00AF3461"/>
    <w:rsid w:val="00AF3B01"/>
    <w:rsid w:val="00AF4207"/>
    <w:rsid w:val="00AF4787"/>
    <w:rsid w:val="00AF4D50"/>
    <w:rsid w:val="00AF56C3"/>
    <w:rsid w:val="00AF6179"/>
    <w:rsid w:val="00AF6390"/>
    <w:rsid w:val="00B0640E"/>
    <w:rsid w:val="00B07074"/>
    <w:rsid w:val="00B07C46"/>
    <w:rsid w:val="00B07E34"/>
    <w:rsid w:val="00B1001F"/>
    <w:rsid w:val="00B10CA3"/>
    <w:rsid w:val="00B1294E"/>
    <w:rsid w:val="00B1295A"/>
    <w:rsid w:val="00B14BAF"/>
    <w:rsid w:val="00B17781"/>
    <w:rsid w:val="00B20A45"/>
    <w:rsid w:val="00B22488"/>
    <w:rsid w:val="00B224C0"/>
    <w:rsid w:val="00B22B8F"/>
    <w:rsid w:val="00B22C5C"/>
    <w:rsid w:val="00B23A98"/>
    <w:rsid w:val="00B24F30"/>
    <w:rsid w:val="00B2511D"/>
    <w:rsid w:val="00B258A0"/>
    <w:rsid w:val="00B25AE4"/>
    <w:rsid w:val="00B2607B"/>
    <w:rsid w:val="00B26481"/>
    <w:rsid w:val="00B264F9"/>
    <w:rsid w:val="00B26F9D"/>
    <w:rsid w:val="00B27472"/>
    <w:rsid w:val="00B306C6"/>
    <w:rsid w:val="00B31692"/>
    <w:rsid w:val="00B31ABF"/>
    <w:rsid w:val="00B32001"/>
    <w:rsid w:val="00B32226"/>
    <w:rsid w:val="00B33A75"/>
    <w:rsid w:val="00B33BE3"/>
    <w:rsid w:val="00B3577C"/>
    <w:rsid w:val="00B35EE2"/>
    <w:rsid w:val="00B3613D"/>
    <w:rsid w:val="00B37605"/>
    <w:rsid w:val="00B42DA2"/>
    <w:rsid w:val="00B43C38"/>
    <w:rsid w:val="00B442EB"/>
    <w:rsid w:val="00B44360"/>
    <w:rsid w:val="00B45C31"/>
    <w:rsid w:val="00B45C58"/>
    <w:rsid w:val="00B474C5"/>
    <w:rsid w:val="00B504AF"/>
    <w:rsid w:val="00B51066"/>
    <w:rsid w:val="00B532FA"/>
    <w:rsid w:val="00B535A7"/>
    <w:rsid w:val="00B53B5D"/>
    <w:rsid w:val="00B6055E"/>
    <w:rsid w:val="00B6180B"/>
    <w:rsid w:val="00B61DD3"/>
    <w:rsid w:val="00B62E65"/>
    <w:rsid w:val="00B63131"/>
    <w:rsid w:val="00B6317D"/>
    <w:rsid w:val="00B642BC"/>
    <w:rsid w:val="00B6475B"/>
    <w:rsid w:val="00B647D1"/>
    <w:rsid w:val="00B67645"/>
    <w:rsid w:val="00B67FBC"/>
    <w:rsid w:val="00B70304"/>
    <w:rsid w:val="00B74618"/>
    <w:rsid w:val="00B76BB9"/>
    <w:rsid w:val="00B76FCB"/>
    <w:rsid w:val="00B7723F"/>
    <w:rsid w:val="00B77AE4"/>
    <w:rsid w:val="00B77E09"/>
    <w:rsid w:val="00B80534"/>
    <w:rsid w:val="00B80EC6"/>
    <w:rsid w:val="00B81B2D"/>
    <w:rsid w:val="00B82F99"/>
    <w:rsid w:val="00B83063"/>
    <w:rsid w:val="00B830E3"/>
    <w:rsid w:val="00B83925"/>
    <w:rsid w:val="00B8433C"/>
    <w:rsid w:val="00B87491"/>
    <w:rsid w:val="00B87CB1"/>
    <w:rsid w:val="00B91B69"/>
    <w:rsid w:val="00B932D8"/>
    <w:rsid w:val="00B94332"/>
    <w:rsid w:val="00B955B7"/>
    <w:rsid w:val="00B9578A"/>
    <w:rsid w:val="00B96388"/>
    <w:rsid w:val="00BA03FF"/>
    <w:rsid w:val="00BA0479"/>
    <w:rsid w:val="00BA1A4A"/>
    <w:rsid w:val="00BA1D74"/>
    <w:rsid w:val="00BA29E9"/>
    <w:rsid w:val="00BA45E8"/>
    <w:rsid w:val="00BA4B14"/>
    <w:rsid w:val="00BA5C42"/>
    <w:rsid w:val="00BA6460"/>
    <w:rsid w:val="00BA6A85"/>
    <w:rsid w:val="00BA6D5F"/>
    <w:rsid w:val="00BA7142"/>
    <w:rsid w:val="00BB01E8"/>
    <w:rsid w:val="00BB021B"/>
    <w:rsid w:val="00BB0838"/>
    <w:rsid w:val="00BB1439"/>
    <w:rsid w:val="00BB237C"/>
    <w:rsid w:val="00BB264C"/>
    <w:rsid w:val="00BB321E"/>
    <w:rsid w:val="00BB3481"/>
    <w:rsid w:val="00BB3A98"/>
    <w:rsid w:val="00BB41A3"/>
    <w:rsid w:val="00BB6E9B"/>
    <w:rsid w:val="00BB6FDA"/>
    <w:rsid w:val="00BC2B06"/>
    <w:rsid w:val="00BC32DC"/>
    <w:rsid w:val="00BC35B6"/>
    <w:rsid w:val="00BC6E6F"/>
    <w:rsid w:val="00BC6F47"/>
    <w:rsid w:val="00BC797F"/>
    <w:rsid w:val="00BD0469"/>
    <w:rsid w:val="00BD07B2"/>
    <w:rsid w:val="00BD18BF"/>
    <w:rsid w:val="00BD1B51"/>
    <w:rsid w:val="00BD202F"/>
    <w:rsid w:val="00BD2E5A"/>
    <w:rsid w:val="00BD3B01"/>
    <w:rsid w:val="00BD4596"/>
    <w:rsid w:val="00BD5BFE"/>
    <w:rsid w:val="00BD640C"/>
    <w:rsid w:val="00BD659D"/>
    <w:rsid w:val="00BD6D86"/>
    <w:rsid w:val="00BE07DA"/>
    <w:rsid w:val="00BE0B29"/>
    <w:rsid w:val="00BE107F"/>
    <w:rsid w:val="00BE118A"/>
    <w:rsid w:val="00BE1405"/>
    <w:rsid w:val="00BE2149"/>
    <w:rsid w:val="00BE2598"/>
    <w:rsid w:val="00BE3066"/>
    <w:rsid w:val="00BE312D"/>
    <w:rsid w:val="00BE3641"/>
    <w:rsid w:val="00BE393C"/>
    <w:rsid w:val="00BE5257"/>
    <w:rsid w:val="00BE52BA"/>
    <w:rsid w:val="00BE54B7"/>
    <w:rsid w:val="00BE6AF3"/>
    <w:rsid w:val="00BE6B3E"/>
    <w:rsid w:val="00BE794B"/>
    <w:rsid w:val="00BF19C8"/>
    <w:rsid w:val="00BF1C20"/>
    <w:rsid w:val="00BF1F01"/>
    <w:rsid w:val="00BF2BAD"/>
    <w:rsid w:val="00BF3F98"/>
    <w:rsid w:val="00BF5671"/>
    <w:rsid w:val="00BF665F"/>
    <w:rsid w:val="00BF6A3E"/>
    <w:rsid w:val="00BF71FF"/>
    <w:rsid w:val="00C02456"/>
    <w:rsid w:val="00C055FD"/>
    <w:rsid w:val="00C07FAE"/>
    <w:rsid w:val="00C10578"/>
    <w:rsid w:val="00C11C6D"/>
    <w:rsid w:val="00C124CF"/>
    <w:rsid w:val="00C12B78"/>
    <w:rsid w:val="00C135BC"/>
    <w:rsid w:val="00C14DB4"/>
    <w:rsid w:val="00C1513B"/>
    <w:rsid w:val="00C151B8"/>
    <w:rsid w:val="00C15C95"/>
    <w:rsid w:val="00C202EB"/>
    <w:rsid w:val="00C20AB6"/>
    <w:rsid w:val="00C239DA"/>
    <w:rsid w:val="00C24F00"/>
    <w:rsid w:val="00C2596A"/>
    <w:rsid w:val="00C2673B"/>
    <w:rsid w:val="00C27327"/>
    <w:rsid w:val="00C27537"/>
    <w:rsid w:val="00C27DFF"/>
    <w:rsid w:val="00C314F9"/>
    <w:rsid w:val="00C32893"/>
    <w:rsid w:val="00C328FE"/>
    <w:rsid w:val="00C33507"/>
    <w:rsid w:val="00C335F2"/>
    <w:rsid w:val="00C3594A"/>
    <w:rsid w:val="00C35E98"/>
    <w:rsid w:val="00C41AD1"/>
    <w:rsid w:val="00C4409D"/>
    <w:rsid w:val="00C44E72"/>
    <w:rsid w:val="00C45A06"/>
    <w:rsid w:val="00C47E5B"/>
    <w:rsid w:val="00C5101E"/>
    <w:rsid w:val="00C515B9"/>
    <w:rsid w:val="00C518C3"/>
    <w:rsid w:val="00C53AC3"/>
    <w:rsid w:val="00C54109"/>
    <w:rsid w:val="00C5411A"/>
    <w:rsid w:val="00C54416"/>
    <w:rsid w:val="00C5455D"/>
    <w:rsid w:val="00C55505"/>
    <w:rsid w:val="00C555B6"/>
    <w:rsid w:val="00C558B1"/>
    <w:rsid w:val="00C57127"/>
    <w:rsid w:val="00C57D73"/>
    <w:rsid w:val="00C615CA"/>
    <w:rsid w:val="00C6166C"/>
    <w:rsid w:val="00C61E4B"/>
    <w:rsid w:val="00C63ACA"/>
    <w:rsid w:val="00C64442"/>
    <w:rsid w:val="00C64BFF"/>
    <w:rsid w:val="00C65F80"/>
    <w:rsid w:val="00C6645F"/>
    <w:rsid w:val="00C668F5"/>
    <w:rsid w:val="00C70112"/>
    <w:rsid w:val="00C704E9"/>
    <w:rsid w:val="00C71486"/>
    <w:rsid w:val="00C71544"/>
    <w:rsid w:val="00C72B56"/>
    <w:rsid w:val="00C736FC"/>
    <w:rsid w:val="00C739A2"/>
    <w:rsid w:val="00C763C9"/>
    <w:rsid w:val="00C76788"/>
    <w:rsid w:val="00C77024"/>
    <w:rsid w:val="00C77F8F"/>
    <w:rsid w:val="00C80057"/>
    <w:rsid w:val="00C810B7"/>
    <w:rsid w:val="00C8193F"/>
    <w:rsid w:val="00C82232"/>
    <w:rsid w:val="00C8232B"/>
    <w:rsid w:val="00C82913"/>
    <w:rsid w:val="00C84650"/>
    <w:rsid w:val="00C854FB"/>
    <w:rsid w:val="00C857B1"/>
    <w:rsid w:val="00C90AE5"/>
    <w:rsid w:val="00C9281F"/>
    <w:rsid w:val="00C92D9E"/>
    <w:rsid w:val="00C941AF"/>
    <w:rsid w:val="00C95C44"/>
    <w:rsid w:val="00C96D1A"/>
    <w:rsid w:val="00C972B1"/>
    <w:rsid w:val="00C97B76"/>
    <w:rsid w:val="00CA046F"/>
    <w:rsid w:val="00CA08C5"/>
    <w:rsid w:val="00CA170B"/>
    <w:rsid w:val="00CA2CCE"/>
    <w:rsid w:val="00CA2E2F"/>
    <w:rsid w:val="00CA2E48"/>
    <w:rsid w:val="00CA3F4E"/>
    <w:rsid w:val="00CA43FD"/>
    <w:rsid w:val="00CA465F"/>
    <w:rsid w:val="00CA57D5"/>
    <w:rsid w:val="00CA5A8D"/>
    <w:rsid w:val="00CA633D"/>
    <w:rsid w:val="00CA7EF8"/>
    <w:rsid w:val="00CB1131"/>
    <w:rsid w:val="00CB1933"/>
    <w:rsid w:val="00CB1E69"/>
    <w:rsid w:val="00CB2FDE"/>
    <w:rsid w:val="00CB32C9"/>
    <w:rsid w:val="00CB3F1D"/>
    <w:rsid w:val="00CB4BBC"/>
    <w:rsid w:val="00CB546A"/>
    <w:rsid w:val="00CB5510"/>
    <w:rsid w:val="00CB564D"/>
    <w:rsid w:val="00CB66CE"/>
    <w:rsid w:val="00CB7629"/>
    <w:rsid w:val="00CB7E2D"/>
    <w:rsid w:val="00CC19E6"/>
    <w:rsid w:val="00CC32A7"/>
    <w:rsid w:val="00CC3970"/>
    <w:rsid w:val="00CC46B6"/>
    <w:rsid w:val="00CC489B"/>
    <w:rsid w:val="00CC4C3A"/>
    <w:rsid w:val="00CC5FE5"/>
    <w:rsid w:val="00CC74B0"/>
    <w:rsid w:val="00CD1C6E"/>
    <w:rsid w:val="00CD1D63"/>
    <w:rsid w:val="00CD2BCD"/>
    <w:rsid w:val="00CD2D00"/>
    <w:rsid w:val="00CD2DB7"/>
    <w:rsid w:val="00CD3A4C"/>
    <w:rsid w:val="00CD410E"/>
    <w:rsid w:val="00CD4241"/>
    <w:rsid w:val="00CD607A"/>
    <w:rsid w:val="00CD6094"/>
    <w:rsid w:val="00CD6426"/>
    <w:rsid w:val="00CD67DB"/>
    <w:rsid w:val="00CD6857"/>
    <w:rsid w:val="00CD6E4E"/>
    <w:rsid w:val="00CD7071"/>
    <w:rsid w:val="00CD792A"/>
    <w:rsid w:val="00CE0330"/>
    <w:rsid w:val="00CE10E9"/>
    <w:rsid w:val="00CE2211"/>
    <w:rsid w:val="00CE2910"/>
    <w:rsid w:val="00CE5393"/>
    <w:rsid w:val="00CE58F8"/>
    <w:rsid w:val="00CE7B72"/>
    <w:rsid w:val="00CF0F6E"/>
    <w:rsid w:val="00CF1B01"/>
    <w:rsid w:val="00CF21B4"/>
    <w:rsid w:val="00CF36BE"/>
    <w:rsid w:val="00CF4E61"/>
    <w:rsid w:val="00CF4FE7"/>
    <w:rsid w:val="00CF6000"/>
    <w:rsid w:val="00CF74CD"/>
    <w:rsid w:val="00CF7501"/>
    <w:rsid w:val="00CF77E0"/>
    <w:rsid w:val="00CF7E9D"/>
    <w:rsid w:val="00D003F3"/>
    <w:rsid w:val="00D004BA"/>
    <w:rsid w:val="00D00D2A"/>
    <w:rsid w:val="00D034C6"/>
    <w:rsid w:val="00D0364F"/>
    <w:rsid w:val="00D06834"/>
    <w:rsid w:val="00D06F1F"/>
    <w:rsid w:val="00D1088B"/>
    <w:rsid w:val="00D123B7"/>
    <w:rsid w:val="00D1406D"/>
    <w:rsid w:val="00D14E0D"/>
    <w:rsid w:val="00D16650"/>
    <w:rsid w:val="00D16DF1"/>
    <w:rsid w:val="00D1761D"/>
    <w:rsid w:val="00D17D14"/>
    <w:rsid w:val="00D205AF"/>
    <w:rsid w:val="00D2074B"/>
    <w:rsid w:val="00D20ABE"/>
    <w:rsid w:val="00D2150A"/>
    <w:rsid w:val="00D22152"/>
    <w:rsid w:val="00D22EF1"/>
    <w:rsid w:val="00D23341"/>
    <w:rsid w:val="00D2404F"/>
    <w:rsid w:val="00D27E64"/>
    <w:rsid w:val="00D3022E"/>
    <w:rsid w:val="00D30862"/>
    <w:rsid w:val="00D308ED"/>
    <w:rsid w:val="00D30D08"/>
    <w:rsid w:val="00D32E58"/>
    <w:rsid w:val="00D3463F"/>
    <w:rsid w:val="00D3515B"/>
    <w:rsid w:val="00D35694"/>
    <w:rsid w:val="00D36D86"/>
    <w:rsid w:val="00D3725E"/>
    <w:rsid w:val="00D4015C"/>
    <w:rsid w:val="00D40AAB"/>
    <w:rsid w:val="00D4179C"/>
    <w:rsid w:val="00D41B44"/>
    <w:rsid w:val="00D428AA"/>
    <w:rsid w:val="00D42A79"/>
    <w:rsid w:val="00D435E2"/>
    <w:rsid w:val="00D43B44"/>
    <w:rsid w:val="00D45B14"/>
    <w:rsid w:val="00D45C83"/>
    <w:rsid w:val="00D45FBE"/>
    <w:rsid w:val="00D45FD2"/>
    <w:rsid w:val="00D46D9B"/>
    <w:rsid w:val="00D47830"/>
    <w:rsid w:val="00D47B4B"/>
    <w:rsid w:val="00D502FB"/>
    <w:rsid w:val="00D50317"/>
    <w:rsid w:val="00D50A34"/>
    <w:rsid w:val="00D50AF6"/>
    <w:rsid w:val="00D51635"/>
    <w:rsid w:val="00D53084"/>
    <w:rsid w:val="00D531A0"/>
    <w:rsid w:val="00D535D8"/>
    <w:rsid w:val="00D53602"/>
    <w:rsid w:val="00D53EFA"/>
    <w:rsid w:val="00D54CD5"/>
    <w:rsid w:val="00D5537F"/>
    <w:rsid w:val="00D55704"/>
    <w:rsid w:val="00D56694"/>
    <w:rsid w:val="00D5672F"/>
    <w:rsid w:val="00D57E92"/>
    <w:rsid w:val="00D607CF"/>
    <w:rsid w:val="00D608B8"/>
    <w:rsid w:val="00D61F17"/>
    <w:rsid w:val="00D636DA"/>
    <w:rsid w:val="00D641EC"/>
    <w:rsid w:val="00D644F6"/>
    <w:rsid w:val="00D66FA3"/>
    <w:rsid w:val="00D675D7"/>
    <w:rsid w:val="00D7074A"/>
    <w:rsid w:val="00D709D3"/>
    <w:rsid w:val="00D732C4"/>
    <w:rsid w:val="00D73895"/>
    <w:rsid w:val="00D74CCA"/>
    <w:rsid w:val="00D75417"/>
    <w:rsid w:val="00D81D0B"/>
    <w:rsid w:val="00D81D8D"/>
    <w:rsid w:val="00D84B9D"/>
    <w:rsid w:val="00D865F5"/>
    <w:rsid w:val="00D9055F"/>
    <w:rsid w:val="00D91635"/>
    <w:rsid w:val="00D93C7D"/>
    <w:rsid w:val="00D93D20"/>
    <w:rsid w:val="00D94A7C"/>
    <w:rsid w:val="00D95896"/>
    <w:rsid w:val="00D95E4B"/>
    <w:rsid w:val="00D9675F"/>
    <w:rsid w:val="00DA016E"/>
    <w:rsid w:val="00DA03E9"/>
    <w:rsid w:val="00DA1384"/>
    <w:rsid w:val="00DA516A"/>
    <w:rsid w:val="00DA6A8E"/>
    <w:rsid w:val="00DA6D6E"/>
    <w:rsid w:val="00DB2983"/>
    <w:rsid w:val="00DB2ABB"/>
    <w:rsid w:val="00DB31F2"/>
    <w:rsid w:val="00DB3B80"/>
    <w:rsid w:val="00DB4AF6"/>
    <w:rsid w:val="00DB528E"/>
    <w:rsid w:val="00DB5F8A"/>
    <w:rsid w:val="00DB6CF7"/>
    <w:rsid w:val="00DB6D0C"/>
    <w:rsid w:val="00DB7629"/>
    <w:rsid w:val="00DC11C4"/>
    <w:rsid w:val="00DC1257"/>
    <w:rsid w:val="00DC1FE2"/>
    <w:rsid w:val="00DC3299"/>
    <w:rsid w:val="00DC3DC0"/>
    <w:rsid w:val="00DC4DA7"/>
    <w:rsid w:val="00DC4E01"/>
    <w:rsid w:val="00DC5650"/>
    <w:rsid w:val="00DC5B2B"/>
    <w:rsid w:val="00DC69A3"/>
    <w:rsid w:val="00DC7332"/>
    <w:rsid w:val="00DD0DD6"/>
    <w:rsid w:val="00DD1845"/>
    <w:rsid w:val="00DD1FB3"/>
    <w:rsid w:val="00DD2148"/>
    <w:rsid w:val="00DD228E"/>
    <w:rsid w:val="00DD318D"/>
    <w:rsid w:val="00DD3624"/>
    <w:rsid w:val="00DD3770"/>
    <w:rsid w:val="00DD5808"/>
    <w:rsid w:val="00DD5C6C"/>
    <w:rsid w:val="00DD60B8"/>
    <w:rsid w:val="00DE1D93"/>
    <w:rsid w:val="00DE321C"/>
    <w:rsid w:val="00DE430C"/>
    <w:rsid w:val="00DE5256"/>
    <w:rsid w:val="00DE5387"/>
    <w:rsid w:val="00DF2E12"/>
    <w:rsid w:val="00DF4810"/>
    <w:rsid w:val="00DF514A"/>
    <w:rsid w:val="00DF6690"/>
    <w:rsid w:val="00DF6804"/>
    <w:rsid w:val="00DF7C0C"/>
    <w:rsid w:val="00E003DE"/>
    <w:rsid w:val="00E008B1"/>
    <w:rsid w:val="00E01743"/>
    <w:rsid w:val="00E01D03"/>
    <w:rsid w:val="00E02F2E"/>
    <w:rsid w:val="00E03035"/>
    <w:rsid w:val="00E03177"/>
    <w:rsid w:val="00E0358D"/>
    <w:rsid w:val="00E03711"/>
    <w:rsid w:val="00E04323"/>
    <w:rsid w:val="00E04AA5"/>
    <w:rsid w:val="00E05130"/>
    <w:rsid w:val="00E070A2"/>
    <w:rsid w:val="00E0792C"/>
    <w:rsid w:val="00E1026A"/>
    <w:rsid w:val="00E1035A"/>
    <w:rsid w:val="00E10A72"/>
    <w:rsid w:val="00E12A13"/>
    <w:rsid w:val="00E13CA4"/>
    <w:rsid w:val="00E13E9D"/>
    <w:rsid w:val="00E161B3"/>
    <w:rsid w:val="00E20BA2"/>
    <w:rsid w:val="00E21780"/>
    <w:rsid w:val="00E21889"/>
    <w:rsid w:val="00E21AAB"/>
    <w:rsid w:val="00E229E5"/>
    <w:rsid w:val="00E239A4"/>
    <w:rsid w:val="00E24BFB"/>
    <w:rsid w:val="00E262E7"/>
    <w:rsid w:val="00E2656A"/>
    <w:rsid w:val="00E30644"/>
    <w:rsid w:val="00E3229A"/>
    <w:rsid w:val="00E328A2"/>
    <w:rsid w:val="00E333AF"/>
    <w:rsid w:val="00E35160"/>
    <w:rsid w:val="00E35852"/>
    <w:rsid w:val="00E35FA9"/>
    <w:rsid w:val="00E37CAF"/>
    <w:rsid w:val="00E405BF"/>
    <w:rsid w:val="00E41126"/>
    <w:rsid w:val="00E412D0"/>
    <w:rsid w:val="00E4439F"/>
    <w:rsid w:val="00E44634"/>
    <w:rsid w:val="00E448DF"/>
    <w:rsid w:val="00E47C5E"/>
    <w:rsid w:val="00E50058"/>
    <w:rsid w:val="00E50438"/>
    <w:rsid w:val="00E51F7D"/>
    <w:rsid w:val="00E53A99"/>
    <w:rsid w:val="00E551C0"/>
    <w:rsid w:val="00E56322"/>
    <w:rsid w:val="00E564F9"/>
    <w:rsid w:val="00E57D29"/>
    <w:rsid w:val="00E57D9F"/>
    <w:rsid w:val="00E60982"/>
    <w:rsid w:val="00E61F41"/>
    <w:rsid w:val="00E624E5"/>
    <w:rsid w:val="00E62C62"/>
    <w:rsid w:val="00E64090"/>
    <w:rsid w:val="00E654C1"/>
    <w:rsid w:val="00E65CE8"/>
    <w:rsid w:val="00E65D97"/>
    <w:rsid w:val="00E65DCA"/>
    <w:rsid w:val="00E662E6"/>
    <w:rsid w:val="00E6759A"/>
    <w:rsid w:val="00E7102C"/>
    <w:rsid w:val="00E72215"/>
    <w:rsid w:val="00E7251D"/>
    <w:rsid w:val="00E72A5A"/>
    <w:rsid w:val="00E72AD6"/>
    <w:rsid w:val="00E73312"/>
    <w:rsid w:val="00E7333C"/>
    <w:rsid w:val="00E73354"/>
    <w:rsid w:val="00E74A61"/>
    <w:rsid w:val="00E77EC4"/>
    <w:rsid w:val="00E81955"/>
    <w:rsid w:val="00E836B6"/>
    <w:rsid w:val="00E853C4"/>
    <w:rsid w:val="00E85A1E"/>
    <w:rsid w:val="00E85F1C"/>
    <w:rsid w:val="00E90B3A"/>
    <w:rsid w:val="00E9242D"/>
    <w:rsid w:val="00E92466"/>
    <w:rsid w:val="00E92A59"/>
    <w:rsid w:val="00E943BB"/>
    <w:rsid w:val="00E96444"/>
    <w:rsid w:val="00E9692E"/>
    <w:rsid w:val="00EA0CD9"/>
    <w:rsid w:val="00EA1E9E"/>
    <w:rsid w:val="00EA2869"/>
    <w:rsid w:val="00EA28AB"/>
    <w:rsid w:val="00EA2ADA"/>
    <w:rsid w:val="00EA35F0"/>
    <w:rsid w:val="00EA5AD3"/>
    <w:rsid w:val="00EA6E78"/>
    <w:rsid w:val="00EB1294"/>
    <w:rsid w:val="00EB25E6"/>
    <w:rsid w:val="00EB5255"/>
    <w:rsid w:val="00EB5C47"/>
    <w:rsid w:val="00EB69FA"/>
    <w:rsid w:val="00EB7AB9"/>
    <w:rsid w:val="00EC1CD1"/>
    <w:rsid w:val="00EC290A"/>
    <w:rsid w:val="00EC2C7B"/>
    <w:rsid w:val="00EC6863"/>
    <w:rsid w:val="00ED0639"/>
    <w:rsid w:val="00ED2553"/>
    <w:rsid w:val="00ED5B47"/>
    <w:rsid w:val="00ED5EDE"/>
    <w:rsid w:val="00ED60E0"/>
    <w:rsid w:val="00ED64F5"/>
    <w:rsid w:val="00ED771A"/>
    <w:rsid w:val="00ED7A20"/>
    <w:rsid w:val="00ED7F8A"/>
    <w:rsid w:val="00EE10F6"/>
    <w:rsid w:val="00EE2661"/>
    <w:rsid w:val="00EE360F"/>
    <w:rsid w:val="00EE4EC8"/>
    <w:rsid w:val="00EE765A"/>
    <w:rsid w:val="00EF27F6"/>
    <w:rsid w:val="00EF3945"/>
    <w:rsid w:val="00EF407E"/>
    <w:rsid w:val="00EF4755"/>
    <w:rsid w:val="00EF7135"/>
    <w:rsid w:val="00F00AD6"/>
    <w:rsid w:val="00F013A3"/>
    <w:rsid w:val="00F027DB"/>
    <w:rsid w:val="00F0399A"/>
    <w:rsid w:val="00F03EEB"/>
    <w:rsid w:val="00F040C4"/>
    <w:rsid w:val="00F041B9"/>
    <w:rsid w:val="00F045B3"/>
    <w:rsid w:val="00F05407"/>
    <w:rsid w:val="00F05A5D"/>
    <w:rsid w:val="00F06AE9"/>
    <w:rsid w:val="00F06B9F"/>
    <w:rsid w:val="00F07274"/>
    <w:rsid w:val="00F1186C"/>
    <w:rsid w:val="00F11875"/>
    <w:rsid w:val="00F11D5D"/>
    <w:rsid w:val="00F1292A"/>
    <w:rsid w:val="00F14A7A"/>
    <w:rsid w:val="00F16FFF"/>
    <w:rsid w:val="00F17058"/>
    <w:rsid w:val="00F21F88"/>
    <w:rsid w:val="00F22985"/>
    <w:rsid w:val="00F22AAA"/>
    <w:rsid w:val="00F23D68"/>
    <w:rsid w:val="00F2566C"/>
    <w:rsid w:val="00F2652D"/>
    <w:rsid w:val="00F32C0C"/>
    <w:rsid w:val="00F3383E"/>
    <w:rsid w:val="00F35139"/>
    <w:rsid w:val="00F3636F"/>
    <w:rsid w:val="00F40386"/>
    <w:rsid w:val="00F407B8"/>
    <w:rsid w:val="00F411F7"/>
    <w:rsid w:val="00F42540"/>
    <w:rsid w:val="00F431A3"/>
    <w:rsid w:val="00F43281"/>
    <w:rsid w:val="00F4360D"/>
    <w:rsid w:val="00F442F2"/>
    <w:rsid w:val="00F44B85"/>
    <w:rsid w:val="00F465A7"/>
    <w:rsid w:val="00F50B7C"/>
    <w:rsid w:val="00F513EC"/>
    <w:rsid w:val="00F51469"/>
    <w:rsid w:val="00F5149B"/>
    <w:rsid w:val="00F54B67"/>
    <w:rsid w:val="00F550E6"/>
    <w:rsid w:val="00F5671F"/>
    <w:rsid w:val="00F574B0"/>
    <w:rsid w:val="00F5760A"/>
    <w:rsid w:val="00F57D3C"/>
    <w:rsid w:val="00F602C3"/>
    <w:rsid w:val="00F618C4"/>
    <w:rsid w:val="00F625C2"/>
    <w:rsid w:val="00F62CEF"/>
    <w:rsid w:val="00F644C3"/>
    <w:rsid w:val="00F648B0"/>
    <w:rsid w:val="00F653A9"/>
    <w:rsid w:val="00F65500"/>
    <w:rsid w:val="00F66F97"/>
    <w:rsid w:val="00F671BC"/>
    <w:rsid w:val="00F67307"/>
    <w:rsid w:val="00F67B91"/>
    <w:rsid w:val="00F67F44"/>
    <w:rsid w:val="00F71355"/>
    <w:rsid w:val="00F71C58"/>
    <w:rsid w:val="00F7257D"/>
    <w:rsid w:val="00F73FAD"/>
    <w:rsid w:val="00F74345"/>
    <w:rsid w:val="00F747E3"/>
    <w:rsid w:val="00F74ECB"/>
    <w:rsid w:val="00F77A75"/>
    <w:rsid w:val="00F77E67"/>
    <w:rsid w:val="00F77F4E"/>
    <w:rsid w:val="00F809A0"/>
    <w:rsid w:val="00F80A0A"/>
    <w:rsid w:val="00F810B4"/>
    <w:rsid w:val="00F8156B"/>
    <w:rsid w:val="00F81B2F"/>
    <w:rsid w:val="00F81CB0"/>
    <w:rsid w:val="00F82B19"/>
    <w:rsid w:val="00F83D6D"/>
    <w:rsid w:val="00F85B8F"/>
    <w:rsid w:val="00F908E3"/>
    <w:rsid w:val="00F912D5"/>
    <w:rsid w:val="00F915F2"/>
    <w:rsid w:val="00F91982"/>
    <w:rsid w:val="00F91A8A"/>
    <w:rsid w:val="00F9212D"/>
    <w:rsid w:val="00F93343"/>
    <w:rsid w:val="00F94A8A"/>
    <w:rsid w:val="00F94AB9"/>
    <w:rsid w:val="00F96425"/>
    <w:rsid w:val="00F965DA"/>
    <w:rsid w:val="00F9747C"/>
    <w:rsid w:val="00F97BC8"/>
    <w:rsid w:val="00FA1351"/>
    <w:rsid w:val="00FA406A"/>
    <w:rsid w:val="00FA57A7"/>
    <w:rsid w:val="00FA5F37"/>
    <w:rsid w:val="00FB04C7"/>
    <w:rsid w:val="00FB072F"/>
    <w:rsid w:val="00FB0A82"/>
    <w:rsid w:val="00FB322B"/>
    <w:rsid w:val="00FB503A"/>
    <w:rsid w:val="00FB516C"/>
    <w:rsid w:val="00FB605E"/>
    <w:rsid w:val="00FB7335"/>
    <w:rsid w:val="00FC056C"/>
    <w:rsid w:val="00FC07DF"/>
    <w:rsid w:val="00FC07F4"/>
    <w:rsid w:val="00FC0FDC"/>
    <w:rsid w:val="00FC220E"/>
    <w:rsid w:val="00FC3901"/>
    <w:rsid w:val="00FC3D01"/>
    <w:rsid w:val="00FC45B7"/>
    <w:rsid w:val="00FC782A"/>
    <w:rsid w:val="00FD0236"/>
    <w:rsid w:val="00FD18F4"/>
    <w:rsid w:val="00FD2296"/>
    <w:rsid w:val="00FD2BA2"/>
    <w:rsid w:val="00FD42EC"/>
    <w:rsid w:val="00FD4613"/>
    <w:rsid w:val="00FD54DB"/>
    <w:rsid w:val="00FD5F41"/>
    <w:rsid w:val="00FD619F"/>
    <w:rsid w:val="00FD732F"/>
    <w:rsid w:val="00FD7FE7"/>
    <w:rsid w:val="00FE0172"/>
    <w:rsid w:val="00FE5427"/>
    <w:rsid w:val="00FE559C"/>
    <w:rsid w:val="00FE5913"/>
    <w:rsid w:val="00FE6B06"/>
    <w:rsid w:val="00FE6C1E"/>
    <w:rsid w:val="00FE7D2F"/>
    <w:rsid w:val="00FE7E6F"/>
    <w:rsid w:val="00FF1DD0"/>
    <w:rsid w:val="00FF203A"/>
    <w:rsid w:val="00FF2CDC"/>
    <w:rsid w:val="00FF588C"/>
    <w:rsid w:val="00FF7C6B"/>
    <w:rsid w:val="010139D4"/>
    <w:rsid w:val="01026C47"/>
    <w:rsid w:val="011A2EAD"/>
    <w:rsid w:val="01290F7E"/>
    <w:rsid w:val="01442A4B"/>
    <w:rsid w:val="014D1D6F"/>
    <w:rsid w:val="015D1E09"/>
    <w:rsid w:val="016C0FA1"/>
    <w:rsid w:val="01A148A3"/>
    <w:rsid w:val="01A93FA3"/>
    <w:rsid w:val="01EE19B6"/>
    <w:rsid w:val="01EE1FD8"/>
    <w:rsid w:val="02162753"/>
    <w:rsid w:val="02517075"/>
    <w:rsid w:val="02641C78"/>
    <w:rsid w:val="02697903"/>
    <w:rsid w:val="02755FB4"/>
    <w:rsid w:val="0279342F"/>
    <w:rsid w:val="02830E67"/>
    <w:rsid w:val="028E252F"/>
    <w:rsid w:val="02C95F7F"/>
    <w:rsid w:val="02D2752A"/>
    <w:rsid w:val="02DB1BAD"/>
    <w:rsid w:val="02F96569"/>
    <w:rsid w:val="032F2286"/>
    <w:rsid w:val="03920A67"/>
    <w:rsid w:val="03E80687"/>
    <w:rsid w:val="03EA7B21"/>
    <w:rsid w:val="041B085C"/>
    <w:rsid w:val="04294F27"/>
    <w:rsid w:val="043923C6"/>
    <w:rsid w:val="044E3D23"/>
    <w:rsid w:val="0463219F"/>
    <w:rsid w:val="04AB3B8E"/>
    <w:rsid w:val="04C36E35"/>
    <w:rsid w:val="05341E77"/>
    <w:rsid w:val="05F83EAE"/>
    <w:rsid w:val="05F97BF8"/>
    <w:rsid w:val="060D2627"/>
    <w:rsid w:val="06345D9D"/>
    <w:rsid w:val="063E7D85"/>
    <w:rsid w:val="065344DE"/>
    <w:rsid w:val="06770305"/>
    <w:rsid w:val="067E3F8E"/>
    <w:rsid w:val="069E3637"/>
    <w:rsid w:val="06E1277B"/>
    <w:rsid w:val="06E23AB3"/>
    <w:rsid w:val="06EB02BB"/>
    <w:rsid w:val="06F634C4"/>
    <w:rsid w:val="07293586"/>
    <w:rsid w:val="07295285"/>
    <w:rsid w:val="07397B77"/>
    <w:rsid w:val="07636392"/>
    <w:rsid w:val="07770C56"/>
    <w:rsid w:val="07B3536D"/>
    <w:rsid w:val="07D43E28"/>
    <w:rsid w:val="082E2BFC"/>
    <w:rsid w:val="086C1887"/>
    <w:rsid w:val="08777DF5"/>
    <w:rsid w:val="092217DD"/>
    <w:rsid w:val="093A7294"/>
    <w:rsid w:val="095C5D9F"/>
    <w:rsid w:val="097525CD"/>
    <w:rsid w:val="098F1CD1"/>
    <w:rsid w:val="099948FD"/>
    <w:rsid w:val="09BB6C82"/>
    <w:rsid w:val="09C53334"/>
    <w:rsid w:val="09D1170E"/>
    <w:rsid w:val="0A263993"/>
    <w:rsid w:val="0A27015B"/>
    <w:rsid w:val="0A2A19F9"/>
    <w:rsid w:val="0A2D3AC2"/>
    <w:rsid w:val="0A426D43"/>
    <w:rsid w:val="0A642F0E"/>
    <w:rsid w:val="0A6A0048"/>
    <w:rsid w:val="0A785228"/>
    <w:rsid w:val="0A900037"/>
    <w:rsid w:val="0A9344AC"/>
    <w:rsid w:val="0AA755DF"/>
    <w:rsid w:val="0AE24082"/>
    <w:rsid w:val="0AFF69E2"/>
    <w:rsid w:val="0B120D44"/>
    <w:rsid w:val="0B352404"/>
    <w:rsid w:val="0B3C7C36"/>
    <w:rsid w:val="0B4A6210"/>
    <w:rsid w:val="0B4E7969"/>
    <w:rsid w:val="0B573BE3"/>
    <w:rsid w:val="0B6D5629"/>
    <w:rsid w:val="0B73416C"/>
    <w:rsid w:val="0B8F2DF8"/>
    <w:rsid w:val="0B9510F4"/>
    <w:rsid w:val="0BA42369"/>
    <w:rsid w:val="0BD27BF6"/>
    <w:rsid w:val="0BDE0CED"/>
    <w:rsid w:val="0BE502CE"/>
    <w:rsid w:val="0C095297"/>
    <w:rsid w:val="0C0A0DAE"/>
    <w:rsid w:val="0C0F70F9"/>
    <w:rsid w:val="0C3B3C7D"/>
    <w:rsid w:val="0C452B1A"/>
    <w:rsid w:val="0CAB2EAE"/>
    <w:rsid w:val="0CB10769"/>
    <w:rsid w:val="0CE00A95"/>
    <w:rsid w:val="0CE70445"/>
    <w:rsid w:val="0D5E31AF"/>
    <w:rsid w:val="0D621C7D"/>
    <w:rsid w:val="0D797375"/>
    <w:rsid w:val="0D7F15B5"/>
    <w:rsid w:val="0DE9363F"/>
    <w:rsid w:val="0E0367E9"/>
    <w:rsid w:val="0E73034D"/>
    <w:rsid w:val="0E7F7D0A"/>
    <w:rsid w:val="0EDE2C5A"/>
    <w:rsid w:val="0F13775A"/>
    <w:rsid w:val="0F156190"/>
    <w:rsid w:val="0F47237F"/>
    <w:rsid w:val="0F5F45FE"/>
    <w:rsid w:val="0F955B67"/>
    <w:rsid w:val="0F985657"/>
    <w:rsid w:val="0F9A112B"/>
    <w:rsid w:val="0FB75ADD"/>
    <w:rsid w:val="0FF3154F"/>
    <w:rsid w:val="1043163A"/>
    <w:rsid w:val="106D2F64"/>
    <w:rsid w:val="109E7AB4"/>
    <w:rsid w:val="10A976B6"/>
    <w:rsid w:val="10B63710"/>
    <w:rsid w:val="10F10820"/>
    <w:rsid w:val="111C2F7A"/>
    <w:rsid w:val="112D2A41"/>
    <w:rsid w:val="11665CA1"/>
    <w:rsid w:val="11B83D8F"/>
    <w:rsid w:val="11FA7F03"/>
    <w:rsid w:val="120377BA"/>
    <w:rsid w:val="1212647D"/>
    <w:rsid w:val="121F29F9"/>
    <w:rsid w:val="126B3EEF"/>
    <w:rsid w:val="12C346E9"/>
    <w:rsid w:val="12D61C2D"/>
    <w:rsid w:val="13410A7A"/>
    <w:rsid w:val="1360023A"/>
    <w:rsid w:val="13951726"/>
    <w:rsid w:val="13951926"/>
    <w:rsid w:val="13BC6EF1"/>
    <w:rsid w:val="13CB35A6"/>
    <w:rsid w:val="13EC6DE0"/>
    <w:rsid w:val="13F21D43"/>
    <w:rsid w:val="14165ED2"/>
    <w:rsid w:val="141D28F9"/>
    <w:rsid w:val="14380591"/>
    <w:rsid w:val="14396509"/>
    <w:rsid w:val="146228E4"/>
    <w:rsid w:val="14627FE2"/>
    <w:rsid w:val="147F6790"/>
    <w:rsid w:val="14B00D4D"/>
    <w:rsid w:val="14D07641"/>
    <w:rsid w:val="14DD2C3C"/>
    <w:rsid w:val="15007F26"/>
    <w:rsid w:val="150C68CB"/>
    <w:rsid w:val="151E178A"/>
    <w:rsid w:val="15457E23"/>
    <w:rsid w:val="154D7DE9"/>
    <w:rsid w:val="15916DD0"/>
    <w:rsid w:val="15CB481E"/>
    <w:rsid w:val="15CE3B81"/>
    <w:rsid w:val="15D44EAD"/>
    <w:rsid w:val="16087E1D"/>
    <w:rsid w:val="161812A0"/>
    <w:rsid w:val="167E2E2B"/>
    <w:rsid w:val="169B14F7"/>
    <w:rsid w:val="169F349E"/>
    <w:rsid w:val="17097C7A"/>
    <w:rsid w:val="17562080"/>
    <w:rsid w:val="17701D14"/>
    <w:rsid w:val="17735226"/>
    <w:rsid w:val="1780534F"/>
    <w:rsid w:val="178A7D53"/>
    <w:rsid w:val="17A728DB"/>
    <w:rsid w:val="17AE3C6A"/>
    <w:rsid w:val="17B1375A"/>
    <w:rsid w:val="17B831D6"/>
    <w:rsid w:val="17FC5493"/>
    <w:rsid w:val="18092605"/>
    <w:rsid w:val="181263BC"/>
    <w:rsid w:val="1817337A"/>
    <w:rsid w:val="18383533"/>
    <w:rsid w:val="18697B91"/>
    <w:rsid w:val="189440AA"/>
    <w:rsid w:val="189F624C"/>
    <w:rsid w:val="18C46068"/>
    <w:rsid w:val="18D831F2"/>
    <w:rsid w:val="19145D4E"/>
    <w:rsid w:val="19560BE4"/>
    <w:rsid w:val="1962298B"/>
    <w:rsid w:val="196F7429"/>
    <w:rsid w:val="199D2CB3"/>
    <w:rsid w:val="19B968F6"/>
    <w:rsid w:val="1A0C3484"/>
    <w:rsid w:val="1A1C66C0"/>
    <w:rsid w:val="1A366CF1"/>
    <w:rsid w:val="1A387C3C"/>
    <w:rsid w:val="1A42393B"/>
    <w:rsid w:val="1A444411"/>
    <w:rsid w:val="1A533392"/>
    <w:rsid w:val="1A7371BA"/>
    <w:rsid w:val="1A7A6085"/>
    <w:rsid w:val="1A841FEE"/>
    <w:rsid w:val="1A9C791D"/>
    <w:rsid w:val="1AAD45DE"/>
    <w:rsid w:val="1ACD6549"/>
    <w:rsid w:val="1B046F80"/>
    <w:rsid w:val="1B0813B9"/>
    <w:rsid w:val="1B3267B5"/>
    <w:rsid w:val="1B40161D"/>
    <w:rsid w:val="1B441859"/>
    <w:rsid w:val="1B570174"/>
    <w:rsid w:val="1B57556C"/>
    <w:rsid w:val="1B6606B1"/>
    <w:rsid w:val="1B727848"/>
    <w:rsid w:val="1B9B2757"/>
    <w:rsid w:val="1BC05D1A"/>
    <w:rsid w:val="1C2C7853"/>
    <w:rsid w:val="1C44694B"/>
    <w:rsid w:val="1C5E7925"/>
    <w:rsid w:val="1C7A17A2"/>
    <w:rsid w:val="1CA05B4B"/>
    <w:rsid w:val="1CBB1806"/>
    <w:rsid w:val="1CC475E1"/>
    <w:rsid w:val="1CCA51F5"/>
    <w:rsid w:val="1CD27DC8"/>
    <w:rsid w:val="1CEA01FC"/>
    <w:rsid w:val="1CF2343E"/>
    <w:rsid w:val="1CFD070F"/>
    <w:rsid w:val="1D2A0873"/>
    <w:rsid w:val="1D5E3A3C"/>
    <w:rsid w:val="1D5F6196"/>
    <w:rsid w:val="1D6132A5"/>
    <w:rsid w:val="1D72473B"/>
    <w:rsid w:val="1D8E56D5"/>
    <w:rsid w:val="1D9C4FE8"/>
    <w:rsid w:val="1DA90ACE"/>
    <w:rsid w:val="1DC928BA"/>
    <w:rsid w:val="1DE008F5"/>
    <w:rsid w:val="1E010605"/>
    <w:rsid w:val="1E012619"/>
    <w:rsid w:val="1E025791"/>
    <w:rsid w:val="1E164317"/>
    <w:rsid w:val="1E463F1E"/>
    <w:rsid w:val="1E470974"/>
    <w:rsid w:val="1E4A35C1"/>
    <w:rsid w:val="1E786D7F"/>
    <w:rsid w:val="1E7A43DA"/>
    <w:rsid w:val="1EAD6AC7"/>
    <w:rsid w:val="1EB31B66"/>
    <w:rsid w:val="1EF5217E"/>
    <w:rsid w:val="1F1B2274"/>
    <w:rsid w:val="1F7D670C"/>
    <w:rsid w:val="1FE7539E"/>
    <w:rsid w:val="201A05F4"/>
    <w:rsid w:val="202866BE"/>
    <w:rsid w:val="20671BE0"/>
    <w:rsid w:val="208A5755"/>
    <w:rsid w:val="20963CB8"/>
    <w:rsid w:val="209B0B03"/>
    <w:rsid w:val="20A81A1B"/>
    <w:rsid w:val="20B07FB6"/>
    <w:rsid w:val="20B60210"/>
    <w:rsid w:val="20B646FB"/>
    <w:rsid w:val="20BF7061"/>
    <w:rsid w:val="20C75D9C"/>
    <w:rsid w:val="21130FE1"/>
    <w:rsid w:val="213B74B1"/>
    <w:rsid w:val="215A2310"/>
    <w:rsid w:val="217F6677"/>
    <w:rsid w:val="2196252B"/>
    <w:rsid w:val="21B2075D"/>
    <w:rsid w:val="21B43C61"/>
    <w:rsid w:val="21B87C22"/>
    <w:rsid w:val="21CA1824"/>
    <w:rsid w:val="21DE318A"/>
    <w:rsid w:val="21EB41E1"/>
    <w:rsid w:val="21EF5B80"/>
    <w:rsid w:val="223E5742"/>
    <w:rsid w:val="22576990"/>
    <w:rsid w:val="225A37DA"/>
    <w:rsid w:val="226B34C0"/>
    <w:rsid w:val="22771730"/>
    <w:rsid w:val="22977811"/>
    <w:rsid w:val="22F47480"/>
    <w:rsid w:val="2335523F"/>
    <w:rsid w:val="23461723"/>
    <w:rsid w:val="23CF2C19"/>
    <w:rsid w:val="23DE1C48"/>
    <w:rsid w:val="240210CD"/>
    <w:rsid w:val="241C1F5B"/>
    <w:rsid w:val="246D72C8"/>
    <w:rsid w:val="24AD2696"/>
    <w:rsid w:val="24BB0695"/>
    <w:rsid w:val="24BF09F7"/>
    <w:rsid w:val="24C840FA"/>
    <w:rsid w:val="24C90335"/>
    <w:rsid w:val="25035EB8"/>
    <w:rsid w:val="251F61A7"/>
    <w:rsid w:val="252D53FE"/>
    <w:rsid w:val="25317C88"/>
    <w:rsid w:val="256E6145"/>
    <w:rsid w:val="2574078F"/>
    <w:rsid w:val="2580570A"/>
    <w:rsid w:val="25AB3597"/>
    <w:rsid w:val="25B222F1"/>
    <w:rsid w:val="25C82835"/>
    <w:rsid w:val="25EC2D81"/>
    <w:rsid w:val="260637BE"/>
    <w:rsid w:val="26311E12"/>
    <w:rsid w:val="26675E6E"/>
    <w:rsid w:val="266D4CF0"/>
    <w:rsid w:val="26A85BF4"/>
    <w:rsid w:val="26B75F6B"/>
    <w:rsid w:val="26BB1EFF"/>
    <w:rsid w:val="26E34E16"/>
    <w:rsid w:val="26ED7BDF"/>
    <w:rsid w:val="27090EBD"/>
    <w:rsid w:val="272340C2"/>
    <w:rsid w:val="273E043A"/>
    <w:rsid w:val="274D22B3"/>
    <w:rsid w:val="277057A2"/>
    <w:rsid w:val="277E0BE9"/>
    <w:rsid w:val="27A53F8F"/>
    <w:rsid w:val="27AE2E5C"/>
    <w:rsid w:val="27BB7CDD"/>
    <w:rsid w:val="28035BAB"/>
    <w:rsid w:val="2835598D"/>
    <w:rsid w:val="28776DA2"/>
    <w:rsid w:val="28791F29"/>
    <w:rsid w:val="287C746C"/>
    <w:rsid w:val="28CC6DDA"/>
    <w:rsid w:val="28F60FCD"/>
    <w:rsid w:val="29061C1C"/>
    <w:rsid w:val="29192F0D"/>
    <w:rsid w:val="29206EB8"/>
    <w:rsid w:val="29595666"/>
    <w:rsid w:val="29734590"/>
    <w:rsid w:val="29874881"/>
    <w:rsid w:val="29B84F82"/>
    <w:rsid w:val="29CE0EB5"/>
    <w:rsid w:val="29E325E0"/>
    <w:rsid w:val="29E90B31"/>
    <w:rsid w:val="2A0140CD"/>
    <w:rsid w:val="2A036745"/>
    <w:rsid w:val="2A452503"/>
    <w:rsid w:val="2A6E7289"/>
    <w:rsid w:val="2A703622"/>
    <w:rsid w:val="2AD76F9B"/>
    <w:rsid w:val="2B3442B9"/>
    <w:rsid w:val="2B9B3748"/>
    <w:rsid w:val="2BA936A8"/>
    <w:rsid w:val="2BB539CA"/>
    <w:rsid w:val="2BCF1FA9"/>
    <w:rsid w:val="2C22422F"/>
    <w:rsid w:val="2C315A5A"/>
    <w:rsid w:val="2C365B84"/>
    <w:rsid w:val="2C4B1C25"/>
    <w:rsid w:val="2C5D75B5"/>
    <w:rsid w:val="2C6D123B"/>
    <w:rsid w:val="2C7F25FC"/>
    <w:rsid w:val="2C9749B6"/>
    <w:rsid w:val="2CA92052"/>
    <w:rsid w:val="2D06569A"/>
    <w:rsid w:val="2D0A5122"/>
    <w:rsid w:val="2D151C3D"/>
    <w:rsid w:val="2D1B5955"/>
    <w:rsid w:val="2D2E5BF2"/>
    <w:rsid w:val="2D531BF6"/>
    <w:rsid w:val="2D9E56F5"/>
    <w:rsid w:val="2DD0434B"/>
    <w:rsid w:val="2DDD0348"/>
    <w:rsid w:val="2DE064DE"/>
    <w:rsid w:val="2E667F96"/>
    <w:rsid w:val="2E8226AB"/>
    <w:rsid w:val="2EA65243"/>
    <w:rsid w:val="2EAA337E"/>
    <w:rsid w:val="2EB3170E"/>
    <w:rsid w:val="2EE04B85"/>
    <w:rsid w:val="2EED099A"/>
    <w:rsid w:val="2EEF6BEA"/>
    <w:rsid w:val="2F212B1B"/>
    <w:rsid w:val="2F481A2F"/>
    <w:rsid w:val="2F5A4E26"/>
    <w:rsid w:val="2F6B4D2C"/>
    <w:rsid w:val="2F805A94"/>
    <w:rsid w:val="2FD065E6"/>
    <w:rsid w:val="2FD96870"/>
    <w:rsid w:val="2FF84E72"/>
    <w:rsid w:val="2FFE759C"/>
    <w:rsid w:val="30275401"/>
    <w:rsid w:val="30336A71"/>
    <w:rsid w:val="30580BC9"/>
    <w:rsid w:val="3060005D"/>
    <w:rsid w:val="306E7FE2"/>
    <w:rsid w:val="30C0743E"/>
    <w:rsid w:val="30DC7799"/>
    <w:rsid w:val="30E61436"/>
    <w:rsid w:val="30EE4C7F"/>
    <w:rsid w:val="311135DE"/>
    <w:rsid w:val="311C17EC"/>
    <w:rsid w:val="311E2ED7"/>
    <w:rsid w:val="315619EE"/>
    <w:rsid w:val="315947EF"/>
    <w:rsid w:val="315C449C"/>
    <w:rsid w:val="31610637"/>
    <w:rsid w:val="317F789C"/>
    <w:rsid w:val="31B15FDF"/>
    <w:rsid w:val="31B82709"/>
    <w:rsid w:val="31B9528D"/>
    <w:rsid w:val="31D05482"/>
    <w:rsid w:val="321B7721"/>
    <w:rsid w:val="32400B34"/>
    <w:rsid w:val="32453DCF"/>
    <w:rsid w:val="32582CF8"/>
    <w:rsid w:val="3267118D"/>
    <w:rsid w:val="32677044"/>
    <w:rsid w:val="3278199E"/>
    <w:rsid w:val="327D6A8E"/>
    <w:rsid w:val="329E6876"/>
    <w:rsid w:val="32AA4B5D"/>
    <w:rsid w:val="32DC365B"/>
    <w:rsid w:val="32F02F31"/>
    <w:rsid w:val="333015F2"/>
    <w:rsid w:val="334B6320"/>
    <w:rsid w:val="33544C1D"/>
    <w:rsid w:val="336B45E5"/>
    <w:rsid w:val="339768C1"/>
    <w:rsid w:val="33AF5D03"/>
    <w:rsid w:val="33C655D1"/>
    <w:rsid w:val="33C83B71"/>
    <w:rsid w:val="33CA21C7"/>
    <w:rsid w:val="33D22636"/>
    <w:rsid w:val="33D934D4"/>
    <w:rsid w:val="33E75316"/>
    <w:rsid w:val="33FE2F6A"/>
    <w:rsid w:val="3406454F"/>
    <w:rsid w:val="340E07E5"/>
    <w:rsid w:val="34235BF7"/>
    <w:rsid w:val="3425595B"/>
    <w:rsid w:val="3467086A"/>
    <w:rsid w:val="347E631A"/>
    <w:rsid w:val="348A1163"/>
    <w:rsid w:val="34AA5361"/>
    <w:rsid w:val="34C24459"/>
    <w:rsid w:val="34D83C7C"/>
    <w:rsid w:val="34E80D93"/>
    <w:rsid w:val="34F97094"/>
    <w:rsid w:val="355748A5"/>
    <w:rsid w:val="35887450"/>
    <w:rsid w:val="358C5FA8"/>
    <w:rsid w:val="3590392C"/>
    <w:rsid w:val="35981906"/>
    <w:rsid w:val="35A2126A"/>
    <w:rsid w:val="35C15DF1"/>
    <w:rsid w:val="36074A7F"/>
    <w:rsid w:val="36512A2F"/>
    <w:rsid w:val="368B30A6"/>
    <w:rsid w:val="368C11C2"/>
    <w:rsid w:val="36923549"/>
    <w:rsid w:val="36B75FBF"/>
    <w:rsid w:val="36BD0C45"/>
    <w:rsid w:val="36BF0A88"/>
    <w:rsid w:val="36D71C0C"/>
    <w:rsid w:val="371B42F4"/>
    <w:rsid w:val="372F1B4E"/>
    <w:rsid w:val="373D4E6C"/>
    <w:rsid w:val="373F4487"/>
    <w:rsid w:val="375907F6"/>
    <w:rsid w:val="377860CB"/>
    <w:rsid w:val="379E1481"/>
    <w:rsid w:val="37A662B4"/>
    <w:rsid w:val="37CF68BD"/>
    <w:rsid w:val="37E00298"/>
    <w:rsid w:val="37FA383B"/>
    <w:rsid w:val="386F1C43"/>
    <w:rsid w:val="388C7258"/>
    <w:rsid w:val="388F4F9A"/>
    <w:rsid w:val="389E00BF"/>
    <w:rsid w:val="38A071A7"/>
    <w:rsid w:val="38B302F9"/>
    <w:rsid w:val="38E075A3"/>
    <w:rsid w:val="38F12CD3"/>
    <w:rsid w:val="38F31085"/>
    <w:rsid w:val="38F94775"/>
    <w:rsid w:val="392971ED"/>
    <w:rsid w:val="39325651"/>
    <w:rsid w:val="39447B32"/>
    <w:rsid w:val="39987E7E"/>
    <w:rsid w:val="39A03D29"/>
    <w:rsid w:val="39DA5936"/>
    <w:rsid w:val="39E24C13"/>
    <w:rsid w:val="3A59463F"/>
    <w:rsid w:val="3A775CE5"/>
    <w:rsid w:val="3A872856"/>
    <w:rsid w:val="3A8A5A19"/>
    <w:rsid w:val="3AA46CD1"/>
    <w:rsid w:val="3AC94420"/>
    <w:rsid w:val="3B050B92"/>
    <w:rsid w:val="3B0A6C0E"/>
    <w:rsid w:val="3B117EE8"/>
    <w:rsid w:val="3B135A0E"/>
    <w:rsid w:val="3B1D4ADF"/>
    <w:rsid w:val="3B3763D1"/>
    <w:rsid w:val="3B7138E8"/>
    <w:rsid w:val="3B800BCA"/>
    <w:rsid w:val="3B8B7D92"/>
    <w:rsid w:val="3BC84D65"/>
    <w:rsid w:val="3BDF3F43"/>
    <w:rsid w:val="3C1E70A2"/>
    <w:rsid w:val="3C2F6E1E"/>
    <w:rsid w:val="3C4F64BA"/>
    <w:rsid w:val="3CB7355C"/>
    <w:rsid w:val="3CDA245A"/>
    <w:rsid w:val="3CDE60F3"/>
    <w:rsid w:val="3CE50624"/>
    <w:rsid w:val="3CF278A5"/>
    <w:rsid w:val="3CFD5A3B"/>
    <w:rsid w:val="3D1E06B7"/>
    <w:rsid w:val="3D334EEA"/>
    <w:rsid w:val="3D4F3433"/>
    <w:rsid w:val="3D711A67"/>
    <w:rsid w:val="3D823F03"/>
    <w:rsid w:val="3D8520AF"/>
    <w:rsid w:val="3D9646D4"/>
    <w:rsid w:val="3D9807DE"/>
    <w:rsid w:val="3DDD0555"/>
    <w:rsid w:val="3DE90CA8"/>
    <w:rsid w:val="3E1C0879"/>
    <w:rsid w:val="3E2C2ED5"/>
    <w:rsid w:val="3E3068D7"/>
    <w:rsid w:val="3E5011FF"/>
    <w:rsid w:val="3E642A7E"/>
    <w:rsid w:val="3E810EE1"/>
    <w:rsid w:val="3EDA0523"/>
    <w:rsid w:val="3EE651E8"/>
    <w:rsid w:val="3F3441A5"/>
    <w:rsid w:val="3F450F52"/>
    <w:rsid w:val="3F6C393F"/>
    <w:rsid w:val="3F7647BE"/>
    <w:rsid w:val="3F7E3672"/>
    <w:rsid w:val="3F9219ED"/>
    <w:rsid w:val="3F93711E"/>
    <w:rsid w:val="3FA07A8C"/>
    <w:rsid w:val="3FB02542"/>
    <w:rsid w:val="3FD44A98"/>
    <w:rsid w:val="3FDA27B0"/>
    <w:rsid w:val="3FFB4CC3"/>
    <w:rsid w:val="4031724E"/>
    <w:rsid w:val="403C77B5"/>
    <w:rsid w:val="405C39B3"/>
    <w:rsid w:val="407A6407"/>
    <w:rsid w:val="40B55019"/>
    <w:rsid w:val="40C833DC"/>
    <w:rsid w:val="40E42B0E"/>
    <w:rsid w:val="410B3204"/>
    <w:rsid w:val="412F2E76"/>
    <w:rsid w:val="415E1EA4"/>
    <w:rsid w:val="41680025"/>
    <w:rsid w:val="416F2CAB"/>
    <w:rsid w:val="41B9630E"/>
    <w:rsid w:val="41BF6404"/>
    <w:rsid w:val="4200449D"/>
    <w:rsid w:val="42161E2B"/>
    <w:rsid w:val="421C68A7"/>
    <w:rsid w:val="42213106"/>
    <w:rsid w:val="423A3BCC"/>
    <w:rsid w:val="42480C37"/>
    <w:rsid w:val="424E57D2"/>
    <w:rsid w:val="42521512"/>
    <w:rsid w:val="4270351D"/>
    <w:rsid w:val="42B26C49"/>
    <w:rsid w:val="42CB111D"/>
    <w:rsid w:val="42E27F91"/>
    <w:rsid w:val="430B277B"/>
    <w:rsid w:val="433A6FE6"/>
    <w:rsid w:val="43480868"/>
    <w:rsid w:val="4350713C"/>
    <w:rsid w:val="435720D9"/>
    <w:rsid w:val="436541D9"/>
    <w:rsid w:val="436653E0"/>
    <w:rsid w:val="4382122C"/>
    <w:rsid w:val="43821597"/>
    <w:rsid w:val="43B4432F"/>
    <w:rsid w:val="43C174AF"/>
    <w:rsid w:val="43C4431A"/>
    <w:rsid w:val="43D63B2D"/>
    <w:rsid w:val="43D730DC"/>
    <w:rsid w:val="43EF2D90"/>
    <w:rsid w:val="440E3217"/>
    <w:rsid w:val="44380293"/>
    <w:rsid w:val="4469669F"/>
    <w:rsid w:val="447F610A"/>
    <w:rsid w:val="448C05DF"/>
    <w:rsid w:val="449D39A0"/>
    <w:rsid w:val="44AA399F"/>
    <w:rsid w:val="44B951CC"/>
    <w:rsid w:val="44C63AF1"/>
    <w:rsid w:val="44CD14E0"/>
    <w:rsid w:val="44F20B0B"/>
    <w:rsid w:val="452A0524"/>
    <w:rsid w:val="452E5F4C"/>
    <w:rsid w:val="45612018"/>
    <w:rsid w:val="458946E9"/>
    <w:rsid w:val="459F48C9"/>
    <w:rsid w:val="45A47C0E"/>
    <w:rsid w:val="45CD7101"/>
    <w:rsid w:val="460F7ABE"/>
    <w:rsid w:val="46577FD6"/>
    <w:rsid w:val="46690BD8"/>
    <w:rsid w:val="467C684E"/>
    <w:rsid w:val="469D0882"/>
    <w:rsid w:val="46A55CDC"/>
    <w:rsid w:val="46B033B3"/>
    <w:rsid w:val="46BB6223"/>
    <w:rsid w:val="46D955A7"/>
    <w:rsid w:val="46ED5A14"/>
    <w:rsid w:val="46FA73EB"/>
    <w:rsid w:val="46FC7C9E"/>
    <w:rsid w:val="47133957"/>
    <w:rsid w:val="472463A2"/>
    <w:rsid w:val="473548AB"/>
    <w:rsid w:val="473B6D62"/>
    <w:rsid w:val="4743002E"/>
    <w:rsid w:val="47A07E0C"/>
    <w:rsid w:val="47BC1E26"/>
    <w:rsid w:val="47CC06FD"/>
    <w:rsid w:val="4805375F"/>
    <w:rsid w:val="480B55B0"/>
    <w:rsid w:val="4832149E"/>
    <w:rsid w:val="484511D1"/>
    <w:rsid w:val="485E04E5"/>
    <w:rsid w:val="4870272E"/>
    <w:rsid w:val="487A7168"/>
    <w:rsid w:val="48A724B5"/>
    <w:rsid w:val="48EA79F9"/>
    <w:rsid w:val="4901159C"/>
    <w:rsid w:val="49092D04"/>
    <w:rsid w:val="491A265E"/>
    <w:rsid w:val="492928A1"/>
    <w:rsid w:val="49410997"/>
    <w:rsid w:val="49777AB0"/>
    <w:rsid w:val="498B4FAA"/>
    <w:rsid w:val="49935F6C"/>
    <w:rsid w:val="49BB2813"/>
    <w:rsid w:val="49BB5BEF"/>
    <w:rsid w:val="49D12082"/>
    <w:rsid w:val="49DC7715"/>
    <w:rsid w:val="49E47ED1"/>
    <w:rsid w:val="49EA73A3"/>
    <w:rsid w:val="49EF62DE"/>
    <w:rsid w:val="4A023139"/>
    <w:rsid w:val="4A123335"/>
    <w:rsid w:val="4A144698"/>
    <w:rsid w:val="4A6274B4"/>
    <w:rsid w:val="4A796923"/>
    <w:rsid w:val="4A7B576F"/>
    <w:rsid w:val="4A8C0235"/>
    <w:rsid w:val="4AA00E65"/>
    <w:rsid w:val="4AA45F01"/>
    <w:rsid w:val="4ADC43E5"/>
    <w:rsid w:val="4AE548A4"/>
    <w:rsid w:val="4AF561A9"/>
    <w:rsid w:val="4B161C2E"/>
    <w:rsid w:val="4B277342"/>
    <w:rsid w:val="4B296B88"/>
    <w:rsid w:val="4B2B3590"/>
    <w:rsid w:val="4B3216D3"/>
    <w:rsid w:val="4B3C4E66"/>
    <w:rsid w:val="4B587DC9"/>
    <w:rsid w:val="4B5C36F7"/>
    <w:rsid w:val="4B897B25"/>
    <w:rsid w:val="4B9825BC"/>
    <w:rsid w:val="4BBA1ED6"/>
    <w:rsid w:val="4BC52D55"/>
    <w:rsid w:val="4BE072FF"/>
    <w:rsid w:val="4C107D48"/>
    <w:rsid w:val="4C253ACF"/>
    <w:rsid w:val="4C3E6663"/>
    <w:rsid w:val="4C4A0649"/>
    <w:rsid w:val="4C4F7531"/>
    <w:rsid w:val="4C523EBC"/>
    <w:rsid w:val="4C7E5ECA"/>
    <w:rsid w:val="4C850DC0"/>
    <w:rsid w:val="4C876AA5"/>
    <w:rsid w:val="4CA20757"/>
    <w:rsid w:val="4CC34DBA"/>
    <w:rsid w:val="4CCC0113"/>
    <w:rsid w:val="4CDF7E46"/>
    <w:rsid w:val="4CF73237"/>
    <w:rsid w:val="4D0E00FB"/>
    <w:rsid w:val="4D176606"/>
    <w:rsid w:val="4D3D2DBF"/>
    <w:rsid w:val="4D53322E"/>
    <w:rsid w:val="4D552926"/>
    <w:rsid w:val="4D7A191D"/>
    <w:rsid w:val="4DEC4FB0"/>
    <w:rsid w:val="4DEC6D38"/>
    <w:rsid w:val="4DFC67D6"/>
    <w:rsid w:val="4E075D8A"/>
    <w:rsid w:val="4E0C1FBF"/>
    <w:rsid w:val="4E140384"/>
    <w:rsid w:val="4E163B7F"/>
    <w:rsid w:val="4E1C3D81"/>
    <w:rsid w:val="4E854A1D"/>
    <w:rsid w:val="4EA8070C"/>
    <w:rsid w:val="4EC00FAD"/>
    <w:rsid w:val="4F0B10DC"/>
    <w:rsid w:val="4F3A75B6"/>
    <w:rsid w:val="4F815A8D"/>
    <w:rsid w:val="4F843EBC"/>
    <w:rsid w:val="4F8545A9"/>
    <w:rsid w:val="4F9843DC"/>
    <w:rsid w:val="4FB855D0"/>
    <w:rsid w:val="4FC62A8C"/>
    <w:rsid w:val="4FE20F0D"/>
    <w:rsid w:val="4FE51552"/>
    <w:rsid w:val="4FE97641"/>
    <w:rsid w:val="4FEA17AA"/>
    <w:rsid w:val="4FF359B6"/>
    <w:rsid w:val="5015365F"/>
    <w:rsid w:val="502F2A4C"/>
    <w:rsid w:val="50504C4B"/>
    <w:rsid w:val="507307C0"/>
    <w:rsid w:val="509C6E7C"/>
    <w:rsid w:val="50C92078"/>
    <w:rsid w:val="5106330F"/>
    <w:rsid w:val="510E07AC"/>
    <w:rsid w:val="512070B4"/>
    <w:rsid w:val="51257DF2"/>
    <w:rsid w:val="514C537E"/>
    <w:rsid w:val="5162104E"/>
    <w:rsid w:val="517D5E7F"/>
    <w:rsid w:val="5181771E"/>
    <w:rsid w:val="518E5997"/>
    <w:rsid w:val="51CE2F07"/>
    <w:rsid w:val="520B7076"/>
    <w:rsid w:val="523B7E74"/>
    <w:rsid w:val="52466271"/>
    <w:rsid w:val="524F69F5"/>
    <w:rsid w:val="52677B27"/>
    <w:rsid w:val="52C02BFD"/>
    <w:rsid w:val="5302229D"/>
    <w:rsid w:val="530644F0"/>
    <w:rsid w:val="530846A4"/>
    <w:rsid w:val="538057B3"/>
    <w:rsid w:val="53A039CC"/>
    <w:rsid w:val="53A1505A"/>
    <w:rsid w:val="53C61A0F"/>
    <w:rsid w:val="54063E08"/>
    <w:rsid w:val="541A7702"/>
    <w:rsid w:val="541C1980"/>
    <w:rsid w:val="54317944"/>
    <w:rsid w:val="543437E8"/>
    <w:rsid w:val="5461693B"/>
    <w:rsid w:val="549C03CB"/>
    <w:rsid w:val="54CA13DC"/>
    <w:rsid w:val="54D10184"/>
    <w:rsid w:val="54DA5642"/>
    <w:rsid w:val="54DC4C6B"/>
    <w:rsid w:val="54F73313"/>
    <w:rsid w:val="54F80955"/>
    <w:rsid w:val="55106F91"/>
    <w:rsid w:val="551D5F8B"/>
    <w:rsid w:val="5543118E"/>
    <w:rsid w:val="55491303"/>
    <w:rsid w:val="555170A7"/>
    <w:rsid w:val="55671C2C"/>
    <w:rsid w:val="55676C2B"/>
    <w:rsid w:val="5587536D"/>
    <w:rsid w:val="559B174B"/>
    <w:rsid w:val="55AB20FD"/>
    <w:rsid w:val="55AE2AAB"/>
    <w:rsid w:val="55CE0CF4"/>
    <w:rsid w:val="56076DEF"/>
    <w:rsid w:val="56294CC2"/>
    <w:rsid w:val="563E42D5"/>
    <w:rsid w:val="56B22A9C"/>
    <w:rsid w:val="56DB14D5"/>
    <w:rsid w:val="56F00EA2"/>
    <w:rsid w:val="57242F47"/>
    <w:rsid w:val="574E5CB2"/>
    <w:rsid w:val="5751316D"/>
    <w:rsid w:val="57862BB6"/>
    <w:rsid w:val="578D00E7"/>
    <w:rsid w:val="57980FE9"/>
    <w:rsid w:val="5799024A"/>
    <w:rsid w:val="57B72A76"/>
    <w:rsid w:val="57C3426C"/>
    <w:rsid w:val="57CE1F93"/>
    <w:rsid w:val="57DA7B88"/>
    <w:rsid w:val="5805272B"/>
    <w:rsid w:val="58461A08"/>
    <w:rsid w:val="58647451"/>
    <w:rsid w:val="58691ED6"/>
    <w:rsid w:val="586A4CBB"/>
    <w:rsid w:val="588743D1"/>
    <w:rsid w:val="5887701A"/>
    <w:rsid w:val="58A56AF8"/>
    <w:rsid w:val="58A9101E"/>
    <w:rsid w:val="58C6010C"/>
    <w:rsid w:val="590F1AB3"/>
    <w:rsid w:val="591F4A63"/>
    <w:rsid w:val="59597927"/>
    <w:rsid w:val="595E5F2D"/>
    <w:rsid w:val="597E4543"/>
    <w:rsid w:val="59AC0ABF"/>
    <w:rsid w:val="59B368E2"/>
    <w:rsid w:val="59C0439F"/>
    <w:rsid w:val="5A8B33BB"/>
    <w:rsid w:val="5A8D20BB"/>
    <w:rsid w:val="5ABE2233"/>
    <w:rsid w:val="5ADD2684"/>
    <w:rsid w:val="5B2F43ED"/>
    <w:rsid w:val="5B450AB8"/>
    <w:rsid w:val="5B515BA1"/>
    <w:rsid w:val="5B6D4377"/>
    <w:rsid w:val="5BA71B9B"/>
    <w:rsid w:val="5BBB2FCB"/>
    <w:rsid w:val="5BC87D4D"/>
    <w:rsid w:val="5BDD7C46"/>
    <w:rsid w:val="5BDF5D95"/>
    <w:rsid w:val="5BFE7528"/>
    <w:rsid w:val="5C1B3FCE"/>
    <w:rsid w:val="5C2C541B"/>
    <w:rsid w:val="5C4F5DFF"/>
    <w:rsid w:val="5C5806EE"/>
    <w:rsid w:val="5C706634"/>
    <w:rsid w:val="5C7A173B"/>
    <w:rsid w:val="5C895264"/>
    <w:rsid w:val="5CBD5382"/>
    <w:rsid w:val="5CF47224"/>
    <w:rsid w:val="5D136050"/>
    <w:rsid w:val="5D3C6BEF"/>
    <w:rsid w:val="5D5D5DEB"/>
    <w:rsid w:val="5D76694C"/>
    <w:rsid w:val="5D794F9B"/>
    <w:rsid w:val="5D79524B"/>
    <w:rsid w:val="5DDE43D7"/>
    <w:rsid w:val="5E2467F1"/>
    <w:rsid w:val="5E3F4EFD"/>
    <w:rsid w:val="5E6C2558"/>
    <w:rsid w:val="5E712278"/>
    <w:rsid w:val="5E9D2A66"/>
    <w:rsid w:val="5EB32EE1"/>
    <w:rsid w:val="5EB379B4"/>
    <w:rsid w:val="5ED01686"/>
    <w:rsid w:val="5ED82F1E"/>
    <w:rsid w:val="5EF30C44"/>
    <w:rsid w:val="5F0A09EC"/>
    <w:rsid w:val="5F12262E"/>
    <w:rsid w:val="5F1A2B43"/>
    <w:rsid w:val="5F2636B2"/>
    <w:rsid w:val="5F4C0C3F"/>
    <w:rsid w:val="5F965804"/>
    <w:rsid w:val="5FB837BB"/>
    <w:rsid w:val="5FCB29C0"/>
    <w:rsid w:val="5FCF78A6"/>
    <w:rsid w:val="602D4643"/>
    <w:rsid w:val="605A4DE9"/>
    <w:rsid w:val="605E0C2A"/>
    <w:rsid w:val="606607A5"/>
    <w:rsid w:val="606F2E37"/>
    <w:rsid w:val="608958E5"/>
    <w:rsid w:val="608E1398"/>
    <w:rsid w:val="60BD1A1E"/>
    <w:rsid w:val="60BE4FE7"/>
    <w:rsid w:val="60CC405A"/>
    <w:rsid w:val="60DB4C80"/>
    <w:rsid w:val="60E94998"/>
    <w:rsid w:val="61006B2C"/>
    <w:rsid w:val="61020C66"/>
    <w:rsid w:val="610635FE"/>
    <w:rsid w:val="61207FF4"/>
    <w:rsid w:val="61366D0A"/>
    <w:rsid w:val="616227B0"/>
    <w:rsid w:val="6195412E"/>
    <w:rsid w:val="61DF3653"/>
    <w:rsid w:val="61E215D8"/>
    <w:rsid w:val="621B3775"/>
    <w:rsid w:val="62364782"/>
    <w:rsid w:val="62536B3F"/>
    <w:rsid w:val="62741842"/>
    <w:rsid w:val="62774202"/>
    <w:rsid w:val="6287090C"/>
    <w:rsid w:val="62C1134F"/>
    <w:rsid w:val="62D02854"/>
    <w:rsid w:val="62E80C7F"/>
    <w:rsid w:val="631141FF"/>
    <w:rsid w:val="63535997"/>
    <w:rsid w:val="63835F72"/>
    <w:rsid w:val="638A3FB4"/>
    <w:rsid w:val="6394356A"/>
    <w:rsid w:val="63C61B2C"/>
    <w:rsid w:val="63D40BE9"/>
    <w:rsid w:val="63EE0517"/>
    <w:rsid w:val="63F13558"/>
    <w:rsid w:val="64102431"/>
    <w:rsid w:val="64182F54"/>
    <w:rsid w:val="644840CB"/>
    <w:rsid w:val="64713DD8"/>
    <w:rsid w:val="64A0447B"/>
    <w:rsid w:val="64A5243A"/>
    <w:rsid w:val="64E33543"/>
    <w:rsid w:val="64F531DE"/>
    <w:rsid w:val="65085608"/>
    <w:rsid w:val="650E081E"/>
    <w:rsid w:val="65373578"/>
    <w:rsid w:val="65391840"/>
    <w:rsid w:val="65613696"/>
    <w:rsid w:val="656D35FB"/>
    <w:rsid w:val="659438DB"/>
    <w:rsid w:val="65A20935"/>
    <w:rsid w:val="65AA7FCF"/>
    <w:rsid w:val="65E55D32"/>
    <w:rsid w:val="65E87914"/>
    <w:rsid w:val="66157FDD"/>
    <w:rsid w:val="66384800"/>
    <w:rsid w:val="664A237C"/>
    <w:rsid w:val="664F1741"/>
    <w:rsid w:val="665C20B0"/>
    <w:rsid w:val="66691009"/>
    <w:rsid w:val="66970FC0"/>
    <w:rsid w:val="66CD2E0B"/>
    <w:rsid w:val="66E327BA"/>
    <w:rsid w:val="66F620CC"/>
    <w:rsid w:val="66F95103"/>
    <w:rsid w:val="67194004"/>
    <w:rsid w:val="671F124A"/>
    <w:rsid w:val="67243C4A"/>
    <w:rsid w:val="673152EA"/>
    <w:rsid w:val="675608AD"/>
    <w:rsid w:val="676613CD"/>
    <w:rsid w:val="677A33C6"/>
    <w:rsid w:val="6784541A"/>
    <w:rsid w:val="67880813"/>
    <w:rsid w:val="67980EC5"/>
    <w:rsid w:val="681F6961"/>
    <w:rsid w:val="6824369C"/>
    <w:rsid w:val="683D39DA"/>
    <w:rsid w:val="684E5A85"/>
    <w:rsid w:val="68610A2F"/>
    <w:rsid w:val="68805514"/>
    <w:rsid w:val="68927C49"/>
    <w:rsid w:val="68B47F81"/>
    <w:rsid w:val="68F72D54"/>
    <w:rsid w:val="69036813"/>
    <w:rsid w:val="6905258B"/>
    <w:rsid w:val="69181B01"/>
    <w:rsid w:val="692E3C9E"/>
    <w:rsid w:val="69316E2F"/>
    <w:rsid w:val="69357B65"/>
    <w:rsid w:val="693B0499"/>
    <w:rsid w:val="694E2071"/>
    <w:rsid w:val="696F7F33"/>
    <w:rsid w:val="69766163"/>
    <w:rsid w:val="697670FA"/>
    <w:rsid w:val="697A3B33"/>
    <w:rsid w:val="69BF09C9"/>
    <w:rsid w:val="69D44760"/>
    <w:rsid w:val="69DF4B8A"/>
    <w:rsid w:val="69EA7EA7"/>
    <w:rsid w:val="6A0740E0"/>
    <w:rsid w:val="6A520EC7"/>
    <w:rsid w:val="6A787BEC"/>
    <w:rsid w:val="6A843983"/>
    <w:rsid w:val="6A892D47"/>
    <w:rsid w:val="6ABE50E7"/>
    <w:rsid w:val="6AC83EE0"/>
    <w:rsid w:val="6AF87E20"/>
    <w:rsid w:val="6AF97ECD"/>
    <w:rsid w:val="6B0B4047"/>
    <w:rsid w:val="6B0D3978"/>
    <w:rsid w:val="6B293F23"/>
    <w:rsid w:val="6B322639"/>
    <w:rsid w:val="6B4D48FE"/>
    <w:rsid w:val="6B54031D"/>
    <w:rsid w:val="6B5F4159"/>
    <w:rsid w:val="6B8960C0"/>
    <w:rsid w:val="6BAA0310"/>
    <w:rsid w:val="6BFF530D"/>
    <w:rsid w:val="6C475578"/>
    <w:rsid w:val="6C636C38"/>
    <w:rsid w:val="6C6745E9"/>
    <w:rsid w:val="6C81017A"/>
    <w:rsid w:val="6CE301ED"/>
    <w:rsid w:val="6D1662CD"/>
    <w:rsid w:val="6D3A17DF"/>
    <w:rsid w:val="6D4A2C62"/>
    <w:rsid w:val="6D4D144E"/>
    <w:rsid w:val="6D855A48"/>
    <w:rsid w:val="6D8A5CBE"/>
    <w:rsid w:val="6D8C327A"/>
    <w:rsid w:val="6DAA0DFC"/>
    <w:rsid w:val="6DAD31F1"/>
    <w:rsid w:val="6DB34098"/>
    <w:rsid w:val="6DB545B6"/>
    <w:rsid w:val="6DBE0AA6"/>
    <w:rsid w:val="6DDB10B7"/>
    <w:rsid w:val="6DE02FB4"/>
    <w:rsid w:val="6DEF2023"/>
    <w:rsid w:val="6E166A19"/>
    <w:rsid w:val="6E1B015A"/>
    <w:rsid w:val="6E2000D0"/>
    <w:rsid w:val="6E427DDD"/>
    <w:rsid w:val="6E514CED"/>
    <w:rsid w:val="6E82467D"/>
    <w:rsid w:val="6EB563D5"/>
    <w:rsid w:val="6EC90277"/>
    <w:rsid w:val="6ED92677"/>
    <w:rsid w:val="6F225983"/>
    <w:rsid w:val="6F400F19"/>
    <w:rsid w:val="6F49551F"/>
    <w:rsid w:val="6F543924"/>
    <w:rsid w:val="6F7C10CD"/>
    <w:rsid w:val="6F7E5EE2"/>
    <w:rsid w:val="6FBA6FB4"/>
    <w:rsid w:val="6FC04502"/>
    <w:rsid w:val="6FE85244"/>
    <w:rsid w:val="6FFC5590"/>
    <w:rsid w:val="70217031"/>
    <w:rsid w:val="706D1DD0"/>
    <w:rsid w:val="707A1AB0"/>
    <w:rsid w:val="70856B87"/>
    <w:rsid w:val="70C64CF5"/>
    <w:rsid w:val="70D527EE"/>
    <w:rsid w:val="710650F2"/>
    <w:rsid w:val="714B4B58"/>
    <w:rsid w:val="715B5300"/>
    <w:rsid w:val="71653A99"/>
    <w:rsid w:val="71C14A08"/>
    <w:rsid w:val="71CD79BE"/>
    <w:rsid w:val="71D23226"/>
    <w:rsid w:val="71D27F8A"/>
    <w:rsid w:val="71F118FE"/>
    <w:rsid w:val="71F47DB3"/>
    <w:rsid w:val="720900CF"/>
    <w:rsid w:val="720930EC"/>
    <w:rsid w:val="724E4FA2"/>
    <w:rsid w:val="72553024"/>
    <w:rsid w:val="72760055"/>
    <w:rsid w:val="72970386"/>
    <w:rsid w:val="72DF209E"/>
    <w:rsid w:val="72E91A1D"/>
    <w:rsid w:val="72F5541E"/>
    <w:rsid w:val="72FE2E89"/>
    <w:rsid w:val="730442DE"/>
    <w:rsid w:val="73122968"/>
    <w:rsid w:val="731F5D5E"/>
    <w:rsid w:val="73206181"/>
    <w:rsid w:val="737F73DD"/>
    <w:rsid w:val="73A93476"/>
    <w:rsid w:val="73AE4625"/>
    <w:rsid w:val="73C51AD5"/>
    <w:rsid w:val="73D56A03"/>
    <w:rsid w:val="73D94D40"/>
    <w:rsid w:val="73FC0A2E"/>
    <w:rsid w:val="741E793C"/>
    <w:rsid w:val="74302428"/>
    <w:rsid w:val="745E3944"/>
    <w:rsid w:val="747D76F9"/>
    <w:rsid w:val="74AC5FB0"/>
    <w:rsid w:val="74B45232"/>
    <w:rsid w:val="74BC1C38"/>
    <w:rsid w:val="74C15243"/>
    <w:rsid w:val="74FA13F4"/>
    <w:rsid w:val="7501454E"/>
    <w:rsid w:val="756774F9"/>
    <w:rsid w:val="7584459F"/>
    <w:rsid w:val="758D0BCC"/>
    <w:rsid w:val="75A5092B"/>
    <w:rsid w:val="75E97C82"/>
    <w:rsid w:val="75EB48B6"/>
    <w:rsid w:val="760733D9"/>
    <w:rsid w:val="7635099D"/>
    <w:rsid w:val="763B592C"/>
    <w:rsid w:val="76A520C7"/>
    <w:rsid w:val="76AB125D"/>
    <w:rsid w:val="76FB755B"/>
    <w:rsid w:val="774D7AFA"/>
    <w:rsid w:val="77675F23"/>
    <w:rsid w:val="77762421"/>
    <w:rsid w:val="777A0B2F"/>
    <w:rsid w:val="77847520"/>
    <w:rsid w:val="77B56B1F"/>
    <w:rsid w:val="77B70EF4"/>
    <w:rsid w:val="77C86879"/>
    <w:rsid w:val="77EA2F91"/>
    <w:rsid w:val="780954C8"/>
    <w:rsid w:val="780D320A"/>
    <w:rsid w:val="780F09F4"/>
    <w:rsid w:val="7817324A"/>
    <w:rsid w:val="78180382"/>
    <w:rsid w:val="78191BAF"/>
    <w:rsid w:val="78252301"/>
    <w:rsid w:val="78452198"/>
    <w:rsid w:val="78A90480"/>
    <w:rsid w:val="78AF300A"/>
    <w:rsid w:val="78F7624D"/>
    <w:rsid w:val="790740FD"/>
    <w:rsid w:val="79167E9C"/>
    <w:rsid w:val="796A55D9"/>
    <w:rsid w:val="79827C8F"/>
    <w:rsid w:val="799A6D1F"/>
    <w:rsid w:val="79B46337"/>
    <w:rsid w:val="79D31A99"/>
    <w:rsid w:val="79E9735F"/>
    <w:rsid w:val="7A314E13"/>
    <w:rsid w:val="7A364017"/>
    <w:rsid w:val="7A5B5C0C"/>
    <w:rsid w:val="7A8265E1"/>
    <w:rsid w:val="7AA6733C"/>
    <w:rsid w:val="7AEB5B8D"/>
    <w:rsid w:val="7B0B11DB"/>
    <w:rsid w:val="7B0C77A9"/>
    <w:rsid w:val="7B160FC2"/>
    <w:rsid w:val="7B3B008E"/>
    <w:rsid w:val="7B686D42"/>
    <w:rsid w:val="7B841746"/>
    <w:rsid w:val="7BD02188"/>
    <w:rsid w:val="7BDF75B2"/>
    <w:rsid w:val="7C100E88"/>
    <w:rsid w:val="7C5970C0"/>
    <w:rsid w:val="7C6C5AC7"/>
    <w:rsid w:val="7C7E09E1"/>
    <w:rsid w:val="7C955EA0"/>
    <w:rsid w:val="7CA22DE7"/>
    <w:rsid w:val="7CC04CEF"/>
    <w:rsid w:val="7CC6544B"/>
    <w:rsid w:val="7D0239FF"/>
    <w:rsid w:val="7D086CAB"/>
    <w:rsid w:val="7D4C3938"/>
    <w:rsid w:val="7D5E40CD"/>
    <w:rsid w:val="7D5E7FC1"/>
    <w:rsid w:val="7DA42869"/>
    <w:rsid w:val="7DC81AEE"/>
    <w:rsid w:val="7DC92302"/>
    <w:rsid w:val="7DCD56F2"/>
    <w:rsid w:val="7DE06CCB"/>
    <w:rsid w:val="7DE71E07"/>
    <w:rsid w:val="7E0018B7"/>
    <w:rsid w:val="7E397753"/>
    <w:rsid w:val="7E524AB9"/>
    <w:rsid w:val="7E725B75"/>
    <w:rsid w:val="7E8835EA"/>
    <w:rsid w:val="7EFF79DD"/>
    <w:rsid w:val="7F001CE7"/>
    <w:rsid w:val="7F0D7F93"/>
    <w:rsid w:val="7F2778CE"/>
    <w:rsid w:val="7F65557D"/>
    <w:rsid w:val="7F6F6558"/>
    <w:rsid w:val="7F823D48"/>
    <w:rsid w:val="7F947AAB"/>
    <w:rsid w:val="7FB01264"/>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qFormat="1" w:unhideWhenUsed="0" w:uiPriority="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qFormat="1" w:unhideWhenUsed="0" w:uiPriority="0" w:semiHidden="0" w:name="line number" w:locked="1"/>
    <w:lsdException w:qFormat="1" w:unhideWhenUsed="0" w:uiPriority="0" w:semiHidden="0" w:name="page number" w:locked="1"/>
    <w:lsdException w:unhideWhenUsed="0" w:uiPriority="0" w:semiHidden="0" w:name="endnote reference" w:locked="1"/>
    <w:lsdException w:qFormat="1"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qFormat="1"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99"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20" w:semiHidden="0" w:name="Emphasis" w:locked="1"/>
    <w:lsdException w:qFormat="1" w:unhideWhenUsed="0" w:uiPriority="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iPriority="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qFormat="1" w:unhideWhenUsed="0" w:uiPriority="0" w:semiHidden="0" w:name="Table Theme" w:locked="1"/>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49"/>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50"/>
    <w:qFormat/>
    <w:locked/>
    <w:uiPriority w:val="0"/>
    <w:pPr>
      <w:keepNext/>
      <w:keepLines/>
      <w:spacing w:before="260" w:after="260" w:line="416" w:lineRule="atLeast"/>
      <w:outlineLvl w:val="1"/>
    </w:pPr>
    <w:rPr>
      <w:rFonts w:ascii="Calibri Light" w:hAnsi="Calibri Light"/>
      <w:b/>
      <w:bCs/>
      <w:sz w:val="32"/>
      <w:szCs w:val="32"/>
    </w:rPr>
  </w:style>
  <w:style w:type="paragraph" w:styleId="4">
    <w:name w:val="heading 3"/>
    <w:basedOn w:val="1"/>
    <w:next w:val="1"/>
    <w:link w:val="51"/>
    <w:qFormat/>
    <w:locked/>
    <w:uiPriority w:val="0"/>
    <w:pPr>
      <w:keepNext/>
      <w:keepLines/>
      <w:spacing w:before="260" w:after="260" w:line="416" w:lineRule="auto"/>
      <w:outlineLvl w:val="2"/>
    </w:pPr>
    <w:rPr>
      <w:b/>
      <w:bCs/>
      <w:sz w:val="32"/>
      <w:szCs w:val="32"/>
    </w:rPr>
  </w:style>
  <w:style w:type="paragraph" w:styleId="5">
    <w:name w:val="heading 4"/>
    <w:basedOn w:val="1"/>
    <w:next w:val="1"/>
    <w:link w:val="52"/>
    <w:qFormat/>
    <w:locked/>
    <w:uiPriority w:val="0"/>
    <w:pPr>
      <w:keepNext/>
      <w:keepLines/>
      <w:spacing w:before="50" w:beforeLines="50" w:after="120" w:line="440" w:lineRule="exact"/>
      <w:outlineLvl w:val="3"/>
    </w:pPr>
    <w:rPr>
      <w:rFonts w:cs="Calibri"/>
      <w:bCs/>
      <w:szCs w:val="28"/>
    </w:rPr>
  </w:style>
  <w:style w:type="paragraph" w:styleId="6">
    <w:name w:val="heading 5"/>
    <w:basedOn w:val="1"/>
    <w:next w:val="1"/>
    <w:link w:val="53"/>
    <w:qFormat/>
    <w:locked/>
    <w:uiPriority w:val="0"/>
    <w:pPr>
      <w:keepNext/>
      <w:keepLines/>
      <w:spacing w:before="280" w:after="290" w:line="376" w:lineRule="auto"/>
      <w:outlineLvl w:val="4"/>
    </w:pPr>
    <w:rPr>
      <w:b/>
      <w:bCs/>
      <w:sz w:val="28"/>
      <w:szCs w:val="28"/>
    </w:rPr>
  </w:style>
  <w:style w:type="character" w:default="1" w:styleId="41">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7">
    <w:name w:val="List 3"/>
    <w:basedOn w:val="1"/>
    <w:qFormat/>
    <w:locked/>
    <w:uiPriority w:val="0"/>
    <w:pPr>
      <w:spacing w:line="440" w:lineRule="exact"/>
      <w:ind w:left="1260" w:hanging="420"/>
    </w:pPr>
    <w:rPr>
      <w:rFonts w:cs="Calibri"/>
      <w:szCs w:val="20"/>
    </w:rPr>
  </w:style>
  <w:style w:type="paragraph" w:styleId="8">
    <w:name w:val="Normal Indent"/>
    <w:basedOn w:val="1"/>
    <w:link w:val="54"/>
    <w:qFormat/>
    <w:locked/>
    <w:uiPriority w:val="0"/>
    <w:pPr>
      <w:spacing w:line="440" w:lineRule="exact"/>
    </w:pPr>
    <w:rPr>
      <w:sz w:val="28"/>
      <w:szCs w:val="20"/>
    </w:rPr>
  </w:style>
  <w:style w:type="paragraph" w:styleId="9">
    <w:name w:val="caption"/>
    <w:basedOn w:val="1"/>
    <w:next w:val="1"/>
    <w:link w:val="55"/>
    <w:qFormat/>
    <w:locked/>
    <w:uiPriority w:val="0"/>
    <w:pPr>
      <w:spacing w:line="440" w:lineRule="exact"/>
    </w:pPr>
    <w:rPr>
      <w:rFonts w:ascii="Cambria" w:hAnsi="Cambria" w:eastAsia="黑体"/>
      <w:sz w:val="20"/>
      <w:szCs w:val="20"/>
    </w:rPr>
  </w:style>
  <w:style w:type="paragraph" w:styleId="10">
    <w:name w:val="Document Map"/>
    <w:basedOn w:val="1"/>
    <w:semiHidden/>
    <w:qFormat/>
    <w:locked/>
    <w:uiPriority w:val="0"/>
    <w:pPr>
      <w:shd w:val="clear" w:color="auto" w:fill="000080"/>
    </w:pPr>
  </w:style>
  <w:style w:type="paragraph" w:styleId="11">
    <w:name w:val="annotation text"/>
    <w:basedOn w:val="1"/>
    <w:link w:val="56"/>
    <w:qFormat/>
    <w:uiPriority w:val="0"/>
    <w:pPr>
      <w:jc w:val="left"/>
    </w:pPr>
    <w:rPr>
      <w:kern w:val="0"/>
      <w:szCs w:val="20"/>
    </w:rPr>
  </w:style>
  <w:style w:type="paragraph" w:styleId="12">
    <w:name w:val="Salutation"/>
    <w:basedOn w:val="1"/>
    <w:next w:val="1"/>
    <w:qFormat/>
    <w:locked/>
    <w:uiPriority w:val="0"/>
    <w:rPr>
      <w:rFonts w:ascii="宋体" w:hAnsi="华文宋体"/>
      <w:sz w:val="28"/>
    </w:rPr>
  </w:style>
  <w:style w:type="paragraph" w:styleId="13">
    <w:name w:val="Body Text 3"/>
    <w:basedOn w:val="1"/>
    <w:link w:val="57"/>
    <w:qFormat/>
    <w:locked/>
    <w:uiPriority w:val="0"/>
    <w:pPr>
      <w:spacing w:line="440" w:lineRule="exact"/>
    </w:pPr>
    <w:rPr>
      <w:rFonts w:cs="Calibri"/>
      <w:szCs w:val="20"/>
    </w:rPr>
  </w:style>
  <w:style w:type="paragraph" w:styleId="14">
    <w:name w:val="Body Text"/>
    <w:basedOn w:val="1"/>
    <w:next w:val="15"/>
    <w:link w:val="48"/>
    <w:qFormat/>
    <w:uiPriority w:val="0"/>
    <w:pPr>
      <w:widowControl/>
      <w:snapToGrid w:val="0"/>
      <w:spacing w:before="60" w:after="160" w:line="259" w:lineRule="auto"/>
      <w:ind w:right="113"/>
    </w:pPr>
    <w:rPr>
      <w:kern w:val="0"/>
      <w:sz w:val="18"/>
      <w:szCs w:val="20"/>
    </w:rPr>
  </w:style>
  <w:style w:type="paragraph" w:styleId="15">
    <w:name w:val="List Bullet 5"/>
    <w:basedOn w:val="1"/>
    <w:qFormat/>
    <w:locked/>
    <w:uiPriority w:val="0"/>
    <w:pPr>
      <w:numPr>
        <w:ilvl w:val="0"/>
        <w:numId w:val="1"/>
      </w:numPr>
    </w:pPr>
  </w:style>
  <w:style w:type="paragraph" w:styleId="16">
    <w:name w:val="Body Text Indent"/>
    <w:basedOn w:val="1"/>
    <w:next w:val="1"/>
    <w:link w:val="58"/>
    <w:qFormat/>
    <w:uiPriority w:val="0"/>
    <w:pPr>
      <w:spacing w:after="120"/>
      <w:ind w:left="420" w:leftChars="200"/>
    </w:pPr>
    <w:rPr>
      <w:kern w:val="0"/>
      <w:szCs w:val="20"/>
    </w:rPr>
  </w:style>
  <w:style w:type="paragraph" w:styleId="17">
    <w:name w:val="List 2"/>
    <w:basedOn w:val="1"/>
    <w:qFormat/>
    <w:locked/>
    <w:uiPriority w:val="0"/>
    <w:pPr>
      <w:spacing w:line="360" w:lineRule="exact"/>
      <w:jc w:val="center"/>
    </w:pPr>
    <w:rPr>
      <w:rFonts w:ascii="仿宋_GB2312" w:eastAsia="仿宋_GB2312"/>
    </w:rPr>
  </w:style>
  <w:style w:type="paragraph" w:styleId="18">
    <w:name w:val="Block Text"/>
    <w:basedOn w:val="1"/>
    <w:qFormat/>
    <w:locked/>
    <w:uiPriority w:val="99"/>
    <w:pPr>
      <w:spacing w:after="120"/>
      <w:ind w:left="1440" w:leftChars="700" w:right="1440" w:rightChars="700"/>
    </w:pPr>
  </w:style>
  <w:style w:type="paragraph" w:styleId="19">
    <w:name w:val="Plain Text"/>
    <w:basedOn w:val="1"/>
    <w:next w:val="12"/>
    <w:link w:val="59"/>
    <w:qFormat/>
    <w:locked/>
    <w:uiPriority w:val="0"/>
    <w:pPr>
      <w:spacing w:line="440" w:lineRule="exact"/>
    </w:pPr>
    <w:rPr>
      <w:rFonts w:ascii="宋体" w:hAnsi="Courier New"/>
      <w:sz w:val="28"/>
      <w:szCs w:val="20"/>
    </w:rPr>
  </w:style>
  <w:style w:type="paragraph" w:styleId="20">
    <w:name w:val="Date"/>
    <w:basedOn w:val="1"/>
    <w:next w:val="1"/>
    <w:link w:val="60"/>
    <w:qFormat/>
    <w:uiPriority w:val="0"/>
    <w:pPr>
      <w:ind w:left="100" w:leftChars="2500"/>
    </w:pPr>
    <w:rPr>
      <w:kern w:val="0"/>
      <w:szCs w:val="20"/>
    </w:rPr>
  </w:style>
  <w:style w:type="paragraph" w:styleId="21">
    <w:name w:val="Body Text Indent 2"/>
    <w:basedOn w:val="1"/>
    <w:link w:val="61"/>
    <w:qFormat/>
    <w:locked/>
    <w:uiPriority w:val="0"/>
    <w:pPr>
      <w:spacing w:after="120" w:line="480" w:lineRule="auto"/>
      <w:ind w:left="420" w:leftChars="200"/>
    </w:pPr>
    <w:rPr>
      <w:rFonts w:cs="Calibri"/>
    </w:rPr>
  </w:style>
  <w:style w:type="paragraph" w:styleId="22">
    <w:name w:val="Balloon Text"/>
    <w:basedOn w:val="1"/>
    <w:link w:val="62"/>
    <w:qFormat/>
    <w:uiPriority w:val="0"/>
    <w:rPr>
      <w:kern w:val="0"/>
      <w:sz w:val="18"/>
      <w:szCs w:val="20"/>
    </w:rPr>
  </w:style>
  <w:style w:type="paragraph" w:styleId="23">
    <w:name w:val="footer"/>
    <w:basedOn w:val="1"/>
    <w:next w:val="1"/>
    <w:link w:val="63"/>
    <w:qFormat/>
    <w:uiPriority w:val="99"/>
    <w:pPr>
      <w:tabs>
        <w:tab w:val="center" w:pos="4153"/>
        <w:tab w:val="right" w:pos="8306"/>
      </w:tabs>
      <w:snapToGrid w:val="0"/>
      <w:jc w:val="left"/>
    </w:pPr>
    <w:rPr>
      <w:kern w:val="0"/>
      <w:sz w:val="18"/>
      <w:szCs w:val="20"/>
    </w:rPr>
  </w:style>
  <w:style w:type="paragraph" w:styleId="24">
    <w:name w:val="header"/>
    <w:basedOn w:val="1"/>
    <w:link w:val="64"/>
    <w:qFormat/>
    <w:uiPriority w:val="0"/>
    <w:pPr>
      <w:pBdr>
        <w:bottom w:val="single" w:color="auto" w:sz="6" w:space="1"/>
      </w:pBdr>
      <w:tabs>
        <w:tab w:val="center" w:pos="4153"/>
        <w:tab w:val="right" w:pos="8306"/>
      </w:tabs>
      <w:snapToGrid w:val="0"/>
      <w:jc w:val="center"/>
    </w:pPr>
    <w:rPr>
      <w:kern w:val="0"/>
      <w:sz w:val="18"/>
      <w:szCs w:val="20"/>
    </w:rPr>
  </w:style>
  <w:style w:type="paragraph" w:styleId="25">
    <w:name w:val="Subtitle"/>
    <w:basedOn w:val="1"/>
    <w:next w:val="1"/>
    <w:link w:val="65"/>
    <w:qFormat/>
    <w:locked/>
    <w:uiPriority w:val="0"/>
    <w:pPr>
      <w:spacing w:before="50" w:beforeLines="50" w:line="360" w:lineRule="auto"/>
      <w:ind w:firstLine="100" w:firstLineChars="100"/>
      <w:jc w:val="left"/>
      <w:outlineLvl w:val="1"/>
    </w:pPr>
    <w:rPr>
      <w:b/>
      <w:bCs/>
      <w:kern w:val="28"/>
      <w:sz w:val="28"/>
      <w:szCs w:val="32"/>
    </w:rPr>
  </w:style>
  <w:style w:type="paragraph" w:styleId="26">
    <w:name w:val="List"/>
    <w:basedOn w:val="1"/>
    <w:link w:val="66"/>
    <w:qFormat/>
    <w:locked/>
    <w:uiPriority w:val="0"/>
    <w:pPr>
      <w:spacing w:line="440" w:lineRule="exact"/>
      <w:ind w:left="200" w:hanging="200" w:hangingChars="200"/>
      <w:contextualSpacing/>
    </w:pPr>
    <w:rPr>
      <w:rFonts w:cs="Calibri"/>
    </w:rPr>
  </w:style>
  <w:style w:type="paragraph" w:styleId="27">
    <w:name w:val="Body Text Indent 3"/>
    <w:basedOn w:val="1"/>
    <w:link w:val="67"/>
    <w:qFormat/>
    <w:locked/>
    <w:uiPriority w:val="0"/>
    <w:pPr>
      <w:spacing w:after="120" w:line="440" w:lineRule="exact"/>
      <w:ind w:left="420" w:leftChars="200"/>
    </w:pPr>
    <w:rPr>
      <w:rFonts w:cs="Calibri"/>
      <w:sz w:val="16"/>
      <w:szCs w:val="16"/>
    </w:rPr>
  </w:style>
  <w:style w:type="paragraph" w:styleId="28">
    <w:name w:val="toc 2"/>
    <w:basedOn w:val="1"/>
    <w:next w:val="1"/>
    <w:semiHidden/>
    <w:qFormat/>
    <w:locked/>
    <w:uiPriority w:val="0"/>
    <w:pPr>
      <w:spacing w:line="240" w:lineRule="auto"/>
      <w:ind w:left="240" w:firstLine="0" w:firstLineChars="0"/>
      <w:jc w:val="left"/>
    </w:pPr>
    <w:rPr>
      <w:smallCaps/>
      <w:sz w:val="20"/>
      <w:szCs w:val="20"/>
    </w:rPr>
  </w:style>
  <w:style w:type="paragraph" w:styleId="29">
    <w:name w:val="HTML Preformatted"/>
    <w:basedOn w:val="1"/>
    <w:link w:val="68"/>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30">
    <w:name w:val="Normal (Web)"/>
    <w:basedOn w:val="1"/>
    <w:link w:val="69"/>
    <w:qFormat/>
    <w:uiPriority w:val="0"/>
    <w:pPr>
      <w:widowControl/>
      <w:spacing w:before="100" w:beforeAutospacing="1" w:after="100" w:afterAutospacing="1"/>
      <w:jc w:val="left"/>
    </w:pPr>
    <w:rPr>
      <w:rFonts w:ascii="宋体" w:hAnsi="宋体"/>
      <w:kern w:val="0"/>
      <w:szCs w:val="20"/>
    </w:rPr>
  </w:style>
  <w:style w:type="paragraph" w:styleId="31">
    <w:name w:val="index 1"/>
    <w:basedOn w:val="1"/>
    <w:next w:val="1"/>
    <w:qFormat/>
    <w:locked/>
    <w:uiPriority w:val="0"/>
    <w:pPr>
      <w:jc w:val="center"/>
    </w:pPr>
    <w:rPr>
      <w:rFonts w:ascii="宋体" w:hAnsi="宋体"/>
      <w:bCs/>
      <w:color w:val="FF0000"/>
      <w:sz w:val="21"/>
      <w:szCs w:val="21"/>
    </w:rPr>
  </w:style>
  <w:style w:type="paragraph" w:styleId="32">
    <w:name w:val="annotation subject"/>
    <w:basedOn w:val="11"/>
    <w:next w:val="11"/>
    <w:link w:val="70"/>
    <w:qFormat/>
    <w:uiPriority w:val="0"/>
    <w:rPr>
      <w:b/>
    </w:rPr>
  </w:style>
  <w:style w:type="paragraph" w:styleId="33">
    <w:name w:val="Body Text First Indent"/>
    <w:basedOn w:val="14"/>
    <w:link w:val="71"/>
    <w:qFormat/>
    <w:locked/>
    <w:uiPriority w:val="0"/>
    <w:pPr>
      <w:widowControl w:val="0"/>
      <w:snapToGrid/>
      <w:spacing w:before="0" w:after="120" w:line="440" w:lineRule="exact"/>
      <w:ind w:right="0" w:firstLine="420" w:firstLineChars="100"/>
    </w:pPr>
    <w:rPr>
      <w:rFonts w:cs="Calibri"/>
      <w:kern w:val="2"/>
      <w:sz w:val="24"/>
      <w:szCs w:val="24"/>
    </w:rPr>
  </w:style>
  <w:style w:type="paragraph" w:styleId="34">
    <w:name w:val="Body Text First Indent 2"/>
    <w:basedOn w:val="16"/>
    <w:next w:val="35"/>
    <w:qFormat/>
    <w:locked/>
    <w:uiPriority w:val="0"/>
    <w:pPr>
      <w:spacing w:after="120"/>
      <w:ind w:left="420" w:leftChars="200" w:firstLine="420"/>
    </w:pPr>
  </w:style>
  <w:style w:type="paragraph" w:customStyle="1" w:styleId="35">
    <w:name w:val="Default"/>
    <w:basedOn w:val="36"/>
    <w:qFormat/>
    <w:uiPriority w:val="0"/>
    <w:pPr>
      <w:widowControl w:val="0"/>
      <w:autoSpaceDE w:val="0"/>
      <w:autoSpaceDN w:val="0"/>
      <w:adjustRightInd w:val="0"/>
    </w:pPr>
    <w:rPr>
      <w:rFonts w:ascii="宋体" w:hAnsi="宋体" w:eastAsia="宋体" w:cs="宋体"/>
      <w:color w:val="000000"/>
      <w:sz w:val="24"/>
    </w:rPr>
  </w:style>
  <w:style w:type="paragraph" w:customStyle="1" w:styleId="36">
    <w:name w:val="标题 段落4级"/>
    <w:basedOn w:val="37"/>
    <w:next w:val="11"/>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37">
    <w:name w:val="正文 文本"/>
    <w:link w:val="100"/>
    <w:qFormat/>
    <w:uiPriority w:val="0"/>
    <w:pPr>
      <w:widowControl w:val="0"/>
      <w:spacing w:line="500" w:lineRule="exact"/>
      <w:ind w:firstLine="200" w:firstLineChars="200"/>
      <w:jc w:val="both"/>
    </w:pPr>
    <w:rPr>
      <w:rFonts w:ascii="Times New Roman" w:hAnsi="Times New Roman" w:eastAsia="仿宋_GB2312" w:cs="Times New Roman"/>
      <w:kern w:val="2"/>
      <w:sz w:val="28"/>
      <w:szCs w:val="24"/>
      <w:lang w:val="en-US" w:eastAsia="zh-CN" w:bidi="ar-SA"/>
    </w:rPr>
  </w:style>
  <w:style w:type="table" w:styleId="39">
    <w:name w:val="Table Grid"/>
    <w:basedOn w:val="3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0">
    <w:name w:val="Table Theme"/>
    <w:basedOn w:val="38"/>
    <w:qFormat/>
    <w:locked/>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qFormat/>
    <w:locked/>
    <w:uiPriority w:val="0"/>
    <w:rPr>
      <w:b/>
      <w:bCs/>
    </w:rPr>
  </w:style>
  <w:style w:type="character" w:styleId="43">
    <w:name w:val="page number"/>
    <w:qFormat/>
    <w:locked/>
    <w:uiPriority w:val="0"/>
  </w:style>
  <w:style w:type="character" w:styleId="44">
    <w:name w:val="Emphasis"/>
    <w:qFormat/>
    <w:locked/>
    <w:uiPriority w:val="20"/>
    <w:rPr>
      <w:rFonts w:ascii="Times New Roman" w:hAnsi="Times New Roman" w:eastAsia="宋体"/>
      <w:iCs/>
      <w:sz w:val="24"/>
    </w:rPr>
  </w:style>
  <w:style w:type="character" w:styleId="45">
    <w:name w:val="line number"/>
    <w:qFormat/>
    <w:locked/>
    <w:uiPriority w:val="0"/>
  </w:style>
  <w:style w:type="character" w:styleId="46">
    <w:name w:val="Hyperlink"/>
    <w:qFormat/>
    <w:locked/>
    <w:uiPriority w:val="0"/>
    <w:rPr>
      <w:color w:val="3366CC"/>
      <w:u w:val="single"/>
    </w:rPr>
  </w:style>
  <w:style w:type="character" w:styleId="47">
    <w:name w:val="annotation reference"/>
    <w:qFormat/>
    <w:uiPriority w:val="0"/>
    <w:rPr>
      <w:sz w:val="21"/>
    </w:rPr>
  </w:style>
  <w:style w:type="character" w:customStyle="1" w:styleId="48">
    <w:name w:val="正文文本 字符2"/>
    <w:link w:val="14"/>
    <w:qFormat/>
    <w:locked/>
    <w:uiPriority w:val="0"/>
    <w:rPr>
      <w:sz w:val="18"/>
    </w:rPr>
  </w:style>
  <w:style w:type="character" w:customStyle="1" w:styleId="49">
    <w:name w:val="标题 1 字符"/>
    <w:link w:val="2"/>
    <w:qFormat/>
    <w:uiPriority w:val="0"/>
    <w:rPr>
      <w:rFonts w:eastAsia="黑体"/>
      <w:b/>
      <w:bCs/>
      <w:color w:val="000000"/>
      <w:kern w:val="44"/>
      <w:sz w:val="30"/>
      <w:szCs w:val="30"/>
    </w:rPr>
  </w:style>
  <w:style w:type="character" w:customStyle="1" w:styleId="50">
    <w:name w:val="标题 2 字符"/>
    <w:link w:val="3"/>
    <w:semiHidden/>
    <w:qFormat/>
    <w:uiPriority w:val="0"/>
    <w:rPr>
      <w:rFonts w:ascii="Calibri Light" w:hAnsi="Calibri Light"/>
      <w:b/>
      <w:bCs/>
      <w:kern w:val="2"/>
      <w:sz w:val="32"/>
      <w:szCs w:val="32"/>
    </w:rPr>
  </w:style>
  <w:style w:type="character" w:customStyle="1" w:styleId="51">
    <w:name w:val="标题 3 字符"/>
    <w:link w:val="4"/>
    <w:qFormat/>
    <w:uiPriority w:val="0"/>
    <w:rPr>
      <w:b/>
      <w:bCs/>
      <w:kern w:val="2"/>
      <w:sz w:val="32"/>
      <w:szCs w:val="32"/>
    </w:rPr>
  </w:style>
  <w:style w:type="character" w:customStyle="1" w:styleId="52">
    <w:name w:val="标题 4 字符"/>
    <w:link w:val="5"/>
    <w:qFormat/>
    <w:uiPriority w:val="0"/>
    <w:rPr>
      <w:rFonts w:cs="Calibri"/>
      <w:bCs/>
      <w:kern w:val="2"/>
      <w:sz w:val="24"/>
      <w:szCs w:val="28"/>
    </w:rPr>
  </w:style>
  <w:style w:type="character" w:customStyle="1" w:styleId="53">
    <w:name w:val="标题 5 字符"/>
    <w:link w:val="6"/>
    <w:qFormat/>
    <w:uiPriority w:val="0"/>
    <w:rPr>
      <w:b/>
      <w:bCs/>
      <w:kern w:val="2"/>
      <w:sz w:val="28"/>
      <w:szCs w:val="28"/>
    </w:rPr>
  </w:style>
  <w:style w:type="character" w:customStyle="1" w:styleId="54">
    <w:name w:val="正文缩进 字符"/>
    <w:link w:val="8"/>
    <w:qFormat/>
    <w:uiPriority w:val="0"/>
    <w:rPr>
      <w:kern w:val="2"/>
      <w:sz w:val="28"/>
    </w:rPr>
  </w:style>
  <w:style w:type="character" w:customStyle="1" w:styleId="55">
    <w:name w:val="题注 字符"/>
    <w:link w:val="9"/>
    <w:qFormat/>
    <w:uiPriority w:val="0"/>
    <w:rPr>
      <w:rFonts w:ascii="Cambria" w:hAnsi="Cambria" w:eastAsia="黑体"/>
      <w:kern w:val="2"/>
    </w:rPr>
  </w:style>
  <w:style w:type="character" w:customStyle="1" w:styleId="56">
    <w:name w:val="批注文字 字符"/>
    <w:link w:val="11"/>
    <w:qFormat/>
    <w:locked/>
    <w:uiPriority w:val="0"/>
    <w:rPr>
      <w:rFonts w:ascii="Times New Roman" w:hAnsi="Times New Roman" w:eastAsia="宋体"/>
      <w:sz w:val="24"/>
    </w:rPr>
  </w:style>
  <w:style w:type="character" w:customStyle="1" w:styleId="57">
    <w:name w:val="正文文本 3 字符"/>
    <w:link w:val="13"/>
    <w:qFormat/>
    <w:uiPriority w:val="0"/>
    <w:rPr>
      <w:rFonts w:cs="Calibri"/>
      <w:kern w:val="2"/>
      <w:sz w:val="24"/>
    </w:rPr>
  </w:style>
  <w:style w:type="character" w:customStyle="1" w:styleId="58">
    <w:name w:val="正文文本缩进 字符"/>
    <w:link w:val="16"/>
    <w:qFormat/>
    <w:locked/>
    <w:uiPriority w:val="0"/>
    <w:rPr>
      <w:rFonts w:ascii="Times New Roman" w:hAnsi="Times New Roman" w:eastAsia="宋体"/>
      <w:sz w:val="24"/>
    </w:rPr>
  </w:style>
  <w:style w:type="character" w:customStyle="1" w:styleId="59">
    <w:name w:val="纯文本 字符"/>
    <w:link w:val="19"/>
    <w:qFormat/>
    <w:uiPriority w:val="0"/>
    <w:rPr>
      <w:rFonts w:ascii="宋体" w:hAnsi="Courier New"/>
      <w:kern w:val="2"/>
      <w:sz w:val="28"/>
    </w:rPr>
  </w:style>
  <w:style w:type="character" w:customStyle="1" w:styleId="60">
    <w:name w:val="日期 字符1"/>
    <w:link w:val="20"/>
    <w:qFormat/>
    <w:locked/>
    <w:uiPriority w:val="0"/>
    <w:rPr>
      <w:rFonts w:ascii="Times New Roman" w:hAnsi="Times New Roman" w:eastAsia="宋体"/>
      <w:sz w:val="24"/>
    </w:rPr>
  </w:style>
  <w:style w:type="character" w:customStyle="1" w:styleId="61">
    <w:name w:val="正文文本缩进 2 字符"/>
    <w:link w:val="21"/>
    <w:qFormat/>
    <w:uiPriority w:val="0"/>
    <w:rPr>
      <w:rFonts w:cs="Calibri"/>
      <w:kern w:val="2"/>
      <w:sz w:val="24"/>
      <w:szCs w:val="24"/>
    </w:rPr>
  </w:style>
  <w:style w:type="character" w:customStyle="1" w:styleId="62">
    <w:name w:val="批注框文本 字符"/>
    <w:link w:val="22"/>
    <w:qFormat/>
    <w:locked/>
    <w:uiPriority w:val="0"/>
    <w:rPr>
      <w:rFonts w:ascii="Times New Roman" w:hAnsi="Times New Roman" w:eastAsia="宋体"/>
      <w:sz w:val="18"/>
    </w:rPr>
  </w:style>
  <w:style w:type="character" w:customStyle="1" w:styleId="63">
    <w:name w:val="页脚 字符1"/>
    <w:link w:val="23"/>
    <w:qFormat/>
    <w:locked/>
    <w:uiPriority w:val="99"/>
    <w:rPr>
      <w:sz w:val="18"/>
    </w:rPr>
  </w:style>
  <w:style w:type="character" w:customStyle="1" w:styleId="64">
    <w:name w:val="页眉 字符"/>
    <w:link w:val="24"/>
    <w:qFormat/>
    <w:locked/>
    <w:uiPriority w:val="99"/>
    <w:rPr>
      <w:sz w:val="18"/>
    </w:rPr>
  </w:style>
  <w:style w:type="character" w:customStyle="1" w:styleId="65">
    <w:name w:val="副标题 字符"/>
    <w:link w:val="25"/>
    <w:qFormat/>
    <w:uiPriority w:val="0"/>
    <w:rPr>
      <w:rFonts w:cs="Times New Roman"/>
      <w:b/>
      <w:bCs/>
      <w:kern w:val="28"/>
      <w:sz w:val="28"/>
      <w:szCs w:val="32"/>
    </w:rPr>
  </w:style>
  <w:style w:type="character" w:customStyle="1" w:styleId="66">
    <w:name w:val="列表 字符"/>
    <w:link w:val="26"/>
    <w:qFormat/>
    <w:uiPriority w:val="0"/>
    <w:rPr>
      <w:rFonts w:cs="Calibri"/>
      <w:kern w:val="2"/>
      <w:sz w:val="24"/>
      <w:szCs w:val="24"/>
    </w:rPr>
  </w:style>
  <w:style w:type="character" w:customStyle="1" w:styleId="67">
    <w:name w:val="正文文本缩进 3 字符"/>
    <w:link w:val="27"/>
    <w:qFormat/>
    <w:uiPriority w:val="0"/>
    <w:rPr>
      <w:rFonts w:cs="Calibri"/>
      <w:kern w:val="2"/>
      <w:sz w:val="16"/>
      <w:szCs w:val="16"/>
    </w:rPr>
  </w:style>
  <w:style w:type="character" w:customStyle="1" w:styleId="68">
    <w:name w:val="HTML 预设格式 字符"/>
    <w:link w:val="29"/>
    <w:qFormat/>
    <w:uiPriority w:val="0"/>
    <w:rPr>
      <w:rFonts w:ascii="Arial" w:hAnsi="Arial" w:cs="Arial"/>
      <w:sz w:val="24"/>
      <w:szCs w:val="21"/>
    </w:rPr>
  </w:style>
  <w:style w:type="character" w:customStyle="1" w:styleId="69">
    <w:name w:val="普通(网站) 字符"/>
    <w:link w:val="30"/>
    <w:qFormat/>
    <w:locked/>
    <w:uiPriority w:val="0"/>
    <w:rPr>
      <w:rFonts w:ascii="宋体" w:hAnsi="宋体" w:eastAsia="宋体"/>
      <w:sz w:val="24"/>
    </w:rPr>
  </w:style>
  <w:style w:type="character" w:customStyle="1" w:styleId="70">
    <w:name w:val="批注主题 字符"/>
    <w:link w:val="32"/>
    <w:qFormat/>
    <w:locked/>
    <w:uiPriority w:val="0"/>
    <w:rPr>
      <w:rFonts w:ascii="Times New Roman" w:hAnsi="Times New Roman" w:eastAsia="宋体"/>
      <w:b/>
      <w:kern w:val="2"/>
      <w:sz w:val="24"/>
    </w:rPr>
  </w:style>
  <w:style w:type="character" w:customStyle="1" w:styleId="71">
    <w:name w:val="正文文本首行缩进 字符"/>
    <w:link w:val="33"/>
    <w:qFormat/>
    <w:uiPriority w:val="0"/>
    <w:rPr>
      <w:rFonts w:cs="Calibri"/>
      <w:kern w:val="2"/>
      <w:sz w:val="24"/>
      <w:szCs w:val="24"/>
    </w:rPr>
  </w:style>
  <w:style w:type="character" w:customStyle="1" w:styleId="72">
    <w:name w:val="表头 Char"/>
    <w:qFormat/>
    <w:uiPriority w:val="0"/>
    <w:rPr>
      <w:rFonts w:eastAsia="宋体"/>
      <w:b/>
      <w:sz w:val="24"/>
      <w:szCs w:val="24"/>
      <w:lang w:val="en-US" w:eastAsia="zh-CN" w:bidi="ar-SA"/>
    </w:rPr>
  </w:style>
  <w:style w:type="character" w:customStyle="1" w:styleId="73">
    <w:name w:val="纯文本 Char"/>
    <w:qFormat/>
    <w:uiPriority w:val="0"/>
    <w:rPr>
      <w:rFonts w:ascii="宋体" w:hAnsi="Courier New" w:eastAsia="宋体"/>
      <w:kern w:val="2"/>
      <w:sz w:val="28"/>
      <w:lang w:val="en-US" w:eastAsia="zh-CN" w:bidi="ar-SA"/>
    </w:rPr>
  </w:style>
  <w:style w:type="character" w:customStyle="1" w:styleId="74">
    <w:name w:val="表头图名 Char Char"/>
    <w:link w:val="75"/>
    <w:qFormat/>
    <w:uiPriority w:val="0"/>
    <w:rPr>
      <w:kern w:val="2"/>
      <w:sz w:val="24"/>
      <w:szCs w:val="24"/>
    </w:rPr>
  </w:style>
  <w:style w:type="paragraph" w:customStyle="1" w:styleId="75">
    <w:name w:val="表头图名"/>
    <w:basedOn w:val="1"/>
    <w:link w:val="74"/>
    <w:qFormat/>
    <w:uiPriority w:val="0"/>
    <w:pPr>
      <w:spacing w:line="360" w:lineRule="auto"/>
      <w:jc w:val="center"/>
    </w:pPr>
  </w:style>
  <w:style w:type="character" w:customStyle="1" w:styleId="76">
    <w:name w:val="font51"/>
    <w:qFormat/>
    <w:uiPriority w:val="0"/>
    <w:rPr>
      <w:rFonts w:hint="eastAsia" w:ascii="宋体" w:hAnsi="宋体" w:eastAsia="宋体" w:cs="宋体"/>
      <w:b/>
      <w:color w:val="000000"/>
      <w:sz w:val="22"/>
      <w:szCs w:val="22"/>
      <w:u w:val="none"/>
    </w:rPr>
  </w:style>
  <w:style w:type="character" w:customStyle="1" w:styleId="77">
    <w:name w:val="新正文 Char"/>
    <w:link w:val="78"/>
    <w:qFormat/>
    <w:uiPriority w:val="0"/>
    <w:rPr>
      <w:rFonts w:ascii="仿宋_GB2312" w:eastAsia="仿宋_GB2312"/>
      <w:bCs/>
      <w:sz w:val="28"/>
      <w:szCs w:val="24"/>
    </w:rPr>
  </w:style>
  <w:style w:type="paragraph" w:customStyle="1" w:styleId="78">
    <w:name w:val="新正文"/>
    <w:basedOn w:val="1"/>
    <w:link w:val="77"/>
    <w:qFormat/>
    <w:uiPriority w:val="0"/>
    <w:pPr>
      <w:spacing w:line="480" w:lineRule="exact"/>
      <w:ind w:firstLine="567"/>
    </w:pPr>
    <w:rPr>
      <w:rFonts w:ascii="仿宋_GB2312" w:eastAsia="仿宋_GB2312"/>
      <w:bCs/>
      <w:kern w:val="0"/>
      <w:sz w:val="28"/>
    </w:rPr>
  </w:style>
  <w:style w:type="character" w:customStyle="1" w:styleId="79">
    <w:name w:val="普通文字 Char1"/>
    <w:qFormat/>
    <w:uiPriority w:val="0"/>
    <w:rPr>
      <w:rFonts w:ascii="宋体" w:hAnsi="Courier New" w:eastAsia="宋体"/>
      <w:kern w:val="2"/>
      <w:sz w:val="21"/>
      <w:lang w:val="en-US" w:eastAsia="zh-CN" w:bidi="ar-SA"/>
    </w:rPr>
  </w:style>
  <w:style w:type="character" w:customStyle="1" w:styleId="80">
    <w:name w:val="页脚 字符"/>
    <w:qFormat/>
    <w:uiPriority w:val="99"/>
  </w:style>
  <w:style w:type="character" w:customStyle="1" w:styleId="81">
    <w:name w:val="报告书正文 Char"/>
    <w:link w:val="82"/>
    <w:qFormat/>
    <w:uiPriority w:val="0"/>
    <w:rPr>
      <w:kern w:val="2"/>
      <w:sz w:val="24"/>
      <w:szCs w:val="24"/>
    </w:rPr>
  </w:style>
  <w:style w:type="paragraph" w:customStyle="1" w:styleId="82">
    <w:name w:val="报告书正文"/>
    <w:basedOn w:val="1"/>
    <w:link w:val="81"/>
    <w:qFormat/>
    <w:uiPriority w:val="0"/>
    <w:pPr>
      <w:spacing w:line="360" w:lineRule="auto"/>
    </w:pPr>
  </w:style>
  <w:style w:type="character" w:customStyle="1" w:styleId="83">
    <w:name w:val="图片 Char"/>
    <w:link w:val="84"/>
    <w:qFormat/>
    <w:uiPriority w:val="0"/>
    <w:rPr>
      <w:rFonts w:eastAsia="仿宋"/>
      <w:color w:val="000000"/>
      <w:kern w:val="2"/>
      <w:sz w:val="28"/>
      <w:szCs w:val="22"/>
    </w:rPr>
  </w:style>
  <w:style w:type="paragraph" w:customStyle="1" w:styleId="84">
    <w:name w:val="图片"/>
    <w:basedOn w:val="1"/>
    <w:link w:val="83"/>
    <w:qFormat/>
    <w:uiPriority w:val="0"/>
    <w:pPr>
      <w:spacing w:before="50" w:beforeLines="50" w:line="360" w:lineRule="auto"/>
      <w:ind w:firstLine="0" w:firstLineChars="0"/>
      <w:jc w:val="center"/>
    </w:pPr>
    <w:rPr>
      <w:rFonts w:eastAsia="仿宋"/>
      <w:color w:val="000000"/>
      <w:sz w:val="28"/>
      <w:szCs w:val="22"/>
    </w:rPr>
  </w:style>
  <w:style w:type="character" w:customStyle="1" w:styleId="85">
    <w:name w:val="图标 Char"/>
    <w:link w:val="86"/>
    <w:qFormat/>
    <w:uiPriority w:val="0"/>
    <w:rPr>
      <w:b/>
      <w:kern w:val="2"/>
      <w:sz w:val="24"/>
      <w:szCs w:val="22"/>
    </w:rPr>
  </w:style>
  <w:style w:type="paragraph" w:customStyle="1" w:styleId="86">
    <w:name w:val="图标"/>
    <w:basedOn w:val="1"/>
    <w:link w:val="85"/>
    <w:qFormat/>
    <w:uiPriority w:val="0"/>
    <w:pPr>
      <w:spacing w:line="360" w:lineRule="auto"/>
      <w:jc w:val="center"/>
    </w:pPr>
    <w:rPr>
      <w:b/>
      <w:szCs w:val="22"/>
    </w:rPr>
  </w:style>
  <w:style w:type="character" w:customStyle="1" w:styleId="87">
    <w:name w:val="表标题 Char"/>
    <w:link w:val="88"/>
    <w:qFormat/>
    <w:locked/>
    <w:uiPriority w:val="0"/>
    <w:rPr>
      <w:rFonts w:ascii="仿宋_GB2312" w:eastAsia="仿宋_GB2312"/>
      <w:b/>
      <w:bCs/>
      <w:kern w:val="2"/>
      <w:sz w:val="24"/>
      <w:szCs w:val="24"/>
    </w:rPr>
  </w:style>
  <w:style w:type="paragraph" w:customStyle="1" w:styleId="88">
    <w:name w:val="表标题"/>
    <w:basedOn w:val="1"/>
    <w:link w:val="87"/>
    <w:qFormat/>
    <w:uiPriority w:val="0"/>
    <w:pPr>
      <w:spacing w:line="500" w:lineRule="exact"/>
      <w:jc w:val="center"/>
    </w:pPr>
    <w:rPr>
      <w:rFonts w:ascii="仿宋_GB2312" w:eastAsia="仿宋_GB2312"/>
      <w:b/>
      <w:bCs/>
    </w:rPr>
  </w:style>
  <w:style w:type="character" w:customStyle="1" w:styleId="89">
    <w:name w:val="表格 首行文字 Char"/>
    <w:link w:val="90"/>
    <w:qFormat/>
    <w:uiPriority w:val="0"/>
    <w:rPr>
      <w:rFonts w:eastAsia="仿宋_GB2312"/>
      <w:b/>
    </w:rPr>
  </w:style>
  <w:style w:type="paragraph" w:customStyle="1" w:styleId="90">
    <w:name w:val="表格 首行文字"/>
    <w:basedOn w:val="1"/>
    <w:link w:val="89"/>
    <w:qFormat/>
    <w:uiPriority w:val="0"/>
    <w:pPr>
      <w:spacing w:line="440" w:lineRule="exact"/>
      <w:jc w:val="center"/>
    </w:pPr>
    <w:rPr>
      <w:rFonts w:eastAsia="仿宋_GB2312"/>
      <w:b/>
      <w:kern w:val="0"/>
      <w:sz w:val="20"/>
      <w:szCs w:val="20"/>
    </w:rPr>
  </w:style>
  <w:style w:type="character" w:customStyle="1" w:styleId="91">
    <w:name w:val="Body Text 21 Char Char"/>
    <w:link w:val="92"/>
    <w:qFormat/>
    <w:uiPriority w:val="0"/>
    <w:rPr>
      <w:rFonts w:ascii="仿宋_GB2312" w:eastAsia="仿宋体"/>
      <w:kern w:val="2"/>
      <w:sz w:val="24"/>
      <w:szCs w:val="24"/>
    </w:rPr>
  </w:style>
  <w:style w:type="paragraph" w:customStyle="1" w:styleId="92">
    <w:name w:val="Body Text 21"/>
    <w:basedOn w:val="1"/>
    <w:link w:val="91"/>
    <w:qFormat/>
    <w:uiPriority w:val="0"/>
    <w:pPr>
      <w:adjustRightInd w:val="0"/>
      <w:spacing w:line="440" w:lineRule="exact"/>
      <w:textAlignment w:val="baseline"/>
    </w:pPr>
    <w:rPr>
      <w:rFonts w:ascii="仿宋_GB2312" w:eastAsia="仿宋体"/>
    </w:rPr>
  </w:style>
  <w:style w:type="character" w:customStyle="1" w:styleId="93">
    <w:name w:val="中文报告书样式 Char Char"/>
    <w:qFormat/>
    <w:uiPriority w:val="0"/>
    <w:rPr>
      <w:rFonts w:eastAsia="宋体"/>
      <w:kern w:val="24"/>
      <w:sz w:val="24"/>
      <w:lang w:val="en-US" w:eastAsia="zh-CN" w:bidi="ar-SA"/>
    </w:rPr>
  </w:style>
  <w:style w:type="character" w:customStyle="1" w:styleId="94">
    <w:name w:val="中文报告书样式 Char1"/>
    <w:qFormat/>
    <w:uiPriority w:val="0"/>
    <w:rPr>
      <w:rFonts w:eastAsia="宋体"/>
      <w:kern w:val="24"/>
      <w:sz w:val="24"/>
      <w:lang w:val="en-US" w:eastAsia="zh-CN" w:bidi="ar-SA"/>
    </w:rPr>
  </w:style>
  <w:style w:type="character" w:customStyle="1" w:styleId="95">
    <w:name w:val="中文报告书样式 Char"/>
    <w:link w:val="96"/>
    <w:qFormat/>
    <w:uiPriority w:val="0"/>
    <w:rPr>
      <w:kern w:val="24"/>
      <w:sz w:val="24"/>
    </w:rPr>
  </w:style>
  <w:style w:type="paragraph" w:customStyle="1" w:styleId="96">
    <w:name w:val="中文报告书样式"/>
    <w:basedOn w:val="1"/>
    <w:link w:val="95"/>
    <w:qFormat/>
    <w:uiPriority w:val="0"/>
    <w:pPr>
      <w:adjustRightInd w:val="0"/>
      <w:spacing w:line="480" w:lineRule="atLeast"/>
      <w:ind w:firstLine="482"/>
      <w:textAlignment w:val="baseline"/>
    </w:pPr>
    <w:rPr>
      <w:kern w:val="24"/>
      <w:szCs w:val="20"/>
    </w:rPr>
  </w:style>
  <w:style w:type="character" w:customStyle="1" w:styleId="97">
    <w:name w:val="Plain Text Char2"/>
    <w:semiHidden/>
    <w:qFormat/>
    <w:locked/>
    <w:uiPriority w:val="0"/>
    <w:rPr>
      <w:rFonts w:ascii="宋体" w:hAnsi="Courier New" w:eastAsia="宋体" w:cs="宋体"/>
      <w:sz w:val="21"/>
      <w:szCs w:val="21"/>
    </w:rPr>
  </w:style>
  <w:style w:type="character" w:customStyle="1" w:styleId="98">
    <w:name w:val="表格 普通文字 Char"/>
    <w:link w:val="99"/>
    <w:qFormat/>
    <w:uiPriority w:val="0"/>
    <w:rPr>
      <w:rFonts w:eastAsia="仿宋_GB2312"/>
      <w:szCs w:val="21"/>
    </w:rPr>
  </w:style>
  <w:style w:type="paragraph" w:customStyle="1" w:styleId="99">
    <w:name w:val="表格 普通文字"/>
    <w:basedOn w:val="37"/>
    <w:link w:val="98"/>
    <w:qFormat/>
    <w:uiPriority w:val="0"/>
    <w:pPr>
      <w:spacing w:line="240" w:lineRule="auto"/>
      <w:ind w:firstLine="0" w:firstLineChars="0"/>
      <w:jc w:val="center"/>
    </w:pPr>
    <w:rPr>
      <w:kern w:val="0"/>
      <w:sz w:val="20"/>
      <w:szCs w:val="21"/>
    </w:rPr>
  </w:style>
  <w:style w:type="character" w:customStyle="1" w:styleId="100">
    <w:name w:val="正文 文本 Char Char"/>
    <w:link w:val="37"/>
    <w:qFormat/>
    <w:uiPriority w:val="0"/>
    <w:rPr>
      <w:rFonts w:eastAsia="仿宋_GB2312"/>
      <w:kern w:val="2"/>
      <w:sz w:val="28"/>
      <w:szCs w:val="24"/>
    </w:rPr>
  </w:style>
  <w:style w:type="character" w:customStyle="1" w:styleId="101">
    <w:name w:val="正文 4 Char"/>
    <w:link w:val="102"/>
    <w:qFormat/>
    <w:uiPriority w:val="0"/>
    <w:rPr>
      <w:bCs/>
      <w:kern w:val="2"/>
      <w:sz w:val="24"/>
      <w:szCs w:val="24"/>
    </w:rPr>
  </w:style>
  <w:style w:type="paragraph" w:customStyle="1" w:styleId="102">
    <w:name w:val="正文 4"/>
    <w:basedOn w:val="1"/>
    <w:link w:val="101"/>
    <w:qFormat/>
    <w:uiPriority w:val="0"/>
    <w:pPr>
      <w:overflowPunct w:val="0"/>
      <w:adjustRightInd w:val="0"/>
      <w:snapToGrid w:val="0"/>
      <w:spacing w:line="500" w:lineRule="exact"/>
      <w:ind w:firstLine="480"/>
    </w:pPr>
    <w:rPr>
      <w:bCs/>
    </w:rPr>
  </w:style>
  <w:style w:type="character" w:customStyle="1" w:styleId="103">
    <w:name w:val="报告书表格 Char"/>
    <w:link w:val="104"/>
    <w:qFormat/>
    <w:uiPriority w:val="0"/>
    <w:rPr>
      <w:sz w:val="21"/>
    </w:rPr>
  </w:style>
  <w:style w:type="paragraph" w:customStyle="1" w:styleId="104">
    <w:name w:val="报告书表格"/>
    <w:basedOn w:val="1"/>
    <w:link w:val="103"/>
    <w:qFormat/>
    <w:uiPriority w:val="0"/>
    <w:pPr>
      <w:adjustRightInd w:val="0"/>
      <w:spacing w:before="60" w:after="60" w:line="240" w:lineRule="atLeast"/>
      <w:jc w:val="center"/>
      <w:textAlignment w:val="baseline"/>
    </w:pPr>
    <w:rPr>
      <w:kern w:val="0"/>
      <w:sz w:val="21"/>
      <w:szCs w:val="20"/>
    </w:rPr>
  </w:style>
  <w:style w:type="character" w:customStyle="1" w:styleId="105">
    <w:name w:val="图标文字 Char"/>
    <w:link w:val="106"/>
    <w:qFormat/>
    <w:uiPriority w:val="0"/>
    <w:rPr>
      <w:kern w:val="2"/>
      <w:sz w:val="21"/>
      <w:szCs w:val="22"/>
    </w:rPr>
  </w:style>
  <w:style w:type="paragraph" w:customStyle="1" w:styleId="106">
    <w:name w:val="图标文字"/>
    <w:basedOn w:val="1"/>
    <w:link w:val="105"/>
    <w:qFormat/>
    <w:uiPriority w:val="0"/>
    <w:pPr>
      <w:ind w:firstLine="0" w:firstLineChars="0"/>
      <w:jc w:val="left"/>
    </w:pPr>
    <w:rPr>
      <w:sz w:val="21"/>
      <w:szCs w:val="22"/>
    </w:rPr>
  </w:style>
  <w:style w:type="character" w:customStyle="1" w:styleId="107">
    <w:name w:val="正文1 Char"/>
    <w:link w:val="108"/>
    <w:qFormat/>
    <w:uiPriority w:val="0"/>
    <w:rPr>
      <w:kern w:val="2"/>
      <w:sz w:val="24"/>
      <w:szCs w:val="24"/>
    </w:rPr>
  </w:style>
  <w:style w:type="paragraph" w:customStyle="1" w:styleId="108">
    <w:name w:val="正文1"/>
    <w:basedOn w:val="8"/>
    <w:link w:val="107"/>
    <w:qFormat/>
    <w:uiPriority w:val="0"/>
    <w:pPr>
      <w:adjustRightInd w:val="0"/>
      <w:snapToGrid w:val="0"/>
      <w:spacing w:line="480" w:lineRule="exact"/>
    </w:pPr>
  </w:style>
  <w:style w:type="character" w:customStyle="1" w:styleId="109">
    <w:name w:val="纯文本 Char2"/>
    <w:qFormat/>
    <w:uiPriority w:val="99"/>
    <w:rPr>
      <w:rFonts w:ascii="宋体" w:hAnsi="Courier New" w:cs="Courier New"/>
      <w:kern w:val="2"/>
      <w:sz w:val="21"/>
      <w:szCs w:val="21"/>
    </w:rPr>
  </w:style>
  <w:style w:type="character" w:customStyle="1" w:styleId="110">
    <w:name w:val="1-正文 Char Char"/>
    <w:link w:val="111"/>
    <w:qFormat/>
    <w:uiPriority w:val="0"/>
    <w:rPr>
      <w:rFonts w:ascii="宋体" w:hAnsi="宋体"/>
      <w:kern w:val="2"/>
      <w:sz w:val="24"/>
      <w:szCs w:val="24"/>
    </w:rPr>
  </w:style>
  <w:style w:type="paragraph" w:customStyle="1" w:styleId="111">
    <w:name w:val="1-正文"/>
    <w:basedOn w:val="1"/>
    <w:link w:val="110"/>
    <w:qFormat/>
    <w:uiPriority w:val="0"/>
    <w:pPr>
      <w:spacing w:line="360" w:lineRule="auto"/>
      <w:ind w:firstLine="480"/>
    </w:pPr>
    <w:rPr>
      <w:rFonts w:ascii="宋体" w:hAnsi="宋体"/>
    </w:rPr>
  </w:style>
  <w:style w:type="character" w:customStyle="1" w:styleId="112">
    <w:name w:val="日期 字符"/>
    <w:semiHidden/>
    <w:qFormat/>
    <w:uiPriority w:val="0"/>
    <w:rPr>
      <w:rFonts w:ascii="Times New Roman" w:hAnsi="Times New Roman" w:eastAsia="宋体"/>
      <w:sz w:val="24"/>
    </w:rPr>
  </w:style>
  <w:style w:type="character" w:customStyle="1" w:styleId="113">
    <w:name w:val="中文报告书 Char"/>
    <w:link w:val="114"/>
    <w:qFormat/>
    <w:uiPriority w:val="0"/>
    <w:rPr>
      <w:sz w:val="24"/>
    </w:rPr>
  </w:style>
  <w:style w:type="paragraph" w:customStyle="1" w:styleId="114">
    <w:name w:val="中文报告书"/>
    <w:basedOn w:val="1"/>
    <w:link w:val="113"/>
    <w:qFormat/>
    <w:uiPriority w:val="0"/>
    <w:pPr>
      <w:adjustRightInd w:val="0"/>
      <w:spacing w:after="80" w:line="420" w:lineRule="atLeast"/>
      <w:jc w:val="left"/>
      <w:textAlignment w:val="baseline"/>
    </w:pPr>
    <w:rPr>
      <w:kern w:val="0"/>
      <w:szCs w:val="20"/>
    </w:rPr>
  </w:style>
  <w:style w:type="character" w:customStyle="1" w:styleId="115">
    <w:name w:val="表格文字 Char"/>
    <w:link w:val="116"/>
    <w:qFormat/>
    <w:uiPriority w:val="0"/>
    <w:rPr>
      <w:kern w:val="2"/>
      <w:sz w:val="21"/>
    </w:rPr>
  </w:style>
  <w:style w:type="paragraph" w:customStyle="1" w:styleId="116">
    <w:name w:val="表格文字"/>
    <w:basedOn w:val="117"/>
    <w:link w:val="115"/>
    <w:qFormat/>
    <w:uiPriority w:val="0"/>
    <w:pPr>
      <w:tabs>
        <w:tab w:val="left" w:pos="1005"/>
      </w:tabs>
      <w:spacing w:line="440" w:lineRule="exact"/>
      <w:jc w:val="center"/>
    </w:pPr>
    <w:rPr>
      <w:sz w:val="21"/>
      <w:szCs w:val="20"/>
    </w:rPr>
  </w:style>
  <w:style w:type="paragraph" w:customStyle="1" w:styleId="117">
    <w:name w:val="表格编号"/>
    <w:basedOn w:val="1"/>
    <w:next w:val="116"/>
    <w:qFormat/>
    <w:uiPriority w:val="0"/>
    <w:pPr>
      <w:tabs>
        <w:tab w:val="left" w:pos="1005"/>
      </w:tabs>
      <w:spacing w:before="300" w:after="200"/>
      <w:ind w:left="1005" w:hanging="720"/>
      <w:jc w:val="center"/>
    </w:pPr>
    <w:rPr>
      <w:szCs w:val="20"/>
    </w:rPr>
  </w:style>
  <w:style w:type="character" w:customStyle="1" w:styleId="118">
    <w:name w:val="Char Char2"/>
    <w:qFormat/>
    <w:uiPriority w:val="0"/>
    <w:rPr>
      <w:rFonts w:ascii="宋体" w:hAnsi="Courier New" w:eastAsia="宋体"/>
      <w:kern w:val="2"/>
      <w:sz w:val="21"/>
      <w:lang w:val="en-US" w:eastAsia="zh-CN" w:bidi="ar-SA"/>
    </w:rPr>
  </w:style>
  <w:style w:type="character" w:customStyle="1" w:styleId="119">
    <w:name w:val="页脚 Char1"/>
    <w:semiHidden/>
    <w:qFormat/>
    <w:uiPriority w:val="99"/>
    <w:rPr>
      <w:kern w:val="2"/>
      <w:sz w:val="18"/>
      <w:szCs w:val="18"/>
    </w:rPr>
  </w:style>
  <w:style w:type="character" w:customStyle="1" w:styleId="120">
    <w:name w:val="Char Char Char Char Char Char Char Char"/>
    <w:link w:val="121"/>
    <w:qFormat/>
    <w:uiPriority w:val="0"/>
    <w:rPr>
      <w:rFonts w:ascii="宋体" w:hAnsi="宋体" w:cs="宋体"/>
      <w:kern w:val="2"/>
      <w:sz w:val="24"/>
      <w:szCs w:val="24"/>
    </w:rPr>
  </w:style>
  <w:style w:type="paragraph" w:customStyle="1" w:styleId="121">
    <w:name w:val="Char Char Char Char Char Char Char1"/>
    <w:basedOn w:val="1"/>
    <w:link w:val="120"/>
    <w:qFormat/>
    <w:uiPriority w:val="0"/>
    <w:pPr>
      <w:spacing w:line="360" w:lineRule="auto"/>
    </w:pPr>
    <w:rPr>
      <w:rFonts w:ascii="宋体" w:hAnsi="宋体" w:cs="宋体"/>
    </w:rPr>
  </w:style>
  <w:style w:type="character" w:customStyle="1" w:styleId="122">
    <w:name w:val="正文文本 字符1"/>
    <w:semiHidden/>
    <w:qFormat/>
    <w:uiPriority w:val="0"/>
    <w:rPr>
      <w:rFonts w:ascii="Times New Roman" w:hAnsi="Times New Roman" w:eastAsia="宋体"/>
      <w:sz w:val="24"/>
    </w:rPr>
  </w:style>
  <w:style w:type="character" w:customStyle="1" w:styleId="123">
    <w:name w:val="批注文字 Char1"/>
    <w:qFormat/>
    <w:uiPriority w:val="0"/>
    <w:rPr>
      <w:kern w:val="2"/>
      <w:sz w:val="21"/>
      <w:szCs w:val="24"/>
    </w:rPr>
  </w:style>
  <w:style w:type="character" w:customStyle="1" w:styleId="124">
    <w:name w:val="报告书表格 Char Char"/>
    <w:qFormat/>
    <w:uiPriority w:val="0"/>
    <w:rPr>
      <w:rFonts w:eastAsia="宋体"/>
      <w:sz w:val="24"/>
      <w:lang w:val="en-US" w:eastAsia="zh-CN" w:bidi="ar-SA"/>
    </w:rPr>
  </w:style>
  <w:style w:type="character" w:styleId="125">
    <w:name w:val="Placeholder Text"/>
    <w:unhideWhenUsed/>
    <w:qFormat/>
    <w:uiPriority w:val="99"/>
    <w:rPr>
      <w:color w:val="808080"/>
    </w:rPr>
  </w:style>
  <w:style w:type="character" w:customStyle="1" w:styleId="126">
    <w:name w:val="标题2 Char"/>
    <w:link w:val="127"/>
    <w:qFormat/>
    <w:uiPriority w:val="0"/>
    <w:rPr>
      <w:b/>
      <w:kern w:val="2"/>
      <w:sz w:val="28"/>
      <w:szCs w:val="28"/>
    </w:rPr>
  </w:style>
  <w:style w:type="paragraph" w:customStyle="1" w:styleId="127">
    <w:name w:val="标题2"/>
    <w:basedOn w:val="1"/>
    <w:link w:val="126"/>
    <w:qFormat/>
    <w:uiPriority w:val="0"/>
    <w:pPr>
      <w:spacing w:before="50" w:beforeLines="50" w:after="50" w:afterLines="50" w:line="440" w:lineRule="exact"/>
      <w:ind w:right="50" w:rightChars="50" w:firstLine="50" w:firstLineChars="50"/>
    </w:pPr>
    <w:rPr>
      <w:b/>
      <w:sz w:val="28"/>
      <w:szCs w:val="28"/>
    </w:rPr>
  </w:style>
  <w:style w:type="character" w:customStyle="1" w:styleId="128">
    <w:name w:val="zhengwencolor1"/>
    <w:qFormat/>
    <w:uiPriority w:val="0"/>
    <w:rPr>
      <w:color w:val="000000"/>
      <w:sz w:val="18"/>
      <w:szCs w:val="18"/>
    </w:rPr>
  </w:style>
  <w:style w:type="character" w:customStyle="1" w:styleId="129">
    <w:name w:val="正文1[858D7CFB-ED40-4347-BF05-701D383B685F]"/>
    <w:qFormat/>
    <w:uiPriority w:val="0"/>
    <w:rPr>
      <w:rFonts w:eastAsia="宋体"/>
      <w:kern w:val="2"/>
      <w:sz w:val="24"/>
      <w:lang w:val="en-US" w:eastAsia="zh-CN" w:bidi="ar-SA"/>
    </w:rPr>
  </w:style>
  <w:style w:type="character" w:customStyle="1" w:styleId="130">
    <w:name w:val="环评正文 Char Char"/>
    <w:link w:val="131"/>
    <w:qFormat/>
    <w:uiPriority w:val="0"/>
    <w:rPr>
      <w:kern w:val="2"/>
      <w:sz w:val="24"/>
      <w:szCs w:val="24"/>
    </w:rPr>
  </w:style>
  <w:style w:type="paragraph" w:customStyle="1" w:styleId="131">
    <w:name w:val="环评正文"/>
    <w:basedOn w:val="20"/>
    <w:link w:val="130"/>
    <w:qFormat/>
    <w:uiPriority w:val="0"/>
    <w:pPr>
      <w:spacing w:line="360" w:lineRule="auto"/>
    </w:pPr>
  </w:style>
  <w:style w:type="character" w:customStyle="1" w:styleId="132">
    <w:name w:val="表格 Char"/>
    <w:link w:val="133"/>
    <w:qFormat/>
    <w:locked/>
    <w:uiPriority w:val="0"/>
    <w:rPr>
      <w:rFonts w:ascii="宋体"/>
      <w:sz w:val="21"/>
    </w:rPr>
  </w:style>
  <w:style w:type="paragraph" w:customStyle="1" w:styleId="133">
    <w:name w:val="表格"/>
    <w:basedOn w:val="1"/>
    <w:next w:val="1"/>
    <w:link w:val="132"/>
    <w:qFormat/>
    <w:uiPriority w:val="0"/>
    <w:pPr>
      <w:adjustRightInd w:val="0"/>
      <w:snapToGrid w:val="0"/>
      <w:spacing w:beforeLines="10" w:afterLines="10" w:line="259" w:lineRule="auto"/>
      <w:jc w:val="center"/>
    </w:pPr>
    <w:rPr>
      <w:rFonts w:ascii="宋体"/>
      <w:kern w:val="0"/>
      <w:szCs w:val="20"/>
    </w:rPr>
  </w:style>
  <w:style w:type="character" w:customStyle="1" w:styleId="134">
    <w:name w:val="批注文字 字符1"/>
    <w:semiHidden/>
    <w:qFormat/>
    <w:uiPriority w:val="0"/>
    <w:rPr>
      <w:rFonts w:ascii="Times New Roman" w:hAnsi="Times New Roman" w:eastAsia="宋体"/>
      <w:sz w:val="24"/>
    </w:rPr>
  </w:style>
  <w:style w:type="character" w:customStyle="1" w:styleId="135">
    <w:name w:val="表格内容 Char"/>
    <w:link w:val="136"/>
    <w:qFormat/>
    <w:uiPriority w:val="0"/>
    <w:rPr>
      <w:kern w:val="2"/>
      <w:sz w:val="18"/>
      <w:szCs w:val="21"/>
    </w:rPr>
  </w:style>
  <w:style w:type="paragraph" w:customStyle="1" w:styleId="136">
    <w:name w:val="表格内容"/>
    <w:next w:val="1"/>
    <w:link w:val="135"/>
    <w:qFormat/>
    <w:uiPriority w:val="0"/>
    <w:pPr>
      <w:adjustRightInd w:val="0"/>
      <w:snapToGrid w:val="0"/>
    </w:pPr>
    <w:rPr>
      <w:rFonts w:ascii="Times New Roman" w:hAnsi="Times New Roman" w:eastAsia="宋体" w:cs="Times New Roman"/>
      <w:kern w:val="2"/>
      <w:sz w:val="18"/>
      <w:szCs w:val="21"/>
      <w:lang w:val="en-US" w:eastAsia="zh-CN" w:bidi="ar-SA"/>
    </w:rPr>
  </w:style>
  <w:style w:type="character" w:customStyle="1" w:styleId="137">
    <w:name w:val="正文（首行缩进两字） Char Char Char1"/>
    <w:qFormat/>
    <w:uiPriority w:val="0"/>
    <w:rPr>
      <w:rFonts w:eastAsia="宋体"/>
      <w:kern w:val="2"/>
      <w:sz w:val="21"/>
      <w:lang w:val="en-US" w:eastAsia="zh-CN" w:bidi="ar-SA"/>
    </w:rPr>
  </w:style>
  <w:style w:type="paragraph" w:customStyle="1" w:styleId="138">
    <w:name w:val="表格中"/>
    <w:basedOn w:val="1"/>
    <w:qFormat/>
    <w:uiPriority w:val="0"/>
    <w:pPr>
      <w:jc w:val="center"/>
    </w:pPr>
    <w:rPr>
      <w:rFonts w:ascii="仿宋_GB2312" w:hAnsi="仿宋_GB2312" w:eastAsia="仿宋_GB2312" w:cs="宋体"/>
    </w:rPr>
  </w:style>
  <w:style w:type="paragraph" w:customStyle="1" w:styleId="139">
    <w:name w:val="普通(网站)2"/>
    <w:basedOn w:val="1"/>
    <w:qFormat/>
    <w:uiPriority w:val="0"/>
    <w:pPr>
      <w:widowControl/>
      <w:spacing w:before="100" w:beforeAutospacing="1" w:after="100" w:afterAutospacing="1"/>
      <w:jc w:val="left"/>
    </w:pPr>
    <w:rPr>
      <w:rFonts w:ascii="宋体" w:hAnsi="宋体"/>
      <w:szCs w:val="20"/>
    </w:rPr>
  </w:style>
  <w:style w:type="paragraph" w:customStyle="1" w:styleId="140">
    <w:name w:val="样式5"/>
    <w:basedOn w:val="26"/>
    <w:qFormat/>
    <w:uiPriority w:val="0"/>
    <w:pPr>
      <w:ind w:left="482" w:firstLine="0" w:firstLineChars="0"/>
    </w:pPr>
    <w:rPr>
      <w:rFonts w:cs="Times New Roman"/>
    </w:rPr>
  </w:style>
  <w:style w:type="paragraph" w:customStyle="1" w:styleId="141">
    <w:name w:val="_Style 134"/>
    <w:unhideWhenUsed/>
    <w:qFormat/>
    <w:uiPriority w:val="99"/>
    <w:rPr>
      <w:rFonts w:ascii="Times New Roman" w:hAnsi="Times New Roman" w:eastAsia="宋体" w:cs="Calibri"/>
      <w:kern w:val="2"/>
      <w:sz w:val="24"/>
      <w:szCs w:val="24"/>
      <w:lang w:val="en-US" w:eastAsia="zh-CN" w:bidi="ar-SA"/>
    </w:rPr>
  </w:style>
  <w:style w:type="paragraph" w:customStyle="1" w:styleId="142">
    <w:name w:val="其 它 文 件"/>
    <w:basedOn w:val="1"/>
    <w:qFormat/>
    <w:uiPriority w:val="0"/>
    <w:pPr>
      <w:spacing w:after="80" w:line="440" w:lineRule="atLeast"/>
    </w:pPr>
    <w:rPr>
      <w:rFonts w:eastAsia="楷体" w:cs="Calibri"/>
      <w:sz w:val="28"/>
      <w:szCs w:val="20"/>
    </w:rPr>
  </w:style>
  <w:style w:type="paragraph" w:customStyle="1" w:styleId="14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4">
    <w:name w:val="表格正文"/>
    <w:basedOn w:val="1"/>
    <w:qFormat/>
    <w:uiPriority w:val="0"/>
    <w:pPr>
      <w:spacing w:line="240" w:lineRule="auto"/>
      <w:ind w:firstLine="0" w:firstLineChars="0"/>
    </w:pPr>
    <w:rPr>
      <w:rFonts w:eastAsia="仿宋_GB2312"/>
      <w:sz w:val="21"/>
    </w:rPr>
  </w:style>
  <w:style w:type="paragraph" w:customStyle="1" w:styleId="145">
    <w:name w:val="标题4~lcc"/>
    <w:basedOn w:val="6"/>
    <w:next w:val="146"/>
    <w:qFormat/>
    <w:uiPriority w:val="0"/>
    <w:pPr>
      <w:tabs>
        <w:tab w:val="left" w:pos="1008"/>
      </w:tabs>
      <w:ind w:firstLine="0"/>
    </w:pPr>
    <w:rPr>
      <w:rFonts w:eastAsia="仿宋"/>
    </w:rPr>
  </w:style>
  <w:style w:type="paragraph" w:customStyle="1" w:styleId="146">
    <w:name w:val="正文-lcc"/>
    <w:basedOn w:val="1"/>
    <w:qFormat/>
    <w:uiPriority w:val="0"/>
    <w:pPr>
      <w:snapToGrid w:val="0"/>
      <w:spacing w:line="360" w:lineRule="auto"/>
    </w:pPr>
    <w:rPr>
      <w:rFonts w:eastAsia="仿宋"/>
      <w:color w:val="000000"/>
    </w:rPr>
  </w:style>
  <w:style w:type="paragraph" w:customStyle="1" w:styleId="147">
    <w:name w:val="居中正文"/>
    <w:basedOn w:val="1"/>
    <w:qFormat/>
    <w:uiPriority w:val="0"/>
    <w:pPr>
      <w:adjustRightInd w:val="0"/>
      <w:spacing w:before="120" w:line="360" w:lineRule="auto"/>
      <w:ind w:firstLine="0" w:firstLineChars="0"/>
      <w:jc w:val="center"/>
      <w:textAlignment w:val="baseline"/>
    </w:pPr>
    <w:rPr>
      <w:rFonts w:ascii="宋体" w:hAnsi="Calibri" w:cs="Calibri"/>
      <w:kern w:val="28"/>
      <w:szCs w:val="20"/>
    </w:rPr>
  </w:style>
  <w:style w:type="paragraph" w:customStyle="1" w:styleId="148">
    <w:name w:val="列出段落1"/>
    <w:basedOn w:val="1"/>
    <w:qFormat/>
    <w:uiPriority w:val="0"/>
    <w:pPr>
      <w:spacing w:line="440" w:lineRule="exact"/>
      <w:ind w:firstLine="420"/>
    </w:pPr>
    <w:rPr>
      <w:rFonts w:ascii="Calibri" w:hAnsi="Calibri" w:cs="Calibri"/>
      <w:szCs w:val="22"/>
    </w:rPr>
  </w:style>
  <w:style w:type="paragraph" w:styleId="149">
    <w:name w:val="List Paragraph"/>
    <w:basedOn w:val="86"/>
    <w:qFormat/>
    <w:uiPriority w:val="99"/>
    <w:pPr>
      <w:snapToGrid w:val="0"/>
      <w:spacing w:before="50" w:beforeLines="50"/>
      <w:ind w:firstLine="0" w:firstLineChars="0"/>
    </w:pPr>
  </w:style>
  <w:style w:type="paragraph" w:customStyle="1" w:styleId="150">
    <w:name w:val="Char Char Char Char Char Char Char Char Char Char"/>
    <w:basedOn w:val="1"/>
    <w:qFormat/>
    <w:uiPriority w:val="0"/>
    <w:pPr>
      <w:spacing w:line="360" w:lineRule="auto"/>
    </w:pPr>
    <w:rPr>
      <w:rFonts w:cs="Calibri"/>
    </w:rPr>
  </w:style>
  <w:style w:type="paragraph" w:customStyle="1" w:styleId="151">
    <w:name w:val="0表格格式"/>
    <w:basedOn w:val="26"/>
    <w:qFormat/>
    <w:uiPriority w:val="0"/>
    <w:pPr>
      <w:tabs>
        <w:tab w:val="left" w:pos="0"/>
      </w:tabs>
      <w:adjustRightInd w:val="0"/>
      <w:snapToGrid w:val="0"/>
      <w:spacing w:line="240" w:lineRule="auto"/>
      <w:ind w:left="0" w:firstLine="0" w:firstLineChars="0"/>
      <w:jc w:val="center"/>
    </w:pPr>
    <w:rPr>
      <w:rFonts w:cs="Times New Roman"/>
      <w:sz w:val="21"/>
      <w:szCs w:val="20"/>
    </w:rPr>
  </w:style>
  <w:style w:type="paragraph" w:customStyle="1" w:styleId="152">
    <w:name w:val="Char Char Char Char Char Char Char Char Char Char Char Char Char1 Char Char Char Char Char Char Char Char Char Char Char Char Char Char Char Char"/>
    <w:basedOn w:val="1"/>
    <w:qFormat/>
    <w:uiPriority w:val="0"/>
    <w:pPr>
      <w:adjustRightInd w:val="0"/>
      <w:spacing w:line="360" w:lineRule="auto"/>
      <w:ind w:firstLine="0" w:firstLineChars="0"/>
    </w:pPr>
    <w:rPr>
      <w:kern w:val="0"/>
      <w:szCs w:val="20"/>
    </w:rPr>
  </w:style>
  <w:style w:type="paragraph" w:customStyle="1" w:styleId="153">
    <w:name w:val="表文字"/>
    <w:basedOn w:val="1"/>
    <w:qFormat/>
    <w:uiPriority w:val="0"/>
    <w:pPr>
      <w:spacing w:line="440" w:lineRule="exact"/>
      <w:jc w:val="center"/>
    </w:pPr>
    <w:rPr>
      <w:rFonts w:cs="Calibri"/>
    </w:rPr>
  </w:style>
  <w:style w:type="paragraph" w:customStyle="1" w:styleId="154">
    <w:name w:val="_Style 49"/>
    <w:basedOn w:val="1"/>
    <w:qFormat/>
    <w:uiPriority w:val="0"/>
    <w:pPr>
      <w:spacing w:line="440" w:lineRule="exact"/>
    </w:pPr>
    <w:rPr>
      <w:rFonts w:cs="Calibri"/>
    </w:rPr>
  </w:style>
  <w:style w:type="paragraph" w:customStyle="1" w:styleId="155">
    <w:name w:val="p0"/>
    <w:basedOn w:val="1"/>
    <w:qFormat/>
    <w:uiPriority w:val="0"/>
    <w:pPr>
      <w:widowControl/>
      <w:spacing w:line="440" w:lineRule="exact"/>
    </w:pPr>
    <w:rPr>
      <w:rFonts w:cs="Calibri"/>
      <w:kern w:val="0"/>
      <w:szCs w:val="21"/>
    </w:rPr>
  </w:style>
  <w:style w:type="paragraph" w:customStyle="1" w:styleId="156">
    <w:name w:val="样式1"/>
    <w:basedOn w:val="1"/>
    <w:qFormat/>
    <w:uiPriority w:val="0"/>
    <w:pPr>
      <w:adjustRightInd w:val="0"/>
      <w:snapToGrid w:val="0"/>
      <w:spacing w:line="520" w:lineRule="exact"/>
    </w:pPr>
    <w:rPr>
      <w:rFonts w:eastAsia="仿宋_GB2312" w:cs="Calibri"/>
      <w:kern w:val="30"/>
      <w:sz w:val="30"/>
      <w:szCs w:val="30"/>
    </w:rPr>
  </w:style>
  <w:style w:type="paragraph" w:customStyle="1" w:styleId="157">
    <w:name w:val="xl24"/>
    <w:basedOn w:val="1"/>
    <w:qFormat/>
    <w:uiPriority w:val="0"/>
    <w:pPr>
      <w:widowControl/>
      <w:pBdr>
        <w:bottom w:val="single" w:color="auto" w:sz="4" w:space="0"/>
        <w:right w:val="single" w:color="auto" w:sz="4" w:space="0"/>
      </w:pBdr>
      <w:spacing w:before="100" w:beforeAutospacing="1" w:after="100" w:afterAutospacing="1" w:line="440" w:lineRule="exact"/>
      <w:jc w:val="center"/>
    </w:pPr>
    <w:rPr>
      <w:rFonts w:eastAsia="Arial Unicode MS"/>
      <w:kern w:val="0"/>
    </w:rPr>
  </w:style>
  <w:style w:type="paragraph" w:customStyle="1" w:styleId="158">
    <w:name w:val="正文lcc2"/>
    <w:basedOn w:val="14"/>
    <w:qFormat/>
    <w:uiPriority w:val="0"/>
    <w:rPr>
      <w:b/>
    </w:rPr>
  </w:style>
  <w:style w:type="paragraph" w:customStyle="1" w:styleId="159">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line="440" w:lineRule="exact"/>
      <w:jc w:val="center"/>
    </w:pPr>
    <w:rPr>
      <w:rFonts w:ascii="Arial Unicode MS" w:hAnsi="Arial Unicode MS" w:eastAsia="Arial Unicode MS" w:cs="Arial Unicode MS"/>
      <w:kern w:val="0"/>
      <w:sz w:val="21"/>
      <w:szCs w:val="21"/>
    </w:rPr>
  </w:style>
  <w:style w:type="paragraph" w:customStyle="1" w:styleId="160">
    <w:name w:val="Char Char Char Char Char"/>
    <w:basedOn w:val="1"/>
    <w:qFormat/>
    <w:uiPriority w:val="0"/>
    <w:pPr>
      <w:spacing w:line="360" w:lineRule="auto"/>
    </w:pPr>
    <w:rPr>
      <w:rFonts w:ascii="宋体" w:hAnsi="宋体" w:cs="宋体"/>
    </w:rPr>
  </w:style>
  <w:style w:type="paragraph" w:customStyle="1" w:styleId="161">
    <w:name w:val="xl27"/>
    <w:basedOn w:val="1"/>
    <w:qFormat/>
    <w:uiPriority w:val="0"/>
    <w:pPr>
      <w:pBdr>
        <w:bottom w:val="single" w:color="auto" w:sz="12" w:space="0"/>
      </w:pBdr>
      <w:spacing w:before="100" w:after="100"/>
      <w:jc w:val="center"/>
    </w:pPr>
    <w:rPr>
      <w:rFonts w:ascii="宋体" w:hAnsi="宋体"/>
      <w:sz w:val="21"/>
    </w:rPr>
  </w:style>
  <w:style w:type="paragraph" w:customStyle="1" w:styleId="162">
    <w:name w:val="表内文字"/>
    <w:basedOn w:val="1"/>
    <w:qFormat/>
    <w:uiPriority w:val="0"/>
    <w:pPr>
      <w:framePr w:hSpace="180" w:wrap="around" w:vAnchor="text" w:hAnchor="margin" w:xAlign="center" w:y="637"/>
      <w:snapToGrid w:val="0"/>
      <w:spacing w:line="320" w:lineRule="exact"/>
      <w:jc w:val="center"/>
    </w:pPr>
    <w:rPr>
      <w:rFonts w:cs="Calibri"/>
      <w:szCs w:val="21"/>
    </w:rPr>
  </w:style>
  <w:style w:type="paragraph" w:customStyle="1" w:styleId="163">
    <w:name w:val="首行缩进"/>
    <w:basedOn w:val="1"/>
    <w:qFormat/>
    <w:uiPriority w:val="0"/>
    <w:pPr>
      <w:spacing w:line="360" w:lineRule="auto"/>
    </w:pPr>
    <w:rPr>
      <w:rFonts w:eastAsia="仿宋_GB2312"/>
    </w:rPr>
  </w:style>
  <w:style w:type="paragraph" w:customStyle="1" w:styleId="164">
    <w:name w:val="Char"/>
    <w:basedOn w:val="1"/>
    <w:qFormat/>
    <w:uiPriority w:val="0"/>
    <w:pPr>
      <w:spacing w:line="360" w:lineRule="auto"/>
    </w:pPr>
    <w:rPr>
      <w:rFonts w:cs="Calibri"/>
    </w:rPr>
  </w:style>
  <w:style w:type="paragraph" w:customStyle="1" w:styleId="165">
    <w:name w:val="1"/>
    <w:basedOn w:val="1"/>
    <w:next w:val="19"/>
    <w:qFormat/>
    <w:uiPriority w:val="0"/>
    <w:pPr>
      <w:spacing w:line="440" w:lineRule="exact"/>
    </w:pPr>
    <w:rPr>
      <w:rFonts w:ascii="宋体" w:hAnsi="Courier New" w:cs="Calibri"/>
      <w:szCs w:val="21"/>
    </w:rPr>
  </w:style>
  <w:style w:type="paragraph" w:customStyle="1" w:styleId="166">
    <w:name w:val="Char Char Char Char1 Char Char Char"/>
    <w:basedOn w:val="1"/>
    <w:qFormat/>
    <w:uiPriority w:val="0"/>
    <w:pPr>
      <w:widowControl/>
      <w:spacing w:line="440" w:lineRule="exact"/>
      <w:jc w:val="left"/>
    </w:pPr>
    <w:rPr>
      <w:rFonts w:cs="Calibri"/>
    </w:rPr>
  </w:style>
  <w:style w:type="paragraph" w:customStyle="1" w:styleId="167">
    <w:name w:val="表格内容1"/>
    <w:basedOn w:val="1"/>
    <w:link w:val="168"/>
    <w:qFormat/>
    <w:uiPriority w:val="0"/>
    <w:pPr>
      <w:adjustRightInd w:val="0"/>
      <w:snapToGrid w:val="0"/>
      <w:spacing w:before="15" w:beforeLines="15" w:after="15" w:afterLines="15" w:line="300" w:lineRule="exact"/>
      <w:ind w:firstLine="0" w:firstLineChars="0"/>
      <w:jc w:val="center"/>
    </w:pPr>
    <w:rPr>
      <w:kern w:val="0"/>
      <w:sz w:val="21"/>
    </w:rPr>
  </w:style>
  <w:style w:type="character" w:customStyle="1" w:styleId="168">
    <w:name w:val="表格内容1 Char Char"/>
    <w:link w:val="167"/>
    <w:qFormat/>
    <w:uiPriority w:val="0"/>
    <w:rPr>
      <w:rFonts w:eastAsia="宋体"/>
      <w:sz w:val="21"/>
      <w:szCs w:val="24"/>
      <w:lang w:val="en-US" w:eastAsia="zh-CN" w:bidi="ar-SA"/>
    </w:rPr>
  </w:style>
  <w:style w:type="paragraph" w:customStyle="1" w:styleId="16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70">
    <w:name w:val="Char Char2 Char"/>
    <w:basedOn w:val="1"/>
    <w:qFormat/>
    <w:uiPriority w:val="0"/>
    <w:pPr>
      <w:spacing w:line="440" w:lineRule="exact"/>
    </w:pPr>
    <w:rPr>
      <w:rFonts w:cs="Calibri"/>
    </w:rPr>
  </w:style>
  <w:style w:type="paragraph" w:customStyle="1" w:styleId="171">
    <w:name w:val="Char Char2 Char Char"/>
    <w:basedOn w:val="1"/>
    <w:qFormat/>
    <w:uiPriority w:val="0"/>
    <w:pPr>
      <w:spacing w:line="360" w:lineRule="auto"/>
    </w:pPr>
    <w:rPr>
      <w:rFonts w:cs="Calibri"/>
    </w:rPr>
  </w:style>
  <w:style w:type="paragraph" w:customStyle="1" w:styleId="172">
    <w:name w:val="Char1"/>
    <w:basedOn w:val="1"/>
    <w:qFormat/>
    <w:uiPriority w:val="0"/>
    <w:pPr>
      <w:snapToGrid w:val="0"/>
      <w:spacing w:line="360" w:lineRule="auto"/>
    </w:pPr>
    <w:rPr>
      <w:rFonts w:cs="Calibri"/>
      <w:szCs w:val="20"/>
    </w:rPr>
  </w:style>
  <w:style w:type="paragraph" w:customStyle="1" w:styleId="173">
    <w:name w:val="Char2"/>
    <w:basedOn w:val="1"/>
    <w:qFormat/>
    <w:uiPriority w:val="0"/>
    <w:pPr>
      <w:spacing w:line="440" w:lineRule="exact"/>
    </w:pPr>
    <w:rPr>
      <w:rFonts w:ascii="Tahoma" w:hAnsi="Tahoma" w:cs="Calibri"/>
      <w:szCs w:val="20"/>
    </w:rPr>
  </w:style>
  <w:style w:type="paragraph" w:customStyle="1" w:styleId="174">
    <w:name w:val="WPSOffice手动目录 1"/>
    <w:qFormat/>
    <w:uiPriority w:val="0"/>
    <w:rPr>
      <w:rFonts w:ascii="Times New Roman" w:hAnsi="Times New Roman" w:eastAsia="宋体" w:cs="Times New Roman"/>
      <w:lang w:val="en-US" w:eastAsia="zh-CN" w:bidi="ar-SA"/>
    </w:rPr>
  </w:style>
  <w:style w:type="paragraph" w:customStyle="1" w:styleId="175">
    <w:name w:val="Char Char Char Char"/>
    <w:basedOn w:val="1"/>
    <w:next w:val="1"/>
    <w:qFormat/>
    <w:uiPriority w:val="0"/>
    <w:pPr>
      <w:widowControl/>
      <w:snapToGrid w:val="0"/>
      <w:spacing w:line="300" w:lineRule="auto"/>
      <w:jc w:val="left"/>
    </w:pPr>
    <w:rPr>
      <w:rFonts w:eastAsia="黑体" w:cs="Calibri"/>
      <w:kern w:val="0"/>
      <w:sz w:val="28"/>
      <w:szCs w:val="28"/>
      <w:lang w:eastAsia="en-US"/>
    </w:rPr>
  </w:style>
  <w:style w:type="paragraph" w:customStyle="1" w:styleId="176">
    <w:name w:val="default paragraph font Char"/>
    <w:basedOn w:val="1"/>
    <w:qFormat/>
    <w:uiPriority w:val="0"/>
    <w:pPr>
      <w:spacing w:line="240" w:lineRule="atLeast"/>
      <w:ind w:left="420" w:firstLine="420"/>
    </w:pPr>
    <w:rPr>
      <w:kern w:val="0"/>
      <w:sz w:val="28"/>
      <w:szCs w:val="21"/>
    </w:rPr>
  </w:style>
  <w:style w:type="paragraph" w:customStyle="1" w:styleId="177">
    <w:name w:val="图表标题"/>
    <w:basedOn w:val="1"/>
    <w:next w:val="1"/>
    <w:qFormat/>
    <w:uiPriority w:val="0"/>
    <w:pPr>
      <w:spacing w:before="50" w:beforeLines="50" w:after="50" w:afterLines="50" w:line="240" w:lineRule="auto"/>
      <w:ind w:firstLine="0" w:firstLineChars="0"/>
      <w:jc w:val="center"/>
    </w:pPr>
    <w:rPr>
      <w:rFonts w:eastAsia="仿宋_GB2312"/>
      <w:b/>
    </w:rPr>
  </w:style>
  <w:style w:type="paragraph" w:customStyle="1" w:styleId="178">
    <w:name w:val="Table Paragraph"/>
    <w:basedOn w:val="1"/>
    <w:qFormat/>
    <w:uiPriority w:val="1"/>
    <w:pPr>
      <w:spacing w:line="440" w:lineRule="exact"/>
      <w:jc w:val="center"/>
    </w:pPr>
    <w:rPr>
      <w:rFonts w:ascii="宋体" w:hAnsi="宋体" w:cs="宋体"/>
      <w:kern w:val="0"/>
      <w:sz w:val="22"/>
      <w:szCs w:val="22"/>
      <w:lang w:eastAsia="en-US"/>
    </w:rPr>
  </w:style>
  <w:style w:type="paragraph" w:customStyle="1" w:styleId="179">
    <w:name w:val="图表文字"/>
    <w:basedOn w:val="1"/>
    <w:qFormat/>
    <w:uiPriority w:val="0"/>
    <w:pPr>
      <w:adjustRightInd w:val="0"/>
      <w:snapToGrid w:val="0"/>
      <w:spacing w:line="440" w:lineRule="exact"/>
      <w:jc w:val="center"/>
    </w:pPr>
    <w:rPr>
      <w:rFonts w:eastAsia="仿宋"/>
      <w:bCs/>
      <w:sz w:val="21"/>
      <w:szCs w:val="20"/>
    </w:rPr>
  </w:style>
  <w:style w:type="paragraph" w:customStyle="1" w:styleId="180">
    <w:name w:val="默认段落字体 Para Char Char Char Char"/>
    <w:basedOn w:val="1"/>
    <w:qFormat/>
    <w:uiPriority w:val="0"/>
    <w:pPr>
      <w:spacing w:line="440" w:lineRule="exact"/>
    </w:pPr>
    <w:rPr>
      <w:rFonts w:cs="Calibri"/>
    </w:rPr>
  </w:style>
  <w:style w:type="paragraph" w:customStyle="1" w:styleId="181">
    <w:name w:val="正文+小四"/>
    <w:basedOn w:val="1"/>
    <w:qFormat/>
    <w:uiPriority w:val="0"/>
    <w:pPr>
      <w:snapToGrid w:val="0"/>
      <w:spacing w:line="560" w:lineRule="exact"/>
      <w:ind w:firstLine="480"/>
    </w:pPr>
    <w:rPr>
      <w:rFonts w:ascii="宋体" w:hAnsi="宋体" w:cs="Calibri"/>
    </w:rPr>
  </w:style>
  <w:style w:type="paragraph" w:customStyle="1" w:styleId="182">
    <w:name w:val="报告表正文"/>
    <w:basedOn w:val="1"/>
    <w:qFormat/>
    <w:uiPriority w:val="0"/>
    <w:pPr>
      <w:adjustRightInd w:val="0"/>
      <w:spacing w:line="312" w:lineRule="auto"/>
      <w:ind w:left="113" w:right="113" w:firstLine="482"/>
      <w:jc w:val="left"/>
      <w:textAlignment w:val="baseline"/>
    </w:pPr>
    <w:rPr>
      <w:rFonts w:cs="Calibri"/>
      <w:kern w:val="0"/>
      <w:szCs w:val="20"/>
    </w:rPr>
  </w:style>
  <w:style w:type="paragraph" w:customStyle="1" w:styleId="183">
    <w:name w:val="Char Char Char Char Char Char Char Char Char1"/>
    <w:basedOn w:val="1"/>
    <w:qFormat/>
    <w:uiPriority w:val="0"/>
    <w:pPr>
      <w:spacing w:line="360" w:lineRule="auto"/>
    </w:pPr>
    <w:rPr>
      <w:rFonts w:ascii="宋体" w:hAnsi="宋体" w:cs="宋体"/>
    </w:rPr>
  </w:style>
  <w:style w:type="paragraph" w:customStyle="1" w:styleId="184">
    <w:name w:val="报告书"/>
    <w:basedOn w:val="1"/>
    <w:qFormat/>
    <w:uiPriority w:val="0"/>
    <w:pPr>
      <w:adjustRightInd w:val="0"/>
      <w:snapToGrid w:val="0"/>
      <w:spacing w:line="440" w:lineRule="atLeast"/>
      <w:ind w:firstLine="482"/>
      <w:textAlignment w:val="baseline"/>
    </w:pPr>
    <w:rPr>
      <w:rFonts w:ascii="宋体" w:cs="Calibri"/>
      <w:kern w:val="24"/>
      <w:szCs w:val="20"/>
    </w:rPr>
  </w:style>
  <w:style w:type="paragraph" w:customStyle="1" w:styleId="185">
    <w:name w:val="默认段落字体 Para Char Char Char Char Char Char Char"/>
    <w:basedOn w:val="1"/>
    <w:qFormat/>
    <w:uiPriority w:val="0"/>
    <w:pPr>
      <w:spacing w:line="360" w:lineRule="auto"/>
    </w:pPr>
    <w:rPr>
      <w:rFonts w:ascii="宋体" w:hAnsi="宋体" w:cs="宋体"/>
    </w:rPr>
  </w:style>
  <w:style w:type="paragraph" w:customStyle="1" w:styleId="186">
    <w:name w:val="Char Char Char1 Char Char Char Char"/>
    <w:basedOn w:val="1"/>
    <w:qFormat/>
    <w:uiPriority w:val="0"/>
    <w:pPr>
      <w:spacing w:line="360" w:lineRule="auto"/>
    </w:pPr>
    <w:rPr>
      <w:rFonts w:ascii="宋体" w:hAnsi="宋体" w:cs="宋体"/>
    </w:rPr>
  </w:style>
  <w:style w:type="paragraph" w:customStyle="1" w:styleId="187">
    <w:name w:val="Char Char Char Char Char Char Char"/>
    <w:basedOn w:val="1"/>
    <w:qFormat/>
    <w:uiPriority w:val="0"/>
    <w:pPr>
      <w:spacing w:line="360" w:lineRule="auto"/>
    </w:pPr>
    <w:rPr>
      <w:rFonts w:ascii="宋体" w:hAnsi="宋体" w:cs="宋体"/>
      <w:spacing w:val="20"/>
    </w:rPr>
  </w:style>
  <w:style w:type="paragraph" w:customStyle="1" w:styleId="188">
    <w:name w:val="char"/>
    <w:basedOn w:val="1"/>
    <w:qFormat/>
    <w:uiPriority w:val="0"/>
    <w:pPr>
      <w:widowControl/>
      <w:spacing w:after="160" w:line="240" w:lineRule="exact"/>
      <w:jc w:val="left"/>
    </w:pPr>
    <w:rPr>
      <w:rFonts w:ascii="Verdana" w:hAnsi="Verdana" w:eastAsia="仿宋_GB2312" w:cs="”“Times New Roman”“"/>
      <w:kern w:val="0"/>
      <w:szCs w:val="20"/>
      <w:lang w:eastAsia="en-US"/>
    </w:rPr>
  </w:style>
  <w:style w:type="paragraph" w:customStyle="1" w:styleId="189">
    <w:name w:val="图文框"/>
    <w:basedOn w:val="1"/>
    <w:qFormat/>
    <w:uiPriority w:val="0"/>
    <w:pPr>
      <w:jc w:val="center"/>
    </w:pPr>
    <w:rPr>
      <w:rFonts w:ascii="宋体" w:hAnsi="宋体"/>
      <w:sz w:val="21"/>
    </w:rPr>
  </w:style>
  <w:style w:type="table" w:customStyle="1" w:styleId="190">
    <w:name w:val="表格主题1"/>
    <w:basedOn w:val="38"/>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1">
    <w:name w:val="网格型3"/>
    <w:basedOn w:val="3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2">
    <w:name w:val="网格型172"/>
    <w:basedOn w:val="38"/>
    <w:qFormat/>
    <w:uiPriority w:val="0"/>
    <w:pPr>
      <w:widowControl w:val="0"/>
      <w:adjustRightInd w:val="0"/>
      <w:snapToGrid w:val="0"/>
      <w:jc w:val="center"/>
    </w:pPr>
    <w:rPr>
      <w:rFonts w:eastAsia="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left w:w="28"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193">
    <w:name w:val="网格型17"/>
    <w:basedOn w:val="38"/>
    <w:qFormat/>
    <w:uiPriority w:val="0"/>
    <w:pPr>
      <w:widowControl w:val="0"/>
      <w:adjustRightInd w:val="0"/>
      <w:snapToGrid w:val="0"/>
      <w:jc w:val="center"/>
    </w:pPr>
    <w:rPr>
      <w:rFonts w:eastAsia="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left w:w="28"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194">
    <w:name w:val="网格型173"/>
    <w:basedOn w:val="38"/>
    <w:qFormat/>
    <w:uiPriority w:val="0"/>
    <w:pPr>
      <w:widowControl w:val="0"/>
      <w:adjustRightInd w:val="0"/>
      <w:snapToGrid w:val="0"/>
      <w:jc w:val="center"/>
    </w:pPr>
    <w:rPr>
      <w:rFonts w:eastAsia="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left w:w="28"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195">
    <w:name w:val="网格型22"/>
    <w:basedOn w:val="3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6">
    <w:name w:val="表格类型1"/>
    <w:basedOn w:val="38"/>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7">
    <w:name w:val="网格型171"/>
    <w:basedOn w:val="38"/>
    <w:qFormat/>
    <w:uiPriority w:val="0"/>
    <w:pPr>
      <w:widowControl w:val="0"/>
      <w:adjustRightInd w:val="0"/>
      <w:snapToGrid w:val="0"/>
      <w:jc w:val="center"/>
    </w:pPr>
    <w:rPr>
      <w:rFonts w:eastAsia="仿宋_GB231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left w:w="28" w:type="dxa"/>
        <w:right w:w="28" w:type="dxa"/>
      </w:tblCellMar>
    </w:tblPr>
    <w:trPr>
      <w:jc w:val="center"/>
    </w:trPr>
    <w:tcPr>
      <w:vAlign w:val="center"/>
    </w:tcPr>
    <w:tblStylePr w:type="firstRow">
      <w:pPr>
        <w:jc w:val="center"/>
      </w:pPr>
      <w:rPr>
        <w:rFonts w:ascii="Times New Roman" w:hAnsi="Times New Roman"/>
        <w:b/>
        <w:sz w:val="21"/>
      </w:rPr>
      <w:tcPr>
        <w:tcBorders>
          <w:top w:val="nil"/>
          <w:left w:val="nil"/>
          <w:bottom w:val="nil"/>
          <w:right w:val="nil"/>
          <w:insideH w:val="nil"/>
          <w:insideV w:val="nil"/>
          <w:tl2br w:val="nil"/>
          <w:tr2bl w:val="nil"/>
        </w:tcBorders>
      </w:tcPr>
    </w:tblStylePr>
  </w:style>
  <w:style w:type="table" w:customStyle="1" w:styleId="198">
    <w:name w:val="网格型2"/>
    <w:basedOn w:val="3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9">
    <w:name w:val="表格类型11"/>
    <w:basedOn w:val="38"/>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0">
    <w:name w:val="网格型4"/>
    <w:basedOn w:val="3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1">
    <w:name w:val="网格型23"/>
    <w:basedOn w:val="3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2">
    <w:name w:val="表格主题3"/>
    <w:basedOn w:val="38"/>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3">
    <w:name w:val="表格类型12"/>
    <w:basedOn w:val="38"/>
    <w:qFormat/>
    <w:uiPriority w:val="3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
    <w:name w:val="网格型5"/>
    <w:basedOn w:val="3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5">
    <w:name w:val="表格主题2"/>
    <w:basedOn w:val="38"/>
    <w:qFormat/>
    <w:uiPriority w:val="0"/>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6">
    <w:name w:val="网格型21"/>
    <w:basedOn w:val="3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7">
    <w:name w:val="Char Char6"/>
    <w:qFormat/>
    <w:uiPriority w:val="0"/>
    <w:rPr>
      <w:rFonts w:eastAsia="仿宋_GB2312"/>
      <w:sz w:val="24"/>
    </w:rPr>
  </w:style>
  <w:style w:type="character" w:customStyle="1" w:styleId="208">
    <w:name w:val="Char Char5"/>
    <w:qFormat/>
    <w:uiPriority w:val="0"/>
    <w:rPr>
      <w:rFonts w:ascii="仿宋_GB2312" w:eastAsia="仿宋_GB2312"/>
      <w:color w:val="000000"/>
      <w:kern w:val="2"/>
      <w:sz w:val="28"/>
      <w:szCs w:val="24"/>
      <w:lang w:val="en-US" w:eastAsia="zh-CN" w:bidi="ar-SA"/>
    </w:rPr>
  </w:style>
  <w:style w:type="character" w:customStyle="1" w:styleId="209">
    <w:name w:val="Char Char4"/>
    <w:qFormat/>
    <w:uiPriority w:val="0"/>
    <w:rPr>
      <w:rFonts w:ascii="宋体" w:hAnsi="宋体" w:eastAsia="宋体"/>
      <w:sz w:val="24"/>
      <w:szCs w:val="24"/>
      <w:lang w:val="en-US" w:eastAsia="zh-CN" w:bidi="ar-SA"/>
    </w:rPr>
  </w:style>
  <w:style w:type="character" w:customStyle="1" w:styleId="210">
    <w:name w:val="Char Char27"/>
    <w:qFormat/>
    <w:locked/>
    <w:uiPriority w:val="0"/>
    <w:rPr>
      <w:rFonts w:ascii="Times New Roman" w:hAnsi="Times New Roman" w:eastAsia="宋体"/>
      <w:sz w:val="24"/>
    </w:rPr>
  </w:style>
  <w:style w:type="character" w:customStyle="1" w:styleId="211">
    <w:name w:val="Char Char21"/>
    <w:qFormat/>
    <w:uiPriority w:val="0"/>
    <w:rPr>
      <w:rFonts w:eastAsia="仿宋_GB2312"/>
      <w:sz w:val="18"/>
      <w:szCs w:val="18"/>
      <w:lang w:bidi="ar-SA"/>
    </w:rPr>
  </w:style>
  <w:style w:type="character" w:customStyle="1" w:styleId="212">
    <w:name w:val="Char Char26"/>
    <w:qFormat/>
    <w:locked/>
    <w:uiPriority w:val="0"/>
    <w:rPr>
      <w:sz w:val="18"/>
    </w:rPr>
  </w:style>
  <w:style w:type="paragraph" w:customStyle="1" w:styleId="213">
    <w:name w:val="表格内容--中祥"/>
    <w:basedOn w:val="1"/>
    <w:qFormat/>
    <w:uiPriority w:val="0"/>
    <w:pPr>
      <w:spacing w:line="240" w:lineRule="auto"/>
      <w:ind w:firstLine="0" w:firstLineChars="0"/>
      <w:jc w:val="center"/>
    </w:pPr>
    <w:rPr>
      <w:kern w:val="0"/>
      <w:sz w:val="21"/>
      <w:szCs w:val="21"/>
    </w:rPr>
  </w:style>
  <w:style w:type="paragraph" w:customStyle="1" w:styleId="214">
    <w:name w:val="1规划图表正文"/>
    <w:basedOn w:val="1"/>
    <w:qFormat/>
    <w:uiPriority w:val="0"/>
    <w:pPr>
      <w:spacing w:line="240" w:lineRule="auto"/>
      <w:ind w:firstLine="0" w:firstLineChars="0"/>
      <w:jc w:val="center"/>
    </w:pPr>
    <w:rPr>
      <w:bCs/>
      <w:color w:val="000000"/>
      <w:sz w:val="21"/>
      <w:szCs w:val="21"/>
    </w:rPr>
  </w:style>
  <w:style w:type="character" w:customStyle="1" w:styleId="215">
    <w:name w:val="正文文本 Char"/>
    <w:qFormat/>
    <w:locked/>
    <w:uiPriority w:val="0"/>
    <w:rPr>
      <w:sz w:val="18"/>
    </w:rPr>
  </w:style>
  <w:style w:type="character" w:customStyle="1" w:styleId="216">
    <w:name w:val="正文文本 字符"/>
    <w:qFormat/>
    <w:uiPriority w:val="0"/>
    <w:rPr>
      <w:rFonts w:ascii="仿宋_GB2312" w:eastAsia="仿宋_GB2312"/>
      <w:kern w:val="24"/>
      <w:sz w:val="18"/>
      <w:lang w:bidi="ar-SA"/>
    </w:rPr>
  </w:style>
  <w:style w:type="character" w:customStyle="1" w:styleId="217">
    <w:name w:val="页脚 Char"/>
    <w:qFormat/>
    <w:locked/>
    <w:uiPriority w:val="0"/>
    <w:rPr>
      <w:sz w:val="18"/>
    </w:rPr>
  </w:style>
  <w:style w:type="character" w:customStyle="1" w:styleId="218">
    <w:name w:val="正文缩进 Char2"/>
    <w:qFormat/>
    <w:uiPriority w:val="0"/>
    <w:rPr>
      <w:rFonts w:ascii="仿宋_GB2312" w:eastAsia="宋体"/>
      <w:color w:val="000000"/>
      <w:kern w:val="2"/>
      <w:sz w:val="28"/>
      <w:szCs w:val="24"/>
      <w:lang w:val="en-US" w:eastAsia="zh-CN" w:bidi="ar-SA"/>
    </w:rPr>
  </w:style>
  <w:style w:type="character" w:customStyle="1" w:styleId="219">
    <w:name w:val="批注框文本 Char"/>
    <w:semiHidden/>
    <w:qFormat/>
    <w:locked/>
    <w:uiPriority w:val="0"/>
    <w:rPr>
      <w:rFonts w:ascii="Times New Roman" w:hAnsi="Times New Roman" w:eastAsia="宋体"/>
      <w:sz w:val="18"/>
    </w:rPr>
  </w:style>
  <w:style w:type="paragraph" w:customStyle="1" w:styleId="220">
    <w:name w:val="列表2"/>
    <w:basedOn w:val="1"/>
    <w:qFormat/>
    <w:uiPriority w:val="0"/>
    <w:pPr>
      <w:spacing w:line="240" w:lineRule="auto"/>
      <w:ind w:left="200" w:hanging="200" w:hangingChars="200"/>
      <w:contextualSpacing/>
    </w:pPr>
    <w:rPr>
      <w:rFonts w:ascii="宋体" w:hAnsi="宋体" w:cs="宋体"/>
    </w:rPr>
  </w:style>
  <w:style w:type="paragraph" w:customStyle="1" w:styleId="221">
    <w:name w:val="正文2"/>
    <w:qFormat/>
    <w:uiPriority w:val="0"/>
    <w:pPr>
      <w:jc w:val="both"/>
    </w:pPr>
    <w:rPr>
      <w:rFonts w:ascii="Calibri" w:hAnsi="Calibri" w:eastAsia="宋体" w:cs="宋体"/>
      <w:kern w:val="2"/>
      <w:sz w:val="21"/>
      <w:szCs w:val="21"/>
      <w:lang w:val="en-US" w:eastAsia="zh-CN" w:bidi="ar-SA"/>
    </w:rPr>
  </w:style>
  <w:style w:type="paragraph" w:customStyle="1" w:styleId="222">
    <w:name w:val="修订1"/>
    <w:hidden/>
    <w:semiHidden/>
    <w:qFormat/>
    <w:uiPriority w:val="99"/>
    <w:rPr>
      <w:rFonts w:ascii="Times New Roman" w:hAnsi="Times New Roman" w:eastAsia="宋体" w:cs="Times New Roman"/>
      <w:kern w:val="2"/>
      <w:sz w:val="24"/>
      <w:szCs w:val="24"/>
      <w:lang w:val="en-US" w:eastAsia="zh-CN" w:bidi="ar-SA"/>
    </w:rPr>
  </w:style>
  <w:style w:type="paragraph" w:customStyle="1" w:styleId="223">
    <w:name w:val="修订2"/>
    <w:hidden/>
    <w:semiHidden/>
    <w:qFormat/>
    <w:uiPriority w:val="99"/>
    <w:rPr>
      <w:rFonts w:ascii="Times New Roman" w:hAnsi="Times New Roman" w:eastAsia="宋体" w:cs="Times New Roman"/>
      <w:kern w:val="2"/>
      <w:sz w:val="24"/>
      <w:szCs w:val="24"/>
      <w:lang w:val="en-US" w:eastAsia="zh-CN" w:bidi="ar-SA"/>
    </w:rPr>
  </w:style>
  <w:style w:type="paragraph" w:customStyle="1" w:styleId="224">
    <w:name w:val="Table Text"/>
    <w:basedOn w:val="225"/>
    <w:autoRedefine/>
    <w:semiHidden/>
    <w:qFormat/>
    <w:uiPriority w:val="0"/>
    <w:rPr>
      <w:rFonts w:ascii="宋体" w:hAnsi="宋体" w:cs="宋体"/>
      <w:sz w:val="24"/>
      <w:lang w:eastAsia="en-US"/>
    </w:rPr>
  </w:style>
  <w:style w:type="paragraph" w:customStyle="1" w:styleId="225">
    <w:name w:val="Report Text"/>
    <w:basedOn w:val="1"/>
    <w:qFormat/>
    <w:uiPriority w:val="0"/>
    <w:pPr>
      <w:widowControl/>
      <w:overflowPunct w:val="0"/>
      <w:autoSpaceDE w:val="0"/>
      <w:autoSpaceDN w:val="0"/>
      <w:adjustRightInd w:val="0"/>
      <w:spacing w:after="240" w:line="400" w:lineRule="exact"/>
      <w:ind w:left="1440" w:right="269" w:firstLine="0" w:firstLineChars="0"/>
    </w:pPr>
    <w:rPr>
      <w:rFonts w:ascii="Palatino" w:hAnsi="Palatino" w:eastAsia="宋体" w:cs="Times New Roman"/>
      <w:color w:val="000000"/>
      <w:kern w:val="0"/>
      <w:sz w:val="24"/>
      <w:szCs w:val="20"/>
      <w:lang w:val="en-AU" w:eastAsia="en-US"/>
    </w:rPr>
  </w:style>
  <w:style w:type="paragraph" w:customStyle="1" w:styleId="226">
    <w:name w:val="表格文字2"/>
    <w:basedOn w:val="1"/>
    <w:qFormat/>
    <w:uiPriority w:val="0"/>
    <w:pPr>
      <w:tabs>
        <w:tab w:val="left" w:pos="277"/>
        <w:tab w:val="left" w:pos="600"/>
        <w:tab w:val="left" w:pos="780"/>
        <w:tab w:val="left" w:pos="2517"/>
      </w:tabs>
      <w:adjustRightInd w:val="0"/>
      <w:spacing w:before="60"/>
      <w:jc w:val="center"/>
      <w:textAlignment w:val="baseline"/>
    </w:pPr>
    <w:rPr>
      <w:kern w:val="0"/>
      <w:szCs w:val="21"/>
    </w:rPr>
  </w:style>
  <w:style w:type="paragraph" w:customStyle="1" w:styleId="227">
    <w:name w:val="Body text|1"/>
    <w:basedOn w:val="1"/>
    <w:qFormat/>
    <w:uiPriority w:val="0"/>
    <w:pPr>
      <w:spacing w:line="408" w:lineRule="auto"/>
      <w:ind w:firstLine="400"/>
    </w:pPr>
    <w:rPr>
      <w:rFonts w:ascii="宋体" w:hAnsi="宋体" w:eastAsia="宋体" w:cs="宋体"/>
      <w:lang w:val="zh-TW" w:eastAsia="zh-TW" w:bidi="zh-TW"/>
    </w:rPr>
  </w:style>
  <w:style w:type="paragraph" w:customStyle="1" w:styleId="228">
    <w:name w:val="表中文字"/>
    <w:basedOn w:val="1"/>
    <w:qFormat/>
    <w:uiPriority w:val="0"/>
    <w:pPr>
      <w:adjustRightInd w:val="0"/>
      <w:snapToGrid w:val="0"/>
      <w:spacing w:line="240" w:lineRule="atLeast"/>
      <w:jc w:val="center"/>
    </w:pPr>
    <w:rPr>
      <w:snapToGrid w:val="0"/>
      <w:kern w:val="0"/>
      <w:sz w:val="21"/>
    </w:rPr>
  </w:style>
  <w:style w:type="character" w:customStyle="1" w:styleId="229">
    <w:name w:val="font11"/>
    <w:basedOn w:val="41"/>
    <w:qFormat/>
    <w:uiPriority w:val="0"/>
    <w:rPr>
      <w:rFonts w:hint="eastAsia" w:ascii="宋体" w:hAnsi="宋体" w:eastAsia="宋体" w:cs="宋体"/>
      <w:color w:val="000000"/>
      <w:sz w:val="21"/>
      <w:szCs w:val="21"/>
      <w:u w:val="none"/>
    </w:rPr>
  </w:style>
  <w:style w:type="paragraph" w:customStyle="1" w:styleId="230">
    <w:name w:val="表格字体"/>
    <w:next w:val="1"/>
    <w:qFormat/>
    <w:uiPriority w:val="0"/>
    <w:pPr>
      <w:adjustRightInd w:val="0"/>
      <w:snapToGrid w:val="0"/>
      <w:spacing w:before="20" w:beforeLines="20" w:after="20" w:afterLines="20"/>
      <w:ind w:right="2" w:rightChars="1"/>
      <w:jc w:val="center"/>
    </w:pPr>
    <w:rPr>
      <w:rFonts w:ascii="Times New Roman" w:hAnsi="Times New Roman" w:eastAsia="宋体" w:cs="Times New Roman"/>
      <w:bCs/>
      <w:sz w:val="21"/>
      <w:szCs w:val="21"/>
      <w:lang w:val="zh-CN" w:eastAsia="zh-CN" w:bidi="ar-SA"/>
    </w:rPr>
  </w:style>
  <w:style w:type="paragraph" w:customStyle="1" w:styleId="231">
    <w:name w:val="正文缩近"/>
    <w:basedOn w:val="1"/>
    <w:qFormat/>
    <w:uiPriority w:val="0"/>
    <w:pPr>
      <w:spacing w:line="360" w:lineRule="auto"/>
      <w:ind w:firstLine="560" w:firstLineChars="200"/>
      <w:jc w:val="left"/>
    </w:pPr>
    <w:rPr>
      <w:rFonts w:ascii="Calibri" w:hAnsi="Calibri" w:eastAsia="宋体" w:cs="Times New Roman"/>
      <w:kern w:val="0"/>
      <w:sz w:val="28"/>
      <w:szCs w:val="28"/>
      <w:lang w:eastAsia="en-US"/>
    </w:rPr>
  </w:style>
  <w:style w:type="table" w:customStyle="1" w:styleId="232">
    <w:name w:val="Table Normal"/>
    <w:autoRedefine/>
    <w:unhideWhenUsed/>
    <w:qFormat/>
    <w:uiPriority w:val="2"/>
    <w:pPr>
      <w:widowControl w:val="0"/>
    </w:pPr>
    <w:rPr>
      <w:sz w:val="22"/>
      <w:szCs w:val="22"/>
      <w:lang w:val="en-US" w:eastAsia="en-US" w:bidi="ar-SA"/>
    </w:rPr>
    <w:tblPr>
      <w:tblCellMar>
        <w:top w:w="0" w:type="dxa"/>
        <w:left w:w="0" w:type="dxa"/>
        <w:bottom w:w="0" w:type="dxa"/>
        <w:right w:w="0" w:type="dxa"/>
      </w:tblCellMar>
    </w:tblPr>
  </w:style>
  <w:style w:type="paragraph" w:customStyle="1" w:styleId="233">
    <w:name w:val="正文 首行缩进:  2 字符"/>
    <w:basedOn w:val="1"/>
    <w:qFormat/>
    <w:uiPriority w:val="0"/>
    <w:pPr>
      <w:spacing w:line="240" w:lineRule="auto"/>
      <w:ind w:left="0" w:leftChars="0" w:firstLine="579" w:firstLineChars="200"/>
    </w:pPr>
    <w:rPr>
      <w:rFonts w:eastAsia="宋体" w:cs="Times New Roman"/>
      <w:szCs w:val="20"/>
    </w:rPr>
  </w:style>
  <w:style w:type="paragraph" w:customStyle="1" w:styleId="234">
    <w:name w:val="Default1"/>
    <w:basedOn w:val="35"/>
    <w:next w:val="35"/>
    <w:autoRedefine/>
    <w:qFormat/>
    <w:uiPriority w:val="0"/>
    <w:pPr>
      <w:tabs>
        <w:tab w:val="left" w:pos="0"/>
        <w:tab w:val="left" w:pos="420"/>
        <w:tab w:val="left" w:pos="3135"/>
        <w:tab w:val="center" w:pos="4535"/>
      </w:tabs>
    </w:pPr>
    <w:rPr>
      <w:rFonts w:ascii="宋体" w:cs="宋体"/>
    </w:rPr>
  </w:style>
  <w:style w:type="paragraph" w:customStyle="1" w:styleId="235">
    <w:name w:val="4章表格"/>
    <w:basedOn w:val="1"/>
    <w:qFormat/>
    <w:uiPriority w:val="0"/>
    <w:pPr>
      <w:numPr>
        <w:ilvl w:val="0"/>
        <w:numId w:val="2"/>
      </w:numPr>
      <w:spacing w:line="440" w:lineRule="exact"/>
      <w:ind w:left="0" w:firstLine="0"/>
      <w:jc w:val="center"/>
    </w:pPr>
    <w:rPr>
      <w:rFonts w:eastAsia="黑体"/>
    </w:rPr>
  </w:style>
  <w:style w:type="paragraph" w:customStyle="1" w:styleId="236">
    <w:name w:val="A报告表正文(CTRL+Q)"/>
    <w:basedOn w:val="1"/>
    <w:qFormat/>
    <w:uiPriority w:val="0"/>
    <w:pPr>
      <w:adjustRightInd w:val="0"/>
      <w:snapToGrid w:val="0"/>
      <w:spacing w:line="360" w:lineRule="auto"/>
      <w:ind w:firstLine="720" w:firstLineChars="200"/>
    </w:pPr>
    <w:rPr>
      <w:rFonts w:hint="eastAsia"/>
      <w:sz w:val="24"/>
    </w:rPr>
  </w:style>
  <w:style w:type="paragraph" w:customStyle="1" w:styleId="237">
    <w:name w:val="1正文段落"/>
    <w:basedOn w:val="1"/>
    <w:qFormat/>
    <w:uiPriority w:val="0"/>
    <w:pPr>
      <w:snapToGrid w:val="0"/>
      <w:spacing w:line="360" w:lineRule="auto"/>
      <w:ind w:firstLine="480" w:firstLineChars="200"/>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customXml" Target="../customXml/item3.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67a854da-0195-47b2-9f70-e5fbb601b964</errorID>
      <errorWord>（</errorWord>
      <group>L1_Punc</group>
      <groupName>标点问题</groupName>
      <ability>L2_Punc</ability>
      <abilityName>标点符号检查</abilityName>
      <candidateList/>
      <explain>同一形式括号套用。</explain>
      <paraID>5D844A29</paraID>
      <start>184</start>
      <end>185</end>
      <status>unmodified</status>
      <modifiedWord/>
      <trackRevisions>false</trackRevisions>
    </reviewItem>
    <reviewItem>
      <errorID>122b885d-b8a5-4e65-8f8a-14df9c1523fb</errorID>
      <errorWord>）</errorWord>
      <group>L1_Punc</group>
      <groupName>标点问题</groupName>
      <ability>L2_Punc</ability>
      <abilityName>标点符号检查</abilityName>
      <candidateList/>
      <explain>同一形式括号套用。</explain>
      <paraID>5D844A29</paraID>
      <start>199</start>
      <end>200</end>
      <status>unmodified</status>
      <modifiedWord/>
      <trackRevisions>false</trackRevisions>
    </reviewItem>
    <reviewItem>
      <errorID>91cf70e2-e8d7-4533-9e08-f873828244ea</errorID>
      <errorWord>加弹</errorWord>
      <group>L1_Word</group>
      <groupName>字词问题</groupName>
      <ability>L2_Typo</ability>
      <abilityName>字词错误</abilityName>
      <candidateList>
        <item>加点</item>
      </candidateList>
      <explain/>
      <paraID>47A44892</paraID>
      <start>29</start>
      <end>31</end>
      <status>unmodified</status>
      <modifiedWord/>
      <trackRevisions>false</trackRevisions>
    </reviewItem>
    <reviewItem>
      <errorID>197c23a2-a395-4b85-bb9b-21562e9ec3f8</errorID>
      <errorWord>（</errorWord>
      <group>L1_Punc</group>
      <groupName>标点问题</groupName>
      <ability>L2_Punc</ability>
      <abilityName>标点符号检查</abilityName>
      <candidateList/>
      <explain>同一形式括号套用。</explain>
      <paraID>5907B0EA</paraID>
      <start>71</start>
      <end>72</end>
      <status>unmodified</status>
      <modifiedWord/>
      <trackRevisions>false</trackRevisions>
    </reviewItem>
    <reviewItem>
      <errorID>fe835759-9ced-4da3-90a8-1dac37891efe</errorID>
      <errorWord>）</errorWord>
      <group>L1_Punc</group>
      <groupName>标点问题</groupName>
      <ability>L2_Punc</ability>
      <abilityName>标点符号检查</abilityName>
      <candidateList/>
      <explain>同一形式括号套用。</explain>
      <paraID>5907B0EA</paraID>
      <start>75</start>
      <end>76</end>
      <status>unmodified</status>
      <modifiedWord/>
      <trackRevisions>false</trackRevisions>
    </reviewItem>
    <reviewItem>
      <errorID>a661a7ab-bfaf-402d-9e91-0dda9bc8ef35</errorID>
      <errorWord>上线</errorWord>
      <group>L1_Word</group>
      <groupName>字词问题</groupName>
      <ability>L2_Typo</ability>
      <abilityName>字词错误</abilityName>
      <candidateList>
        <item>上限</item>
      </candidateList>
      <explain/>
      <paraID>64B57D23</paraID>
      <start>21</start>
      <end>23</end>
      <status>unmodified</status>
      <modifiedWord/>
      <trackRevisions>false</trackRevisions>
    </reviewItem>
    <reviewItem>
      <errorID>e48cac45-6462-458c-8546-47b564ca0a79</errorID>
      <errorWord>“</errorWord>
      <group>L1_Punc</group>
      <groupName>标点问题</groupName>
      <ability>L2_Punc</ability>
      <abilityName>标点符号检查</abilityName>
      <candidateList/>
      <explain/>
      <paraID>24D680A8</paraID>
      <start>40</start>
      <end>41</end>
      <status>unmodified</status>
      <modifiedWord/>
      <trackRevisions>false</trackRevisions>
    </reviewItem>
    <reviewItem>
      <errorID>e231af0b-cb1c-491f-8b54-0886a9c8e560</errorID>
      <errorWord>[</errorWord>
      <group>L1_Punc</group>
      <groupName>标点问题</groupName>
      <ability>L2_Punc</ability>
      <abilityName>标点符号检查</abilityName>
      <candidateList/>
      <explain/>
      <paraID>52889264</paraID>
      <start>84</start>
      <end>85</end>
      <status>unmodified</status>
      <modifiedWord/>
      <trackRevisions>false</trackRevisions>
    </reviewItem>
    <reviewItem>
      <errorID>da3bf27b-2860-47a2-9b8d-3224563dc2ea</errorID>
      <errorWord>)</errorWord>
      <group>L1_Format</group>
      <groupName>格式问题</groupName>
      <ability>L2_HalfPunc</ability>
      <abilityName>全半角检查</abilityName>
      <candidateList>
        <item>）</item>
      </candidateList>
      <explain>文本全半角错误。</explain>
      <paraID>3B697A64</paraID>
      <start>30</start>
      <end>31</end>
      <status>modified</status>
      <modifiedWord>）</modifiedWord>
      <trackRevisions>false</trackRevisions>
    </reviewItem>
    <reviewItem>
      <errorID>e24ae8eb-dd31-474d-92af-c42f22ea1769</errorID>
      <errorWord>制</errorWord>
      <group>L1_Word</group>
      <groupName>字词问题</groupName>
      <ability>L2_Typo</ability>
      <abilityName>字词错误</abilityName>
      <candidateList>
        <item>制造</item>
      </candidateList>
      <explain/>
      <paraID>3FB01850</paraID>
      <start>19</start>
      <end>20</end>
      <status>unmodified</status>
      <modifiedWord/>
      <trackRevisions>false</trackRevisions>
    </reviewItem>
    <reviewItem>
      <errorID>c29f8b0b-5c96-4b00-9f01-bcea3612e92c</errorID>
      <errorWord>外逸</errorWord>
      <group>L1_Word</group>
      <groupName>字词问题</groupName>
      <ability>L2_Typo</ability>
      <abilityName>字词错误</abilityName>
      <candidateList>
        <item>外溢</item>
      </candidateList>
      <explain/>
      <paraID>50A361DB</paraID>
      <start>288</start>
      <end>290</end>
      <status>unmodified</status>
      <modifiedWord/>
      <trackRevisions>false</trackRevisions>
    </reviewItem>
    <reviewItem>
      <errorID>e820fba8-3da0-4a9e-94a3-3d7126eb1cc8</errorID>
      <errorWord>牵经</errorWord>
      <group>L1_Word</group>
      <groupName>字词问题</groupName>
      <ability>L2_Typo</ability>
      <abilityName>字词错误</abilityName>
      <candidateList>
        <item>牵引</item>
      </candidateList>
      <explain/>
      <paraID>3D4441B6</paraID>
      <start>107</start>
      <end>109</end>
      <status>unmodified</status>
      <modifiedWord/>
      <trackRevisions>false</trackRevisions>
    </reviewItem>
    <reviewItem>
      <errorID>f5f44d6f-f053-41fa-aa7a-9539efce8a88</errorID>
      <errorWord>牵经车</errorWord>
      <group>L1_Word</group>
      <groupName>字词问题</groupName>
      <ability>L2_Typo</ability>
      <abilityName>字词错误</abilityName>
      <candidateList>
        <item>牵引车</item>
      </candidateList>
      <explain/>
      <paraID>47F0B65D</paraID>
      <start>0</start>
      <end>3</end>
      <status>unmodified</status>
      <modifiedWord/>
      <trackRevisions>false</trackRevisions>
    </reviewItem>
    <reviewItem>
      <errorID>3f2a6a05-d010-459a-b24a-2fd73643acfc</errorID>
      <errorWord>~</errorWord>
      <group>L1_Format</group>
      <groupName>格式问题</groupName>
      <ability>L2_HalfPunc</ability>
      <abilityName>全半角检查</abilityName>
      <candidateList>
        <item>～</item>
      </candidateList>
      <explain>文本全半角错误。</explain>
      <paraID> 8877FC6</paraID>
      <start>81</start>
      <end>82</end>
      <status>modified</status>
      <modifiedWord>～</modifiedWord>
      <trackRevisions>false</trackRevisions>
    </reviewItem>
    <reviewItem>
      <errorID>c83c093f-e71c-4f8a-99ff-5b8d524329a1</errorID>
      <errorWord>“</errorWord>
      <group>L1_Punc</group>
      <groupName>标点问题</groupName>
      <ability>L2_Punc</ability>
      <abilityName>标点符号检查</abilityName>
      <candidateList/>
      <explain/>
      <paraID>3750B68E</paraID>
      <start>33</start>
      <end>34</end>
      <status>unmodified</status>
      <modifiedWord/>
      <trackRevisions>false</trackRevisions>
    </reviewItem>
    <reviewItem>
      <errorID>c6ab0565-ec4d-41c7-8512-7ff1e668c173</errorID>
      <errorWord>)</errorWord>
      <group>L1_Format</group>
      <groupName>格式问题</groupName>
      <ability>L2_HalfPunc</ability>
      <abilityName>全半角检查</abilityName>
      <candidateList>
        <item>）</item>
      </candidateList>
      <explain>文本全半角错误。</explain>
      <paraID>4A612ECC</paraID>
      <start>23</start>
      <end>24</end>
      <status>modified</status>
      <modifiedWord>）</modifiedWord>
      <trackRevisions>false</trackRevisions>
    </reviewItem>
    <reviewItem>
      <errorID>e2c22524-ad12-4532-8a64-bc9676a5b66a</errorID>
      <errorWord>加弹</errorWord>
      <group>L1_Word</group>
      <groupName>字词问题</groupName>
      <ability>L2_Typo</ability>
      <abilityName>字词错误</abilityName>
      <candidateList>
        <item>加点</item>
      </candidateList>
      <explain/>
      <paraID>3B43BE8B</paraID>
      <start>3</start>
      <end>5</end>
      <status>unmodified</status>
      <modifiedWord/>
      <trackRevisions>false</trackRevisions>
    </reviewItem>
    <reviewItem>
      <errorID>2aac9f31-6576-4c0e-8b49-67ce66f7faaf</errorID>
      <errorWord>)</errorWord>
      <group>L1_Format</group>
      <groupName>格式问题</groupName>
      <ability>L2_HalfPunc</ability>
      <abilityName>全半角检查</abilityName>
      <candidateList>
        <item>）</item>
      </candidateList>
      <explain>文本全半角错误。</explain>
      <paraID> CFBE52B</paraID>
      <start>28</start>
      <end>29</end>
      <status>modified</status>
      <modifiedWord>）</modifiedWord>
      <trackRevisions>false</trackRevisions>
    </reviewItem>
    <reviewItem>
      <errorID>2c24e63a-3b31-4dac-8234-049c6717daed</errorID>
      <errorWord>)</errorWord>
      <group>L1_Format</group>
      <groupName>格式问题</groupName>
      <ability>L2_HalfPunc</ability>
      <abilityName>全半角检查</abilityName>
      <candidateList>
        <item>）</item>
      </candidateList>
      <explain>文本全半角错误。</explain>
      <paraID>17BD656A</paraID>
      <start>28</start>
      <end>29</end>
      <status>modified</status>
      <modifiedWord>）</modifiedWord>
      <trackRevisions>false</trackRevisions>
    </reviewItem>
    <reviewItem>
      <errorID>fba5bc77-4e22-4fd3-881a-36dcc8f7e164</errorID>
      <errorWord>)</errorWord>
      <group>L1_Format</group>
      <groupName>格式问题</groupName>
      <ability>L2_HalfPunc</ability>
      <abilityName>全半角检查</abilityName>
      <candidateList>
        <item>）</item>
      </candidateList>
      <explain>文本全半角错误。</explain>
      <paraID>334C6D99</paraID>
      <start>28</start>
      <end>29</end>
      <status>modified</status>
      <modifiedWord>）</modifiedWord>
      <trackRevisions>false</trackRevisions>
    </reviewItem>
    <reviewItem>
      <errorID>446a6687-2bb4-4e43-a18e-3c0456e9b4e2</errorID>
      <errorWord>固废为</errorWord>
      <group>L1_Word</group>
      <groupName>字词问题</groupName>
      <ability>L2_Typo</ability>
      <abilityName>字词错误</abilityName>
      <candidateList>
        <item>固废物</item>
      </candidateList>
      <explain/>
      <paraID>43A1D885</paraID>
      <start>4</start>
      <end>7</end>
      <status>unmodified</status>
      <modifiedWord/>
      <trackRevisions>false</trackRevisions>
    </reviewItem>
    <reviewItem>
      <errorID>66cce28a-349b-4271-b257-e6ab735c8c95</errorID>
      <errorWord>*</errorWord>
      <group>L1_Punc</group>
      <groupName>标点问题</groupName>
      <ability>L2_Punc</ability>
      <abilityName>标点符号检查</abilityName>
      <candidateList/>
      <explain/>
      <paraID>58E6C25A</paraID>
      <start>0</start>
      <end>1</end>
      <status>unmodified</status>
      <modifiedWord/>
      <trackRevisions>false</trackRevisions>
    </reviewItem>
    <reviewItem>
      <errorID>0e1a4a44-b6f5-4cf1-ad67-e358e8910ee8</errorID>
      <errorWord>&gt;</errorWord>
      <group>L1_Punc</group>
      <groupName>标点问题</groupName>
      <ability>L2_Punc</ability>
      <abilityName>标点符号检查</abilityName>
      <candidateList/>
      <explain/>
      <paraID>23A6A804</paraID>
      <start>0</start>
      <end>1</end>
      <status>unmodified</status>
      <modifiedWord/>
      <trackRevisions>false</trackRevisions>
    </reviewItem>
    <reviewItem>
      <errorID>c50cd68d-a4af-4e98-a354-001a51028a64</errorID>
      <errorWord>&gt;</errorWord>
      <group>L1_Punc</group>
      <groupName>标点问题</groupName>
      <ability>L2_Punc</ability>
      <abilityName>标点符号检查</abilityName>
      <candidateList/>
      <explain/>
      <paraID>350793FB</paraID>
      <start>0</start>
      <end>1</end>
      <status>unmodified</status>
      <modifiedWord/>
      <trackRevisions>false</trackRevisions>
    </reviewItem>
    <reviewItem>
      <errorID>ee452bab-ef52-46bd-b395-6092b1f52a92</errorID>
      <errorWord>&gt;</errorWord>
      <group>L1_Punc</group>
      <groupName>标点问题</groupName>
      <ability>L2_Punc</ability>
      <abilityName>标点符号检查</abilityName>
      <candidateList/>
      <explain/>
      <paraID>2DB22157</paraID>
      <start>0</start>
      <end>1</end>
      <status>unmodified</status>
      <modifiedWord/>
      <trackRevisions>false</trackRevisions>
    </reviewItem>
    <reviewItem>
      <errorID>953468af-cdd6-42e6-949a-fa35f7de6c95</errorID>
      <errorWord>&gt;</errorWord>
      <group>L1_Punc</group>
      <groupName>标点问题</groupName>
      <ability>L2_Punc</ability>
      <abilityName>标点符号检查</abilityName>
      <candidateList/>
      <explain/>
      <paraID>11621A9C</paraID>
      <start>0</start>
      <end>1</end>
      <status>unmodified</status>
      <modifiedWord/>
      <trackRevisions>false</trackRevisions>
    </reviewItem>
    <reviewItem>
      <errorID>e5ea6537-ed3c-49ab-8f90-0a447a7abe0e</errorID>
      <errorWord>~</errorWord>
      <group>L1_Format</group>
      <groupName>格式问题</groupName>
      <ability>L2_HalfPunc</ability>
      <abilityName>全半角检查</abilityName>
      <candidateList>
        <item>～</item>
      </candidateList>
      <explain>文本全半角错误。</explain>
      <paraID>127B6FBD</paraID>
      <start>81</start>
      <end>82</end>
      <status>unmodified</status>
      <modifiedWord/>
      <trackRevisions>false</trackRevisions>
    </reviewItem>
    <reviewItem>
      <errorID>a723400e-0473-40ad-9ce9-8da21b853053</errorID>
      <errorWord>(</errorWord>
      <group>L1_Format</group>
      <groupName>格式问题</groupName>
      <ability>L2_HalfPunc</ability>
      <abilityName>全半角检查</abilityName>
      <candidateList>
        <item>（</item>
      </candidateList>
      <explain>文本全半角错误。</explain>
      <paraID>4DE1CACE</paraID>
      <start>92</start>
      <end>93</end>
      <status>modified</status>
      <modifiedWord>（</modifiedWord>
      <trackRevisions>false</trackRevisions>
    </reviewItem>
    <reviewItem>
      <errorID>3792ef72-2100-4563-a1bd-f0f24c0fd674</errorID>
      <errorWord>源源</errorWord>
      <group>L1_Word</group>
      <groupName>字词问题</groupName>
      <ability>L2_Typo</ability>
      <abilityName>字词错误</abilityName>
      <candidateList>
        <item>源</item>
      </candidateList>
      <explain/>
      <paraID>2FBFB94A</paraID>
      <start>1</start>
      <end>3</end>
      <status>unmodified</status>
      <modifiedWord/>
      <trackRevisions>false</trackRevisions>
    </reviewItem>
    <reviewItem>
      <errorID>0559dae9-6c2f-43eb-8fa7-6c3961bd1652</errorID>
      <errorWord>牵经车</errorWord>
      <group>L1_Word</group>
      <groupName>字词问题</groupName>
      <ability>L2_Typo</ability>
      <abilityName>字词错误</abilityName>
      <candidateList>
        <item>牵引车</item>
      </candidateList>
      <explain/>
      <paraID>2D36F09E</paraID>
      <start>0</start>
      <end>3</end>
      <status>unmodified</status>
      <modifiedWord/>
      <trackRevisions>false</trackRevisions>
    </reviewItem>
    <reviewItem>
      <errorID>27abe04d-d0b5-442f-bdaf-f8b6b74df3e3</errorID>
      <errorWord>）</errorWord>
      <group>L1_Format</group>
      <groupName>格式问题</groupName>
      <ability>L2_HalfPunc</ability>
      <abilityName>全半角检查</abilityName>
      <candidateList>
        <item>)</item>
      </candidateList>
      <explain>文本全半角错误。</explain>
      <paraID>60F774CB</paraID>
      <start>27</start>
      <end>28</end>
      <status>modified</status>
      <modifiedWord>)</modifiedWord>
      <trackRevisions>false</trackRevisions>
    </reviewItem>
    <reviewItem>
      <errorID>327a7b16-ad4d-4c99-b074-9924fd31e9ce</errorID>
      <errorWord>）</errorWord>
      <group>L1_Format</group>
      <groupName>格式问题</groupName>
      <ability>L2_HalfPunc</ability>
      <abilityName>全半角检查</abilityName>
      <candidateList>
        <item>)</item>
      </candidateList>
      <explain>文本全半角错误。</explain>
      <paraID>436FE3A8</paraID>
      <start>19</start>
      <end>20</end>
      <status>modified</status>
      <modifiedWord>)</modifiedWord>
      <trackRevisions>false</trackRevisions>
    </reviewItem>
    <reviewItem>
      <errorID>49675371-5975-425a-9699-195af805b36b</errorID>
      <errorWord>）</errorWord>
      <group>L1_Format</group>
      <groupName>格式问题</groupName>
      <ability>L2_HalfPunc</ability>
      <abilityName>全半角检查</abilityName>
      <candidateList>
        <item>)</item>
      </candidateList>
      <explain>文本全半角错误。</explain>
      <paraID>3D2ECFA7</paraID>
      <start>20</start>
      <end>21</end>
      <status>modified</status>
      <modifiedWord>)</modifiedWord>
      <trackRevisions>false</trackRevisions>
    </reviewItem>
    <reviewItem>
      <errorID>c8e23e8f-d5e4-4090-8458-8b731c8a9ec3</errorID>
      <errorWord>实验</errorWord>
      <group>L1_Word</group>
      <groupName>字词问题</groupName>
      <ability>L2_Typo</ability>
      <abilityName>字词错误</abilityName>
      <candidateList>
        <item>试验</item>
      </candidateList>
      <explain/>
      <paraID> AA30041</paraID>
      <start>178</start>
      <end>180</end>
      <status>unmodified</status>
      <modifiedWord/>
      <trackRevisions>false</trackRevisions>
    </reviewItem>
    <reviewItem>
      <errorID>36b049c8-9b37-4664-a13c-5cf5378149bd</errorID>
      <errorWord>（</errorWord>
      <group>L1_Punc</group>
      <groupName>标点问题</groupName>
      <ability>L2_Punc</ability>
      <abilityName>标点符号检查</abilityName>
      <candidateList/>
      <explain>同一形式括号套用。</explain>
      <paraID>4BA2696D</paraID>
      <start>41</start>
      <end>42</end>
      <status>unmodified</status>
      <modifiedWord/>
      <trackRevisions>false</trackRevisions>
    </reviewItem>
    <reviewItem>
      <errorID>8d916120-1646-4f9b-bbc2-bf287792df87</errorID>
      <errorWord>）</errorWord>
      <group>L1_Punc</group>
      <groupName>标点问题</groupName>
      <ability>L2_Punc</ability>
      <abilityName>标点符号检查</abilityName>
      <candidateList/>
      <explain>同一形式括号套用。</explain>
      <paraID>4BA2696D</paraID>
      <start>43</start>
      <end>44</end>
      <status>unmodified</status>
      <modifiedWord/>
      <trackRevisions>false</trackRevisions>
    </reviewItem>
    <reviewItem>
      <errorID>2e66c79b-617f-4d73-8986-1d5381d70a82</errorID>
      <errorWord>)</errorWord>
      <group>L1_Format</group>
      <groupName>格式问题</groupName>
      <ability>L2_HalfPunc</ability>
      <abilityName>全半角检查</abilityName>
      <candidateList>
        <item>）</item>
      </candidateList>
      <explain>文本全半角错误。</explain>
      <paraID>5B1B680F</paraID>
      <start>66</start>
      <end>67</end>
      <status>modified</status>
      <modifiedWord>）</modifiedWord>
      <trackRevisions>false</trackRevisions>
    </reviewItem>
    <reviewItem>
      <errorID>ab1cb3c0-0c5b-4cfa-bf5a-9e28f1676698</errorID>
      <errorWord>《</errorWord>
      <group>L1_Punc</group>
      <groupName>标点问题</groupName>
      <ability>L2_Punc</ability>
      <abilityName>标点符号检查</abilityName>
      <candidateList/>
      <explain>同一形式括号套用。</explain>
      <paraID>2C6EEC21</paraID>
      <start>58</start>
      <end>59</end>
      <status>unmodified</status>
      <modifiedWord/>
      <trackRevisions>false</trackRevisions>
    </reviewItem>
    <reviewItem>
      <errorID>d147950c-156c-4c2b-9446-89d437880246</errorID>
      <errorWord>》</errorWord>
      <group>L1_Punc</group>
      <groupName>标点问题</groupName>
      <ability>L2_Punc</ability>
      <abilityName>标点符号检查</abilityName>
      <candidateList/>
      <explain>同一形式括号套用。</explain>
      <paraID>2C6EEC21</paraID>
      <start>77</start>
      <end>78</end>
      <status>unmodified</status>
      <modifiedWord/>
      <trackRevisions>false</trackRevisions>
    </reviewItem>
    <reviewItem>
      <errorID>3006c745-01e5-455e-874a-af52a64e7b81</errorID>
      <errorWord>下水系统</errorWord>
      <group>L1_Knowledge</group>
      <groupName>知识性问题</groupName>
      <ability>L2_Term</ability>
      <abilityName>专业术语</abilityName>
      <candidateList>
        <item>泄水系统</item>
      </candidateList>
      <explain/>
      <paraID>45073FA8</paraID>
      <start>19</start>
      <end>23</end>
      <status>unmodified</status>
      <modifiedWord/>
      <trackRevisions>false</trackRevisions>
    </reviewItem>
    <reviewItem>
      <errorID>57054ba6-1dbb-4cdc-bda5-39419d86d147</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7B9FFB67</paraID>
      <start>39</start>
      <end>40</end>
      <status>modified</status>
      <modifiedWord>地</modifiedWord>
      <trackRevisions>false</trackRevisions>
    </reviewItem>
    <reviewItem>
      <errorID>85351452-50b8-40cf-b624-91f04f0e97af</errorID>
      <errorWord>“</errorWord>
      <group>L1_Punc</group>
      <groupName>标点问题</groupName>
      <ability>L2_Punc</ability>
      <abilityName>标点符号检查</abilityName>
      <candidateList/>
      <explain/>
      <paraID>1F0B722C</paraID>
      <start>43</start>
      <end>44</end>
      <status>unmodified</status>
      <modifiedWord/>
      <trackRevisions>false</trackRevisions>
    </reviewItem>
    <reviewItem>
      <errorID>236c2346-7ac9-4db1-a9b6-a50b57cf2548</errorID>
      <errorWord>“</errorWord>
      <group>L1_Punc</group>
      <groupName>标点问题</groupName>
      <ability>L2_Punc</ability>
      <abilityName>标点符号检查</abilityName>
      <candidateList/>
      <explain/>
      <paraID>1F0B722C</paraID>
      <start>44</start>
      <end>45</end>
      <status>unmodified</status>
      <modifiedWord/>
      <trackRevisions>false</trackRevisions>
    </reviewItem>
    <reviewItem>
      <errorID>399803be-339d-42fa-aa9a-faf255ae6ba5</errorID>
      <errorWord>污染处理</errorWord>
      <group>L1_Knowledge</group>
      <groupName>知识性问题</groupName>
      <ability>L2_Term</ability>
      <abilityName>专业术语</abilityName>
      <candidateList>
        <item>污水处理</item>
      </candidateList>
      <explain/>
      <paraID>36F78516</paraID>
      <start>3</start>
      <end>7</end>
      <status>unmodified</status>
      <modifiedWord/>
      <trackRevisions>false</trackRevisions>
    </reviewItem>
    <reviewItem>
      <errorID>235f9fb6-e950-44eb-b115-76e9f3451481</errorID>
      <errorWord>《</errorWord>
      <group>L1_Punc</group>
      <groupName>标点问题</groupName>
      <ability>L2_Punc</ability>
      <abilityName>标点符号检查</abilityName>
      <candidateList/>
      <explain/>
      <paraID>395403E8</paraID>
      <start>94</start>
      <end>95</end>
      <status>unmodified</status>
      <modifiedWord/>
      <trackRevisions>false</trackRevisions>
    </reviewItem>
    <reviewItem>
      <errorID>f6f84505-62fa-439e-9456-ebc6efcc9e1f</errorID>
      <errorWord>)</errorWord>
      <group>L1_Format</group>
      <groupName>格式问题</groupName>
      <ability>L2_HalfPunc</ability>
      <abilityName>全半角检查</abilityName>
      <candidateList>
        <item>）</item>
      </candidateList>
      <explain>文本全半角错误。</explain>
      <paraID>66B843BB</paraID>
      <start>27</start>
      <end>28</end>
      <status>modified</status>
      <modifiedWord>）</modifiedWord>
      <trackRevisions>false</trackRevisions>
    </reviewItem>
    <reviewItem>
      <errorID>74935606-6172-4cc4-bbc8-76df5a6984b9</errorID>
      <errorWord>污染处理</errorWord>
      <group>L1_Knowledge</group>
      <groupName>知识性问题</groupName>
      <ability>L2_Term</ability>
      <abilityName>专业术语</abilityName>
      <candidateList>
        <item>污水处理</item>
      </candidateList>
      <explain/>
      <paraID>14DFADE7</paraID>
      <start>34</start>
      <end>38</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444C97-CCE1-4C79-9F82-D8F1779674D0}">
  <ds:schemaRefs/>
</ds:datastoreItem>
</file>

<file path=customXml/itemProps3.xml><?xml version="1.0" encoding="utf-8"?>
<ds:datastoreItem xmlns:ds="http://schemas.openxmlformats.org/officeDocument/2006/customXml" ds:itemID="{c740acdf-0b01-48c9-bd69-14bce64ded71}">
  <ds:schemaRefs/>
</ds:datastoreItem>
</file>

<file path=docProps/app.xml><?xml version="1.0" encoding="utf-8"?>
<Properties xmlns="http://schemas.openxmlformats.org/officeDocument/2006/extended-properties" xmlns:vt="http://schemas.openxmlformats.org/officeDocument/2006/docPropsVTypes">
  <Template>wdzx97</Template>
  <Pages>75</Pages>
  <Words>556</Words>
  <Characters>607</Characters>
  <Lines>373</Lines>
  <Paragraphs>105</Paragraphs>
  <TotalTime>24</TotalTime>
  <ScaleCrop>false</ScaleCrop>
  <LinksUpToDate>false</LinksUpToDate>
  <CharactersWithSpaces>674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2022-08-03T09:53:00Z</dcterms:created>
  <dc:creator>lg</dc:creator>
  <cp:lastModifiedBy>影子恋人</cp:lastModifiedBy>
  <cp:lastPrinted>2025-09-28T02:47:00Z</cp:lastPrinted>
  <dcterms:modified xsi:type="dcterms:W3CDTF">2025-11-08T03:56:26Z</dcterms:modified>
  <dc:title>建设项目环境影响报告表（污染影响类）</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DE9C1BF9AC4E432CBBD63432CA98F3ED_13</vt:lpwstr>
  </property>
  <property fmtid="{D5CDD505-2E9C-101B-9397-08002B2CF9AE}" pid="4" name="KSOTemplateDocerSaveRecord">
    <vt:lpwstr>eyJoZGlkIjoiNDUwMTFkMDI3ZjBmZjczM2Q3M2EwOGI5M2VjYzUzMDkiLCJ1c2VySWQiOiIyODMwNjk3MjkifQ==</vt:lpwstr>
  </property>
</Properties>
</file>