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2243B">
      <w:pPr>
        <w:spacing w:before="312" w:beforeLines="100" w:line="360" w:lineRule="auto"/>
        <w:jc w:val="center"/>
        <w:rPr>
          <w:rFonts w:ascii="Times New Roman" w:hAnsi="Times New Roman" w:eastAsia="宋体" w:cs="Times New Roman"/>
          <w:b/>
          <w:bCs/>
          <w:color w:val="auto"/>
          <w:sz w:val="36"/>
          <w:szCs w:val="36"/>
          <w:highlight w:val="none"/>
        </w:rPr>
      </w:pPr>
      <w:r>
        <w:rPr>
          <w:rFonts w:ascii="Times New Roman" w:hAnsi="Times New Roman" w:eastAsia="宋体" w:cs="Times New Roman"/>
          <w:b/>
          <w:bCs/>
          <w:color w:val="auto"/>
          <w:sz w:val="36"/>
          <w:szCs w:val="36"/>
          <w:highlight w:val="none"/>
        </w:rPr>
        <w:t>关于对</w:t>
      </w:r>
      <w:r>
        <w:rPr>
          <w:rFonts w:hint="eastAsia" w:ascii="Times New Roman" w:hAnsi="Times New Roman" w:eastAsia="宋体" w:cs="Times New Roman"/>
          <w:b/>
          <w:bCs/>
          <w:color w:val="auto"/>
          <w:sz w:val="36"/>
          <w:szCs w:val="36"/>
          <w:highlight w:val="none"/>
          <w:lang w:eastAsia="zh-CN"/>
        </w:rPr>
        <w:t>宿迁乾通再生资源回收利用有限公司年拆解1.5万辆报废机动车项目</w:t>
      </w:r>
      <w:r>
        <w:rPr>
          <w:rFonts w:ascii="Times New Roman" w:hAnsi="Times New Roman" w:eastAsia="宋体" w:cs="Times New Roman"/>
          <w:b/>
          <w:bCs/>
          <w:color w:val="auto"/>
          <w:sz w:val="36"/>
          <w:szCs w:val="36"/>
          <w:highlight w:val="none"/>
        </w:rPr>
        <w:t>环境影响报告表公示</w:t>
      </w:r>
    </w:p>
    <w:p w14:paraId="5C728D0F">
      <w:pPr>
        <w:pStyle w:val="4"/>
        <w:shd w:val="clear" w:color="auto" w:fill="FFFFFF"/>
        <w:spacing w:before="312" w:beforeLines="100" w:beforeAutospacing="0" w:after="0" w:afterAutospacing="0" w:line="360" w:lineRule="auto"/>
        <w:ind w:firstLine="560" w:firstLineChars="200"/>
        <w:jc w:val="both"/>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根据建设项目环境影响评价审批程序和建设项目环境影响评价政府信息公开的有关规定，经审议，现将</w:t>
      </w:r>
      <w:r>
        <w:rPr>
          <w:rFonts w:hint="eastAsia" w:ascii="Times New Roman" w:hAnsi="Times New Roman" w:cs="Times New Roman"/>
          <w:color w:val="auto"/>
          <w:sz w:val="28"/>
          <w:szCs w:val="28"/>
          <w:highlight w:val="none"/>
        </w:rPr>
        <w:t>宿迁乾通再生资源回收利用有限公司年拆解1.5万辆报废机动车项目</w:t>
      </w:r>
      <w:r>
        <w:rPr>
          <w:rFonts w:ascii="Times New Roman" w:hAnsi="Times New Roman" w:cs="Times New Roman"/>
          <w:color w:val="auto"/>
          <w:sz w:val="28"/>
          <w:szCs w:val="28"/>
          <w:highlight w:val="none"/>
        </w:rPr>
        <w:t>环境影响报告表有关情况予以公示。</w:t>
      </w:r>
    </w:p>
    <w:p w14:paraId="59AD8236">
      <w:pPr>
        <w:pStyle w:val="4"/>
        <w:shd w:val="clear" w:color="auto" w:fill="FFFFFF"/>
        <w:spacing w:before="156" w:beforeLines="50" w:beforeAutospacing="0" w:after="0" w:afterAutospacing="0" w:line="480" w:lineRule="auto"/>
        <w:jc w:val="both"/>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 xml:space="preserve">公示日期为  </w:t>
      </w:r>
      <w:r>
        <w:rPr>
          <w:rFonts w:hint="eastAsia" w:ascii="Times New Roman" w:hAnsi="Times New Roman" w:cs="Times New Roman"/>
          <w:color w:val="auto"/>
          <w:sz w:val="28"/>
          <w:szCs w:val="28"/>
          <w:highlight w:val="none"/>
        </w:rPr>
        <w:t xml:space="preserve">  </w:t>
      </w:r>
      <w:r>
        <w:rPr>
          <w:rFonts w:ascii="Times New Roman" w:hAnsi="Times New Roman" w:cs="Times New Roman"/>
          <w:color w:val="auto"/>
          <w:sz w:val="28"/>
          <w:szCs w:val="28"/>
          <w:highlight w:val="none"/>
        </w:rPr>
        <w:t xml:space="preserve">年  月  日— </w:t>
      </w:r>
      <w:r>
        <w:rPr>
          <w:rFonts w:hint="eastAsia" w:ascii="Times New Roman" w:hAnsi="Times New Roman" w:cs="Times New Roman"/>
          <w:color w:val="auto"/>
          <w:sz w:val="28"/>
          <w:szCs w:val="28"/>
          <w:highlight w:val="none"/>
        </w:rPr>
        <w:t xml:space="preserve">  </w:t>
      </w:r>
      <w:r>
        <w:rPr>
          <w:rFonts w:ascii="Times New Roman" w:hAnsi="Times New Roman" w:cs="Times New Roman"/>
          <w:color w:val="auto"/>
          <w:sz w:val="28"/>
          <w:szCs w:val="28"/>
          <w:highlight w:val="none"/>
        </w:rPr>
        <w:t xml:space="preserve"> 年  月  日（5个工作日）。</w:t>
      </w:r>
    </w:p>
    <w:p w14:paraId="51277115">
      <w:pPr>
        <w:pStyle w:val="4"/>
        <w:shd w:val="clear" w:color="auto" w:fill="FFFFFF"/>
        <w:spacing w:before="0" w:beforeAutospacing="0" w:after="0" w:afterAutospacing="0" w:line="480" w:lineRule="auto"/>
        <w:jc w:val="both"/>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联系电话及传真：0527-85219039</w:t>
      </w:r>
    </w:p>
    <w:p w14:paraId="2B11855C">
      <w:pPr>
        <w:pStyle w:val="4"/>
        <w:shd w:val="clear" w:color="auto" w:fill="FFFFFF"/>
        <w:spacing w:before="0" w:beforeAutospacing="0" w:after="0" w:afterAutospacing="0" w:line="480" w:lineRule="auto"/>
        <w:jc w:val="both"/>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Email：</w:t>
      </w:r>
      <w:r>
        <w:rPr>
          <w:color w:val="auto"/>
          <w:highlight w:val="none"/>
        </w:rPr>
        <w:fldChar w:fldCharType="begin"/>
      </w:r>
      <w:r>
        <w:rPr>
          <w:color w:val="auto"/>
          <w:highlight w:val="none"/>
        </w:rPr>
        <w:instrText xml:space="preserve"> HYPERLINK "mailto:syhbglk@126.com;" </w:instrText>
      </w:r>
      <w:r>
        <w:rPr>
          <w:color w:val="auto"/>
          <w:highlight w:val="none"/>
        </w:rPr>
        <w:fldChar w:fldCharType="separate"/>
      </w:r>
      <w:r>
        <w:rPr>
          <w:rStyle w:val="7"/>
          <w:rFonts w:ascii="Times New Roman" w:hAnsi="Times New Roman" w:cs="Times New Roman"/>
          <w:color w:val="auto"/>
          <w:sz w:val="28"/>
          <w:szCs w:val="28"/>
          <w:highlight w:val="none"/>
        </w:rPr>
        <w:t>syhbglk@126.com</w:t>
      </w:r>
      <w:r>
        <w:rPr>
          <w:rStyle w:val="7"/>
          <w:rFonts w:hint="eastAsia" w:ascii="Times New Roman" w:hAnsi="Times New Roman" w:cs="Times New Roman"/>
          <w:color w:val="auto"/>
          <w:sz w:val="28"/>
          <w:szCs w:val="28"/>
          <w:highlight w:val="none"/>
          <w:lang w:eastAsia="zh-CN"/>
        </w:rPr>
        <w:t>；</w:t>
      </w:r>
      <w:r>
        <w:rPr>
          <w:rStyle w:val="7"/>
          <w:rFonts w:ascii="Times New Roman" w:hAnsi="Times New Roman" w:cs="Times New Roman"/>
          <w:color w:val="auto"/>
          <w:sz w:val="28"/>
          <w:szCs w:val="28"/>
          <w:highlight w:val="none"/>
        </w:rPr>
        <w:fldChar w:fldCharType="end"/>
      </w:r>
    </w:p>
    <w:p w14:paraId="33B5EA8D">
      <w:pPr>
        <w:pStyle w:val="4"/>
        <w:shd w:val="clear" w:color="auto" w:fill="FFFFFF"/>
        <w:spacing w:before="0" w:beforeAutospacing="0" w:after="0" w:afterAutospacing="0" w:line="480" w:lineRule="auto"/>
        <w:jc w:val="both"/>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通讯地址：泗阳县行政服务中心生态环境局窗口，邮编223700。</w:t>
      </w:r>
    </w:p>
    <w:p w14:paraId="469D7731">
      <w:pPr>
        <w:pStyle w:val="4"/>
        <w:shd w:val="clear" w:color="auto" w:fill="FFFFFF"/>
        <w:spacing w:before="0" w:beforeAutospacing="0" w:after="0" w:afterAutospacing="0" w:line="480" w:lineRule="auto"/>
        <w:jc w:val="both"/>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w:t>听证告知：依据《中华人民共和国行政许可法》，自公示起五日内申请人、利害关系人可对上述建设项目环境影响评价文件要求听证。</w:t>
      </w:r>
    </w:p>
    <w:p w14:paraId="034D7325">
      <w:pPr>
        <w:pStyle w:val="4"/>
        <w:shd w:val="clear" w:color="auto" w:fill="FFFFFF"/>
        <w:spacing w:before="0" w:beforeAutospacing="0" w:after="0" w:afterAutospacing="0" w:line="480" w:lineRule="auto"/>
        <w:ind w:firstLine="480"/>
        <w:rPr>
          <w:rFonts w:ascii="Times New Roman" w:hAnsi="Times New Roman" w:cs="Times New Roman"/>
          <w:color w:val="auto"/>
          <w:sz w:val="28"/>
          <w:szCs w:val="28"/>
        </w:rPr>
      </w:pPr>
    </w:p>
    <w:p w14:paraId="1DD15C1E">
      <w:pPr>
        <w:pStyle w:val="4"/>
        <w:shd w:val="clear" w:color="auto" w:fill="FFFFFF"/>
        <w:spacing w:before="0" w:beforeAutospacing="0" w:after="0" w:afterAutospacing="0" w:line="480" w:lineRule="auto"/>
        <w:ind w:firstLine="480"/>
        <w:rPr>
          <w:rFonts w:ascii="Times New Roman" w:hAnsi="Times New Roman" w:cs="Times New Roman"/>
          <w:color w:val="auto"/>
          <w:sz w:val="21"/>
          <w:szCs w:val="21"/>
        </w:rPr>
      </w:pPr>
    </w:p>
    <w:p w14:paraId="4DF7E672">
      <w:pPr>
        <w:pStyle w:val="4"/>
        <w:shd w:val="clear" w:color="auto" w:fill="FFFFFF"/>
        <w:spacing w:before="0" w:beforeAutospacing="0" w:after="0" w:afterAutospacing="0" w:line="480" w:lineRule="auto"/>
        <w:ind w:firstLine="480"/>
        <w:rPr>
          <w:rFonts w:ascii="Times New Roman" w:hAnsi="Times New Roman" w:cs="Times New Roman"/>
          <w:color w:val="auto"/>
          <w:sz w:val="21"/>
          <w:szCs w:val="21"/>
        </w:rPr>
      </w:pPr>
    </w:p>
    <w:p w14:paraId="77978EF3">
      <w:pPr>
        <w:pStyle w:val="4"/>
        <w:shd w:val="clear" w:color="auto" w:fill="FFFFFF"/>
        <w:spacing w:before="0" w:beforeAutospacing="0" w:after="0" w:afterAutospacing="0" w:line="480" w:lineRule="auto"/>
        <w:ind w:firstLine="480"/>
        <w:rPr>
          <w:rFonts w:ascii="Times New Roman" w:hAnsi="Times New Roman" w:cs="Times New Roman"/>
          <w:color w:val="auto"/>
          <w:sz w:val="21"/>
          <w:szCs w:val="21"/>
        </w:rPr>
      </w:pPr>
    </w:p>
    <w:p w14:paraId="3C2691D7">
      <w:pPr>
        <w:pStyle w:val="4"/>
        <w:shd w:val="clear" w:color="auto" w:fill="FFFFFF"/>
        <w:spacing w:before="0" w:beforeAutospacing="0" w:after="0" w:afterAutospacing="0" w:line="480" w:lineRule="auto"/>
        <w:ind w:firstLine="480"/>
        <w:rPr>
          <w:rFonts w:ascii="Times New Roman" w:hAnsi="Times New Roman" w:cs="Times New Roman"/>
          <w:color w:val="auto"/>
          <w:sz w:val="21"/>
          <w:szCs w:val="21"/>
        </w:rPr>
      </w:pPr>
    </w:p>
    <w:p w14:paraId="4D8C50C2">
      <w:pPr>
        <w:pStyle w:val="4"/>
        <w:shd w:val="clear" w:color="auto" w:fill="FFFFFF"/>
        <w:spacing w:before="0" w:beforeAutospacing="0" w:after="0" w:afterAutospacing="0" w:line="480" w:lineRule="auto"/>
        <w:ind w:firstLine="480"/>
        <w:rPr>
          <w:rFonts w:ascii="Times New Roman" w:hAnsi="Times New Roman" w:cs="Times New Roman"/>
          <w:color w:val="auto"/>
          <w:sz w:val="21"/>
          <w:szCs w:val="21"/>
        </w:rPr>
      </w:pPr>
    </w:p>
    <w:p w14:paraId="34152AAC">
      <w:pPr>
        <w:pStyle w:val="4"/>
        <w:shd w:val="clear" w:color="auto" w:fill="FFFFFF"/>
        <w:spacing w:before="0" w:beforeAutospacing="0" w:after="0" w:afterAutospacing="0" w:line="480" w:lineRule="auto"/>
        <w:ind w:firstLine="480"/>
        <w:rPr>
          <w:rFonts w:ascii="Times New Roman" w:hAnsi="Times New Roman" w:cs="Times New Roman"/>
          <w:color w:val="auto"/>
          <w:sz w:val="21"/>
          <w:szCs w:val="21"/>
        </w:rPr>
      </w:pPr>
    </w:p>
    <w:p w14:paraId="4B89B618">
      <w:pPr>
        <w:pStyle w:val="4"/>
        <w:shd w:val="clear" w:color="auto" w:fill="FFFFFF"/>
        <w:spacing w:before="0" w:beforeAutospacing="0" w:after="0" w:afterAutospacing="0" w:line="480" w:lineRule="auto"/>
        <w:ind w:firstLine="480"/>
        <w:rPr>
          <w:rFonts w:ascii="Times New Roman" w:hAnsi="Times New Roman" w:cs="Times New Roman"/>
          <w:color w:val="auto"/>
          <w:sz w:val="21"/>
          <w:szCs w:val="21"/>
        </w:rPr>
        <w:sectPr>
          <w:pgSz w:w="11906" w:h="16838"/>
          <w:pgMar w:top="1417" w:right="1304" w:bottom="1417" w:left="1304" w:header="851" w:footer="992" w:gutter="0"/>
          <w:cols w:space="720" w:num="1"/>
          <w:docGrid w:type="lines" w:linePitch="312" w:charSpace="0"/>
        </w:sectPr>
      </w:pPr>
    </w:p>
    <w:tbl>
      <w:tblPr>
        <w:tblStyle w:val="5"/>
        <w:tblpPr w:leftFromText="180" w:rightFromText="180" w:vertAnchor="text" w:horzAnchor="page" w:tblpXSpec="center" w:tblpY="164"/>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3"/>
        <w:gridCol w:w="1246"/>
        <w:gridCol w:w="1170"/>
        <w:gridCol w:w="1650"/>
        <w:gridCol w:w="1325"/>
        <w:gridCol w:w="2162"/>
        <w:gridCol w:w="5334"/>
      </w:tblGrid>
      <w:tr w14:paraId="342BD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333" w:type="dxa"/>
            <w:tcBorders>
              <w:tl2br w:val="nil"/>
              <w:tr2bl w:val="nil"/>
            </w:tcBorders>
            <w:vAlign w:val="center"/>
          </w:tcPr>
          <w:p w14:paraId="10AC8615">
            <w:pPr>
              <w:pStyle w:val="4"/>
              <w:spacing w:before="0" w:beforeAutospacing="0" w:after="0" w:afterAutospacing="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项目名称</w:t>
            </w:r>
          </w:p>
        </w:tc>
        <w:tc>
          <w:tcPr>
            <w:tcW w:w="1246" w:type="dxa"/>
            <w:tcBorders>
              <w:tl2br w:val="nil"/>
              <w:tr2bl w:val="nil"/>
            </w:tcBorders>
            <w:vAlign w:val="center"/>
          </w:tcPr>
          <w:p w14:paraId="43A8DBDE">
            <w:pPr>
              <w:pStyle w:val="4"/>
              <w:spacing w:before="0" w:beforeAutospacing="0" w:after="0" w:afterAutospacing="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建设地点</w:t>
            </w:r>
          </w:p>
        </w:tc>
        <w:tc>
          <w:tcPr>
            <w:tcW w:w="1170" w:type="dxa"/>
            <w:tcBorders>
              <w:tl2br w:val="nil"/>
              <w:tr2bl w:val="nil"/>
            </w:tcBorders>
            <w:vAlign w:val="center"/>
          </w:tcPr>
          <w:p w14:paraId="191C23C4">
            <w:pPr>
              <w:pStyle w:val="4"/>
              <w:spacing w:before="0" w:beforeAutospacing="0" w:after="0" w:afterAutospacing="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建设单位</w:t>
            </w:r>
          </w:p>
        </w:tc>
        <w:tc>
          <w:tcPr>
            <w:tcW w:w="1650" w:type="dxa"/>
            <w:tcBorders>
              <w:tl2br w:val="nil"/>
              <w:tr2bl w:val="nil"/>
            </w:tcBorders>
            <w:vAlign w:val="center"/>
          </w:tcPr>
          <w:p w14:paraId="6CDFBA1E">
            <w:pPr>
              <w:pStyle w:val="4"/>
              <w:spacing w:before="0" w:beforeAutospacing="0" w:after="0" w:afterAutospacing="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环评编制单位及编制人</w:t>
            </w:r>
          </w:p>
        </w:tc>
        <w:tc>
          <w:tcPr>
            <w:tcW w:w="1325" w:type="dxa"/>
            <w:tcBorders>
              <w:tl2br w:val="nil"/>
              <w:tr2bl w:val="nil"/>
            </w:tcBorders>
            <w:vAlign w:val="center"/>
          </w:tcPr>
          <w:p w14:paraId="08562696">
            <w:pPr>
              <w:pStyle w:val="4"/>
              <w:spacing w:before="0" w:beforeAutospacing="0" w:after="0" w:afterAutospacing="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环评报告书（表）链接</w:t>
            </w:r>
          </w:p>
        </w:tc>
        <w:tc>
          <w:tcPr>
            <w:tcW w:w="2162" w:type="dxa"/>
            <w:tcBorders>
              <w:tl2br w:val="nil"/>
              <w:tr2bl w:val="nil"/>
            </w:tcBorders>
            <w:vAlign w:val="center"/>
          </w:tcPr>
          <w:p w14:paraId="28658055">
            <w:pPr>
              <w:pStyle w:val="4"/>
              <w:spacing w:before="0" w:beforeAutospacing="0" w:after="0" w:afterAutospacing="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项目概况</w:t>
            </w:r>
          </w:p>
        </w:tc>
        <w:tc>
          <w:tcPr>
            <w:tcW w:w="5334" w:type="dxa"/>
            <w:tcBorders>
              <w:tl2br w:val="nil"/>
              <w:tr2bl w:val="nil"/>
            </w:tcBorders>
            <w:vAlign w:val="center"/>
          </w:tcPr>
          <w:p w14:paraId="6A1D4C8E">
            <w:pPr>
              <w:pStyle w:val="4"/>
              <w:spacing w:before="0" w:beforeAutospacing="0" w:after="0" w:afterAutospacing="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主要环境影响及预防或减轻不良环境影响的对策和措施</w:t>
            </w:r>
          </w:p>
        </w:tc>
      </w:tr>
      <w:tr w14:paraId="01406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1333" w:type="dxa"/>
            <w:tcBorders>
              <w:tl2br w:val="nil"/>
              <w:tr2bl w:val="nil"/>
            </w:tcBorders>
            <w:vAlign w:val="center"/>
          </w:tcPr>
          <w:p w14:paraId="2F925762">
            <w:pPr>
              <w:keepNext w:val="0"/>
              <w:keepLines w:val="0"/>
              <w:pageBreakBefore w:val="0"/>
              <w:widowControl/>
              <w:numPr>
                <w:ilvl w:val="0"/>
                <w:numId w:val="0"/>
              </w:numPr>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年拆解1.5万辆报废机动车项目</w:t>
            </w:r>
          </w:p>
        </w:tc>
        <w:tc>
          <w:tcPr>
            <w:tcW w:w="1246" w:type="dxa"/>
            <w:tcBorders>
              <w:tl2br w:val="nil"/>
              <w:tr2bl w:val="nil"/>
            </w:tcBorders>
            <w:vAlign w:val="center"/>
          </w:tcPr>
          <w:p w14:paraId="003B529E">
            <w:pPr>
              <w:keepNext w:val="0"/>
              <w:keepLines w:val="0"/>
              <w:pageBreakBefore w:val="0"/>
              <w:widowControl/>
              <w:numPr>
                <w:ilvl w:val="0"/>
                <w:numId w:val="0"/>
              </w:numPr>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宿迁市泗阳县王集镇南刘集工业园创业大道2号</w:t>
            </w:r>
          </w:p>
        </w:tc>
        <w:tc>
          <w:tcPr>
            <w:tcW w:w="1170" w:type="dxa"/>
            <w:tcBorders>
              <w:tl2br w:val="nil"/>
              <w:tr2bl w:val="nil"/>
            </w:tcBorders>
            <w:vAlign w:val="center"/>
          </w:tcPr>
          <w:p w14:paraId="017142B7">
            <w:pPr>
              <w:keepNext w:val="0"/>
              <w:keepLines w:val="0"/>
              <w:pageBreakBefore w:val="0"/>
              <w:widowControl/>
              <w:numPr>
                <w:ilvl w:val="0"/>
                <w:numId w:val="0"/>
              </w:numPr>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宿迁乾通再生资源回收利用有限公司</w:t>
            </w:r>
          </w:p>
        </w:tc>
        <w:tc>
          <w:tcPr>
            <w:tcW w:w="1650" w:type="dxa"/>
            <w:tcBorders>
              <w:tl2br w:val="nil"/>
              <w:tr2bl w:val="nil"/>
            </w:tcBorders>
            <w:vAlign w:val="center"/>
          </w:tcPr>
          <w:p w14:paraId="3BC5B9A4">
            <w:pPr>
              <w:keepNext w:val="0"/>
              <w:keepLines w:val="0"/>
              <w:pageBreakBefore w:val="0"/>
              <w:widowControl/>
              <w:numPr>
                <w:ilvl w:val="0"/>
                <w:numId w:val="0"/>
              </w:numPr>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江苏联晟生态环境科技有限公司—刘敬武</w:t>
            </w:r>
          </w:p>
        </w:tc>
        <w:tc>
          <w:tcPr>
            <w:tcW w:w="1325" w:type="dxa"/>
            <w:tcBorders>
              <w:tl2br w:val="nil"/>
              <w:tr2bl w:val="nil"/>
            </w:tcBorders>
            <w:vAlign w:val="center"/>
          </w:tcPr>
          <w:p w14:paraId="4C87D8F6">
            <w:pPr>
              <w:keepNext w:val="0"/>
              <w:keepLines w:val="0"/>
              <w:pageBreakBefore w:val="0"/>
              <w:widowControl/>
              <w:numPr>
                <w:ilvl w:val="0"/>
                <w:numId w:val="0"/>
              </w:numPr>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kern w:val="2"/>
                <w:sz w:val="21"/>
                <w:szCs w:val="21"/>
                <w:highlight w:val="none"/>
                <w:lang w:val="en-US" w:eastAsia="zh-CN" w:bidi="ar-SA"/>
              </w:rPr>
            </w:pPr>
          </w:p>
        </w:tc>
        <w:tc>
          <w:tcPr>
            <w:tcW w:w="2162" w:type="dxa"/>
            <w:tcBorders>
              <w:tl2br w:val="nil"/>
              <w:tr2bl w:val="nil"/>
            </w:tcBorders>
            <w:vAlign w:val="center"/>
          </w:tcPr>
          <w:p w14:paraId="1BE19BEE">
            <w:pPr>
              <w:keepNext w:val="0"/>
              <w:keepLines w:val="0"/>
              <w:pageBreakBefore w:val="0"/>
              <w:widowControl/>
              <w:numPr>
                <w:ilvl w:val="0"/>
                <w:numId w:val="0"/>
              </w:numPr>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项目位于</w:t>
            </w:r>
            <w:r>
              <w:rPr>
                <w:rFonts w:hint="eastAsia" w:ascii="Times New Roman" w:hAnsi="Times New Roman" w:eastAsia="宋体" w:cs="Times New Roman"/>
                <w:color w:val="auto"/>
                <w:kern w:val="2"/>
                <w:sz w:val="21"/>
                <w:szCs w:val="21"/>
                <w:highlight w:val="none"/>
                <w:lang w:val="en-US" w:eastAsia="zh-CN" w:bidi="ar-SA"/>
              </w:rPr>
              <w:t>宿迁市</w:t>
            </w:r>
            <w:r>
              <w:rPr>
                <w:rFonts w:hint="default" w:ascii="Times New Roman" w:hAnsi="Times New Roman" w:eastAsia="宋体" w:cs="Times New Roman"/>
                <w:color w:val="auto"/>
                <w:kern w:val="2"/>
                <w:sz w:val="21"/>
                <w:szCs w:val="21"/>
                <w:highlight w:val="none"/>
                <w:lang w:val="en-US" w:eastAsia="zh-CN" w:bidi="ar-SA"/>
              </w:rPr>
              <w:t>泗阳县王集镇南刘集工业园创业大道2号，总建筑面积约15000平方米。需新购置预处理设备、拆解设备、剪切设备、安全设施设备、安全评估设备、动力电池断电设备、救援应急设备、绝缘专用设备、放电设备、转运容器、防护工具等设备；原料为报废机动车；项目建成后，预计可年拆解1.5万辆报废机动车。本项目符合国家政策，后续将按规定办理节能、安全等相关审批手续，具备条件后方可实施。</w:t>
            </w:r>
          </w:p>
        </w:tc>
        <w:tc>
          <w:tcPr>
            <w:tcW w:w="5334" w:type="dxa"/>
            <w:tcBorders>
              <w:tl2br w:val="nil"/>
              <w:tr2bl w:val="nil"/>
            </w:tcBorders>
            <w:vAlign w:val="center"/>
          </w:tcPr>
          <w:p w14:paraId="2079378E">
            <w:pPr>
              <w:keepNext w:val="0"/>
              <w:keepLines w:val="0"/>
              <w:pageBreakBefore w:val="0"/>
              <w:widowControl/>
              <w:numPr>
                <w:ilvl w:val="0"/>
                <w:numId w:val="0"/>
              </w:numPr>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kern w:val="2"/>
                <w:sz w:val="21"/>
                <w:szCs w:val="21"/>
                <w:highlight w:val="none"/>
                <w:lang w:val="en-US" w:eastAsia="zh-CN" w:bidi="ar-SA"/>
              </w:rPr>
              <w:t>废气：本</w:t>
            </w:r>
            <w:r>
              <w:rPr>
                <w:rFonts w:hint="eastAsia" w:ascii="Times New Roman" w:hAnsi="Times New Roman" w:eastAsia="宋体" w:cs="Times New Roman"/>
                <w:color w:val="auto"/>
                <w:kern w:val="2"/>
                <w:sz w:val="21"/>
                <w:szCs w:val="21"/>
                <w:highlight w:val="none"/>
                <w:lang w:val="en-US" w:eastAsia="zh-CN" w:bidi="ar-SA"/>
              </w:rPr>
              <w:t>项目油液废气</w:t>
            </w:r>
            <w:r>
              <w:rPr>
                <w:rFonts w:hint="default" w:ascii="Times New Roman" w:hAnsi="Times New Roman" w:eastAsia="宋体" w:cs="Times New Roman"/>
                <w:color w:val="auto"/>
                <w:kern w:val="2"/>
                <w:sz w:val="21"/>
                <w:szCs w:val="21"/>
                <w:highlight w:val="none"/>
                <w:lang w:val="en-US" w:eastAsia="zh-CN" w:bidi="ar-SA"/>
              </w:rPr>
              <w:t>（NMHC</w:t>
            </w:r>
            <w:r>
              <w:rPr>
                <w:rFonts w:hint="eastAsia" w:ascii="Times New Roman" w:hAnsi="Times New Roman" w:eastAsia="宋体" w:cs="Times New Roman"/>
                <w:color w:val="auto"/>
                <w:kern w:val="2"/>
                <w:sz w:val="21"/>
                <w:szCs w:val="21"/>
                <w:highlight w:val="none"/>
                <w:lang w:val="en-US" w:eastAsia="zh-CN" w:bidi="ar-SA"/>
              </w:rPr>
              <w:t>）和制冷剂废气（NMHC）经集气罩收集后由二级活性炭吸附装置（TA001）处理后通过1根15m排气筒（DA001）排放，</w:t>
            </w:r>
            <w:r>
              <w:rPr>
                <w:rFonts w:hint="default" w:ascii="Times New Roman" w:hAnsi="Times New Roman" w:eastAsia="宋体" w:cs="Times New Roman"/>
                <w:color w:val="auto"/>
                <w:kern w:val="2"/>
                <w:sz w:val="21"/>
                <w:szCs w:val="21"/>
                <w:highlight w:val="none"/>
                <w:lang w:val="en-US" w:eastAsia="zh-CN" w:bidi="ar-SA"/>
              </w:rPr>
              <w:t>危废贮存废气（NMHC）经负压风管收集</w:t>
            </w:r>
            <w:r>
              <w:rPr>
                <w:rFonts w:hint="eastAsia" w:ascii="Times New Roman" w:hAnsi="Times New Roman" w:eastAsia="宋体" w:cs="Times New Roman"/>
                <w:color w:val="auto"/>
                <w:kern w:val="2"/>
                <w:sz w:val="21"/>
                <w:szCs w:val="21"/>
                <w:highlight w:val="none"/>
                <w:lang w:val="en-US" w:eastAsia="zh-CN" w:bidi="ar-SA"/>
              </w:rPr>
              <w:t>后由</w:t>
            </w:r>
            <w:r>
              <w:rPr>
                <w:rFonts w:hint="default" w:ascii="Times New Roman" w:hAnsi="Times New Roman" w:eastAsia="宋体" w:cs="Times New Roman"/>
                <w:color w:val="auto"/>
                <w:kern w:val="2"/>
                <w:sz w:val="21"/>
                <w:szCs w:val="21"/>
                <w:highlight w:val="none"/>
                <w:lang w:val="en-US" w:eastAsia="zh-CN" w:bidi="ar-SA"/>
              </w:rPr>
              <w:t>二级活性炭吸附装置</w:t>
            </w:r>
            <w:r>
              <w:rPr>
                <w:rFonts w:hint="eastAsia" w:ascii="Times New Roman" w:hAnsi="Times New Roman" w:eastAsia="宋体" w:cs="Times New Roman"/>
                <w:color w:val="auto"/>
                <w:kern w:val="2"/>
                <w:sz w:val="21"/>
                <w:szCs w:val="21"/>
                <w:highlight w:val="none"/>
                <w:lang w:val="en-US" w:eastAsia="zh-CN" w:bidi="ar-SA"/>
              </w:rPr>
              <w:t>（DA002）</w:t>
            </w:r>
            <w:r>
              <w:rPr>
                <w:rFonts w:hint="default" w:ascii="Times New Roman" w:hAnsi="Times New Roman" w:eastAsia="宋体" w:cs="Times New Roman"/>
                <w:color w:val="auto"/>
                <w:kern w:val="2"/>
                <w:sz w:val="21"/>
                <w:szCs w:val="21"/>
                <w:highlight w:val="none"/>
                <w:lang w:val="en-US" w:eastAsia="zh-CN" w:bidi="ar-SA"/>
              </w:rPr>
              <w:t>处理后通过1根15m排气筒（DA00</w:t>
            </w:r>
            <w:r>
              <w:rPr>
                <w:rFonts w:hint="eastAsia" w:ascii="Times New Roman" w:hAnsi="Times New Roman" w:eastAsia="宋体" w:cs="Times New Roman"/>
                <w:color w:val="auto"/>
                <w:kern w:val="2"/>
                <w:sz w:val="21"/>
                <w:szCs w:val="21"/>
                <w:highlight w:val="none"/>
                <w:lang w:val="en-US" w:eastAsia="zh-CN" w:bidi="ar-SA"/>
              </w:rPr>
              <w:t>2</w:t>
            </w:r>
            <w:r>
              <w:rPr>
                <w:rFonts w:hint="default" w:ascii="Times New Roman" w:hAnsi="Times New Roman" w:eastAsia="宋体" w:cs="Times New Roman"/>
                <w:color w:val="auto"/>
                <w:kern w:val="2"/>
                <w:sz w:val="21"/>
                <w:szCs w:val="21"/>
                <w:highlight w:val="none"/>
                <w:lang w:val="en-US" w:eastAsia="zh-CN" w:bidi="ar-SA"/>
              </w:rPr>
              <w:t>）排放</w:t>
            </w:r>
            <w:r>
              <w:rPr>
                <w:rFonts w:hint="eastAsia" w:ascii="Times New Roman" w:hAnsi="Times New Roman" w:eastAsia="宋体" w:cs="Times New Roman"/>
                <w:color w:val="auto"/>
                <w:kern w:val="2"/>
                <w:sz w:val="21"/>
                <w:szCs w:val="21"/>
                <w:highlight w:val="none"/>
                <w:lang w:val="en-US" w:eastAsia="zh-CN" w:bidi="ar-SA"/>
              </w:rPr>
              <w:t>，切割粉尘（颗粒物）经集气罩收集后由布袋除尘器（TA003）处理后通过1根15m排气筒（DA003）</w:t>
            </w:r>
            <w:r>
              <w:rPr>
                <w:rFonts w:hint="default" w:ascii="Times New Roman" w:hAnsi="Times New Roman" w:eastAsia="宋体" w:cs="Times New Roman"/>
                <w:color w:val="auto"/>
                <w:kern w:val="2"/>
                <w:sz w:val="21"/>
                <w:szCs w:val="21"/>
                <w:highlight w:val="none"/>
                <w:lang w:val="en-US" w:eastAsia="zh-CN" w:bidi="ar-SA"/>
              </w:rPr>
              <w:t>排放</w:t>
            </w:r>
            <w:r>
              <w:rPr>
                <w:rFonts w:hint="eastAsia" w:ascii="Times New Roman" w:hAnsi="Times New Roman" w:eastAsia="宋体" w:cs="Times New Roman"/>
                <w:color w:val="auto"/>
                <w:kern w:val="2"/>
                <w:sz w:val="21"/>
                <w:szCs w:val="21"/>
                <w:highlight w:val="none"/>
                <w:lang w:val="en-US" w:eastAsia="zh-CN" w:bidi="ar-SA"/>
              </w:rPr>
              <w:t>。</w:t>
            </w:r>
          </w:p>
          <w:p w14:paraId="71BD173E">
            <w:pPr>
              <w:keepNext w:val="0"/>
              <w:keepLines w:val="0"/>
              <w:pageBreakBefore w:val="0"/>
              <w:widowControl/>
              <w:numPr>
                <w:ilvl w:val="0"/>
                <w:numId w:val="0"/>
              </w:numPr>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（2）废水：本项目仅外排职工生活污水，职工生活污水依托泗阳德宝报废汽车回收有限公司厂区内</w:t>
            </w:r>
            <w:r>
              <w:rPr>
                <w:rFonts w:hint="eastAsia" w:ascii="Times New Roman" w:hAnsi="Times New Roman" w:eastAsia="宋体" w:cs="Times New Roman"/>
                <w:color w:val="auto"/>
                <w:kern w:val="2"/>
                <w:sz w:val="21"/>
                <w:szCs w:val="21"/>
                <w:highlight w:val="none"/>
                <w:lang w:val="en-US" w:eastAsia="zh-CN" w:bidi="ar-SA"/>
              </w:rPr>
              <w:t>的</w:t>
            </w:r>
            <w:bookmarkStart w:id="0" w:name="_GoBack"/>
            <w:bookmarkEnd w:id="0"/>
            <w:r>
              <w:rPr>
                <w:rFonts w:hint="default" w:ascii="Times New Roman" w:hAnsi="Times New Roman" w:eastAsia="宋体" w:cs="Times New Roman"/>
                <w:color w:val="auto"/>
                <w:kern w:val="2"/>
                <w:sz w:val="21"/>
                <w:szCs w:val="21"/>
                <w:highlight w:val="none"/>
                <w:lang w:val="en-US" w:eastAsia="zh-CN" w:bidi="ar-SA"/>
              </w:rPr>
              <w:t>化粪池预处理</w:t>
            </w:r>
            <w:r>
              <w:rPr>
                <w:rFonts w:hint="eastAsia" w:ascii="Times New Roman" w:hAnsi="Times New Roman" w:eastAsia="宋体" w:cs="Times New Roman"/>
                <w:color w:val="auto"/>
                <w:kern w:val="2"/>
                <w:sz w:val="21"/>
                <w:szCs w:val="21"/>
                <w:highlight w:val="none"/>
                <w:lang w:val="en-US" w:eastAsia="zh-CN" w:bidi="ar-SA"/>
              </w:rPr>
              <w:t>达标</w:t>
            </w:r>
            <w:r>
              <w:rPr>
                <w:rFonts w:hint="default" w:ascii="Times New Roman" w:hAnsi="Times New Roman" w:eastAsia="宋体" w:cs="Times New Roman"/>
                <w:color w:val="auto"/>
                <w:kern w:val="2"/>
                <w:sz w:val="21"/>
                <w:szCs w:val="21"/>
                <w:highlight w:val="none"/>
                <w:lang w:val="en-US" w:eastAsia="zh-CN" w:bidi="ar-SA"/>
              </w:rPr>
              <w:t>后接管至南刘集污水处理集中处理，尾水达到《城镇污水处理厂污染物排放标准》（GB 18918-2002）表1中一级A标准后排入颜倪河。</w:t>
            </w:r>
          </w:p>
          <w:p w14:paraId="270141C6">
            <w:pPr>
              <w:keepNext w:val="0"/>
              <w:keepLines w:val="0"/>
              <w:pageBreakBefore w:val="0"/>
              <w:widowControl/>
              <w:numPr>
                <w:ilvl w:val="0"/>
                <w:numId w:val="0"/>
              </w:numPr>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（3）噪声：本项目产生的噪声经采取相应措施后，周界噪声能够达到《工业企业厂界环境噪声排放标准》（GB</w:t>
            </w:r>
            <w:r>
              <w:rPr>
                <w:rFonts w:hint="eastAsia" w:ascii="Times New Roman" w:hAnsi="Times New Roman" w:eastAsia="宋体" w:cs="Times New Roman"/>
                <w:color w:val="auto"/>
                <w:kern w:val="2"/>
                <w:sz w:val="21"/>
                <w:szCs w:val="21"/>
                <w:highlight w:val="none"/>
                <w:lang w:val="en-US" w:eastAsia="zh-CN" w:bidi="ar-SA"/>
              </w:rPr>
              <w:t xml:space="preserve"> </w:t>
            </w:r>
            <w:r>
              <w:rPr>
                <w:rFonts w:hint="default" w:ascii="Times New Roman" w:hAnsi="Times New Roman" w:eastAsia="宋体" w:cs="Times New Roman"/>
                <w:color w:val="auto"/>
                <w:kern w:val="2"/>
                <w:sz w:val="21"/>
                <w:szCs w:val="21"/>
                <w:highlight w:val="none"/>
                <w:lang w:val="en-US" w:eastAsia="zh-CN" w:bidi="ar-SA"/>
              </w:rPr>
              <w:t>12348-2008）3类标准要求，对外环境影响较小。</w:t>
            </w:r>
          </w:p>
          <w:p w14:paraId="51E00BC4">
            <w:pPr>
              <w:keepNext w:val="0"/>
              <w:keepLines w:val="0"/>
              <w:pageBreakBefore w:val="0"/>
              <w:widowControl/>
              <w:numPr>
                <w:ilvl w:val="0"/>
                <w:numId w:val="0"/>
              </w:numPr>
              <w:kinsoku/>
              <w:wordWrap/>
              <w:overflowPunct/>
              <w:topLinePunct w:val="0"/>
              <w:autoSpaceDE/>
              <w:autoSpaceDN/>
              <w:bidi w:val="0"/>
              <w:adjustRightInd/>
              <w:snapToGrid/>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（4）固废：本项目产生的固体废物包括</w:t>
            </w:r>
            <w:r>
              <w:rPr>
                <w:rFonts w:hint="eastAsia" w:ascii="Times New Roman" w:hAnsi="Times New Roman" w:eastAsia="宋体" w:cs="Times New Roman"/>
                <w:color w:val="auto"/>
                <w:kern w:val="2"/>
                <w:sz w:val="21"/>
                <w:szCs w:val="21"/>
                <w:highlight w:val="none"/>
                <w:lang w:val="en-US" w:eastAsia="zh-CN" w:bidi="ar-SA"/>
              </w:rPr>
              <w:t>报废机动车拆解工序产生的</w:t>
            </w:r>
            <w:r>
              <w:rPr>
                <w:rFonts w:hint="default" w:ascii="Times New Roman" w:hAnsi="Times New Roman" w:eastAsia="宋体" w:cs="Times New Roman"/>
                <w:color w:val="auto"/>
                <w:kern w:val="2"/>
                <w:sz w:val="21"/>
                <w:szCs w:val="21"/>
                <w:highlight w:val="none"/>
                <w:lang w:val="en-US" w:eastAsia="zh-CN" w:bidi="ar-SA"/>
              </w:rPr>
              <w:t>废燃油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废锂电池</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废钢铁</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废有色金属</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废橡胶</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废塑料</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废玻璃</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废纺织物</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可回收零部件</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具有再制造条件的总成</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其他不可回收物</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废蓄电池</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含多氯联苯的废电容器</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废尾气净化催化剂</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废发动机润滑油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废刹车油（制动液）</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废变速箱油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废助力转向油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废油液滤清器</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废空调制冷剂</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废电路板</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含汞部件</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废液压油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其他废矿物油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废挡风玻璃清洗液</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废防冻冷却液</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废尿素溶液</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废油箱</w:t>
            </w:r>
            <w:r>
              <w:rPr>
                <w:rFonts w:hint="eastAsia" w:ascii="Times New Roman" w:hAnsi="Times New Roman" w:eastAsia="宋体" w:cs="Times New Roman"/>
                <w:color w:val="auto"/>
                <w:kern w:val="2"/>
                <w:sz w:val="21"/>
                <w:szCs w:val="21"/>
                <w:highlight w:val="none"/>
                <w:lang w:val="en-US" w:eastAsia="zh-CN" w:bidi="ar-SA"/>
              </w:rPr>
              <w:t>、沾染废油液的抹布，废气处理工序产生的</w:t>
            </w:r>
            <w:r>
              <w:rPr>
                <w:rFonts w:hint="default" w:ascii="Times New Roman" w:hAnsi="Times New Roman" w:eastAsia="宋体" w:cs="Times New Roman"/>
                <w:color w:val="auto"/>
                <w:kern w:val="2"/>
                <w:sz w:val="21"/>
                <w:szCs w:val="21"/>
                <w:highlight w:val="none"/>
                <w:lang w:val="en-US" w:eastAsia="zh-CN" w:bidi="ar-SA"/>
              </w:rPr>
              <w:t>集尘灰</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废活性炭</w:t>
            </w:r>
            <w:r>
              <w:rPr>
                <w:rFonts w:hint="eastAsia" w:ascii="Times New Roman" w:hAnsi="Times New Roman" w:eastAsia="宋体" w:cs="Times New Roman"/>
                <w:color w:val="auto"/>
                <w:kern w:val="2"/>
                <w:sz w:val="21"/>
                <w:szCs w:val="21"/>
                <w:highlight w:val="none"/>
                <w:lang w:val="en-US" w:eastAsia="zh-CN" w:bidi="ar-SA"/>
              </w:rPr>
              <w:t>，职工生活产生的生活垃圾</w:t>
            </w:r>
            <w:r>
              <w:rPr>
                <w:rFonts w:hint="default" w:ascii="Times New Roman" w:hAnsi="Times New Roman" w:eastAsia="宋体" w:cs="Times New Roman"/>
                <w:color w:val="auto"/>
                <w:kern w:val="2"/>
                <w:sz w:val="21"/>
                <w:szCs w:val="21"/>
                <w:highlight w:val="none"/>
                <w:lang w:val="en-US" w:eastAsia="zh-CN" w:bidi="ar-SA"/>
              </w:rPr>
              <w:t>。其中，废燃油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废锂电池</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废钢铁</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废有色金属</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废橡胶</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废塑料</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废玻璃</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废纺织物</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可回收零部件</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具有再制造条件的总成</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其他不可回收物</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集尘灰等一般固废收集后暂存一般固废库，定期外售综合利用</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废蓄电池</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含多氯联苯的废电容器</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废尾气净化催化剂</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废发动机润滑油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废刹车油（制动液）</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废变速箱油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废助力转向油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废油液滤清器</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废空调制冷剂</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废电路板</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含汞部件</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废液压油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其他废矿物油</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废挡风玻璃清洗液</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废防冻冷却液</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废尿素溶液</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废油箱</w:t>
            </w:r>
            <w:r>
              <w:rPr>
                <w:rFonts w:hint="eastAsia" w:ascii="Times New Roman" w:hAnsi="Times New Roman" w:eastAsia="宋体" w:cs="Times New Roman"/>
                <w:color w:val="auto"/>
                <w:kern w:val="2"/>
                <w:sz w:val="21"/>
                <w:szCs w:val="21"/>
                <w:highlight w:val="none"/>
                <w:lang w:val="en-US" w:eastAsia="zh-CN" w:bidi="ar-SA"/>
              </w:rPr>
              <w:t>、沾染废油液的抹布、</w:t>
            </w:r>
            <w:r>
              <w:rPr>
                <w:rFonts w:hint="default" w:ascii="Times New Roman" w:hAnsi="Times New Roman" w:eastAsia="宋体" w:cs="Times New Roman"/>
                <w:color w:val="auto"/>
                <w:kern w:val="2"/>
                <w:sz w:val="21"/>
                <w:szCs w:val="21"/>
                <w:highlight w:val="none"/>
                <w:lang w:val="en-US" w:eastAsia="zh-CN" w:bidi="ar-SA"/>
              </w:rPr>
              <w:t>废活性炭等危险废物暂存危废仓库，定期</w:t>
            </w:r>
            <w:r>
              <w:rPr>
                <w:rFonts w:hint="eastAsia" w:ascii="Times New Roman" w:hAnsi="Times New Roman" w:eastAsia="宋体" w:cs="Times New Roman"/>
                <w:color w:val="auto"/>
                <w:kern w:val="2"/>
                <w:sz w:val="21"/>
                <w:szCs w:val="21"/>
                <w:highlight w:val="none"/>
                <w:lang w:val="en-US" w:eastAsia="zh-CN" w:bidi="ar-SA"/>
              </w:rPr>
              <w:t>委托</w:t>
            </w:r>
            <w:r>
              <w:rPr>
                <w:rFonts w:hint="default" w:ascii="Times New Roman" w:hAnsi="Times New Roman" w:eastAsia="宋体" w:cs="Times New Roman"/>
                <w:color w:val="auto"/>
                <w:kern w:val="2"/>
                <w:sz w:val="21"/>
                <w:szCs w:val="21"/>
                <w:highlight w:val="none"/>
                <w:lang w:val="en-US" w:eastAsia="zh-CN" w:bidi="ar-SA"/>
              </w:rPr>
              <w:t>有资质单位处置。生活垃圾统一收集后，交由环卫部门处置。项目固体废物可以做到零排放，不影响外环境。</w:t>
            </w:r>
          </w:p>
        </w:tc>
      </w:tr>
    </w:tbl>
    <w:p w14:paraId="03EF6B32">
      <w:pPr>
        <w:rPr>
          <w:rFonts w:eastAsia="仿宋_GB2312"/>
          <w:color w:val="auto"/>
          <w:sz w:val="24"/>
        </w:rPr>
      </w:pPr>
    </w:p>
    <w:sectPr>
      <w:pgSz w:w="16838" w:h="11906" w:orient="landscape"/>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embedRegular r:id="rId1" w:fontKey="{8584AC54-699E-4B92-B1EC-9613DFD22EA5}"/>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2130C8"/>
    <w:multiLevelType w:val="singleLevel"/>
    <w:tmpl w:val="622130C8"/>
    <w:lvl w:ilvl="0" w:tentative="0">
      <w:start w:val="1"/>
      <w:numFmt w:val="bullet"/>
      <w:pStyle w:val="3"/>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0YzY5YzEyNTE1MTZmNzAwOWZhZWRmN2Y0YmEzYWYifQ=="/>
  </w:docVars>
  <w:rsids>
    <w:rsidRoot w:val="0033772C"/>
    <w:rsid w:val="000558B5"/>
    <w:rsid w:val="001D02CE"/>
    <w:rsid w:val="002B7D5F"/>
    <w:rsid w:val="0033772C"/>
    <w:rsid w:val="00361968"/>
    <w:rsid w:val="006154DD"/>
    <w:rsid w:val="00B1070F"/>
    <w:rsid w:val="00B115CC"/>
    <w:rsid w:val="00DC7E8A"/>
    <w:rsid w:val="00E84814"/>
    <w:rsid w:val="00EE2B5F"/>
    <w:rsid w:val="012B4A44"/>
    <w:rsid w:val="017D3AA4"/>
    <w:rsid w:val="0187586F"/>
    <w:rsid w:val="01A37947"/>
    <w:rsid w:val="01BE7E9B"/>
    <w:rsid w:val="01E730A7"/>
    <w:rsid w:val="02182ED7"/>
    <w:rsid w:val="02AF30F5"/>
    <w:rsid w:val="03141C34"/>
    <w:rsid w:val="038325D2"/>
    <w:rsid w:val="060444F1"/>
    <w:rsid w:val="07367AF8"/>
    <w:rsid w:val="07742EA5"/>
    <w:rsid w:val="0848107E"/>
    <w:rsid w:val="0859093F"/>
    <w:rsid w:val="0B8B471A"/>
    <w:rsid w:val="0BAC1FB9"/>
    <w:rsid w:val="0BD04822"/>
    <w:rsid w:val="0E236E8B"/>
    <w:rsid w:val="0F7B4AA5"/>
    <w:rsid w:val="106F0166"/>
    <w:rsid w:val="12EF1A32"/>
    <w:rsid w:val="12FA466D"/>
    <w:rsid w:val="143771ED"/>
    <w:rsid w:val="14CD7B51"/>
    <w:rsid w:val="14DF3548"/>
    <w:rsid w:val="15987E3B"/>
    <w:rsid w:val="1723614E"/>
    <w:rsid w:val="17A728DB"/>
    <w:rsid w:val="1881137E"/>
    <w:rsid w:val="1921046B"/>
    <w:rsid w:val="199A4CE0"/>
    <w:rsid w:val="1BAD6A2F"/>
    <w:rsid w:val="1C3567D9"/>
    <w:rsid w:val="1D8B1F58"/>
    <w:rsid w:val="1DB7139E"/>
    <w:rsid w:val="20D85D84"/>
    <w:rsid w:val="21270990"/>
    <w:rsid w:val="225D6E13"/>
    <w:rsid w:val="226C661E"/>
    <w:rsid w:val="22CD5B33"/>
    <w:rsid w:val="23732D21"/>
    <w:rsid w:val="24853E36"/>
    <w:rsid w:val="25C1725E"/>
    <w:rsid w:val="25CA10B4"/>
    <w:rsid w:val="25E65E18"/>
    <w:rsid w:val="2608016A"/>
    <w:rsid w:val="272C2061"/>
    <w:rsid w:val="275163C0"/>
    <w:rsid w:val="275D6B12"/>
    <w:rsid w:val="28B05368"/>
    <w:rsid w:val="28EA087A"/>
    <w:rsid w:val="28FD7BD7"/>
    <w:rsid w:val="29333413"/>
    <w:rsid w:val="294044EB"/>
    <w:rsid w:val="29983575"/>
    <w:rsid w:val="299F1664"/>
    <w:rsid w:val="2A1A3543"/>
    <w:rsid w:val="2B4D675E"/>
    <w:rsid w:val="2BB80CBF"/>
    <w:rsid w:val="2BF4511F"/>
    <w:rsid w:val="2C736DD8"/>
    <w:rsid w:val="2CCA3528"/>
    <w:rsid w:val="2CF952A7"/>
    <w:rsid w:val="2DAA682A"/>
    <w:rsid w:val="2DDE404C"/>
    <w:rsid w:val="2E206AEC"/>
    <w:rsid w:val="2E9D013C"/>
    <w:rsid w:val="2F0106CB"/>
    <w:rsid w:val="2F3A2280"/>
    <w:rsid w:val="3014525A"/>
    <w:rsid w:val="316D029A"/>
    <w:rsid w:val="31C54CC8"/>
    <w:rsid w:val="33781420"/>
    <w:rsid w:val="33FF60A9"/>
    <w:rsid w:val="341B222F"/>
    <w:rsid w:val="34391824"/>
    <w:rsid w:val="35031FC6"/>
    <w:rsid w:val="35DF103A"/>
    <w:rsid w:val="387D28C6"/>
    <w:rsid w:val="39E906DA"/>
    <w:rsid w:val="3A6D30B9"/>
    <w:rsid w:val="3AD34FAD"/>
    <w:rsid w:val="3C3339DA"/>
    <w:rsid w:val="3C4165AB"/>
    <w:rsid w:val="3C540954"/>
    <w:rsid w:val="3E860865"/>
    <w:rsid w:val="3F1B7587"/>
    <w:rsid w:val="3F4D3ACB"/>
    <w:rsid w:val="3FA5275C"/>
    <w:rsid w:val="40733867"/>
    <w:rsid w:val="40CC72E5"/>
    <w:rsid w:val="411475CB"/>
    <w:rsid w:val="418A4F0A"/>
    <w:rsid w:val="423B6B2B"/>
    <w:rsid w:val="42436E81"/>
    <w:rsid w:val="42894808"/>
    <w:rsid w:val="42B2553F"/>
    <w:rsid w:val="43B104BA"/>
    <w:rsid w:val="441F5424"/>
    <w:rsid w:val="44DF4BB3"/>
    <w:rsid w:val="44E67CEF"/>
    <w:rsid w:val="454A4722"/>
    <w:rsid w:val="467A3B2C"/>
    <w:rsid w:val="476B12CF"/>
    <w:rsid w:val="48C42A3E"/>
    <w:rsid w:val="4AB94F45"/>
    <w:rsid w:val="4AD97B84"/>
    <w:rsid w:val="4BE4640D"/>
    <w:rsid w:val="4C8B3455"/>
    <w:rsid w:val="4D1B401A"/>
    <w:rsid w:val="4E013DEC"/>
    <w:rsid w:val="4E0470A9"/>
    <w:rsid w:val="4E502EF1"/>
    <w:rsid w:val="4F075432"/>
    <w:rsid w:val="504A7CCC"/>
    <w:rsid w:val="515D42A4"/>
    <w:rsid w:val="51B178D7"/>
    <w:rsid w:val="5246001F"/>
    <w:rsid w:val="524769CF"/>
    <w:rsid w:val="525E7A5F"/>
    <w:rsid w:val="52862B12"/>
    <w:rsid w:val="52C378C2"/>
    <w:rsid w:val="52E00474"/>
    <w:rsid w:val="5539030F"/>
    <w:rsid w:val="55703126"/>
    <w:rsid w:val="55B1271D"/>
    <w:rsid w:val="5689203E"/>
    <w:rsid w:val="57A51C8C"/>
    <w:rsid w:val="58080DA7"/>
    <w:rsid w:val="58692CBA"/>
    <w:rsid w:val="5889510A"/>
    <w:rsid w:val="58E40592"/>
    <w:rsid w:val="593675A5"/>
    <w:rsid w:val="5AD81208"/>
    <w:rsid w:val="5AFB0F4F"/>
    <w:rsid w:val="5B076341"/>
    <w:rsid w:val="5C433822"/>
    <w:rsid w:val="5DEA31F6"/>
    <w:rsid w:val="60850CE4"/>
    <w:rsid w:val="60887EA0"/>
    <w:rsid w:val="61834DEC"/>
    <w:rsid w:val="627E5B5D"/>
    <w:rsid w:val="62CC31F8"/>
    <w:rsid w:val="639B339A"/>
    <w:rsid w:val="64401B3B"/>
    <w:rsid w:val="64406FC4"/>
    <w:rsid w:val="64A37553"/>
    <w:rsid w:val="66215713"/>
    <w:rsid w:val="67825B46"/>
    <w:rsid w:val="67C66A7A"/>
    <w:rsid w:val="67DD0FCE"/>
    <w:rsid w:val="695B045F"/>
    <w:rsid w:val="698C2CAC"/>
    <w:rsid w:val="6A292A7E"/>
    <w:rsid w:val="6A8B7C24"/>
    <w:rsid w:val="6BF67291"/>
    <w:rsid w:val="6C2A2261"/>
    <w:rsid w:val="6CF272CA"/>
    <w:rsid w:val="6DFA4688"/>
    <w:rsid w:val="6E8E4DD0"/>
    <w:rsid w:val="6FDA0E73"/>
    <w:rsid w:val="730B2E93"/>
    <w:rsid w:val="736062DE"/>
    <w:rsid w:val="75221461"/>
    <w:rsid w:val="75BC0475"/>
    <w:rsid w:val="75F6598A"/>
    <w:rsid w:val="77C27899"/>
    <w:rsid w:val="77C41863"/>
    <w:rsid w:val="78D87374"/>
    <w:rsid w:val="79254C2C"/>
    <w:rsid w:val="79AC25AE"/>
    <w:rsid w:val="7A29507A"/>
    <w:rsid w:val="7B2231CF"/>
    <w:rsid w:val="7B9B325A"/>
    <w:rsid w:val="7BA06143"/>
    <w:rsid w:val="7BC462D5"/>
    <w:rsid w:val="7C7F7924"/>
    <w:rsid w:val="7D167147"/>
    <w:rsid w:val="7E0841CF"/>
    <w:rsid w:val="7E0F22BD"/>
    <w:rsid w:val="7F3B1F44"/>
    <w:rsid w:val="7FA802B6"/>
    <w:rsid w:val="7FC05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widowControl/>
      <w:snapToGrid w:val="0"/>
      <w:spacing w:before="60" w:after="160" w:line="259" w:lineRule="auto"/>
      <w:ind w:right="113"/>
    </w:pPr>
    <w:rPr>
      <w:kern w:val="0"/>
      <w:sz w:val="18"/>
      <w:szCs w:val="20"/>
    </w:rPr>
  </w:style>
  <w:style w:type="paragraph" w:styleId="3">
    <w:name w:val="List Bullet 5"/>
    <w:basedOn w:val="1"/>
    <w:qFormat/>
    <w:uiPriority w:val="0"/>
    <w:pPr>
      <w:numPr>
        <w:ilvl w:val="0"/>
        <w:numId w:val="1"/>
      </w:numPr>
    </w:p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Hyperlink"/>
    <w:basedOn w:val="6"/>
    <w:qFormat/>
    <w:uiPriority w:val="0"/>
    <w:rPr>
      <w:color w:val="0000FF"/>
      <w:u w:val="single"/>
    </w:rPr>
  </w:style>
  <w:style w:type="character" w:styleId="8">
    <w:name w:val="annotation reference"/>
    <w:qFormat/>
    <w:uiPriority w:val="0"/>
    <w:rPr>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761111eb-426a-4cff-922e-4a90502bfcb3</errorID>
      <errorWord>：</errorWord>
      <group>L1_Format</group>
      <groupName>格式问题</groupName>
      <ability>L2_HalfPunc</ability>
      <abilityName>全半角检查</abilityName>
      <candidateList>
        <item>: </item>
      </candidateList>
      <explain>文本全半角错误。</explain>
      <paraID>2B11855C</paraID>
      <start>5</start>
      <end>6</end>
      <status>ignored</status>
      <modifiedWord/>
      <trackRevisions>false</trackRevisions>
    </reviewItem>
    <reviewItem>
      <errorID>a62302a6-96d3-4ed0-9377-34cea5254bd5</errorID>
      <errorWord>；</errorWord>
      <group>L1_Format</group>
      <groupName>格式问题</groupName>
      <ability>L2_HalfPunc</ability>
      <abilityName>全半角检查</abilityName>
      <candidateList>
        <item>;</item>
      </candidateList>
      <explain>文本全半角错误。</explain>
      <paraID>2B11855C</paraID>
      <start>60</start>
      <end>61</end>
      <status>ignored</status>
      <modifiedWord/>
      <trackRevisions>false</trackRevisions>
    </reviewItem>
    <reviewItem>
      <errorID>0d267e3d-2470-44d4-88a0-9daf74c7accd</errorID>
      <errorWord>要</errorWord>
      <group>L1_Grammar</group>
      <groupName>语法问题</groupName>
      <ability>L2_Missing</ability>
      <abilityName>成分残缺</abilityName>
      <candidateList>
        <item>内容要</item>
      </candidateList>
      <explain>句子中可能存在主谓宾、修饰语或者必要的词语残缺。</explain>
      <paraID>469D7731</paraID>
      <start>54</start>
      <end>55</end>
      <status>unmodified</status>
      <modifiedWord/>
      <trackRevisions>false</trackRevisions>
    </reviewItem>
  </reviewItems>
  <config/>
</contractReview>
</file>

<file path=customXml/itemProps1.xml><?xml version="1.0" encoding="utf-8"?>
<ds:datastoreItem xmlns:ds="http://schemas.openxmlformats.org/officeDocument/2006/customXml" ds:itemID="{1bc5b4b8-aad3-4596-ba16-fdbaeeee2ae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1107</Words>
  <Characters>1199</Characters>
  <Lines>9</Lines>
  <Paragraphs>2</Paragraphs>
  <TotalTime>3</TotalTime>
  <ScaleCrop>false</ScaleCrop>
  <LinksUpToDate>false</LinksUpToDate>
  <CharactersWithSpaces>1216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2019-03-07T02:32:00Z</dcterms:created>
  <dc:creator>Users</dc:creator>
  <cp:lastModifiedBy>门一海</cp:lastModifiedBy>
  <dcterms:modified xsi:type="dcterms:W3CDTF">2025-11-10T09:16:50Z</dcterms:modified>
  <dc:title>关于对泗阳县南刘集乡恒源装饰材料经营部年产300万米装饰线条项目环境影响报告表公示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2CC29118DB0A4758913DCC0EC44EA7EE_13</vt:lpwstr>
  </property>
  <property fmtid="{D5CDD505-2E9C-101B-9397-08002B2CF9AE}" pid="4" name="KSOTemplateDocerSaveRecord">
    <vt:lpwstr>eyJoZGlkIjoiYTg0YzY5YzEyNTE1MTZmNzAwOWZhZWRmN2Y0YmEzYWYiLCJ1c2VySWQiOiI4ODE2OTY1MzMifQ==</vt:lpwstr>
  </property>
</Properties>
</file>